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rPr>
        <w:t>江苏林洋电子股份有限公司</w:t>
      </w:r>
    </w:p>
    <w:p>
      <w:pPr>
        <w:widowControl w:val="0"/>
        <w:jc w:val="center"/>
        <w:rPr>
          <w:sz w:val="2"/>
          <w:szCs w:val="2"/>
        </w:rPr>
      </w:pPr>
      <w:r>
        <w:drawing>
          <wp:inline>
            <wp:extent cx="1627505" cy="11156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27505" cy="1115695"/>
                    </a:xfrm>
                    <a:prstGeom prst="rect"/>
                  </pic:spPr>
                </pic:pic>
              </a:graphicData>
            </a:graphic>
          </wp:inline>
        </w:drawing>
      </w:r>
    </w:p>
    <w:p>
      <w:pPr>
        <w:widowControl w:val="0"/>
        <w:spacing w:after="199" w:line="1" w:lineRule="exact"/>
      </w:pPr>
    </w:p>
    <w:p>
      <w:pPr>
        <w:pStyle w:val="Style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3687" w:right="1846" w:bottom="3687" w:left="1942" w:header="3259" w:footer="3259" w:gutter="0"/>
          <w:pgNumType w:start="1"/>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rPr>
        <w:t>重要提示</w:t>
      </w:r>
    </w:p>
    <w:p>
      <w:pPr>
        <w:pStyle w:val="Style12"/>
        <w:keepNext w:val="0"/>
        <w:keepLines w:val="0"/>
        <w:widowControl w:val="0"/>
        <w:shd w:val="clear" w:color="auto" w:fill="auto"/>
        <w:tabs>
          <w:tab w:pos="634" w:val="left"/>
        </w:tabs>
        <w:bidi w:val="0"/>
        <w:spacing w:before="0" w:after="300" w:line="312" w:lineRule="exact"/>
        <w:ind w:left="0" w:right="0" w:firstLine="0"/>
        <w:jc w:val="left"/>
      </w:pPr>
      <w:bookmarkStart w:id="0" w:name="bookmark0"/>
      <w:r>
        <w:rPr>
          <w:b/>
          <w:bCs/>
          <w:color w:val="000000"/>
          <w:spacing w:val="0"/>
          <w:w w:val="100"/>
          <w:position w:val="0"/>
        </w:rPr>
        <w:t>一</w:t>
      </w:r>
      <w:bookmarkEnd w:id="0"/>
      <w:r>
        <w:rPr>
          <w:b/>
          <w:bCs/>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12"/>
        <w:keepNext w:val="0"/>
        <w:keepLines w:val="0"/>
        <w:widowControl w:val="0"/>
        <w:shd w:val="clear" w:color="auto" w:fill="auto"/>
        <w:tabs>
          <w:tab w:pos="634" w:val="left"/>
        </w:tabs>
        <w:bidi w:val="0"/>
        <w:spacing w:before="0" w:after="300" w:line="312" w:lineRule="exact"/>
        <w:ind w:left="0" w:right="0" w:firstLine="0"/>
        <w:jc w:val="left"/>
      </w:pPr>
      <w:bookmarkStart w:id="1" w:name="bookmark1"/>
      <w:r>
        <w:rPr>
          <w:b/>
          <w:bCs/>
          <w:color w:val="000000"/>
          <w:spacing w:val="0"/>
          <w:w w:val="100"/>
          <w:position w:val="0"/>
        </w:rPr>
        <w:t>二</w:t>
      </w:r>
      <w:bookmarkEnd w:id="1"/>
      <w:r>
        <w:rPr>
          <w:b/>
          <w:bCs/>
          <w:color w:val="000000"/>
          <w:spacing w:val="0"/>
          <w:w w:val="100"/>
          <w:position w:val="0"/>
        </w:rPr>
        <w:t>、</w:t>
        <w:tab/>
        <w:t>公司全体董事出席董事会会议。</w:t>
      </w:r>
    </w:p>
    <w:p>
      <w:pPr>
        <w:pStyle w:val="Style12"/>
        <w:keepNext w:val="0"/>
        <w:keepLines w:val="0"/>
        <w:widowControl w:val="0"/>
        <w:shd w:val="clear" w:color="auto" w:fill="auto"/>
        <w:tabs>
          <w:tab w:pos="634" w:val="left"/>
        </w:tabs>
        <w:bidi w:val="0"/>
        <w:spacing w:before="0" w:after="300" w:line="312" w:lineRule="exact"/>
        <w:ind w:left="0" w:right="0" w:firstLine="0"/>
        <w:jc w:val="left"/>
      </w:pPr>
      <w:bookmarkStart w:id="2" w:name="bookmark2"/>
      <w:r>
        <w:rPr>
          <w:b/>
          <w:bCs/>
          <w:color w:val="000000"/>
          <w:spacing w:val="0"/>
          <w:w w:val="100"/>
          <w:position w:val="0"/>
        </w:rPr>
        <w:t>三</w:t>
      </w:r>
      <w:bookmarkEnd w:id="2"/>
      <w:r>
        <w:rPr>
          <w:b/>
          <w:bCs/>
          <w:color w:val="000000"/>
          <w:spacing w:val="0"/>
          <w:w w:val="100"/>
          <w:position w:val="0"/>
        </w:rPr>
        <w:t>、</w:t>
        <w:tab/>
        <w:t>立信会计师事务所（特殊普通合伙）为本公司出具了标准无保留意见的审计报告。</w:t>
      </w:r>
    </w:p>
    <w:p>
      <w:pPr>
        <w:pStyle w:val="Style12"/>
        <w:keepNext w:val="0"/>
        <w:keepLines w:val="0"/>
        <w:widowControl w:val="0"/>
        <w:shd w:val="clear" w:color="auto" w:fill="auto"/>
        <w:tabs>
          <w:tab w:pos="634" w:val="left"/>
        </w:tabs>
        <w:bidi w:val="0"/>
        <w:spacing w:before="0" w:after="300" w:line="317" w:lineRule="exact"/>
        <w:ind w:left="0" w:right="0" w:firstLine="0"/>
        <w:jc w:val="left"/>
      </w:pPr>
      <w:bookmarkStart w:id="3" w:name="bookmark3"/>
      <w:r>
        <w:rPr>
          <w:b/>
          <w:bCs/>
          <w:color w:val="000000"/>
          <w:spacing w:val="0"/>
          <w:w w:val="100"/>
          <w:position w:val="0"/>
        </w:rPr>
        <w:t>四</w:t>
      </w:r>
      <w:bookmarkEnd w:id="3"/>
      <w:r>
        <w:rPr>
          <w:b/>
          <w:bCs/>
          <w:color w:val="000000"/>
          <w:spacing w:val="0"/>
          <w:w w:val="100"/>
          <w:position w:val="0"/>
        </w:rPr>
        <w:t>、</w:t>
        <w:tab/>
        <w:t>公司负责人陆永华、主管会计工作负责人虞海娟及会计机构负责人（会计主管人员） 王艳声明：保证年度报告中财务报告的真实、准确、完整。</w:t>
      </w:r>
    </w:p>
    <w:p>
      <w:pPr>
        <w:pStyle w:val="Style12"/>
        <w:keepNext w:val="0"/>
        <w:keepLines w:val="0"/>
        <w:widowControl w:val="0"/>
        <w:shd w:val="clear" w:color="auto" w:fill="auto"/>
        <w:tabs>
          <w:tab w:pos="634" w:val="left"/>
        </w:tabs>
        <w:bidi w:val="0"/>
        <w:spacing w:before="0" w:after="0" w:line="307" w:lineRule="exact"/>
        <w:ind w:left="0" w:right="0" w:firstLine="0"/>
        <w:jc w:val="left"/>
      </w:pPr>
      <w:bookmarkStart w:id="4" w:name="bookmark4"/>
      <w:r>
        <w:rPr>
          <w:b/>
          <w:bCs/>
          <w:color w:val="000000"/>
          <w:spacing w:val="0"/>
          <w:w w:val="100"/>
          <w:position w:val="0"/>
        </w:rPr>
        <w:t>五</w:t>
      </w:r>
      <w:bookmarkEnd w:id="4"/>
      <w:r>
        <w:rPr>
          <w:b/>
          <w:bCs/>
          <w:color w:val="000000"/>
          <w:spacing w:val="0"/>
          <w:w w:val="100"/>
          <w:position w:val="0"/>
        </w:rPr>
        <w:t>、</w:t>
        <w:tab/>
        <w:t>前瞻性陈述的风险声明</w:t>
      </w:r>
    </w:p>
    <w:p>
      <w:pPr>
        <w:pStyle w:val="Style12"/>
        <w:keepNext w:val="0"/>
        <w:keepLines w:val="0"/>
        <w:widowControl w:val="0"/>
        <w:shd w:val="clear" w:color="auto" w:fill="auto"/>
        <w:bidi w:val="0"/>
        <w:spacing w:before="0" w:after="300" w:line="307" w:lineRule="exact"/>
        <w:ind w:left="0" w:right="0" w:firstLine="0"/>
        <w:jc w:val="left"/>
      </w:pPr>
      <w:r>
        <w:rPr>
          <w:b/>
          <w:bCs/>
          <w:color w:val="000000"/>
          <w:spacing w:val="0"/>
          <w:w w:val="100"/>
          <w:position w:val="0"/>
        </w:rPr>
        <w:t>本报告中所涉及的未来计划、发展战略等前瞻性描述不构成公司对投资者的实质承诺，敬 请投资者注意投资风险。</w:t>
      </w:r>
    </w:p>
    <w:p>
      <w:pPr>
        <w:pStyle w:val="Style12"/>
        <w:keepNext w:val="0"/>
        <w:keepLines w:val="0"/>
        <w:widowControl w:val="0"/>
        <w:shd w:val="clear" w:color="auto" w:fill="auto"/>
        <w:tabs>
          <w:tab w:pos="634" w:val="left"/>
        </w:tabs>
        <w:bidi w:val="0"/>
        <w:spacing w:before="0" w:after="0" w:line="312" w:lineRule="exact"/>
        <w:ind w:left="0" w:right="0" w:firstLine="0"/>
        <w:jc w:val="left"/>
      </w:pPr>
      <w:bookmarkStart w:id="5" w:name="bookmark5"/>
      <w:r>
        <w:rPr>
          <w:b/>
          <w:bCs/>
          <w:color w:val="000000"/>
          <w:spacing w:val="0"/>
          <w:w w:val="100"/>
          <w:position w:val="0"/>
        </w:rPr>
        <w:t>六</w:t>
      </w:r>
      <w:bookmarkEnd w:id="5"/>
      <w:r>
        <w:rPr>
          <w:b/>
          <w:bCs/>
          <w:color w:val="000000"/>
          <w:spacing w:val="0"/>
          <w:w w:val="100"/>
          <w:position w:val="0"/>
        </w:rPr>
        <w:t>、</w:t>
        <w:tab/>
        <w:t>是否存在被控股股东及其关联方非经营性占用资金情况？</w:t>
      </w:r>
    </w:p>
    <w:p>
      <w:pPr>
        <w:pStyle w:val="Style12"/>
        <w:keepNext w:val="0"/>
        <w:keepLines w:val="0"/>
        <w:widowControl w:val="0"/>
        <w:shd w:val="clear" w:color="auto" w:fill="auto"/>
        <w:bidi w:val="0"/>
        <w:spacing w:before="0" w:after="300" w:line="312" w:lineRule="exact"/>
        <w:ind w:left="0" w:right="0" w:firstLine="0"/>
        <w:jc w:val="left"/>
      </w:pPr>
      <w:r>
        <w:rPr>
          <w:b/>
          <w:bCs/>
          <w:color w:val="000000"/>
          <w:spacing w:val="0"/>
          <w:w w:val="100"/>
          <w:position w:val="0"/>
        </w:rPr>
        <w:t>否</w:t>
      </w:r>
    </w:p>
    <w:p>
      <w:pPr>
        <w:pStyle w:val="Style12"/>
        <w:keepNext w:val="0"/>
        <w:keepLines w:val="0"/>
        <w:widowControl w:val="0"/>
        <w:shd w:val="clear" w:color="auto" w:fill="auto"/>
        <w:tabs>
          <w:tab w:pos="634" w:val="left"/>
        </w:tabs>
        <w:bidi w:val="0"/>
        <w:spacing w:before="0" w:after="0" w:line="312" w:lineRule="exact"/>
        <w:ind w:left="0" w:right="0" w:firstLine="0"/>
        <w:jc w:val="left"/>
      </w:pPr>
      <w:bookmarkStart w:id="6" w:name="bookmark6"/>
      <w:r>
        <w:rPr>
          <w:b/>
          <w:bCs/>
          <w:color w:val="000000"/>
          <w:spacing w:val="0"/>
          <w:w w:val="100"/>
          <w:position w:val="0"/>
        </w:rPr>
        <w:t>七</w:t>
      </w:r>
      <w:bookmarkEnd w:id="6"/>
      <w:r>
        <w:rPr>
          <w:b/>
          <w:bCs/>
          <w:color w:val="000000"/>
          <w:spacing w:val="0"/>
          <w:w w:val="100"/>
          <w:position w:val="0"/>
        </w:rPr>
        <w:t>、</w:t>
        <w:tab/>
        <w:t>是否存在违反规定决策程序对外提供担保的情况？</w:t>
      </w:r>
    </w:p>
    <w:p>
      <w:pPr>
        <w:pStyle w:val="Style12"/>
        <w:keepNext w:val="0"/>
        <w:keepLines w:val="0"/>
        <w:widowControl w:val="0"/>
        <w:shd w:val="clear" w:color="auto" w:fill="auto"/>
        <w:bidi w:val="0"/>
        <w:spacing w:before="0" w:after="300" w:line="312" w:lineRule="exact"/>
        <w:ind w:left="0" w:right="0" w:firstLine="0"/>
        <w:jc w:val="left"/>
        <w:sectPr>
          <w:headerReference w:type="default" r:id="rId7"/>
          <w:footerReference w:type="default" r:id="rId8"/>
          <w:footnotePr>
            <w:pos w:val="pageBottom"/>
            <w:numFmt w:val="decimal"/>
            <w:numRestart w:val="continuous"/>
          </w:footnotePr>
          <w:pgSz w:w="12240" w:h="15840"/>
          <w:pgMar w:top="1480" w:right="1846" w:bottom="1480" w:left="1942" w:header="0" w:footer="3" w:gutter="0"/>
          <w:pgNumType w:start="1"/>
          <w:cols w:space="720"/>
          <w:noEndnote/>
          <w:rtlGutter w:val="0"/>
          <w:docGrid w:linePitch="360"/>
        </w:sectPr>
      </w:pPr>
      <w:r>
        <w:rPr>
          <w:b/>
          <w:bCs/>
          <w:color w:val="000000"/>
          <w:spacing w:val="0"/>
          <w:w w:val="100"/>
          <w:position w:val="0"/>
        </w:rPr>
        <w:t>否</w:t>
      </w:r>
    </w:p>
    <w:p>
      <w:pPr>
        <w:pStyle w:val="Style15"/>
        <w:keepNext w:val="0"/>
        <w:keepLines w:val="0"/>
        <w:widowControl w:val="0"/>
        <w:shd w:val="clear" w:color="auto" w:fill="auto"/>
        <w:bidi w:val="0"/>
        <w:spacing w:before="300" w:after="240" w:line="240" w:lineRule="auto"/>
        <w:ind w:left="0" w:right="0" w:firstLine="0"/>
        <w:jc w:val="center"/>
        <w:rPr>
          <w:sz w:val="46"/>
          <w:szCs w:val="46"/>
        </w:rPr>
      </w:pPr>
      <w:r>
        <w:rPr>
          <w:color w:val="000000"/>
          <w:spacing w:val="0"/>
          <w:w w:val="100"/>
          <w:position w:val="0"/>
          <w:sz w:val="46"/>
          <w:szCs w:val="46"/>
        </w:rPr>
        <w:t>目录</w:t>
      </w:r>
    </w:p>
    <w:p>
      <w:pPr>
        <w:pStyle w:val="Style18"/>
        <w:keepNext w:val="0"/>
        <w:keepLines w:val="0"/>
        <w:widowControl w:val="0"/>
        <w:shd w:val="clear" w:color="auto" w:fill="auto"/>
        <w:tabs>
          <w:tab w:leader="dot" w:pos="8285" w:val="right"/>
        </w:tabs>
        <w:bidi w:val="0"/>
        <w:spacing w:before="0" w:line="240" w:lineRule="auto"/>
        <w:ind w:left="0" w:right="0" w:firstLine="0"/>
        <w:jc w:val="left"/>
      </w:pPr>
      <w:r>
        <w:fldChar w:fldCharType="begin"/>
        <w:instrText xml:space="preserve"> TOC \o "1-5" \h \z </w:instrText>
        <w:fldChar w:fldCharType="separate"/>
      </w:r>
      <w:hyperlink w:anchor="bookmark8" w:tooltip="Current Document">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8"/>
        <w:keepNext w:val="0"/>
        <w:keepLines w:val="0"/>
        <w:widowControl w:val="0"/>
        <w:shd w:val="clear" w:color="auto" w:fill="auto"/>
        <w:tabs>
          <w:tab w:leader="dot" w:pos="8285" w:val="right"/>
        </w:tabs>
        <w:bidi w:val="0"/>
        <w:spacing w:before="0" w:line="240" w:lineRule="auto"/>
        <w:ind w:left="0" w:right="0" w:firstLine="0"/>
        <w:jc w:val="left"/>
      </w:pPr>
      <w:hyperlink w:anchor="bookmark15"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8"/>
        <w:keepNext w:val="0"/>
        <w:keepLines w:val="0"/>
        <w:widowControl w:val="0"/>
        <w:shd w:val="clear" w:color="auto" w:fill="auto"/>
        <w:tabs>
          <w:tab w:leader="dot" w:pos="8285" w:val="right"/>
        </w:tabs>
        <w:bidi w:val="0"/>
        <w:spacing w:before="0" w:line="240" w:lineRule="auto"/>
        <w:ind w:left="0" w:right="0" w:firstLine="0"/>
        <w:jc w:val="left"/>
      </w:pPr>
      <w:hyperlink w:anchor="bookmark32"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8285" w:val="right"/>
        </w:tabs>
        <w:bidi w:val="0"/>
        <w:spacing w:before="0" w:line="240" w:lineRule="auto"/>
        <w:ind w:left="0" w:right="0" w:firstLine="0"/>
        <w:jc w:val="left"/>
      </w:pPr>
      <w:hyperlink w:anchor="bookmark40"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8"/>
        <w:keepNext w:val="0"/>
        <w:keepLines w:val="0"/>
        <w:widowControl w:val="0"/>
        <w:shd w:val="clear" w:color="auto" w:fill="auto"/>
        <w:tabs>
          <w:tab w:leader="dot" w:pos="8285" w:val="right"/>
        </w:tabs>
        <w:bidi w:val="0"/>
        <w:spacing w:before="0" w:line="240" w:lineRule="auto"/>
        <w:ind w:left="0" w:right="0" w:firstLine="0"/>
        <w:jc w:val="left"/>
      </w:pPr>
      <w:hyperlink w:anchor="bookmark251"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24</w:t>
        </w:r>
      </w:hyperlink>
    </w:p>
    <w:p>
      <w:pPr>
        <w:pStyle w:val="Style18"/>
        <w:keepNext w:val="0"/>
        <w:keepLines w:val="0"/>
        <w:widowControl w:val="0"/>
        <w:shd w:val="clear" w:color="auto" w:fill="auto"/>
        <w:tabs>
          <w:tab w:leader="dot" w:pos="8285" w:val="right"/>
        </w:tabs>
        <w:bidi w:val="0"/>
        <w:spacing w:before="0" w:line="240" w:lineRule="auto"/>
        <w:ind w:left="0" w:right="0" w:firstLine="0"/>
        <w:jc w:val="left"/>
      </w:pPr>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31</w:t>
      </w:r>
    </w:p>
    <w:p>
      <w:pPr>
        <w:pStyle w:val="Style18"/>
        <w:keepNext w:val="0"/>
        <w:keepLines w:val="0"/>
        <w:widowControl w:val="0"/>
        <w:shd w:val="clear" w:color="auto" w:fill="auto"/>
        <w:tabs>
          <w:tab w:leader="dot" w:pos="8285" w:val="right"/>
        </w:tabs>
        <w:bidi w:val="0"/>
        <w:spacing w:before="0" w:line="240" w:lineRule="auto"/>
        <w:ind w:left="0" w:right="0" w:firstLine="0"/>
        <w:jc w:val="left"/>
      </w:pPr>
      <w:hyperlink w:anchor="bookmark347"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18"/>
        <w:keepNext w:val="0"/>
        <w:keepLines w:val="0"/>
        <w:widowControl w:val="0"/>
        <w:shd w:val="clear" w:color="auto" w:fill="auto"/>
        <w:tabs>
          <w:tab w:leader="dot" w:pos="8285" w:val="right"/>
        </w:tabs>
        <w:bidi w:val="0"/>
        <w:spacing w:before="0" w:line="240" w:lineRule="auto"/>
        <w:ind w:left="0" w:right="0" w:firstLine="0"/>
        <w:jc w:val="left"/>
      </w:pPr>
      <w:hyperlink w:anchor="bookmark368"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8"/>
        <w:keepNext w:val="0"/>
        <w:keepLines w:val="0"/>
        <w:widowControl w:val="0"/>
        <w:shd w:val="clear" w:color="auto" w:fill="auto"/>
        <w:tabs>
          <w:tab w:leader="dot" w:pos="8285" w:val="right"/>
        </w:tabs>
        <w:bidi w:val="0"/>
        <w:spacing w:before="0" w:line="240" w:lineRule="auto"/>
        <w:ind w:left="0" w:right="0" w:firstLine="0"/>
        <w:jc w:val="left"/>
      </w:pPr>
      <w:hyperlink w:anchor="bookmark417"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8"/>
        <w:keepNext w:val="0"/>
        <w:keepLines w:val="0"/>
        <w:widowControl w:val="0"/>
        <w:shd w:val="clear" w:color="auto" w:fill="auto"/>
        <w:tabs>
          <w:tab w:leader="dot" w:pos="8285" w:val="right"/>
        </w:tabs>
        <w:bidi w:val="0"/>
        <w:spacing w:before="0" w:line="240" w:lineRule="auto"/>
        <w:ind w:left="0" w:right="0" w:firstLine="0"/>
        <w:jc w:val="left"/>
      </w:pPr>
      <w:hyperlink w:anchor="bookmark428" w:tooltip="Current Document">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8"/>
        <w:keepNext w:val="0"/>
        <w:keepLines w:val="0"/>
        <w:widowControl w:val="0"/>
        <w:shd w:val="clear" w:color="auto" w:fill="auto"/>
        <w:tabs>
          <w:tab w:pos="1035" w:val="left"/>
          <w:tab w:leader="dot" w:pos="8285" w:val="right"/>
        </w:tabs>
        <w:bidi w:val="0"/>
        <w:spacing w:before="0" w:line="240" w:lineRule="auto"/>
        <w:ind w:left="0" w:right="0" w:firstLine="0"/>
        <w:jc w:val="left"/>
      </w:pPr>
      <w:hyperlink w:anchor="bookmark1036" w:tooltip="Current Document">
        <w:r>
          <w:rPr>
            <w:color w:val="000000"/>
            <w:spacing w:val="0"/>
            <w:w w:val="100"/>
            <w:position w:val="0"/>
          </w:rPr>
          <w:t>第十一节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114</w:t>
        </w:r>
      </w:hyperlink>
      <w:r>
        <w:br w:type="page"/>
      </w:r>
      <w:r>
        <w:fldChar w:fldCharType="end"/>
      </w:r>
    </w:p>
    <w:p>
      <w:pPr>
        <w:pStyle w:val="Style21"/>
        <w:keepNext/>
        <w:keepLines/>
        <w:widowControl w:val="0"/>
        <w:shd w:val="clear" w:color="auto" w:fill="auto"/>
        <w:bidi w:val="0"/>
        <w:spacing w:before="0" w:after="380" w:line="240" w:lineRule="auto"/>
        <w:ind w:left="0" w:right="0" w:firstLine="0"/>
        <w:jc w:val="center"/>
      </w:pPr>
      <w:bookmarkStart w:id="7" w:name="bookmark7"/>
      <w:bookmarkStart w:id="8" w:name="bookmark8"/>
      <w:bookmarkStart w:id="9" w:name="bookmark9"/>
      <w:r>
        <w:rPr>
          <w:color w:val="000000"/>
          <w:spacing w:val="0"/>
          <w:w w:val="100"/>
          <w:position w:val="0"/>
        </w:rPr>
        <w:t>第一节释义及重大风险提示</w:t>
      </w:r>
      <w:bookmarkEnd w:id="7"/>
      <w:bookmarkEnd w:id="8"/>
      <w:bookmarkEnd w:id="9"/>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 释义</w:t>
      </w: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573"/>
        <w:gridCol w:w="706"/>
        <w:gridCol w:w="5117"/>
      </w:tblGrid>
      <w:tr>
        <w:trPr>
          <w:trHeight w:val="336" w:hRule="exact"/>
        </w:trPr>
        <w:tc>
          <w:tcPr>
            <w:gridSpan w:val="3"/>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公司、本公司、林洋电子</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江苏林洋电子股份有限公司</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林洋有限</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上市公司前身，</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月整体变更为江苏林洋电子 股份有限公司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华虹电子</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启东市华虹电子有限公司，公司控股股东</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华强投资</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南通华强投资有限公司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广发信德</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广发信德投资管理有限公司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南京林洋电力科技有限公司，公司全资子公司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武汉奥统电气有限公司，公司控股子公司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深圳林洋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深圳林洋电子科技有限公司，公司控股子公司</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南通林洋电气有限公司，公司控股子公司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永安电子</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安徽永安电子科技有限公司，公司全资子公司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江苏华源仪器仪表有限公司，联营公司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林洋新能源</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江苏林洋新能源科技有限公司，公司全资子公司</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澳洲林洋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LINYANG ENERGY AUSTRALIA PTY LTD.</w:t>
            </w:r>
            <w:r>
              <w:rPr>
                <w:color w:val="000000"/>
                <w:spacing w:val="0"/>
                <w:w w:val="100"/>
                <w:position w:val="0"/>
              </w:rPr>
              <w:t>（</w:t>
            </w:r>
            <w:r>
              <w:rPr>
                <w:color w:val="000000"/>
                <w:spacing w:val="0"/>
                <w:w w:val="100"/>
                <w:position w:val="0"/>
              </w:rPr>
              <w:t>澳洲林 洋新能源有限公司），公司全资子公司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林洋照明</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江苏林洋照明科技有限公司，公司全资子公司</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林洋能源科技</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林洋能源科技（上海）有限公司，公司全资子公司</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智能电能表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智能电网的终端设备，提供互动性服务、具有智能化 自适应处理能力的一种电子式电能表</w:t>
            </w:r>
          </w:p>
        </w:tc>
      </w:tr>
      <w:tr>
        <w:trPr>
          <w:trHeight w:val="9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用电信息管理系统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集厂站电能采集、大用户负荷控制、配变监测、低压 电力集中抄表、预付费控制等功能为一体的用电一体 化、自动化管理系统</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智能用电信息管理终端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一种具备电压、电流、功率因数采集计算并能根据用 户用电历史信息进行用电优化提示的终端</w:t>
            </w:r>
          </w:p>
        </w:tc>
      </w:tr>
      <w:tr>
        <w:trPr>
          <w:trHeight w:val="6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国网、国家电网</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中国国家电网公司，负责投资、建设和经营管理除南 方电网辖区以外的国内其他省（区）的区域电网</w:t>
            </w:r>
          </w:p>
        </w:tc>
      </w:tr>
      <w:tr>
        <w:trPr>
          <w:trHeight w:val="9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南网、南方电网</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中国南方电网有限责任公司，负责投资、建设和经营 管理广东省、广西省、云南省、贵州省和海南省五省 （区）南方区域电网</w:t>
            </w:r>
          </w:p>
        </w:tc>
      </w:tr>
    </w:tbl>
    <w:p>
      <w:pPr>
        <w:widowControl w:val="0"/>
        <w:spacing w:after="259" w:line="1" w:lineRule="exact"/>
      </w:pPr>
    </w:p>
    <w:p>
      <w:pPr>
        <w:pStyle w:val="Style29"/>
        <w:keepNext/>
        <w:keepLines/>
        <w:widowControl w:val="0"/>
        <w:shd w:val="clear" w:color="auto" w:fill="auto"/>
        <w:bidi w:val="0"/>
        <w:spacing w:before="0" w:after="0" w:line="317" w:lineRule="exact"/>
        <w:ind w:left="0" w:right="0" w:firstLine="32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、重大风险提示：</w:t>
      </w:r>
      <w:bookmarkEnd w:id="10"/>
      <w:bookmarkEnd w:id="11"/>
      <w:bookmarkEnd w:id="13"/>
    </w:p>
    <w:p>
      <w:pPr>
        <w:pStyle w:val="Style12"/>
        <w:keepNext w:val="0"/>
        <w:keepLines w:val="0"/>
        <w:widowControl w:val="0"/>
        <w:shd w:val="clear" w:color="auto" w:fill="auto"/>
        <w:bidi w:val="0"/>
        <w:spacing w:before="0" w:after="320" w:line="317" w:lineRule="exact"/>
        <w:ind w:left="320" w:right="0" w:firstLine="0"/>
        <w:jc w:val="left"/>
        <w:sectPr>
          <w:footnotePr>
            <w:pos w:val="pageBottom"/>
            <w:numFmt w:val="decimal"/>
            <w:numRestart w:val="continuous"/>
          </w:footnotePr>
          <w:pgSz w:w="12240" w:h="15840"/>
          <w:pgMar w:top="1417" w:right="1384" w:bottom="2067" w:left="1535" w:header="0" w:footer="3" w:gutter="0"/>
          <w:cols w:space="720"/>
          <w:noEndnote/>
          <w:rtlGutter w:val="0"/>
          <w:docGrid w:linePitch="360"/>
        </w:sectPr>
      </w:pPr>
      <w:r>
        <w:rPr>
          <w:color w:val="000000"/>
          <w:spacing w:val="0"/>
          <w:w w:val="100"/>
          <w:position w:val="0"/>
        </w:rPr>
        <w:t>公司已在本年度报告中详细描述公司面临的风险，敬请投资者予以关注，详见本年度报告</w:t>
      </w:r>
      <w:r>
        <w:rPr>
          <w:rFonts w:ascii="Times New Roman" w:eastAsia="Times New Roman" w:hAnsi="Times New Roman" w:cs="Times New Roman"/>
          <w:color w:val="000000"/>
          <w:spacing w:val="0"/>
          <w:w w:val="100"/>
          <w:position w:val="0"/>
        </w:rPr>
        <w:t xml:space="preserve">" </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等有关章节中关于公司可能面临的风险部分的内容。</w:t>
      </w:r>
    </w:p>
    <w:p>
      <w:pPr>
        <w:widowControl w:val="0"/>
        <w:jc w:val="left"/>
        <w:rPr>
          <w:sz w:val="2"/>
          <w:szCs w:val="2"/>
        </w:rPr>
      </w:pPr>
      <w:r>
        <w:drawing>
          <wp:inline>
            <wp:extent cx="274320" cy="1460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274320" cy="146050"/>
                    </a:xfrm>
                    <a:prstGeom prst="rect"/>
                  </pic:spPr>
                </pic:pic>
              </a:graphicData>
            </a:graphic>
          </wp:inline>
        </w:drawing>
      </w:r>
    </w:p>
    <w:p>
      <w:pPr>
        <w:widowControl w:val="0"/>
        <w:spacing w:after="859" w:line="1" w:lineRule="exact"/>
      </w:pPr>
    </w:p>
    <w:p>
      <w:pPr>
        <w:pStyle w:val="Style21"/>
        <w:keepNext/>
        <w:keepLines/>
        <w:widowControl w:val="0"/>
        <w:shd w:val="clear" w:color="auto" w:fill="auto"/>
        <w:bidi w:val="0"/>
        <w:spacing w:before="0" w:after="300" w:line="240" w:lineRule="auto"/>
        <w:ind w:left="0" w:right="0" w:firstLine="0"/>
        <w:jc w:val="center"/>
      </w:pPr>
      <w:bookmarkStart w:id="14" w:name="bookmark14"/>
      <w:bookmarkStart w:id="15" w:name="bookmark15"/>
      <w:bookmarkStart w:id="16" w:name="bookmark16"/>
      <w:r>
        <w:rPr>
          <w:color w:val="000000"/>
          <w:spacing w:val="0"/>
          <w:w w:val="100"/>
          <w:position w:val="0"/>
        </w:rPr>
        <w:t>第二节公司简介</w:t>
      </w:r>
      <w:bookmarkEnd w:id="14"/>
      <w:bookmarkEnd w:id="15"/>
      <w:bookmarkEnd w:id="16"/>
    </w:p>
    <w:p>
      <w:pPr>
        <w:pStyle w:val="Style23"/>
        <w:keepNext w:val="0"/>
        <w:keepLines w:val="0"/>
        <w:widowControl w:val="0"/>
        <w:shd w:val="clear" w:color="auto" w:fill="auto"/>
        <w:bidi w:val="0"/>
        <w:spacing w:before="0" w:after="0" w:line="240" w:lineRule="auto"/>
        <w:ind w:left="960" w:right="0" w:firstLine="0"/>
        <w:jc w:val="left"/>
      </w:pPr>
      <w:r>
        <w:rPr>
          <w:color w:val="000000"/>
          <w:spacing w:val="0"/>
          <w:w w:val="100"/>
          <w:position w:val="0"/>
        </w:rPr>
        <w:t>公司信息</w:t>
      </w:r>
    </w:p>
    <w:tbl>
      <w:tblPr>
        <w:tblOverlap w:val="never"/>
        <w:jc w:val="center"/>
        <w:tblLayout w:type="fixed"/>
      </w:tblPr>
      <w:tblGrid>
        <w:gridCol w:w="4272"/>
        <w:gridCol w:w="505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江苏林洋电子股份有限公司</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林洋电子</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Jiangsu Linyang Electronics Co., Ltd.</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Linyang Electronics</w:t>
            </w:r>
          </w:p>
        </w:tc>
      </w:tr>
      <w:tr>
        <w:trPr>
          <w:trHeight w:val="298" w:hRule="exact"/>
        </w:trPr>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center"/>
        <w:tblLayout w:type="fixed"/>
      </w:tblPr>
      <w:tblGrid>
        <w:gridCol w:w="1296"/>
        <w:gridCol w:w="3970"/>
        <w:gridCol w:w="4056"/>
      </w:tblGrid>
      <w:tr>
        <w:trPr>
          <w:trHeight w:val="293"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岑蓉蓉</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陆建飞</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rFonts w:ascii="Times New Roman" w:eastAsia="Times New Roman" w:hAnsi="Times New Roman" w:cs="Times New Roman"/>
                <w:color w:val="000000"/>
                <w:spacing w:val="0"/>
                <w:w w:val="100"/>
                <w:position w:val="0"/>
              </w:rPr>
              <w:t>666</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rFonts w:ascii="Times New Roman" w:eastAsia="Times New Roman" w:hAnsi="Times New Roman" w:cs="Times New Roman"/>
                <w:color w:val="000000"/>
                <w:spacing w:val="0"/>
                <w:w w:val="100"/>
                <w:position w:val="0"/>
              </w:rPr>
              <w:t>666</w:t>
            </w:r>
            <w:r>
              <w:rPr>
                <w:color w:val="000000"/>
                <w:spacing w:val="0"/>
                <w:w w:val="100"/>
                <w:position w:val="0"/>
              </w:rPr>
              <w:t>号</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0513-83356525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0513-83356525</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0513-83356525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0513-83356525</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"mailto:dsh@linyang.com.cn" </w:instrText>
            </w:r>
            <w:r>
              <w:fldChar w:fldCharType="separate"/>
            </w:r>
            <w:r>
              <w:rPr>
                <w:rFonts w:ascii="Times New Roman" w:eastAsia="Times New Roman" w:hAnsi="Times New Roman" w:cs="Times New Roman"/>
                <w:color w:val="000000"/>
                <w:spacing w:val="0"/>
                <w:w w:val="100"/>
                <w:position w:val="0"/>
              </w:rPr>
              <w:t>dsh@linyang.com.cn</w:t>
            </w:r>
            <w:r>
              <w:fldChar w:fldCharType="end"/>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"mailto:dsh@linyang.com.cn" </w:instrText>
            </w:r>
            <w:r>
              <w:fldChar w:fldCharType="separate"/>
            </w:r>
            <w:r>
              <w:rPr>
                <w:rFonts w:ascii="Times New Roman" w:eastAsia="Times New Roman" w:hAnsi="Times New Roman" w:cs="Times New Roman"/>
                <w:color w:val="000000"/>
                <w:spacing w:val="0"/>
                <w:w w:val="100"/>
                <w:position w:val="0"/>
              </w:rPr>
              <w:t>dsh@linyang.com.cn</w:t>
            </w:r>
            <w:r>
              <w:fldChar w:fldCharType="end"/>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331" w:right="0" w:firstLine="0"/>
        <w:jc w:val="left"/>
      </w:pPr>
      <w:r>
        <w:rPr>
          <w:color w:val="000000"/>
          <w:spacing w:val="0"/>
          <w:w w:val="100"/>
          <w:position w:val="0"/>
        </w:rPr>
        <w:t>三、基本情况简介</w:t>
      </w:r>
    </w:p>
    <w:tbl>
      <w:tblPr>
        <w:tblOverlap w:val="never"/>
        <w:jc w:val="center"/>
        <w:tblLayout w:type="fixed"/>
      </w:tblPr>
      <w:tblGrid>
        <w:gridCol w:w="4272"/>
        <w:gridCol w:w="505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rFonts w:ascii="Times New Roman" w:eastAsia="Times New Roman" w:hAnsi="Times New Roman" w:cs="Times New Roman"/>
                <w:color w:val="000000"/>
                <w:spacing w:val="0"/>
                <w:w w:val="100"/>
                <w:position w:val="0"/>
              </w:rPr>
              <w:t>666</w:t>
            </w:r>
            <w:r>
              <w:rPr>
                <w:color w:val="000000"/>
                <w:spacing w:val="0"/>
                <w:w w:val="100"/>
                <w:position w:val="0"/>
              </w:rPr>
              <w:t>号</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226200</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江苏省启东经济技术开发区林洋路</w:t>
            </w:r>
            <w:r>
              <w:rPr>
                <w:rFonts w:ascii="Times New Roman" w:eastAsia="Times New Roman" w:hAnsi="Times New Roman" w:cs="Times New Roman"/>
                <w:color w:val="000000"/>
                <w:spacing w:val="0"/>
                <w:w w:val="100"/>
                <w:position w:val="0"/>
              </w:rPr>
              <w:t>666</w:t>
            </w:r>
            <w:r>
              <w:rPr>
                <w:color w:val="000000"/>
                <w:spacing w:val="0"/>
                <w:w w:val="100"/>
                <w:position w:val="0"/>
              </w:rPr>
              <w:t>号</w:t>
            </w:r>
          </w:p>
        </w:tc>
      </w:tr>
      <w:tr>
        <w:trPr>
          <w:trHeight w:val="28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226200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"http://www.linyang.com" </w:instrText>
            </w:r>
            <w:r>
              <w:fldChar w:fldCharType="separate"/>
            </w:r>
            <w:r>
              <w:rPr>
                <w:rFonts w:ascii="Times New Roman" w:eastAsia="Times New Roman" w:hAnsi="Times New Roman" w:cs="Times New Roman"/>
                <w:color w:val="000000"/>
                <w:spacing w:val="0"/>
                <w:w w:val="100"/>
                <w:position w:val="0"/>
              </w:rPr>
              <w:t>www.linyang.com</w:t>
            </w:r>
            <w:r>
              <w:fldChar w:fldCharType="end"/>
            </w:r>
            <w:r>
              <w:rPr>
                <w:rFonts w:ascii="Times New Roman" w:eastAsia="Times New Roman" w:hAnsi="Times New Roman" w:cs="Times New Roman"/>
                <w:color w:val="000000"/>
                <w:spacing w:val="0"/>
                <w:w w:val="100"/>
                <w:position w:val="0"/>
              </w:rPr>
              <w:t xml:space="preserve"> .cn</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"mailto:dsh@linyang.com" </w:instrText>
            </w:r>
            <w:r>
              <w:fldChar w:fldCharType="separate"/>
            </w:r>
            <w:r>
              <w:rPr>
                <w:rFonts w:ascii="Times New Roman" w:eastAsia="Times New Roman" w:hAnsi="Times New Roman" w:cs="Times New Roman"/>
                <w:color w:val="000000"/>
                <w:spacing w:val="0"/>
                <w:w w:val="100"/>
                <w:position w:val="0"/>
              </w:rPr>
              <w:t>dsh@linyang.com</w:t>
            </w:r>
            <w:r>
              <w:fldChar w:fldCharType="end"/>
            </w:r>
            <w:r>
              <w:rPr>
                <w:rFonts w:ascii="Times New Roman" w:eastAsia="Times New Roman" w:hAnsi="Times New Roman" w:cs="Times New Roman"/>
                <w:color w:val="000000"/>
                <w:spacing w:val="0"/>
                <w:w w:val="100"/>
                <w:position w:val="0"/>
              </w:rPr>
              <w:t xml:space="preserve"> .cn</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336" w:right="0" w:firstLine="0"/>
        <w:jc w:val="left"/>
      </w:pPr>
      <w:r>
        <w:rPr>
          <w:color w:val="000000"/>
          <w:spacing w:val="0"/>
          <w:w w:val="100"/>
          <w:position w:val="0"/>
        </w:rPr>
        <w:t>四、信息披露及备置地点</w:t>
      </w:r>
    </w:p>
    <w:tbl>
      <w:tblPr>
        <w:tblOverlap w:val="never"/>
        <w:jc w:val="center"/>
        <w:tblLayout w:type="fixed"/>
      </w:tblPr>
      <w:tblGrid>
        <w:gridCol w:w="4272"/>
        <w:gridCol w:w="505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298" w:hRule="exact"/>
        </w:trPr>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322" w:right="0" w:firstLine="0"/>
        <w:jc w:val="left"/>
      </w:pPr>
      <w:r>
        <w:rPr>
          <w:color w:val="000000"/>
          <w:spacing w:val="0"/>
          <w:w w:val="100"/>
          <w:position w:val="0"/>
        </w:rPr>
        <w:t>五、公司股票简况</w:t>
      </w:r>
    </w:p>
    <w:tbl>
      <w:tblPr>
        <w:tblOverlap w:val="never"/>
        <w:jc w:val="center"/>
        <w:tblLayout w:type="fixed"/>
      </w:tblPr>
      <w:tblGrid>
        <w:gridCol w:w="2338"/>
        <w:gridCol w:w="2323"/>
        <w:gridCol w:w="2328"/>
        <w:gridCol w:w="2333"/>
      </w:tblGrid>
      <w:tr>
        <w:trPr>
          <w:trHeight w:val="293" w:hRule="exact"/>
        </w:trPr>
        <w:tc>
          <w:tcPr>
            <w:gridSpan w:val="4"/>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9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股票简称</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林洋电子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601222</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340"/>
        <w:jc w:val="left"/>
      </w:pPr>
      <w:bookmarkStart w:id="17" w:name="bookmark17"/>
      <w:bookmarkStart w:id="18" w:name="bookmark18"/>
      <w:bookmarkStart w:id="19" w:name="bookmark19"/>
      <w:r>
        <w:rPr>
          <w:color w:val="000000"/>
          <w:spacing w:val="0"/>
          <w:w w:val="100"/>
          <w:position w:val="0"/>
        </w:rPr>
        <w:t>六、公司报告期内注册变更情况</w:t>
      </w:r>
      <w:bookmarkEnd w:id="17"/>
      <w:bookmarkEnd w:id="18"/>
      <w:bookmarkEnd w:id="19"/>
    </w:p>
    <w:p>
      <w:pPr>
        <w:pStyle w:val="Style29"/>
        <w:keepNext/>
        <w:keepLines/>
        <w:widowControl w:val="0"/>
        <w:shd w:val="clear" w:color="auto" w:fill="auto"/>
        <w:bidi w:val="0"/>
        <w:spacing w:before="0" w:after="0" w:line="240" w:lineRule="auto"/>
        <w:ind w:left="0" w:right="0" w:firstLine="340"/>
        <w:jc w:val="left"/>
      </w:pPr>
      <w:bookmarkStart w:id="17" w:name="bookmark17"/>
      <w:bookmarkStart w:id="18" w:name="bookmark18"/>
      <w:bookmarkStart w:id="20" w:name="bookmark20"/>
      <w:bookmarkStart w:id="21" w:name="bookmark21"/>
      <w:r>
        <w:rPr>
          <w:rFonts w:ascii="Times New Roman" w:eastAsia="Times New Roman" w:hAnsi="Times New Roman" w:cs="Times New Roman"/>
          <w:color w:val="000000"/>
          <w:spacing w:val="0"/>
          <w:w w:val="100"/>
          <w:position w:val="0"/>
        </w:rPr>
        <w:t>（</w:t>
      </w:r>
      <w:bookmarkEnd w:id="20"/>
      <w:r>
        <w:rPr>
          <w:color w:val="000000"/>
          <w:spacing w:val="0"/>
          <w:w w:val="100"/>
          <w:position w:val="0"/>
        </w:rPr>
        <w:t>一</w:t>
      </w:r>
      <w:r>
        <w:rPr>
          <w:color w:val="000000"/>
          <w:spacing w:val="0"/>
          <w:w w:val="100"/>
          <w:position w:val="0"/>
        </w:rPr>
        <w:t>）</w:t>
      </w:r>
      <w:r>
        <w:rPr>
          <w:color w:val="000000"/>
          <w:spacing w:val="0"/>
          <w:w w:val="100"/>
          <w:position w:val="0"/>
        </w:rPr>
        <w:t>基本情况</w:t>
      </w:r>
      <w:bookmarkEnd w:id="17"/>
      <w:bookmarkEnd w:id="18"/>
      <w:bookmarkEnd w:id="21"/>
    </w:p>
    <w:p>
      <w:pPr>
        <w:pStyle w:val="Style12"/>
        <w:keepNext w:val="0"/>
        <w:keepLines w:val="0"/>
        <w:widowControl w:val="0"/>
        <w:shd w:val="clear" w:color="auto" w:fill="auto"/>
        <w:bidi w:val="0"/>
        <w:spacing w:before="0" w:after="240" w:line="240" w:lineRule="auto"/>
        <w:ind w:left="0" w:right="0" w:firstLine="340"/>
        <w:jc w:val="left"/>
      </w:pPr>
      <w:r>
        <w:rPr>
          <w:color w:val="000000"/>
          <w:spacing w:val="0"/>
          <w:w w:val="100"/>
          <w:position w:val="0"/>
        </w:rPr>
        <w:t>公司报告期内注册情况未变更。</w:t>
      </w:r>
    </w:p>
    <w:p>
      <w:pPr>
        <w:pStyle w:val="Style29"/>
        <w:keepNext/>
        <w:keepLines/>
        <w:widowControl w:val="0"/>
        <w:shd w:val="clear" w:color="auto" w:fill="auto"/>
        <w:tabs>
          <w:tab w:pos="878" w:val="left"/>
        </w:tabs>
        <w:bidi w:val="0"/>
        <w:spacing w:before="0" w:after="0" w:line="240" w:lineRule="auto"/>
        <w:ind w:left="0" w:right="0" w:firstLine="340"/>
        <w:jc w:val="left"/>
      </w:pPr>
      <w:bookmarkStart w:id="22" w:name="bookmark22"/>
      <w:bookmarkStart w:id="23" w:name="bookmark23"/>
      <w:bookmarkStart w:id="24" w:name="bookmark24"/>
      <w:bookmarkStart w:id="25" w:name="bookmark25"/>
      <w:r>
        <w:rPr>
          <w:rFonts w:ascii="Times New Roman" w:eastAsia="Times New Roman" w:hAnsi="Times New Roman" w:cs="Times New Roman"/>
          <w:color w:val="000000"/>
          <w:spacing w:val="0"/>
          <w:w w:val="100"/>
          <w:position w:val="0"/>
        </w:rPr>
        <w:t>（</w:t>
      </w:r>
      <w:bookmarkEnd w:id="2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公司首次注册情况的相关查询索引</w:t>
      </w:r>
      <w:bookmarkEnd w:id="22"/>
      <w:bookmarkEnd w:id="23"/>
      <w:bookmarkEnd w:id="25"/>
    </w:p>
    <w:p>
      <w:pPr>
        <w:pStyle w:val="Style12"/>
        <w:keepNext w:val="0"/>
        <w:keepLines w:val="0"/>
        <w:widowControl w:val="0"/>
        <w:shd w:val="clear" w:color="auto" w:fill="auto"/>
        <w:bidi w:val="0"/>
        <w:spacing w:before="0" w:after="300" w:line="240" w:lineRule="auto"/>
        <w:ind w:left="0" w:right="0" w:firstLine="34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2011</w:t>
      </w:r>
      <w:r>
        <w:rPr>
          <w:color w:val="000000"/>
          <w:spacing w:val="0"/>
          <w:w w:val="100"/>
          <w:position w:val="0"/>
        </w:rPr>
        <w:t>年年度报告公司基本情况</w:t>
      </w:r>
    </w:p>
    <w:p>
      <w:pPr>
        <w:pStyle w:val="Style29"/>
        <w:keepNext/>
        <w:keepLines/>
        <w:widowControl w:val="0"/>
        <w:shd w:val="clear" w:color="auto" w:fill="auto"/>
        <w:tabs>
          <w:tab w:pos="878" w:val="left"/>
        </w:tabs>
        <w:bidi w:val="0"/>
        <w:spacing w:before="0" w:after="140" w:line="240" w:lineRule="auto"/>
        <w:ind w:left="0" w:right="0" w:firstLine="340"/>
        <w:jc w:val="left"/>
      </w:pPr>
      <w:bookmarkStart w:id="26" w:name="bookmark26"/>
      <w:bookmarkStart w:id="27" w:name="bookmark27"/>
      <w:bookmarkStart w:id="28" w:name="bookmark28"/>
      <w:bookmarkStart w:id="29" w:name="bookmark29"/>
      <w:r>
        <w:rPr>
          <w:rFonts w:ascii="Times New Roman" w:eastAsia="Times New Roman" w:hAnsi="Times New Roman" w:cs="Times New Roman"/>
          <w:color w:val="000000"/>
          <w:spacing w:val="0"/>
          <w:w w:val="100"/>
          <w:position w:val="0"/>
        </w:rPr>
        <w:t>（</w:t>
      </w:r>
      <w:bookmarkEnd w:id="2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公司上市以来，主营业务的变化情况</w:t>
      </w:r>
      <w:bookmarkEnd w:id="26"/>
      <w:bookmarkEnd w:id="27"/>
      <w:bookmarkEnd w:id="29"/>
    </w:p>
    <w:p>
      <w:pPr>
        <w:pStyle w:val="Style12"/>
        <w:keepNext w:val="0"/>
        <w:keepLines w:val="0"/>
        <w:widowControl w:val="0"/>
        <w:shd w:val="clear" w:color="auto" w:fill="auto"/>
        <w:bidi w:val="0"/>
        <w:spacing w:before="0" w:after="240" w:line="240" w:lineRule="auto"/>
        <w:ind w:left="0" w:right="0" w:firstLine="760"/>
        <w:jc w:val="left"/>
        <w:sectPr>
          <w:headerReference w:type="default" r:id="rId11"/>
          <w:footerReference w:type="default" r:id="rId12"/>
          <w:footnotePr>
            <w:pos w:val="pageBottom"/>
            <w:numFmt w:val="decimal"/>
            <w:numRestart w:val="continuous"/>
          </w:footnotePr>
          <w:pgSz w:w="12240" w:h="15840"/>
          <w:pgMar w:top="672" w:right="1459" w:bottom="1094" w:left="145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1.2012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月，为适应行业发展的趋势，公司经营范围从“开发、制造精密在线测量仪器、</w:t>
      </w:r>
    </w:p>
    <w:p>
      <w:pPr>
        <w:pStyle w:val="Style12"/>
        <w:keepNext w:val="0"/>
        <w:keepLines w:val="0"/>
        <w:widowControl w:val="0"/>
        <w:shd w:val="clear" w:color="auto" w:fill="auto"/>
        <w:bidi w:val="0"/>
        <w:spacing w:before="320" w:after="120" w:line="272" w:lineRule="exact"/>
        <w:ind w:left="300" w:right="0" w:firstLine="20"/>
        <w:jc w:val="both"/>
      </w:pPr>
      <w:r>
        <w:rPr>
          <w:color w:val="000000"/>
          <w:spacing w:val="0"/>
          <w:w w:val="100"/>
          <w:position w:val="0"/>
        </w:rPr>
        <w:t>精密计量仪器仪表，制造电子专用设备、测试仪器、工模具、新型仪表元器件和材料，销售自 产产品，经营本企业自产品及技术的出口业务和本企业所需的机械设备、零配件、原辅料及技 术的进口业务。</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仪器仪表、电子设备、电力电气设备、自动化设备、集成电路、计算 机软件、硬件及系统产品研发、制造、销售；智能电网系统集成及电力电气工程设计安装；新 能源、节能环保相关产品及零配件的研发、设计、制造、销售、安装；国际货运代理，经营本 企业自产品及技术的出口业务和本企业所需的机械设备、零配件、原辅材料及技术的进口业务。”</w:t>
      </w:r>
    </w:p>
    <w:p>
      <w:pPr>
        <w:pStyle w:val="Style12"/>
        <w:keepNext w:val="0"/>
        <w:keepLines w:val="0"/>
        <w:widowControl w:val="0"/>
        <w:shd w:val="clear" w:color="auto" w:fill="auto"/>
        <w:bidi w:val="0"/>
        <w:spacing w:before="0" w:after="120" w:line="275" w:lineRule="exact"/>
        <w:ind w:left="300" w:right="0" w:firstLine="460"/>
        <w:jc w:val="both"/>
      </w:pPr>
      <w:r>
        <w:rPr>
          <w:rFonts w:ascii="Times New Roman" w:eastAsia="Times New Roman" w:hAnsi="Times New Roman" w:cs="Times New Roman"/>
          <w:color w:val="000000"/>
          <w:spacing w:val="0"/>
          <w:w w:val="100"/>
          <w:position w:val="0"/>
        </w:rPr>
        <w:t>2.2012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月，为满足公司业务拓展和产业多元化的需求，公司变更经营范围为“仪器仪 表、电子设备、电力电气设备、自动化设备、集成电路、光伏设备、照明器具、光电元器件、 </w:t>
      </w:r>
      <w:r>
        <w:rPr>
          <w:rFonts w:ascii="Times New Roman" w:eastAsia="Times New Roman" w:hAnsi="Times New Roman" w:cs="Times New Roman"/>
          <w:color w:val="000000"/>
          <w:spacing w:val="0"/>
          <w:w w:val="100"/>
          <w:position w:val="0"/>
        </w:rPr>
        <w:t>LED</w:t>
      </w:r>
      <w:r>
        <w:rPr>
          <w:color w:val="000000"/>
          <w:spacing w:val="0"/>
          <w:w w:val="100"/>
          <w:position w:val="0"/>
        </w:rPr>
        <w:t>驱动电源及智能照明控制系统、计算机软硬件及系统产品的研发、制造、销售；智能电网 系统集成；电力电气工程、建筑物照明设备、光伏电气设备、路牌、路标、广告牌的安装施工； 新能源、节能环保相关产品及零配件的研发、设计、制造、销售、安装；国际货运代理；自营 和代理各类商品及技术的进出口业务。”</w:t>
      </w:r>
    </w:p>
    <w:p>
      <w:pPr>
        <w:pStyle w:val="Style12"/>
        <w:keepNext w:val="0"/>
        <w:keepLines w:val="0"/>
        <w:widowControl w:val="0"/>
        <w:shd w:val="clear" w:color="auto" w:fill="auto"/>
        <w:bidi w:val="0"/>
        <w:spacing w:before="0" w:after="480" w:line="274" w:lineRule="exact"/>
        <w:ind w:left="300" w:right="0" w:firstLine="460"/>
        <w:jc w:val="both"/>
      </w:pPr>
      <w:r>
        <w:rPr>
          <w:rFonts w:ascii="Times New Roman" w:eastAsia="Times New Roman" w:hAnsi="Times New Roman" w:cs="Times New Roman"/>
          <w:color w:val="000000"/>
          <w:spacing w:val="0"/>
          <w:w w:val="100"/>
          <w:position w:val="0"/>
        </w:rPr>
        <w:t>3.2013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月，为满足公司业务拓展和产业多元化的需求，公司变更经营范围为“仪器仪 表、电子设备、电力电气设备、自动化设备、集成电路、光伏设备、照明器具、光电元器件、 </w:t>
      </w:r>
      <w:r>
        <w:rPr>
          <w:rFonts w:ascii="Times New Roman" w:eastAsia="Times New Roman" w:hAnsi="Times New Roman" w:cs="Times New Roman"/>
          <w:color w:val="000000"/>
          <w:spacing w:val="0"/>
          <w:w w:val="100"/>
          <w:position w:val="0"/>
        </w:rPr>
        <w:t>LED</w:t>
      </w:r>
      <w:r>
        <w:rPr>
          <w:color w:val="000000"/>
          <w:spacing w:val="0"/>
          <w:w w:val="100"/>
          <w:position w:val="0"/>
        </w:rPr>
        <w:t>驱动电源、智能照明控制系统、计算机软硬件及系统产品的研发、制造、销售；智能电网 系统集成；电力电气工程、建筑物照明设备、光伏电气设备、路牌、路标、广告牌的安装、施 工；电力设备在线监测系统、视频系统、变电站智能辅助系统、安防系统；新能源、节能环保 相关产品及零配件的研发、设计、制造、销售、安装；国际货运代理，自营和代理各类商品及 技术的进出口业务。”</w:t>
      </w:r>
    </w:p>
    <w:p>
      <w:pPr>
        <w:pStyle w:val="Style12"/>
        <w:keepNext w:val="0"/>
        <w:keepLines w:val="0"/>
        <w:widowControl w:val="0"/>
        <w:shd w:val="clear" w:color="auto" w:fill="auto"/>
        <w:bidi w:val="0"/>
        <w:spacing w:before="0" w:after="280" w:line="274" w:lineRule="exact"/>
        <w:ind w:left="300" w:right="0" w:firstLine="20"/>
        <w:jc w:val="left"/>
      </w:pPr>
      <w:bookmarkStart w:id="30" w:name="bookmark30"/>
      <w:r>
        <w:rPr>
          <w:rFonts w:ascii="Times New Roman" w:eastAsia="Times New Roman" w:hAnsi="Times New Roman" w:cs="Times New Roman"/>
          <w:b/>
          <w:bCs/>
          <w:color w:val="000000"/>
          <w:spacing w:val="0"/>
          <w:w w:val="100"/>
          <w:position w:val="0"/>
        </w:rPr>
        <w:t>（</w:t>
      </w:r>
      <w:bookmarkEnd w:id="30"/>
      <w:r>
        <w:rPr>
          <w:b/>
          <w:bCs/>
          <w:color w:val="000000"/>
          <w:spacing w:val="0"/>
          <w:w w:val="100"/>
          <w:position w:val="0"/>
        </w:rPr>
        <w:t>四</w:t>
      </w:r>
      <w:r>
        <w:rPr>
          <w:b/>
          <w:bCs/>
          <w:color w:val="000000"/>
          <w:spacing w:val="0"/>
          <w:w w:val="100"/>
          <w:position w:val="0"/>
        </w:rPr>
        <w:t>）</w:t>
      </w:r>
      <w:r>
        <w:rPr>
          <w:b/>
          <w:bCs/>
          <w:color w:val="000000"/>
          <w:spacing w:val="0"/>
          <w:w w:val="100"/>
          <w:position w:val="0"/>
        </w:rPr>
        <w:t>公司上市以来</w:t>
      </w:r>
      <w:r>
        <w:rPr>
          <w:b/>
          <w:bCs/>
          <w:color w:val="000000"/>
          <w:spacing w:val="0"/>
          <w:w w:val="100"/>
          <w:position w:val="0"/>
        </w:rPr>
        <w:t>，</w:t>
      </w:r>
      <w:r>
        <w:rPr>
          <w:b/>
          <w:bCs/>
          <w:color w:val="000000"/>
          <w:spacing w:val="0"/>
          <w:w w:val="100"/>
          <w:position w:val="0"/>
        </w:rPr>
        <w:t xml:space="preserve">历次控股股东的变更情况 </w:t>
      </w:r>
      <w:r>
        <w:rPr>
          <w:color w:val="000000"/>
          <w:spacing w:val="0"/>
          <w:w w:val="100"/>
          <w:position w:val="0"/>
        </w:rPr>
        <w:t>公司自上市以来无控股股东的变更情况。</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七、其他有关资料</w:t>
      </w:r>
    </w:p>
    <w:tbl>
      <w:tblPr>
        <w:tblOverlap w:val="never"/>
        <w:jc w:val="center"/>
        <w:tblLayout w:type="fixed"/>
      </w:tblPr>
      <w:tblGrid>
        <w:gridCol w:w="2371"/>
        <w:gridCol w:w="2410"/>
        <w:gridCol w:w="3494"/>
      </w:tblGrid>
      <w:tr>
        <w:trPr>
          <w:trHeight w:val="307"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公司聘请的会计师事务 所名称（境内）</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12"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rPr>
              <w:t>61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302"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严劼</w:t>
            </w:r>
          </w:p>
        </w:tc>
      </w:tr>
      <w:tr>
        <w:trPr>
          <w:trHeight w:val="312"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张涛</w:t>
            </w:r>
          </w:p>
        </w:tc>
      </w:tr>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报告期内履行持续督导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职责的保荐机构</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57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广州市天河区天河北路</w:t>
            </w:r>
            <w:r>
              <w:rPr>
                <w:rFonts w:ascii="Times New Roman" w:eastAsia="Times New Roman" w:hAnsi="Times New Roman" w:cs="Times New Roman"/>
                <w:color w:val="000000"/>
                <w:spacing w:val="0"/>
                <w:w w:val="100"/>
                <w:position w:val="0"/>
              </w:rPr>
              <w:t>183-187</w:t>
            </w:r>
            <w:r>
              <w:rPr>
                <w:color w:val="000000"/>
                <w:spacing w:val="0"/>
                <w:w w:val="100"/>
                <w:position w:val="0"/>
              </w:rPr>
              <w:t>号 大都会广场</w:t>
            </w:r>
            <w:r>
              <w:rPr>
                <w:rFonts w:ascii="Times New Roman" w:eastAsia="Times New Roman" w:hAnsi="Times New Roman" w:cs="Times New Roman"/>
                <w:color w:val="000000"/>
                <w:spacing w:val="0"/>
                <w:w w:val="100"/>
                <w:position w:val="0"/>
              </w:rPr>
              <w:t>43</w:t>
            </w:r>
            <w:r>
              <w:rPr>
                <w:color w:val="000000"/>
                <w:spacing w:val="0"/>
                <w:w w:val="100"/>
                <w:position w:val="0"/>
              </w:rPr>
              <w:t>楼</w:t>
            </w:r>
          </w:p>
        </w:tc>
      </w:tr>
      <w:tr>
        <w:trPr>
          <w:trHeight w:val="302"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杜涛</w:t>
            </w:r>
          </w:p>
        </w:tc>
      </w:tr>
      <w:tr>
        <w:trPr>
          <w:trHeight w:val="302"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徐荔军</w:t>
            </w:r>
          </w:p>
        </w:tc>
      </w:tr>
      <w:tr>
        <w:trPr>
          <w:trHeight w:val="331" w:hRule="exact"/>
        </w:trPr>
        <w:tc>
          <w:tcPr>
            <w:vMerge/>
            <w:tcBorders>
              <w:left w:val="single" w:sz="4"/>
              <w:bottom w:val="single" w:sz="4"/>
            </w:tcBorders>
            <w:shd w:val="clear" w:color="auto" w:fill="BFBFBF"/>
            <w:vAlign w:val="center"/>
          </w:tcPr>
          <w:p>
            <w:pP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r>
    </w:tbl>
    <w:p>
      <w:pPr>
        <w:spacing w:lineRule="exact" w:line="1"/>
        <w:rPr>
          <w:sz w:val="2"/>
          <w:szCs w:val="2"/>
        </w:rPr>
      </w:pPr>
      <w:r>
        <w:br w:type="page"/>
      </w:r>
    </w:p>
    <w:p>
      <w:pPr>
        <w:pStyle w:val="Style21"/>
        <w:keepNext/>
        <w:keepLines/>
        <w:widowControl w:val="0"/>
        <w:shd w:val="clear" w:color="auto" w:fill="auto"/>
        <w:bidi w:val="0"/>
        <w:spacing w:before="0" w:after="320" w:line="240" w:lineRule="auto"/>
        <w:ind w:left="0" w:right="0" w:firstLine="0"/>
        <w:jc w:val="center"/>
      </w:pPr>
      <w:bookmarkStart w:id="31" w:name="bookmark31"/>
      <w:bookmarkStart w:id="32" w:name="bookmark32"/>
      <w:bookmarkStart w:id="33" w:name="bookmark33"/>
      <w:r>
        <w:rPr>
          <w:color w:val="000000"/>
          <w:spacing w:val="0"/>
          <w:w w:val="100"/>
          <w:position w:val="0"/>
        </w:rPr>
        <w:t>第三节会计数据和财务指标摘要</w:t>
      </w:r>
      <w:bookmarkEnd w:id="31"/>
      <w:bookmarkEnd w:id="32"/>
      <w:bookmarkEnd w:id="33"/>
    </w:p>
    <w:p>
      <w:pPr>
        <w:pStyle w:val="Style12"/>
        <w:keepNext w:val="0"/>
        <w:keepLines w:val="0"/>
        <w:widowControl w:val="0"/>
        <w:shd w:val="clear" w:color="auto" w:fill="auto"/>
        <w:tabs>
          <w:tab w:pos="1025" w:val="left"/>
        </w:tabs>
        <w:bidi w:val="0"/>
        <w:spacing w:before="0" w:after="40" w:line="240" w:lineRule="auto"/>
        <w:ind w:left="0" w:right="0" w:firstLine="420"/>
        <w:jc w:val="left"/>
      </w:pPr>
      <w:bookmarkStart w:id="34" w:name="bookmark34"/>
      <w:r>
        <w:rPr>
          <w:b/>
          <w:bCs/>
          <w:color w:val="000000"/>
          <w:spacing w:val="0"/>
          <w:w w:val="100"/>
          <w:position w:val="0"/>
        </w:rPr>
        <w:t>一</w:t>
      </w:r>
      <w:bookmarkEnd w:id="34"/>
      <w:r>
        <w:rPr>
          <w:b/>
          <w:bCs/>
          <w:color w:val="000000"/>
          <w:spacing w:val="0"/>
          <w:w w:val="100"/>
          <w:position w:val="0"/>
        </w:rPr>
        <w:t>、</w:t>
        <w:tab/>
        <w:t>报告期末公司近三年主要会计数据和财务指标</w:t>
      </w:r>
    </w:p>
    <w:p>
      <w:pPr>
        <w:pStyle w:val="Style12"/>
        <w:keepNext w:val="0"/>
        <w:keepLines w:val="0"/>
        <w:widowControl w:val="0"/>
        <w:shd w:val="clear" w:color="auto" w:fill="auto"/>
        <w:bidi w:val="0"/>
        <w:spacing w:before="0" w:after="0" w:line="240" w:lineRule="auto"/>
        <w:ind w:left="0" w:right="0" w:firstLine="420"/>
        <w:jc w:val="left"/>
      </w:pPr>
      <w:bookmarkStart w:id="35" w:name="bookmark35"/>
      <w:r>
        <w:rPr>
          <w:rFonts w:ascii="Times New Roman" w:eastAsia="Times New Roman" w:hAnsi="Times New Roman" w:cs="Times New Roman"/>
          <w:b/>
          <w:bCs/>
          <w:color w:val="000000"/>
          <w:spacing w:val="0"/>
          <w:w w:val="100"/>
          <w:position w:val="0"/>
        </w:rPr>
        <w:t>（</w:t>
      </w:r>
      <w:bookmarkEnd w:id="35"/>
      <w:r>
        <w:rPr>
          <w:b/>
          <w:bCs/>
          <w:color w:val="000000"/>
          <w:spacing w:val="0"/>
          <w:w w:val="100"/>
          <w:position w:val="0"/>
        </w:rPr>
        <w:t>一</w:t>
      </w:r>
      <w:r>
        <w:rPr>
          <w:b/>
          <w:bCs/>
          <w:color w:val="000000"/>
          <w:spacing w:val="0"/>
          <w:w w:val="100"/>
          <w:position w:val="0"/>
        </w:rPr>
        <w:t>）</w:t>
      </w:r>
      <w:r>
        <w:rPr>
          <w:b/>
          <w:bCs/>
          <w:color w:val="000000"/>
          <w:spacing w:val="0"/>
          <w:w w:val="100"/>
          <w:position w:val="0"/>
        </w:rPr>
        <w:t>主要会计数据</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750"/>
        <w:gridCol w:w="1685"/>
        <w:gridCol w:w="1685"/>
        <w:gridCol w:w="1507"/>
        <w:gridCol w:w="1694"/>
      </w:tblGrid>
      <w:tr>
        <w:trPr>
          <w:trHeight w:val="566"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1,991,449,619.56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1,913,748,512.18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1,695,633,959.97</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归属于上市公司股东的争禾施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371,514,771.45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302,597,941.80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187,674,008.98</w:t>
            </w: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368,651,364.14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273,746,963.13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164,684,526.00</w:t>
            </w:r>
          </w:p>
        </w:tc>
      </w:tr>
      <w:tr>
        <w:trPr>
          <w:trHeight w:val="27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245,462,070.57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158,151,812.12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-25,612,410.55</w:t>
            </w:r>
          </w:p>
        </w:tc>
      </w:tr>
      <w:tr>
        <w:trPr>
          <w:trHeight w:val="56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本期末比上年 同期末增减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2,608,148,522.86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2,355,528,422.49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2,066,299,734.37</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3,261,309,956.69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3,269,343,616.50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2,862,719,333.50</w:t>
            </w:r>
          </w:p>
        </w:tc>
      </w:tr>
    </w:tbl>
    <w:p>
      <w:pPr>
        <w:widowControl w:val="0"/>
        <w:spacing w:after="2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2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主要财务数据</w:t>
      </w:r>
    </w:p>
    <w:tbl>
      <w:tblPr>
        <w:tblOverlap w:val="never"/>
        <w:jc w:val="center"/>
        <w:tblLayout w:type="fixed"/>
      </w:tblPr>
      <w:tblGrid>
        <w:gridCol w:w="2861"/>
        <w:gridCol w:w="1310"/>
        <w:gridCol w:w="1272"/>
        <w:gridCol w:w="2554"/>
        <w:gridCol w:w="1325"/>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r>
        <w:trPr>
          <w:trHeight w:val="28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r>
        <w:trPr>
          <w:trHeight w:val="562"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增加</w:t>
            </w:r>
            <w:r>
              <w:rPr>
                <w:rFonts w:ascii="Times New Roman" w:eastAsia="Times New Roman" w:hAnsi="Times New Roman" w:cs="Times New Roman"/>
                <w:color w:val="000000"/>
                <w:spacing w:val="0"/>
                <w:w w:val="100"/>
                <w:position w:val="0"/>
              </w:rPr>
              <w:t>1.28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w:t>
            </w:r>
          </w:p>
        </w:tc>
      </w:tr>
      <w:tr>
        <w:trPr>
          <w:trHeight w:val="571" w:hRule="exact"/>
        </w:trPr>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增加</w:t>
            </w:r>
            <w:r>
              <w:rPr>
                <w:rFonts w:ascii="Times New Roman" w:eastAsia="Times New Roman" w:hAnsi="Times New Roman" w:cs="Times New Roman"/>
                <w:color w:val="000000"/>
                <w:spacing w:val="0"/>
                <w:w w:val="100"/>
                <w:position w:val="0"/>
              </w:rPr>
              <w:t>2.40</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w:t>
            </w:r>
          </w:p>
        </w:tc>
      </w:tr>
    </w:tbl>
    <w:p>
      <w:pPr>
        <w:widowControl w:val="0"/>
        <w:spacing w:after="239" w:line="1" w:lineRule="exact"/>
      </w:pPr>
    </w:p>
    <w:p>
      <w:pPr>
        <w:pStyle w:val="Style29"/>
        <w:keepNext/>
        <w:keepLines/>
        <w:widowControl w:val="0"/>
        <w:shd w:val="clear" w:color="auto" w:fill="auto"/>
        <w:bidi w:val="0"/>
        <w:spacing w:before="0" w:line="240" w:lineRule="auto"/>
        <w:ind w:left="1060" w:right="0" w:firstLine="0"/>
        <w:jc w:val="left"/>
      </w:pPr>
      <w:bookmarkStart w:id="36" w:name="bookmark36"/>
      <w:bookmarkStart w:id="37" w:name="bookmark37"/>
      <w:bookmarkStart w:id="38" w:name="bookmark38"/>
      <w:r>
        <w:rPr>
          <w:color w:val="000000"/>
          <w:spacing w:val="0"/>
          <w:w w:val="100"/>
          <w:position w:val="0"/>
        </w:rPr>
        <w:t>非经常性损益项目和金额</w:t>
      </w:r>
      <w:bookmarkEnd w:id="36"/>
      <w:bookmarkEnd w:id="37"/>
      <w:bookmarkEnd w:id="38"/>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027"/>
        <w:gridCol w:w="1843"/>
        <w:gridCol w:w="1704"/>
        <w:gridCol w:w="1747"/>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-186,785.78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5,038,419.55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-1,446,983.47</w:t>
            </w:r>
          </w:p>
        </w:tc>
      </w:tr>
      <w:tr>
        <w:trPr>
          <w:trHeight w:val="1104"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4,497,256.88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27,152,260.96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32,300,221.31</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-605,014.46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2,143,410.73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-565,941.79</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-146,073.38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-541,468.50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-658,889.61</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-695,975.95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-4,941,644.07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-6,638,923.46</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2,863,407.31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28,850,978.67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22,989,482.98</w:t>
            </w:r>
          </w:p>
        </w:tc>
      </w:tr>
    </w:tbl>
    <w:p>
      <w:pPr>
        <w:pStyle w:val="Style21"/>
        <w:keepNext/>
        <w:keepLines/>
        <w:widowControl w:val="0"/>
        <w:shd w:val="clear" w:color="auto" w:fill="auto"/>
        <w:bidi w:val="0"/>
        <w:spacing w:before="0" w:after="320" w:line="240" w:lineRule="auto"/>
        <w:ind w:left="0" w:right="0" w:firstLine="0"/>
        <w:jc w:val="center"/>
      </w:pPr>
      <w:bookmarkStart w:id="39" w:name="bookmark39"/>
      <w:bookmarkStart w:id="40" w:name="bookmark40"/>
      <w:bookmarkStart w:id="41" w:name="bookmark41"/>
      <w:r>
        <w:rPr>
          <w:color w:val="000000"/>
          <w:spacing w:val="0"/>
          <w:w w:val="100"/>
          <w:position w:val="0"/>
        </w:rPr>
        <w:t>第四节董事会报告</w:t>
      </w:r>
      <w:bookmarkEnd w:id="39"/>
      <w:bookmarkEnd w:id="40"/>
      <w:bookmarkEnd w:id="41"/>
    </w:p>
    <w:p>
      <w:pPr>
        <w:pStyle w:val="Style29"/>
        <w:keepNext/>
        <w:keepLines/>
        <w:widowControl w:val="0"/>
        <w:shd w:val="clear" w:color="auto" w:fill="auto"/>
        <w:tabs>
          <w:tab w:pos="953" w:val="left"/>
        </w:tabs>
        <w:bidi w:val="0"/>
        <w:spacing w:before="0" w:after="120" w:line="273" w:lineRule="exact"/>
        <w:ind w:left="0" w:right="0" w:firstLine="420"/>
        <w:jc w:val="left"/>
      </w:pPr>
      <w:bookmarkStart w:id="42" w:name="bookmark42"/>
      <w:bookmarkStart w:id="43" w:name="bookmark43"/>
      <w:bookmarkStart w:id="44" w:name="bookmark44"/>
      <w:bookmarkStart w:id="45" w:name="bookmark45"/>
      <w:r>
        <w:rPr>
          <w:color w:val="000000"/>
          <w:spacing w:val="0"/>
          <w:w w:val="100"/>
          <w:position w:val="0"/>
        </w:rPr>
        <w:t>一</w:t>
      </w:r>
      <w:bookmarkEnd w:id="44"/>
      <w:r>
        <w:rPr>
          <w:color w:val="000000"/>
          <w:spacing w:val="0"/>
          <w:w w:val="100"/>
          <w:position w:val="0"/>
        </w:rPr>
        <w:t>、</w:t>
        <w:tab/>
        <w:t>董事会关于公司报告期内经营情况的讨论与分析</w:t>
      </w:r>
      <w:bookmarkEnd w:id="42"/>
      <w:bookmarkEnd w:id="43"/>
      <w:bookmarkEnd w:id="45"/>
    </w:p>
    <w:p>
      <w:pPr>
        <w:pStyle w:val="Style12"/>
        <w:keepNext w:val="0"/>
        <w:keepLines w:val="0"/>
        <w:widowControl w:val="0"/>
        <w:shd w:val="clear" w:color="auto" w:fill="auto"/>
        <w:bidi w:val="0"/>
        <w:spacing w:before="0" w:after="120" w:line="283" w:lineRule="exact"/>
        <w:ind w:left="4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年是公司继往开来、高速发展之年，是公司理顺战略思路、制定战略规划、拓展新业 务的关键之年。</w:t>
      </w:r>
    </w:p>
    <w:p>
      <w:pPr>
        <w:pStyle w:val="Style12"/>
        <w:keepNext w:val="0"/>
        <w:keepLines w:val="0"/>
        <w:widowControl w:val="0"/>
        <w:shd w:val="clear" w:color="auto" w:fill="auto"/>
        <w:bidi w:val="0"/>
        <w:spacing w:before="0" w:after="120" w:line="272" w:lineRule="exact"/>
        <w:ind w:left="4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年是国家电网公司统一大规模集中招标采购的第四个年头，也是新老技术标准的交替 之年，国网南网的招标程序也更加规范严格，对电能表的质量检验和服务考核越发严厉。面对 如此复杂的现状和困难，公司坚持</w:t>
      </w:r>
      <w:r>
        <w:rPr>
          <w:rFonts w:ascii="Times New Roman" w:eastAsia="Times New Roman" w:hAnsi="Times New Roman" w:cs="Times New Roman"/>
          <w:color w:val="000000"/>
          <w:spacing w:val="0"/>
          <w:w w:val="100"/>
          <w:position w:val="0"/>
        </w:rPr>
        <w:t>"</w:t>
      </w:r>
      <w:r>
        <w:rPr>
          <w:color w:val="000000"/>
          <w:spacing w:val="0"/>
          <w:w w:val="100"/>
          <w:position w:val="0"/>
        </w:rPr>
        <w:t>一切以客户为中心，一切以市场为导向</w:t>
      </w:r>
      <w:r>
        <w:rPr>
          <w:rFonts w:ascii="Times New Roman" w:eastAsia="Times New Roman" w:hAnsi="Times New Roman" w:cs="Times New Roman"/>
          <w:color w:val="000000"/>
          <w:spacing w:val="0"/>
          <w:w w:val="100"/>
          <w:position w:val="0"/>
        </w:rPr>
        <w:t>"</w:t>
      </w:r>
      <w:r>
        <w:rPr>
          <w:color w:val="000000"/>
          <w:spacing w:val="0"/>
          <w:w w:val="100"/>
          <w:position w:val="0"/>
        </w:rPr>
        <w:t>的理念，科学组织， 克服困难，在全体员工的努力下，取得了国网表、南网表及自营表的三丰收</w:t>
      </w:r>
      <w:r>
        <w:rPr>
          <w:color w:val="000000"/>
          <w:spacing w:val="0"/>
          <w:w w:val="100"/>
          <w:position w:val="0"/>
        </w:rPr>
        <w:t>，</w:t>
      </w:r>
      <w:r>
        <w:rPr>
          <w:color w:val="000000"/>
          <w:spacing w:val="0"/>
          <w:w w:val="100"/>
          <w:position w:val="0"/>
        </w:rPr>
        <w:t>特别是在国网组织 的去年</w:t>
      </w:r>
      <w:r>
        <w:rPr>
          <w:rFonts w:ascii="Times New Roman" w:eastAsia="Times New Roman" w:hAnsi="Times New Roman" w:cs="Times New Roman"/>
          <w:color w:val="000000"/>
          <w:spacing w:val="0"/>
          <w:w w:val="100"/>
          <w:position w:val="0"/>
        </w:rPr>
        <w:t>5</w:t>
      </w:r>
      <w:r>
        <w:rPr>
          <w:color w:val="000000"/>
          <w:spacing w:val="0"/>
          <w:w w:val="100"/>
          <w:position w:val="0"/>
        </w:rPr>
        <w:t>次集中统一招标中，公司取得了中标金额第一的好成绩。</w:t>
      </w:r>
    </w:p>
    <w:p>
      <w:pPr>
        <w:pStyle w:val="Style12"/>
        <w:keepNext w:val="0"/>
        <w:keepLines w:val="0"/>
        <w:widowControl w:val="0"/>
        <w:shd w:val="clear" w:color="auto" w:fill="auto"/>
        <w:bidi w:val="0"/>
        <w:spacing w:before="0" w:after="120" w:line="277" w:lineRule="exact"/>
        <w:ind w:left="4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年是国家光伏政策密集颁布，国内光伏企业走出低谷，也是国内分布式光伏启动的元 年。公司从设计、施工到并网、发电累积了丰富的实战经验和第一手的数据，同时积极探索分 布式光伏的商业模式，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月公司与江苏华电南通通州湾项目筹备处签订了总计</w:t>
      </w:r>
      <w:r>
        <w:rPr>
          <w:rFonts w:ascii="Times New Roman" w:eastAsia="Times New Roman" w:hAnsi="Times New Roman" w:cs="Times New Roman"/>
          <w:color w:val="000000"/>
          <w:spacing w:val="0"/>
          <w:w w:val="100"/>
          <w:position w:val="0"/>
        </w:rPr>
        <w:t xml:space="preserve">500MW </w:t>
      </w:r>
      <w:r>
        <w:rPr>
          <w:color w:val="000000"/>
          <w:spacing w:val="0"/>
          <w:w w:val="100"/>
          <w:position w:val="0"/>
        </w:rPr>
        <w:t>的战略合作协议。</w:t>
      </w:r>
    </w:p>
    <w:p>
      <w:pPr>
        <w:pStyle w:val="Style12"/>
        <w:keepNext w:val="0"/>
        <w:keepLines w:val="0"/>
        <w:widowControl w:val="0"/>
        <w:shd w:val="clear" w:color="auto" w:fill="auto"/>
        <w:bidi w:val="0"/>
        <w:spacing w:before="0" w:after="120" w:line="270" w:lineRule="exact"/>
        <w:ind w:left="420" w:right="0" w:firstLine="420"/>
        <w:jc w:val="both"/>
      </w:pPr>
      <w:r>
        <w:rPr>
          <w:color w:val="000000"/>
          <w:spacing w:val="0"/>
          <w:w w:val="100"/>
          <w:position w:val="0"/>
        </w:rPr>
        <w:t>随着节能、治霾成为两会关注的热点，人们对节能环保愈发重视，节能环保行业在</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年也沐浴着越来越多的政策阳光。公司积极引进</w:t>
      </w:r>
      <w:r>
        <w:rPr>
          <w:rFonts w:ascii="Times New Roman" w:eastAsia="Times New Roman" w:hAnsi="Times New Roman" w:cs="Times New Roman"/>
          <w:color w:val="000000"/>
          <w:spacing w:val="0"/>
          <w:w w:val="100"/>
          <w:position w:val="0"/>
        </w:rPr>
        <w:t>LED</w:t>
      </w:r>
      <w:r>
        <w:rPr>
          <w:color w:val="000000"/>
          <w:spacing w:val="0"/>
          <w:w w:val="100"/>
          <w:position w:val="0"/>
        </w:rPr>
        <w:t>行业一流人才，组建高效管理团队，在竞 争激烈的</w:t>
      </w:r>
      <w:r>
        <w:rPr>
          <w:rFonts w:ascii="Times New Roman" w:eastAsia="Times New Roman" w:hAnsi="Times New Roman" w:cs="Times New Roman"/>
          <w:color w:val="000000"/>
          <w:spacing w:val="0"/>
          <w:w w:val="100"/>
          <w:position w:val="0"/>
        </w:rPr>
        <w:t>LED</w:t>
      </w:r>
      <w:r>
        <w:rPr>
          <w:color w:val="000000"/>
          <w:spacing w:val="0"/>
          <w:w w:val="100"/>
          <w:position w:val="0"/>
        </w:rPr>
        <w:t>照明领域中崭露头角，以技术为龙头，以工程项目为主体，迅速抢占市场，取得 了非常好的业绩。</w:t>
      </w:r>
    </w:p>
    <w:p>
      <w:pPr>
        <w:pStyle w:val="Style12"/>
        <w:keepNext w:val="0"/>
        <w:keepLines w:val="0"/>
        <w:widowControl w:val="0"/>
        <w:shd w:val="clear" w:color="auto" w:fill="auto"/>
        <w:bidi w:val="0"/>
        <w:spacing w:before="0" w:after="240" w:line="274" w:lineRule="exact"/>
        <w:ind w:left="420" w:right="0" w:firstLine="4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19.9</w:t>
      </w:r>
      <w:r>
        <w:rPr>
          <w:rFonts w:ascii="Times New Roman" w:eastAsia="Times New Roman" w:hAnsi="Times New Roman" w:cs="Times New Roman"/>
          <w:color w:val="000000"/>
          <w:spacing w:val="0"/>
          <w:w w:val="100"/>
          <w:position w:val="0"/>
        </w:rPr>
        <w:t>1</w:t>
      </w:r>
      <w:r>
        <w:rPr>
          <w:color w:val="000000"/>
          <w:spacing w:val="0"/>
          <w:w w:val="100"/>
          <w:position w:val="0"/>
        </w:rPr>
        <w:t>亿元，同比增长</w:t>
      </w:r>
      <w:r>
        <w:rPr>
          <w:rFonts w:ascii="Times New Roman" w:eastAsia="Times New Roman" w:hAnsi="Times New Roman" w:cs="Times New Roman"/>
          <w:color w:val="000000"/>
          <w:spacing w:val="0"/>
          <w:w w:val="100"/>
          <w:position w:val="0"/>
        </w:rPr>
        <w:t>4.06%</w:t>
      </w:r>
      <w:r>
        <w:rPr>
          <w:color w:val="000000"/>
          <w:spacing w:val="0"/>
          <w:w w:val="100"/>
          <w:position w:val="0"/>
        </w:rPr>
        <w:t xml:space="preserve">，归属于母公司所有者的净利润 </w:t>
      </w:r>
      <w:r>
        <w:rPr>
          <w:rFonts w:ascii="Times New Roman" w:eastAsia="Times New Roman" w:hAnsi="Times New Roman" w:cs="Times New Roman"/>
          <w:color w:val="000000"/>
          <w:spacing w:val="0"/>
          <w:w w:val="100"/>
          <w:position w:val="0"/>
        </w:rPr>
        <w:t>3.7</w:t>
      </w:r>
      <w:r>
        <w:rPr>
          <w:color w:val="000000"/>
          <w:spacing w:val="0"/>
          <w:w w:val="100"/>
          <w:position w:val="0"/>
        </w:rPr>
        <w:t>亿元，同比增长</w:t>
      </w:r>
      <w:r>
        <w:rPr>
          <w:rFonts w:ascii="Times New Roman" w:eastAsia="Times New Roman" w:hAnsi="Times New Roman" w:cs="Times New Roman"/>
          <w:color w:val="000000"/>
          <w:spacing w:val="0"/>
          <w:w w:val="100"/>
          <w:position w:val="0"/>
        </w:rPr>
        <w:t>23.31%</w:t>
      </w:r>
      <w:r>
        <w:rPr>
          <w:color w:val="000000"/>
          <w:spacing w:val="0"/>
          <w:w w:val="100"/>
          <w:position w:val="0"/>
        </w:rPr>
        <w:t>，扣除非经常性损益后的净利润同比增长</w:t>
      </w:r>
      <w:r>
        <w:rPr>
          <w:rFonts w:ascii="Times New Roman" w:eastAsia="Times New Roman" w:hAnsi="Times New Roman" w:cs="Times New Roman"/>
          <w:color w:val="000000"/>
          <w:spacing w:val="0"/>
          <w:w w:val="100"/>
          <w:position w:val="0"/>
        </w:rPr>
        <w:t>34.67%</w:t>
      </w:r>
      <w:r>
        <w:rPr>
          <w:color w:val="000000"/>
          <w:spacing w:val="0"/>
          <w:w w:val="100"/>
          <w:position w:val="0"/>
        </w:rPr>
        <w:t>。</w:t>
      </w:r>
    </w:p>
    <w:p>
      <w:pPr>
        <w:pStyle w:val="Style29"/>
        <w:keepNext/>
        <w:keepLines/>
        <w:widowControl w:val="0"/>
        <w:shd w:val="clear" w:color="auto" w:fill="auto"/>
        <w:bidi w:val="0"/>
        <w:spacing w:before="0" w:after="0" w:line="273" w:lineRule="exact"/>
        <w:ind w:left="0" w:right="0" w:firstLine="42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w:t>
      </w:r>
      <w:bookmarkEnd w:id="48"/>
      <w:r>
        <w:rPr>
          <w:color w:val="000000"/>
          <w:spacing w:val="0"/>
          <w:w w:val="100"/>
          <w:position w:val="0"/>
        </w:rPr>
        <w:t>一</w:t>
      </w:r>
      <w:r>
        <w:rPr>
          <w:color w:val="000000"/>
          <w:spacing w:val="0"/>
          <w:w w:val="100"/>
          <w:position w:val="0"/>
        </w:rPr>
        <w:t>）</w:t>
      </w:r>
      <w:r>
        <w:rPr>
          <w:color w:val="000000"/>
          <w:spacing w:val="0"/>
          <w:w w:val="100"/>
          <w:position w:val="0"/>
        </w:rPr>
        <w:t>主营业务分析</w:t>
      </w:r>
      <w:bookmarkEnd w:id="46"/>
      <w:bookmarkEnd w:id="47"/>
      <w:bookmarkEnd w:id="49"/>
    </w:p>
    <w:p>
      <w:pPr>
        <w:pStyle w:val="Style29"/>
        <w:keepNext/>
        <w:keepLines/>
        <w:widowControl w:val="0"/>
        <w:shd w:val="clear" w:color="auto" w:fill="auto"/>
        <w:tabs>
          <w:tab w:pos="953" w:val="left"/>
        </w:tabs>
        <w:bidi w:val="0"/>
        <w:spacing w:before="0" w:after="0" w:line="273" w:lineRule="exact"/>
        <w:ind w:left="0" w:right="0" w:firstLine="420"/>
        <w:jc w:val="left"/>
      </w:pPr>
      <w:bookmarkStart w:id="46" w:name="bookmark46"/>
      <w:bookmarkStart w:id="47" w:name="bookmark47"/>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利润表及现金流量表相关科目变动分析表</w:t>
      </w:r>
      <w:bookmarkEnd w:id="46"/>
      <w:bookmarkEnd w:id="47"/>
      <w:bookmarkEnd w:id="51"/>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730"/>
        <w:gridCol w:w="1862"/>
        <w:gridCol w:w="1858"/>
        <w:gridCol w:w="1872"/>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tabs>
                <w:tab w:pos="1080" w:val="left"/>
              </w:tabs>
              <w:bidi w:val="0"/>
              <w:spacing w:before="0" w:after="0" w:line="240" w:lineRule="auto"/>
              <w:ind w:left="0" w:right="0" w:firstLine="0"/>
              <w:jc w:val="center"/>
            </w:pPr>
            <w:r>
              <w:rPr>
                <w:color w:val="000000"/>
                <w:spacing w:val="0"/>
                <w:w w:val="100"/>
                <w:position w:val="0"/>
              </w:rPr>
              <w:t>科</w:t>
              <w:tab/>
              <w:t>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1,991,449,619.56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1,913,748,512.18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4.06</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1,253,815,683.83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1,251,846,848.91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0.16</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118,747,084.91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142,801,291.71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198,004,501.73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191,388,777.58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3.46</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-28,260,991.77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-28,728,463.14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245,462,070.57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158,151,812.12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-45,513,408.14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-288,761,512.09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-124,970,225.37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-18,608,831.41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81,275,722.86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77,457,883.65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4.93</w:t>
            </w:r>
          </w:p>
        </w:tc>
      </w:tr>
    </w:tbl>
    <w:p>
      <w:pPr>
        <w:widowControl w:val="0"/>
        <w:spacing w:after="239" w:line="1" w:lineRule="exact"/>
      </w:pPr>
    </w:p>
    <w:p>
      <w:pPr>
        <w:widowControl w:val="0"/>
        <w:spacing w:line="1" w:lineRule="exact"/>
      </w:pPr>
    </w:p>
    <w:p>
      <w:pPr>
        <w:pStyle w:val="Style23"/>
        <w:keepNext w:val="0"/>
        <w:keepLines w:val="0"/>
        <w:widowControl w:val="0"/>
        <w:shd w:val="clear" w:color="auto" w:fill="auto"/>
        <w:bidi w:val="0"/>
        <w:spacing w:before="0" w:after="0" w:line="269" w:lineRule="exact"/>
        <w:ind w:left="40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收入</w:t>
      </w:r>
    </w:p>
    <w:p>
      <w:pPr>
        <w:pStyle w:val="Style23"/>
        <w:keepNext w:val="0"/>
        <w:keepLines w:val="0"/>
        <w:widowControl w:val="0"/>
        <w:shd w:val="clear" w:color="auto" w:fill="auto"/>
        <w:bidi w:val="0"/>
        <w:spacing w:before="0" w:after="0" w:line="269" w:lineRule="exact"/>
        <w:ind w:left="40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以实物销售为主的公司产品收入影响因素分析 </w:t>
      </w:r>
      <w:r>
        <w:rPr>
          <w:b w:val="0"/>
          <w:bCs w:val="0"/>
          <w:color w:val="000000"/>
          <w:spacing w:val="0"/>
          <w:w w:val="100"/>
          <w:position w:val="0"/>
        </w:rPr>
        <w:t>报告期内主要产品的生产量、销售量和库存量：</w:t>
      </w:r>
    </w:p>
    <w:tbl>
      <w:tblPr>
        <w:tblOverlap w:val="never"/>
        <w:jc w:val="center"/>
        <w:tblLayout w:type="fixed"/>
      </w:tblPr>
      <w:tblGrid>
        <w:gridCol w:w="715"/>
        <w:gridCol w:w="989"/>
        <w:gridCol w:w="720"/>
        <w:gridCol w:w="1550"/>
        <w:gridCol w:w="1699"/>
        <w:gridCol w:w="1560"/>
        <w:gridCol w:w="1416"/>
        <w:gridCol w:w="1142"/>
      </w:tblGrid>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产品 类别</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年初库存量</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销售量</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年末库存量</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当年直接 产销率</w:t>
            </w:r>
          </w:p>
        </w:tc>
      </w:tr>
      <w:tr>
        <w:trPr>
          <w:trHeight w:val="389" w:hRule="exact"/>
        </w:trPr>
        <w:tc>
          <w:tcPr>
            <w:vMerge w:val="restart"/>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单相 表系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1,640,042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7,659,806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7,735,582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1,564,266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w:t>
            </w:r>
          </w:p>
        </w:tc>
      </w:tr>
      <w:tr>
        <w:trPr>
          <w:trHeight w:val="446" w:hRule="exact"/>
        </w:trPr>
        <w:tc>
          <w:tcPr>
            <w:vMerge/>
            <w:tcBorders>
              <w:left w:val="single" w:sz="4"/>
              <w:bottom w:val="single" w:sz="4"/>
            </w:tcBorders>
            <w:shd w:val="clear" w:color="auto" w:fill="BFBFB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1,161,064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8,971,132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8,492,154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1,640,042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94.66%</w:t>
            </w:r>
          </w:p>
        </w:tc>
      </w:tr>
    </w:tbl>
    <w:p>
      <w:pPr>
        <w:widowControl w:val="0"/>
        <w:spacing w:line="1" w:lineRule="exact"/>
      </w:pPr>
      <w:r>
        <w:br w:type="page"/>
      </w:r>
    </w:p>
    <w:tbl>
      <w:tblPr>
        <w:tblOverlap w:val="never"/>
        <w:jc w:val="center"/>
        <w:tblLayout w:type="fixed"/>
      </w:tblPr>
      <w:tblGrid>
        <w:gridCol w:w="715"/>
        <w:gridCol w:w="989"/>
        <w:gridCol w:w="710"/>
        <w:gridCol w:w="1560"/>
        <w:gridCol w:w="1699"/>
        <w:gridCol w:w="1560"/>
        <w:gridCol w:w="1416"/>
        <w:gridCol w:w="1142"/>
      </w:tblGrid>
      <w:tr>
        <w:trPr>
          <w:trHeight w:val="422"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三相 表系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269,876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1,104,027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1,201,322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172,581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108.81%</w:t>
            </w:r>
          </w:p>
        </w:tc>
      </w:tr>
      <w:tr>
        <w:trPr>
          <w:trHeight w:val="422" w:hRule="exact"/>
        </w:trPr>
        <w:tc>
          <w:tcPr>
            <w:vMerge/>
            <w:tcBorders>
              <w:left w:val="single" w:sz="4"/>
            </w:tcBorders>
            <w:shd w:val="clear" w:color="auto" w:fill="BFBFB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1,038,275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269,876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90.33%</w:t>
            </w:r>
          </w:p>
        </w:tc>
      </w:tr>
      <w:tr>
        <w:trPr>
          <w:trHeight w:val="418"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用电 信息 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969,083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898,140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1,372,705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494,518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152.84%</w:t>
            </w:r>
          </w:p>
        </w:tc>
      </w:tr>
      <w:tr>
        <w:trPr>
          <w:trHeight w:val="422" w:hRule="exact"/>
        </w:trPr>
        <w:tc>
          <w:tcPr>
            <w:vMerge/>
            <w:tcBorders>
              <w:left w:val="single" w:sz="4"/>
              <w:bottom w:val="single" w:sz="4"/>
            </w:tcBorders>
            <w:shd w:val="clear" w:color="auto" w:fill="BFBFB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2,565,162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1,651,628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969,083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64.39%</w:t>
            </w:r>
          </w:p>
        </w:tc>
      </w:tr>
    </w:tbl>
    <w:p>
      <w:pPr>
        <w:widowControl w:val="0"/>
        <w:spacing w:after="199" w:line="1" w:lineRule="exact"/>
      </w:pPr>
    </w:p>
    <w:p>
      <w:pPr>
        <w:pStyle w:val="Style29"/>
        <w:keepNext/>
        <w:keepLines/>
        <w:widowControl w:val="0"/>
        <w:numPr>
          <w:ilvl w:val="0"/>
          <w:numId w:val="1"/>
        </w:numPr>
        <w:shd w:val="clear" w:color="auto" w:fill="auto"/>
        <w:bidi w:val="0"/>
        <w:spacing w:before="0" w:after="0" w:line="283" w:lineRule="exact"/>
        <w:ind w:left="0" w:right="0" w:firstLine="380"/>
        <w:jc w:val="left"/>
      </w:pPr>
      <w:bookmarkStart w:id="52" w:name="bookmark52"/>
      <w:bookmarkStart w:id="53" w:name="bookmark53"/>
      <w:bookmarkStart w:id="54" w:name="bookmark54"/>
      <w:bookmarkStart w:id="55" w:name="bookmark55"/>
      <w:bookmarkEnd w:id="54"/>
      <w:r>
        <w:rPr>
          <w:color w:val="000000"/>
          <w:spacing w:val="0"/>
          <w:w w:val="100"/>
          <w:position w:val="0"/>
        </w:rPr>
        <w:t>主要销售客户的情况</w:t>
      </w:r>
      <w:bookmarkEnd w:id="52"/>
      <w:bookmarkEnd w:id="53"/>
      <w:bookmarkEnd w:id="55"/>
    </w:p>
    <w:p>
      <w:pPr>
        <w:pStyle w:val="Style12"/>
        <w:keepNext w:val="0"/>
        <w:keepLines w:val="0"/>
        <w:widowControl w:val="0"/>
        <w:shd w:val="clear" w:color="auto" w:fill="auto"/>
        <w:tabs>
          <w:tab w:pos="3951" w:val="left"/>
          <w:tab w:pos="8401" w:val="left"/>
        </w:tabs>
        <w:bidi w:val="0"/>
        <w:spacing w:before="0" w:after="0" w:line="283" w:lineRule="exact"/>
        <w:ind w:left="380" w:right="0" w:firstLine="7380"/>
        <w:jc w:val="left"/>
      </w:pPr>
      <w:r>
        <mc:AlternateContent>
          <mc:Choice Requires="wps">
            <w:drawing>
              <wp:anchor distT="0" distB="88900" distL="0" distR="0" simplePos="0" relativeHeight="125829378" behindDoc="0" locked="0" layoutInCell="1" allowOverlap="1">
                <wp:simplePos x="0" y="0"/>
                <wp:positionH relativeFrom="page">
                  <wp:posOffset>1026160</wp:posOffset>
                </wp:positionH>
                <wp:positionV relativeFrom="paragraph">
                  <wp:posOffset>203200</wp:posOffset>
                </wp:positionV>
                <wp:extent cx="5699760" cy="201295"/>
                <wp:wrapTopAndBottom/>
                <wp:docPr id="13" name="Shape 13"/>
                <a:graphic xmlns:a="http://schemas.openxmlformats.org/drawingml/2006/main">
                  <a:graphicData uri="http://schemas.microsoft.com/office/word/2010/wordprocessingShape">
                    <wps:wsp>
                      <wps:cNvSpPr txBox="1"/>
                      <wps:spPr>
                        <a:xfrm>
                          <a:ext cx="5699760" cy="201295"/>
                        </a:xfrm>
                        <a:prstGeom prst="rect"/>
                        <a:noFill/>
                      </wps:spPr>
                      <wps:txbx>
                        <w:txbxContent>
                          <w:tbl>
                            <w:tblPr>
                              <w:tblOverlap w:val="never"/>
                              <w:jc w:val="left"/>
                              <w:tblLayout w:type="fixed"/>
                            </w:tblPr>
                            <w:tblGrid>
                              <w:gridCol w:w="3427"/>
                              <w:gridCol w:w="1277"/>
                              <w:gridCol w:w="3259"/>
                              <w:gridCol w:w="1013"/>
                            </w:tblGrid>
                            <w:tr>
                              <w:trPr>
                                <w:tblHeader/>
                                <w:trHeight w:val="317"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前五名客户主营业务收入金额合计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55,469.95</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占年度主营业务收入总额的比例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27.85%</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80.799999999999997pt;margin-top:16.pt;width:448.80000000000001pt;height:15.85pt;z-index:-125829375;mso-wrap-distance-left:0;mso-wrap-distance-right:0;mso-wrap-distance-bottom:7.pt;mso-position-horizontal-relative:page" filled="f" stroked="f">
                <v:textbox inset="0,0,0,0">
                  <w:txbxContent>
                    <w:tbl>
                      <w:tblPr>
                        <w:tblOverlap w:val="never"/>
                        <w:jc w:val="left"/>
                        <w:tblLayout w:type="fixed"/>
                      </w:tblPr>
                      <w:tblGrid>
                        <w:gridCol w:w="3427"/>
                        <w:gridCol w:w="1277"/>
                        <w:gridCol w:w="3259"/>
                        <w:gridCol w:w="1013"/>
                      </w:tblGrid>
                      <w:tr>
                        <w:trPr>
                          <w:tblHeader/>
                          <w:trHeight w:val="317"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前五名客户主营业务收入金额合计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55,469.95</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占年度主营业务收入总额的比例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27.85%</w:t>
                            </w:r>
                          </w:p>
                        </w:tc>
                      </w:tr>
                    </w:tbl>
                    <w:p>
                      <w:pPr>
                        <w:widowControl w:val="0"/>
                        <w:spacing w:line="1" w:lineRule="exact"/>
                      </w:pPr>
                    </w:p>
                  </w:txbxContent>
                </v:textbox>
                <w10:wrap type="topAndBottom" anchorx="page"/>
              </v:shape>
            </w:pict>
          </mc:Fallback>
        </mc:AlternateContent>
      </w:r>
      <w:r>
        <w:rPr>
          <w:color w:val="000000"/>
          <w:spacing w:val="0"/>
          <w:w w:val="100"/>
          <w:position w:val="0"/>
        </w:rPr>
        <w:t>单位：万元 前五名客户主营业务收入金额合计</w:t>
        <w:tab/>
      </w:r>
      <w:r>
        <w:rPr>
          <w:rFonts w:ascii="Times New Roman" w:eastAsia="Times New Roman" w:hAnsi="Times New Roman" w:cs="Times New Roman"/>
          <w:color w:val="000000"/>
          <w:spacing w:val="0"/>
          <w:w w:val="100"/>
          <w:position w:val="0"/>
        </w:rPr>
        <w:t xml:space="preserve">55,469.95 </w:t>
      </w:r>
      <w:r>
        <w:rPr>
          <w:rFonts w:ascii="Times New Roman" w:eastAsia="Times New Roman" w:hAnsi="Times New Roman" w:cs="Times New Roman"/>
          <w:color w:val="000000"/>
          <w:spacing w:val="0"/>
          <w:w w:val="100"/>
          <w:position w:val="0"/>
        </w:rPr>
        <w:t>|</w:t>
      </w:r>
      <w:r>
        <w:rPr>
          <w:color w:val="000000"/>
          <w:spacing w:val="0"/>
          <w:w w:val="100"/>
          <w:position w:val="0"/>
        </w:rPr>
        <w:t>占年度主营业务收入总额的比例</w:t>
        <w:tab/>
      </w:r>
      <w:r>
        <w:rPr>
          <w:rFonts w:ascii="Times New Roman" w:eastAsia="Times New Roman" w:hAnsi="Times New Roman" w:cs="Times New Roman"/>
          <w:color w:val="000000"/>
          <w:spacing w:val="0"/>
          <w:w w:val="100"/>
          <w:position w:val="0"/>
        </w:rPr>
        <w:t>27.85%</w:t>
      </w:r>
    </w:p>
    <w:p>
      <w:pPr>
        <w:pStyle w:val="Style12"/>
        <w:keepNext w:val="0"/>
        <w:keepLines w:val="0"/>
        <w:widowControl w:val="0"/>
        <w:shd w:val="clear" w:color="auto" w:fill="auto"/>
        <w:tabs>
          <w:tab w:pos="913" w:val="left"/>
        </w:tabs>
        <w:bidi w:val="0"/>
        <w:spacing w:before="100" w:after="0" w:line="240" w:lineRule="auto"/>
        <w:ind w:left="0" w:right="0" w:firstLine="380"/>
        <w:jc w:val="left"/>
      </w:pPr>
      <w:bookmarkStart w:id="56" w:name="bookmark56"/>
      <w:r>
        <w:rPr>
          <w:rFonts w:ascii="Times New Roman" w:eastAsia="Times New Roman" w:hAnsi="Times New Roman" w:cs="Times New Roman"/>
          <w:b/>
          <w:bCs/>
          <w:color w:val="000000"/>
          <w:spacing w:val="0"/>
          <w:w w:val="100"/>
          <w:position w:val="0"/>
          <w:shd w:val="clear" w:color="auto" w:fill="FFFFFF"/>
        </w:rPr>
        <w:t>3</w:t>
      </w:r>
      <w:bookmarkEnd w:id="56"/>
      <w:r>
        <w:rPr>
          <w:b/>
          <w:bCs/>
          <w:color w:val="000000"/>
          <w:spacing w:val="0"/>
          <w:w w:val="100"/>
          <w:position w:val="0"/>
          <w:shd w:val="clear" w:color="auto" w:fill="FFFFFF"/>
        </w:rPr>
        <w:t>、</w:t>
      </w:r>
      <w:r>
        <w:rPr>
          <w:b/>
          <w:bCs/>
          <w:color w:val="000000"/>
          <w:spacing w:val="0"/>
          <w:w w:val="100"/>
          <w:position w:val="0"/>
        </w:rPr>
        <w:tab/>
        <w:t>成本</w:t>
      </w:r>
    </w:p>
    <w:p>
      <w:pPr>
        <w:pStyle w:val="Style1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成本分析表</w:t>
      </w:r>
    </w:p>
    <w:p>
      <w:pPr>
        <w:pStyle w:val="Style23"/>
        <w:keepNext w:val="0"/>
        <w:keepLines w:val="0"/>
        <w:widowControl w:val="0"/>
        <w:shd w:val="clear" w:color="auto" w:fill="auto"/>
        <w:bidi w:val="0"/>
        <w:spacing w:before="0" w:after="0" w:line="240" w:lineRule="auto"/>
        <w:ind w:left="7699"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w:t>
      </w:r>
    </w:p>
    <w:tbl>
      <w:tblPr>
        <w:tblOverlap w:val="never"/>
        <w:jc w:val="center"/>
        <w:tblLayout w:type="fixed"/>
      </w:tblPr>
      <w:tblGrid>
        <w:gridCol w:w="1157"/>
        <w:gridCol w:w="1344"/>
        <w:gridCol w:w="1685"/>
        <w:gridCol w:w="1147"/>
        <w:gridCol w:w="1685"/>
        <w:gridCol w:w="1152"/>
        <w:gridCol w:w="1152"/>
      </w:tblGrid>
      <w:tr>
        <w:trPr>
          <w:trHeight w:val="293"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分行业情况</w:t>
            </w:r>
          </w:p>
        </w:tc>
      </w:tr>
      <w:tr>
        <w:trPr>
          <w:trHeight w:val="1109"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60" w:line="269" w:lineRule="exact"/>
              <w:ind w:left="140" w:right="0" w:firstLine="0"/>
              <w:jc w:val="left"/>
            </w:pPr>
            <w:r>
              <w:rPr>
                <w:color w:val="000000"/>
                <w:spacing w:val="0"/>
                <w:w w:val="100"/>
                <w:position w:val="0"/>
              </w:rPr>
              <w:t>本期占总 成本比例</w:t>
            </w:r>
          </w:p>
          <w:p>
            <w:pPr>
              <w:pStyle w:val="Style26"/>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6" w:lineRule="exact"/>
              <w:ind w:left="140" w:right="0" w:firstLine="0"/>
              <w:jc w:val="left"/>
            </w:pPr>
            <w:r>
              <w:rPr>
                <w:color w:val="000000"/>
                <w:spacing w:val="0"/>
                <w:w w:val="100"/>
                <w:position w:val="0"/>
              </w:rPr>
              <w:t>本期金额 较上年同 期变动比</w:t>
            </w:r>
          </w:p>
          <w:p>
            <w:pPr>
              <w:pStyle w:val="Style26"/>
              <w:keepNext w:val="0"/>
              <w:keepLines w:val="0"/>
              <w:widowControl w:val="0"/>
              <w:shd w:val="clear" w:color="auto" w:fill="auto"/>
              <w:bidi w:val="0"/>
              <w:spacing w:before="0" w:after="0" w:line="276" w:lineRule="exact"/>
              <w:ind w:left="0" w:right="0" w:firstLine="30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电工仪表 行业</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1,053,261,518.53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1,081,211,602.67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-2.59</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74,602,169.63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56,207,038.48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32.73</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52,922,190.34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35,819,282.92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47.75</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1,180,785,878.49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1,173,237,924.07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0.64</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44,546,165.06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62,127,073.13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-28.30</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4,769,078.56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5,060,711.14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-5.76</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3,750,631.81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3,347,130.81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12.06</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53,065,875.42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70,534,915.07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-24.77</w:t>
            </w:r>
          </w:p>
        </w:tc>
      </w:tr>
      <w:tr>
        <w:trPr>
          <w:trHeight w:val="288" w:hRule="exact"/>
        </w:trPr>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1,233,851,753.92</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1,243,772,839.14</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-0.80</w:t>
            </w:r>
          </w:p>
        </w:tc>
      </w:tr>
      <w:tr>
        <w:trPr>
          <w:trHeight w:val="283" w:hRule="exact"/>
        </w:trPr>
        <w:tc>
          <w:tcPr>
            <w:gridSpan w:val="7"/>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分产品情况</w:t>
            </w:r>
          </w:p>
        </w:tc>
      </w:tr>
      <w:tr>
        <w:trPr>
          <w:trHeight w:val="1109"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60" w:line="264" w:lineRule="exact"/>
              <w:ind w:left="140" w:right="0" w:firstLine="0"/>
              <w:jc w:val="left"/>
            </w:pPr>
            <w:r>
              <w:rPr>
                <w:color w:val="000000"/>
                <w:spacing w:val="0"/>
                <w:w w:val="100"/>
                <w:position w:val="0"/>
              </w:rPr>
              <w:t>本期占总 成本比例</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6" w:lineRule="exact"/>
              <w:ind w:left="140" w:right="0" w:firstLine="0"/>
              <w:jc w:val="left"/>
            </w:pPr>
            <w:r>
              <w:rPr>
                <w:color w:val="000000"/>
                <w:spacing w:val="0"/>
                <w:w w:val="100"/>
                <w:position w:val="0"/>
              </w:rPr>
              <w:t>本期金额 较上年同 期变动比</w:t>
            </w:r>
          </w:p>
          <w:p>
            <w:pPr>
              <w:pStyle w:val="Style26"/>
              <w:keepNext w:val="0"/>
              <w:keepLines w:val="0"/>
              <w:widowControl w:val="0"/>
              <w:shd w:val="clear" w:color="auto" w:fill="auto"/>
              <w:bidi w:val="0"/>
              <w:spacing w:before="0" w:after="0" w:line="276" w:lineRule="exact"/>
              <w:ind w:left="0" w:right="0" w:firstLine="300"/>
              <w:jc w:val="both"/>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电子式电 能表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880,286,664.24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901,585,640.39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-2.36</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68,108,698.21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50,684,682.61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34.38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49,150,326.30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33,001,128.49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48.94</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997,545,688.75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985,271,451.49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1.25</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系统类产 品</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139,865,320.43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93.06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173,585,426.46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-19.43</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6,094,550.70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5,213,967.93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16.89</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4,338,842.70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2,637,972.47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64.48</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150,298,713.83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181,437,366.86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-17.16</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77,655,698.92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68,736,573.95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12.98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5,167,999.27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5,258,040.29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-1.71</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3,183,653.15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3,069,406.55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3.72</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86,007,351.34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77,064,020.79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11.61</w:t>
            </w:r>
          </w:p>
        </w:tc>
      </w:tr>
      <w:tr>
        <w:trPr>
          <w:trHeight w:val="298" w:hRule="exact"/>
        </w:trPr>
        <w:tc>
          <w:tcPr>
            <w:gridSpan w:val="2"/>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1,233,851,753.92</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1,243,772,839.14</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-0.80</w:t>
            </w:r>
          </w:p>
        </w:tc>
      </w:tr>
    </w:tbl>
    <w:p>
      <w:pPr>
        <w:pStyle w:val="Style23"/>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主要供应商情况</w:t>
      </w:r>
    </w:p>
    <w:p>
      <w:pPr>
        <w:widowControl w:val="0"/>
        <w:spacing w:line="1" w:lineRule="exact"/>
      </w:pPr>
      <w:r>
        <w:br w:type="page"/>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3240"/>
        <w:gridCol w:w="1560"/>
        <w:gridCol w:w="2837"/>
        <w:gridCol w:w="1253"/>
      </w:tblGrid>
      <w:tr>
        <w:trPr>
          <w:trHeight w:val="317"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前五名供应商采购金额合计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24,352.31</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占年度采购总额的比例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22.96%</w:t>
            </w:r>
          </w:p>
        </w:tc>
      </w:tr>
    </w:tbl>
    <w:p>
      <w:pPr>
        <w:pStyle w:val="Style23"/>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费用</w:t>
      </w:r>
    </w:p>
    <w:p>
      <w:pPr>
        <w:widowControl w:val="0"/>
        <w:spacing w:line="1" w:lineRule="exact"/>
      </w:pPr>
    </w:p>
    <w:p>
      <w:pPr>
        <w:pStyle w:val="Style23"/>
        <w:keepNext w:val="0"/>
        <w:keepLines w:val="0"/>
        <w:widowControl w:val="0"/>
        <w:shd w:val="clear" w:color="auto" w:fill="auto"/>
        <w:bidi w:val="0"/>
        <w:spacing w:before="0" w:after="0" w:line="240" w:lineRule="auto"/>
        <w:ind w:left="7560" w:right="0" w:firstLine="0"/>
        <w:jc w:val="left"/>
      </w:pPr>
      <w:r>
        <w:rPr>
          <w:b w:val="0"/>
          <w:bCs w:val="0"/>
          <w:color w:val="000000"/>
          <w:spacing w:val="0"/>
          <w:w w:val="100"/>
          <w:position w:val="0"/>
        </w:rPr>
        <w:t>单位：元</w:t>
      </w:r>
    </w:p>
    <w:tbl>
      <w:tblPr>
        <w:tblOverlap w:val="never"/>
        <w:jc w:val="center"/>
        <w:tblLayout w:type="fixed"/>
      </w:tblPr>
      <w:tblGrid>
        <w:gridCol w:w="1320"/>
        <w:gridCol w:w="1694"/>
        <w:gridCol w:w="1570"/>
        <w:gridCol w:w="1272"/>
        <w:gridCol w:w="3187"/>
      </w:tblGrid>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同期增减率</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7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118,747,084.91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142,801,291.71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主要为市场成熟投入相对减少所致</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198,004,501.73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191,388,777.58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主要为同期职工薪酬增加所致</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-28,260,991.77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-28,728,463.14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主要为本期汇兑损益增加所致</w:t>
            </w:r>
          </w:p>
        </w:tc>
      </w:tr>
      <w:tr>
        <w:trPr>
          <w:trHeight w:val="302"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69,235,106.67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54,594,819.19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主要为本期利润增加所致</w:t>
            </w:r>
          </w:p>
        </w:tc>
      </w:tr>
    </w:tbl>
    <w:p>
      <w:pPr>
        <w:widowControl w:val="0"/>
        <w:spacing w:after="239" w:line="1" w:lineRule="exact"/>
      </w:pPr>
    </w:p>
    <w:p>
      <w:pPr>
        <w:pStyle w:val="Style29"/>
        <w:keepNext/>
        <w:keepLines/>
        <w:widowControl w:val="0"/>
        <w:shd w:val="clear" w:color="auto" w:fill="auto"/>
        <w:tabs>
          <w:tab w:pos="914" w:val="left"/>
        </w:tabs>
        <w:bidi w:val="0"/>
        <w:spacing w:before="0" w:after="0" w:line="240" w:lineRule="auto"/>
        <w:ind w:left="0" w:right="0" w:firstLine="40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5</w:t>
      </w:r>
      <w:bookmarkEnd w:id="59"/>
      <w:r>
        <w:rPr>
          <w:color w:val="000000"/>
          <w:spacing w:val="0"/>
          <w:w w:val="100"/>
          <w:position w:val="0"/>
        </w:rPr>
        <w:t>、</w:t>
        <w:tab/>
        <w:t>研发支出</w:t>
      </w:r>
      <w:bookmarkEnd w:id="57"/>
      <w:bookmarkEnd w:id="58"/>
      <w:bookmarkEnd w:id="60"/>
    </w:p>
    <w:p>
      <w:pPr>
        <w:pStyle w:val="Style29"/>
        <w:keepNext/>
        <w:keepLines/>
        <w:widowControl w:val="0"/>
        <w:shd w:val="clear" w:color="auto" w:fill="auto"/>
        <w:bidi w:val="0"/>
        <w:spacing w:before="0" w:after="0" w:line="240" w:lineRule="auto"/>
        <w:ind w:left="0" w:right="0" w:firstLine="400"/>
        <w:jc w:val="left"/>
      </w:pPr>
      <w:bookmarkStart w:id="57" w:name="bookmark57"/>
      <w:bookmarkStart w:id="58" w:name="bookmark58"/>
      <w:bookmarkStart w:id="61" w:name="bookmark61"/>
      <w:bookmarkStart w:id="62" w:name="bookmark62"/>
      <w:r>
        <w:rPr>
          <w:rFonts w:ascii="Times New Roman" w:eastAsia="Times New Roman" w:hAnsi="Times New Roman" w:cs="Times New Roman"/>
          <w:color w:val="000000"/>
          <w:spacing w:val="0"/>
          <w:w w:val="100"/>
          <w:position w:val="0"/>
        </w:rPr>
        <w:t>（</w:t>
      </w:r>
      <w:bookmarkEnd w:id="61"/>
      <w:r>
        <w:rPr>
          <w:rFonts w:ascii="Times New Roman" w:eastAsia="Times New Roman" w:hAnsi="Times New Roman" w:cs="Times New Roman"/>
          <w:color w:val="000000"/>
          <w:spacing w:val="0"/>
          <w:w w:val="100"/>
          <w:position w:val="0"/>
        </w:rPr>
        <w:t>1）</w:t>
      </w:r>
      <w:r>
        <w:rPr>
          <w:color w:val="000000"/>
          <w:spacing w:val="0"/>
          <w:w w:val="100"/>
          <w:position w:val="0"/>
        </w:rPr>
        <w:t>研发支出情况表</w:t>
      </w:r>
      <w:bookmarkEnd w:id="57"/>
      <w:bookmarkEnd w:id="58"/>
      <w:bookmarkEnd w:id="62"/>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200"/>
        <w:gridCol w:w="4478"/>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81,275,722.86</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81,275,722.86</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w:t>
            </w:r>
          </w:p>
        </w:tc>
      </w:tr>
    </w:tbl>
    <w:p>
      <w:pPr>
        <w:widowControl w:val="0"/>
        <w:spacing w:after="239" w:line="1" w:lineRule="exact"/>
      </w:pPr>
    </w:p>
    <w:p>
      <w:pPr>
        <w:pStyle w:val="Style29"/>
        <w:keepNext/>
        <w:keepLines/>
        <w:widowControl w:val="0"/>
        <w:shd w:val="clear" w:color="auto" w:fill="auto"/>
        <w:bidi w:val="0"/>
        <w:spacing w:before="0" w:after="100" w:line="270" w:lineRule="exact"/>
        <w:ind w:left="0" w:right="0" w:firstLine="400"/>
        <w:jc w:val="left"/>
      </w:pPr>
      <w:bookmarkStart w:id="63" w:name="bookmark63"/>
      <w:bookmarkStart w:id="64" w:name="bookmark64"/>
      <w:bookmarkStart w:id="65" w:name="bookmark65"/>
      <w:r>
        <w:rPr>
          <w:color w:val="000000"/>
          <w:spacing w:val="0"/>
          <w:w w:val="100"/>
          <w:position w:val="0"/>
        </w:rPr>
        <w:t>⑵情况说明</w:t>
      </w:r>
      <w:bookmarkEnd w:id="63"/>
      <w:bookmarkEnd w:id="64"/>
      <w:bookmarkEnd w:id="65"/>
    </w:p>
    <w:p>
      <w:pPr>
        <w:pStyle w:val="Style12"/>
        <w:keepNext w:val="0"/>
        <w:keepLines w:val="0"/>
        <w:widowControl w:val="0"/>
        <w:shd w:val="clear" w:color="auto" w:fill="auto"/>
        <w:bidi w:val="0"/>
        <w:spacing w:before="0" w:after="240" w:line="270" w:lineRule="exact"/>
        <w:ind w:left="400" w:right="0" w:firstLine="440"/>
        <w:jc w:val="both"/>
      </w:pPr>
      <w:r>
        <w:rPr>
          <w:color w:val="000000"/>
          <w:spacing w:val="0"/>
          <w:w w:val="100"/>
          <w:position w:val="0"/>
        </w:rPr>
        <w:t>报告期内，公司继续加大研发投入，开发新产品，保持技术先进核心竞争优势。公司研发 的</w:t>
      </w:r>
      <w:r>
        <w:rPr>
          <w:rFonts w:ascii="Times New Roman" w:eastAsia="Times New Roman" w:hAnsi="Times New Roman" w:cs="Times New Roman"/>
          <w:color w:val="000000"/>
          <w:spacing w:val="0"/>
          <w:w w:val="100"/>
          <w:position w:val="0"/>
        </w:rPr>
        <w:t>"</w:t>
      </w:r>
      <w:r>
        <w:rPr>
          <w:color w:val="000000"/>
          <w:spacing w:val="0"/>
          <w:w w:val="100"/>
          <w:position w:val="0"/>
        </w:rPr>
        <w:t>宽电压高可靠性三相智能电能表</w:t>
      </w:r>
      <w:r>
        <w:rPr>
          <w:rFonts w:ascii="Times New Roman" w:eastAsia="Times New Roman" w:hAnsi="Times New Roman" w:cs="Times New Roman"/>
          <w:color w:val="000000"/>
          <w:spacing w:val="0"/>
          <w:w w:val="100"/>
          <w:position w:val="0"/>
        </w:rPr>
        <w:t>"</w:t>
      </w:r>
      <w:r>
        <w:rPr>
          <w:color w:val="000000"/>
          <w:spacing w:val="0"/>
          <w:w w:val="100"/>
          <w:position w:val="0"/>
        </w:rPr>
        <w:t>获得国家科技部授予的国家火炬计划项目；</w:t>
      </w:r>
      <w:r>
        <w:rPr>
          <w:rFonts w:ascii="Times New Roman" w:eastAsia="Times New Roman" w:hAnsi="Times New Roman" w:cs="Times New Roman"/>
          <w:color w:val="000000"/>
          <w:spacing w:val="0"/>
          <w:w w:val="100"/>
          <w:position w:val="0"/>
        </w:rPr>
        <w:t>"DDS71</w:t>
      </w:r>
      <w:r>
        <w:rPr>
          <w:color w:val="000000"/>
          <w:spacing w:val="0"/>
          <w:w w:val="100"/>
          <w:position w:val="0"/>
        </w:rPr>
        <w:t>单相宽 温幅宽量程高精度电子式电能表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宽量程三相线制自适应互感式智能表</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"NLN137</w:t>
      </w:r>
      <w:r>
        <w:rPr>
          <w:color w:val="000000"/>
          <w:spacing w:val="0"/>
          <w:w w:val="100"/>
          <w:position w:val="0"/>
        </w:rPr>
        <w:t>型基于多 通道的高精度监测管理终端</w:t>
      </w:r>
      <w:r>
        <w:rPr>
          <w:rFonts w:ascii="Times New Roman" w:eastAsia="Times New Roman" w:hAnsi="Times New Roman" w:cs="Times New Roman"/>
          <w:color w:val="000000"/>
          <w:spacing w:val="0"/>
          <w:w w:val="100"/>
          <w:position w:val="0"/>
        </w:rPr>
        <w:t>"</w:t>
      </w:r>
      <w:r>
        <w:rPr>
          <w:color w:val="000000"/>
          <w:spacing w:val="0"/>
          <w:w w:val="100"/>
          <w:position w:val="0"/>
        </w:rPr>
        <w:t>获得省高新技术产品称号；公司与东南大学合作申报的</w:t>
      </w:r>
      <w:r>
        <w:rPr>
          <w:rFonts w:ascii="Times New Roman" w:eastAsia="Times New Roman" w:hAnsi="Times New Roman" w:cs="Times New Roman"/>
          <w:color w:val="000000"/>
          <w:spacing w:val="0"/>
          <w:w w:val="100"/>
          <w:position w:val="0"/>
        </w:rPr>
        <w:t>"</w:t>
      </w:r>
      <w:r>
        <w:rPr>
          <w:color w:val="000000"/>
          <w:spacing w:val="0"/>
          <w:w w:val="100"/>
          <w:position w:val="0"/>
        </w:rPr>
        <w:t>大功率</w:t>
      </w:r>
      <w:r>
        <w:rPr>
          <w:rFonts w:ascii="Times New Roman" w:eastAsia="Times New Roman" w:hAnsi="Times New Roman" w:cs="Times New Roman"/>
          <w:color w:val="000000"/>
          <w:spacing w:val="0"/>
          <w:w w:val="100"/>
          <w:position w:val="0"/>
        </w:rPr>
        <w:t xml:space="preserve">Z </w:t>
      </w:r>
      <w:r>
        <w:rPr>
          <w:color w:val="000000"/>
          <w:spacing w:val="0"/>
          <w:w w:val="100"/>
          <w:position w:val="0"/>
        </w:rPr>
        <w:t>源</w:t>
      </w:r>
      <w:r>
        <w:rPr>
          <w:rFonts w:ascii="Times New Roman" w:eastAsia="Times New Roman" w:hAnsi="Times New Roman" w:cs="Times New Roman"/>
          <w:color w:val="000000"/>
          <w:spacing w:val="0"/>
          <w:w w:val="100"/>
          <w:position w:val="0"/>
        </w:rPr>
        <w:t>/</w:t>
      </w:r>
      <w:r>
        <w:rPr>
          <w:color w:val="000000"/>
          <w:spacing w:val="0"/>
          <w:w w:val="100"/>
          <w:position w:val="0"/>
        </w:rPr>
        <w:t>准</w:t>
      </w:r>
      <w:r>
        <w:rPr>
          <w:rFonts w:ascii="Times New Roman" w:eastAsia="Times New Roman" w:hAnsi="Times New Roman" w:cs="Times New Roman"/>
          <w:color w:val="000000"/>
          <w:spacing w:val="0"/>
          <w:w w:val="100"/>
          <w:position w:val="0"/>
        </w:rPr>
        <w:t>Z</w:t>
      </w:r>
      <w:r>
        <w:rPr>
          <w:color w:val="000000"/>
          <w:spacing w:val="0"/>
          <w:w w:val="100"/>
          <w:position w:val="0"/>
        </w:rPr>
        <w:t>源光伏逆变装置及并网电能质量控制系统</w:t>
      </w:r>
      <w:r>
        <w:rPr>
          <w:rFonts w:ascii="Times New Roman" w:eastAsia="Times New Roman" w:hAnsi="Times New Roman" w:cs="Times New Roman"/>
          <w:color w:val="000000"/>
          <w:spacing w:val="0"/>
          <w:w w:val="100"/>
          <w:position w:val="0"/>
        </w:rPr>
        <w:t>"</w:t>
      </w:r>
      <w:r>
        <w:rPr>
          <w:color w:val="000000"/>
          <w:spacing w:val="0"/>
          <w:w w:val="100"/>
          <w:position w:val="0"/>
        </w:rPr>
        <w:t>荣获省科学技术进步二等奖；期间还分别获 得</w:t>
      </w:r>
      <w:r>
        <w:rPr>
          <w:rFonts w:ascii="Times New Roman" w:eastAsia="Times New Roman" w:hAnsi="Times New Roman" w:cs="Times New Roman"/>
          <w:color w:val="000000"/>
          <w:spacing w:val="0"/>
          <w:w w:val="100"/>
          <w:position w:val="0"/>
        </w:rPr>
        <w:t>2</w:t>
      </w:r>
      <w:r>
        <w:rPr>
          <w:color w:val="000000"/>
          <w:spacing w:val="0"/>
          <w:w w:val="100"/>
          <w:position w:val="0"/>
        </w:rPr>
        <w:t>项南通市级和</w:t>
      </w:r>
      <w:r>
        <w:rPr>
          <w:rFonts w:ascii="Times New Roman" w:eastAsia="Times New Roman" w:hAnsi="Times New Roman" w:cs="Times New Roman"/>
          <w:color w:val="000000"/>
          <w:spacing w:val="0"/>
          <w:w w:val="100"/>
          <w:position w:val="0"/>
        </w:rPr>
        <w:t>2</w:t>
      </w:r>
      <w:r>
        <w:rPr>
          <w:color w:val="000000"/>
          <w:spacing w:val="0"/>
          <w:w w:val="100"/>
          <w:position w:val="0"/>
        </w:rPr>
        <w:t>项启东市级的科技奖项。</w:t>
      </w:r>
      <w:r>
        <w:rPr>
          <w:rFonts w:ascii="Times New Roman" w:eastAsia="Times New Roman" w:hAnsi="Times New Roman" w:cs="Times New Roman"/>
          <w:color w:val="000000"/>
          <w:spacing w:val="0"/>
          <w:w w:val="100"/>
          <w:position w:val="0"/>
        </w:rPr>
        <w:t>2013</w:t>
      </w:r>
      <w:r>
        <w:rPr>
          <w:color w:val="000000"/>
          <w:spacing w:val="0"/>
          <w:w w:val="100"/>
          <w:position w:val="0"/>
        </w:rPr>
        <w:t>年公司累计完成授权专利</w:t>
      </w:r>
      <w:r>
        <w:rPr>
          <w:rFonts w:ascii="Times New Roman" w:eastAsia="Times New Roman" w:hAnsi="Times New Roman" w:cs="Times New Roman"/>
          <w:color w:val="000000"/>
          <w:spacing w:val="0"/>
          <w:w w:val="100"/>
          <w:position w:val="0"/>
        </w:rPr>
        <w:t>19</w:t>
      </w:r>
      <w:r>
        <w:rPr>
          <w:color w:val="000000"/>
          <w:spacing w:val="0"/>
          <w:w w:val="100"/>
          <w:position w:val="0"/>
        </w:rPr>
        <w:t>件，软件著作 权</w:t>
      </w:r>
      <w:r>
        <w:rPr>
          <w:rFonts w:ascii="Times New Roman" w:eastAsia="Times New Roman" w:hAnsi="Times New Roman" w:cs="Times New Roman"/>
          <w:color w:val="000000"/>
          <w:spacing w:val="0"/>
          <w:w w:val="100"/>
          <w:position w:val="0"/>
        </w:rPr>
        <w:t>8</w:t>
      </w:r>
      <w:r>
        <w:rPr>
          <w:color w:val="000000"/>
          <w:spacing w:val="0"/>
          <w:w w:val="100"/>
          <w:position w:val="0"/>
        </w:rPr>
        <w:t>项。</w:t>
      </w:r>
    </w:p>
    <w:p>
      <w:pPr>
        <w:pStyle w:val="Style29"/>
        <w:keepNext/>
        <w:keepLines/>
        <w:widowControl w:val="0"/>
        <w:shd w:val="clear" w:color="auto" w:fill="auto"/>
        <w:tabs>
          <w:tab w:pos="914" w:val="left"/>
        </w:tabs>
        <w:bidi w:val="0"/>
        <w:spacing w:before="0" w:after="0" w:line="270" w:lineRule="exact"/>
        <w:ind w:left="0" w:right="0" w:firstLine="40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shd w:val="clear" w:color="auto" w:fill="FFFFFF"/>
        </w:rPr>
        <w:t>6</w:t>
      </w:r>
      <w:bookmarkEnd w:id="68"/>
      <w:r>
        <w:rPr>
          <w:color w:val="000000"/>
          <w:spacing w:val="0"/>
          <w:w w:val="100"/>
          <w:position w:val="0"/>
          <w:shd w:val="clear" w:color="auto" w:fill="FFFFFF"/>
        </w:rPr>
        <w:t>、</w:t>
      </w:r>
      <w:r>
        <w:rPr>
          <w:color w:val="000000"/>
          <w:spacing w:val="0"/>
          <w:w w:val="100"/>
          <w:position w:val="0"/>
        </w:rPr>
        <w:tab/>
        <w:t>现金流</w:t>
      </w:r>
      <w:bookmarkEnd w:id="66"/>
      <w:bookmarkEnd w:id="67"/>
      <w:bookmarkEnd w:id="69"/>
    </w:p>
    <w:p>
      <w:pPr>
        <w:pStyle w:val="Style23"/>
        <w:keepNext w:val="0"/>
        <w:keepLines w:val="0"/>
        <w:widowControl w:val="0"/>
        <w:shd w:val="clear" w:color="auto" w:fill="auto"/>
        <w:bidi w:val="0"/>
        <w:spacing w:before="0" w:after="0" w:line="240" w:lineRule="auto"/>
        <w:ind w:left="7584" w:right="0" w:firstLine="0"/>
        <w:jc w:val="left"/>
      </w:pPr>
      <w:r>
        <w:rPr>
          <w:b w:val="0"/>
          <w:bCs w:val="0"/>
          <w:color w:val="000000"/>
          <w:spacing w:val="0"/>
          <w:w w:val="100"/>
          <w:position w:val="0"/>
        </w:rPr>
        <w:t>单位：元</w:t>
      </w:r>
    </w:p>
    <w:tbl>
      <w:tblPr>
        <w:tblOverlap w:val="never"/>
        <w:jc w:val="center"/>
        <w:tblLayout w:type="fixed"/>
      </w:tblPr>
      <w:tblGrid>
        <w:gridCol w:w="1435"/>
        <w:gridCol w:w="1699"/>
        <w:gridCol w:w="1699"/>
        <w:gridCol w:w="1416"/>
        <w:gridCol w:w="2842"/>
      </w:tblGrid>
      <w:tr>
        <w:trPr>
          <w:trHeight w:val="302"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同期增减率</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经营活动现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1,962,669,198.21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2,135,566,368.53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主要为销售商品提供的现金 减少导致</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经营活动现 金流出金额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1,717,207,127.64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1,977,414,556.41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主要为购买商品接受劳务支 出的现金减少导致</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245,462,070.57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158,151,812.12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本期销售商品收到现金减少及 购买商品支出现金减少导致</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750,048,310.65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609,797.46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122899.58%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本期购买的理财产品到期本金收 回及收到理财产品的投资收益</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金流出金额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795,561,718.79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289,371,309.55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本期购买理财产品增加导致</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-45,513,408.14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-288,761,512.09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-84.24%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本期购买理财产品增加导致</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金流入金额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40,386,600.00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本期无股权激励，未收到投 资现金导致</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124,970,225.37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58,995,431.41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本期现金分红大于上期导致</w:t>
            </w:r>
          </w:p>
        </w:tc>
      </w:tr>
    </w:tbl>
    <w:p>
      <w:pPr>
        <w:widowControl w:val="0"/>
        <w:spacing w:line="1" w:lineRule="exact"/>
      </w:pPr>
    </w:p>
    <w:tbl>
      <w:tblPr>
        <w:tblOverlap w:val="never"/>
        <w:jc w:val="center"/>
        <w:tblLayout w:type="fixed"/>
      </w:tblPr>
      <w:tblGrid>
        <w:gridCol w:w="1435"/>
        <w:gridCol w:w="1699"/>
        <w:gridCol w:w="1699"/>
        <w:gridCol w:w="1416"/>
        <w:gridCol w:w="284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金流出金额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-124,970,225.37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-18,608,831.41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571.56%</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本期无股权激励及本期现金 分红大于上期导致</w:t>
            </w:r>
          </w:p>
        </w:tc>
      </w:tr>
    </w:tbl>
    <w:p>
      <w:pPr>
        <w:widowControl w:val="0"/>
        <w:spacing w:after="219" w:line="1" w:lineRule="exact"/>
      </w:pPr>
    </w:p>
    <w:p>
      <w:pPr>
        <w:pStyle w:val="Style29"/>
        <w:keepNext/>
        <w:keepLines/>
        <w:widowControl w:val="0"/>
        <w:shd w:val="clear" w:color="auto" w:fill="auto"/>
        <w:bidi w:val="0"/>
        <w:spacing w:before="0" w:after="120" w:line="274" w:lineRule="exact"/>
        <w:ind w:left="0" w:right="0" w:firstLine="42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7</w:t>
      </w:r>
      <w:bookmarkEnd w:id="72"/>
      <w:r>
        <w:rPr>
          <w:color w:val="000000"/>
          <w:spacing w:val="0"/>
          <w:w w:val="100"/>
          <w:position w:val="0"/>
        </w:rPr>
        <w:t>、发展战略和经营计划进展说明</w:t>
      </w:r>
      <w:bookmarkEnd w:id="70"/>
      <w:bookmarkEnd w:id="71"/>
      <w:bookmarkEnd w:id="73"/>
    </w:p>
    <w:p>
      <w:pPr>
        <w:pStyle w:val="Style12"/>
        <w:keepNext w:val="0"/>
        <w:keepLines w:val="0"/>
        <w:widowControl w:val="0"/>
        <w:shd w:val="clear" w:color="auto" w:fill="auto"/>
        <w:bidi w:val="0"/>
        <w:spacing w:before="0" w:after="120" w:line="266" w:lineRule="exact"/>
        <w:ind w:left="420" w:right="0" w:firstLine="420"/>
        <w:jc w:val="both"/>
      </w:pPr>
      <w:r>
        <w:rPr>
          <w:color w:val="000000"/>
          <w:spacing w:val="0"/>
          <w:w w:val="100"/>
          <w:position w:val="0"/>
        </w:rPr>
        <w:t xml:space="preserve">报告期内，面对激烈的市场竞争形势，公司不断变革思维，不断改革创新，积极调整发展 战略，深入研究客户需求和市场、政策环境的变化，深入挖掘和拓宽销售渠道，不断加强质量、 成本等基础管理,较好地完成了 </w:t>
      </w:r>
      <w:r>
        <w:rPr>
          <w:rFonts w:ascii="Times New Roman" w:eastAsia="Times New Roman" w:hAnsi="Times New Roman" w:cs="Times New Roman"/>
          <w:color w:val="000000"/>
          <w:spacing w:val="0"/>
          <w:w w:val="100"/>
          <w:position w:val="0"/>
        </w:rPr>
        <w:t>2013</w:t>
      </w:r>
      <w:r>
        <w:rPr>
          <w:color w:val="000000"/>
          <w:spacing w:val="0"/>
          <w:w w:val="100"/>
          <w:position w:val="0"/>
        </w:rPr>
        <w:t>年度经营目标与既定计划，经营业绩保持了稳定持续增长。</w:t>
      </w:r>
    </w:p>
    <w:p>
      <w:pPr>
        <w:pStyle w:val="Style29"/>
        <w:keepNext/>
        <w:keepLines/>
        <w:widowControl w:val="0"/>
        <w:shd w:val="clear" w:color="auto" w:fill="auto"/>
        <w:tabs>
          <w:tab w:pos="747" w:val="left"/>
        </w:tabs>
        <w:bidi w:val="0"/>
        <w:spacing w:before="0" w:after="220" w:line="274" w:lineRule="exact"/>
        <w:ind w:left="0" w:right="0" w:firstLine="42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w:t>
        <w:tab/>
        <w:t>强化战略决策的核心作用，科学决策中长期发展战略。</w:t>
      </w:r>
      <w:bookmarkEnd w:id="74"/>
      <w:bookmarkEnd w:id="75"/>
      <w:bookmarkEnd w:id="77"/>
    </w:p>
    <w:p>
      <w:pPr>
        <w:pStyle w:val="Style12"/>
        <w:keepNext w:val="0"/>
        <w:keepLines w:val="0"/>
        <w:widowControl w:val="0"/>
        <w:shd w:val="clear" w:color="auto" w:fill="auto"/>
        <w:bidi w:val="0"/>
        <w:spacing w:before="0" w:after="120" w:line="271" w:lineRule="exact"/>
        <w:ind w:left="4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年，公司董事会根据行业竞争格局的变化，在复杂的市场竞争环境下积极调整发展战 略，并结合自身的资本实力、管理能力、品牌优势等，积极把握发展机遇，在保持主营业务健 康稳定发展的基础上，整合公司优势资源，积极开展分布式光伏和</w:t>
      </w:r>
      <w:r>
        <w:rPr>
          <w:rFonts w:ascii="Times New Roman" w:eastAsia="Times New Roman" w:hAnsi="Times New Roman" w:cs="Times New Roman"/>
          <w:color w:val="000000"/>
          <w:spacing w:val="0"/>
          <w:w w:val="100"/>
          <w:position w:val="0"/>
        </w:rPr>
        <w:t>LED</w:t>
      </w:r>
      <w:r>
        <w:rPr>
          <w:color w:val="000000"/>
          <w:spacing w:val="0"/>
          <w:w w:val="100"/>
          <w:position w:val="0"/>
        </w:rPr>
        <w:t>业务，报告期内中标国 网、南网智能电表及用电信息系统金额超过</w:t>
      </w:r>
      <w:r>
        <w:rPr>
          <w:rFonts w:ascii="Times New Roman" w:eastAsia="Times New Roman" w:hAnsi="Times New Roman" w:cs="Times New Roman"/>
          <w:color w:val="000000"/>
          <w:spacing w:val="0"/>
          <w:w w:val="100"/>
          <w:position w:val="0"/>
        </w:rPr>
        <w:t>8.5</w:t>
      </w:r>
      <w:r>
        <w:rPr>
          <w:color w:val="000000"/>
          <w:spacing w:val="0"/>
          <w:w w:val="100"/>
          <w:position w:val="0"/>
        </w:rPr>
        <w:t>亿元，与江苏华电南通通州湾项目筹备处签订 了总计</w:t>
      </w:r>
      <w:r>
        <w:rPr>
          <w:rFonts w:ascii="Times New Roman" w:eastAsia="Times New Roman" w:hAnsi="Times New Roman" w:cs="Times New Roman"/>
          <w:color w:val="000000"/>
          <w:spacing w:val="0"/>
          <w:w w:val="100"/>
          <w:position w:val="0"/>
        </w:rPr>
        <w:t>500MW</w:t>
      </w:r>
      <w:r>
        <w:rPr>
          <w:color w:val="000000"/>
          <w:spacing w:val="0"/>
          <w:w w:val="100"/>
          <w:position w:val="0"/>
        </w:rPr>
        <w:t>光伏电站的战略合作协议，子公司林洋照明承接了的</w:t>
      </w:r>
      <w:r>
        <w:rPr>
          <w:rFonts w:ascii="Times New Roman" w:eastAsia="Times New Roman" w:hAnsi="Times New Roman" w:cs="Times New Roman"/>
          <w:color w:val="000000"/>
          <w:spacing w:val="0"/>
          <w:w w:val="100"/>
          <w:position w:val="0"/>
        </w:rPr>
        <w:t>LED</w:t>
      </w:r>
      <w:r>
        <w:rPr>
          <w:color w:val="000000"/>
          <w:spacing w:val="0"/>
          <w:w w:val="100"/>
          <w:position w:val="0"/>
        </w:rPr>
        <w:t>工程订单约</w:t>
      </w:r>
      <w:r>
        <w:rPr>
          <w:rFonts w:ascii="Times New Roman" w:eastAsia="Times New Roman" w:hAnsi="Times New Roman" w:cs="Times New Roman"/>
          <w:color w:val="000000"/>
          <w:spacing w:val="0"/>
          <w:w w:val="100"/>
          <w:position w:val="0"/>
        </w:rPr>
        <w:t>1</w:t>
      </w:r>
      <w:r>
        <w:rPr>
          <w:color w:val="000000"/>
          <w:spacing w:val="0"/>
          <w:w w:val="100"/>
          <w:position w:val="0"/>
        </w:rPr>
        <w:t>亿人民 币。</w:t>
      </w:r>
    </w:p>
    <w:p>
      <w:pPr>
        <w:pStyle w:val="Style29"/>
        <w:keepNext/>
        <w:keepLines/>
        <w:widowControl w:val="0"/>
        <w:shd w:val="clear" w:color="auto" w:fill="auto"/>
        <w:tabs>
          <w:tab w:pos="757" w:val="left"/>
        </w:tabs>
        <w:bidi w:val="0"/>
        <w:spacing w:before="0" w:after="120" w:line="274" w:lineRule="exact"/>
        <w:ind w:left="0" w:right="0" w:firstLine="42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完善以市场和客户为核心的营销服务体系，进一步增强市场响应能力。</w:t>
      </w:r>
      <w:bookmarkEnd w:id="78"/>
      <w:bookmarkEnd w:id="79"/>
      <w:bookmarkEnd w:id="81"/>
    </w:p>
    <w:p>
      <w:pPr>
        <w:pStyle w:val="Style12"/>
        <w:keepNext w:val="0"/>
        <w:keepLines w:val="0"/>
        <w:widowControl w:val="0"/>
        <w:shd w:val="clear" w:color="auto" w:fill="auto"/>
        <w:bidi w:val="0"/>
        <w:spacing w:before="0" w:after="120" w:line="274" w:lineRule="exact"/>
        <w:ind w:left="420" w:right="0" w:firstLine="420"/>
        <w:jc w:val="both"/>
      </w:pPr>
      <w:r>
        <w:rPr>
          <w:color w:val="000000"/>
          <w:spacing w:val="0"/>
          <w:w w:val="100"/>
          <w:position w:val="0"/>
        </w:rPr>
        <w:t>报告期内，公司针对日益激烈的市场竞争，不断增大营销网络的覆盖范围，将市场、服务 与技术进行了有效融合，并随着上海自贸区的建立，充分利用公司在上海自贸区设立的子公司 平台，和澳洲林洋遥相响应，拓展海外业务，到目前拥有华东、华南、华北等五大片区，三十 多个办事处的覆盖全国的营销服务网络以及南美、中东、澳洲等十几个国家和地区的海外营销 网点，同时与各级电网公司、各大光伏制造企业、各地节能公司保持了良好的合作关系。</w:t>
      </w:r>
    </w:p>
    <w:p>
      <w:pPr>
        <w:pStyle w:val="Style29"/>
        <w:keepNext/>
        <w:keepLines/>
        <w:widowControl w:val="0"/>
        <w:shd w:val="clear" w:color="auto" w:fill="auto"/>
        <w:tabs>
          <w:tab w:pos="757" w:val="left"/>
        </w:tabs>
        <w:bidi w:val="0"/>
        <w:spacing w:before="0" w:after="120" w:line="274" w:lineRule="exact"/>
        <w:ind w:left="0" w:right="0" w:firstLine="42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3</w:t>
      </w:r>
      <w:bookmarkEnd w:id="84"/>
      <w:r>
        <w:rPr>
          <w:color w:val="000000"/>
          <w:spacing w:val="0"/>
          <w:w w:val="100"/>
          <w:position w:val="0"/>
        </w:rPr>
        <w:t>）</w:t>
        <w:tab/>
        <w:t>研发创新取得新成果，奠定良好的技术基础。</w:t>
      </w:r>
      <w:bookmarkEnd w:id="82"/>
      <w:bookmarkEnd w:id="83"/>
      <w:bookmarkEnd w:id="85"/>
    </w:p>
    <w:p>
      <w:pPr>
        <w:pStyle w:val="Style12"/>
        <w:keepNext w:val="0"/>
        <w:keepLines w:val="0"/>
        <w:widowControl w:val="0"/>
        <w:shd w:val="clear" w:color="auto" w:fill="auto"/>
        <w:bidi w:val="0"/>
        <w:spacing w:before="0" w:after="120" w:line="272" w:lineRule="exact"/>
        <w:ind w:left="420" w:right="0" w:firstLine="420"/>
        <w:jc w:val="both"/>
      </w:pPr>
      <w:r>
        <w:rPr>
          <w:color w:val="000000"/>
          <w:spacing w:val="0"/>
          <w:w w:val="100"/>
          <w:position w:val="0"/>
        </w:rPr>
        <w:t>报告期内，公司研发的“宽电压高可靠性三相智能电能表”获得国家科技部授予的国家火 炬计划项目；</w:t>
      </w:r>
      <w:r>
        <w:rPr>
          <w:color w:val="000000"/>
          <w:spacing w:val="0"/>
          <w:w w:val="100"/>
          <w:position w:val="0"/>
        </w:rPr>
        <w:t>“</w:t>
      </w:r>
      <w:r>
        <w:rPr>
          <w:rFonts w:ascii="Times New Roman" w:eastAsia="Times New Roman" w:hAnsi="Times New Roman" w:cs="Times New Roman"/>
          <w:color w:val="000000"/>
          <w:spacing w:val="0"/>
          <w:w w:val="100"/>
          <w:position w:val="0"/>
        </w:rPr>
        <w:t>DDS71</w:t>
      </w:r>
      <w:r>
        <w:rPr>
          <w:color w:val="000000"/>
          <w:spacing w:val="0"/>
          <w:w w:val="100"/>
          <w:position w:val="0"/>
        </w:rPr>
        <w:t>单相宽温幅宽量程高精度电子式电能表”、“宽量程三相线制自适应互感 式智能表”和“</w:t>
      </w:r>
      <w:r>
        <w:rPr>
          <w:rFonts w:ascii="Times New Roman" w:eastAsia="Times New Roman" w:hAnsi="Times New Roman" w:cs="Times New Roman"/>
          <w:color w:val="000000"/>
          <w:spacing w:val="0"/>
          <w:w w:val="100"/>
          <w:position w:val="0"/>
        </w:rPr>
        <w:t>NLN137</w:t>
      </w:r>
      <w:r>
        <w:rPr>
          <w:color w:val="000000"/>
          <w:spacing w:val="0"/>
          <w:w w:val="100"/>
          <w:position w:val="0"/>
        </w:rPr>
        <w:t>型基于多通道的高精度监测管理终端”获得省高新技术产品称号；公 司与东南大学合作申报的“大功率</w:t>
      </w:r>
      <w:r>
        <w:rPr>
          <w:rFonts w:ascii="Times New Roman" w:eastAsia="Times New Roman" w:hAnsi="Times New Roman" w:cs="Times New Roman"/>
          <w:color w:val="000000"/>
          <w:spacing w:val="0"/>
          <w:w w:val="100"/>
          <w:position w:val="0"/>
        </w:rPr>
        <w:t>Z</w:t>
      </w:r>
      <w:r>
        <w:rPr>
          <w:color w:val="000000"/>
          <w:spacing w:val="0"/>
          <w:w w:val="100"/>
          <w:position w:val="0"/>
        </w:rPr>
        <w:t>源</w:t>
      </w:r>
      <w:r>
        <w:rPr>
          <w:rFonts w:ascii="Times New Roman" w:eastAsia="Times New Roman" w:hAnsi="Times New Roman" w:cs="Times New Roman"/>
          <w:color w:val="000000"/>
          <w:spacing w:val="0"/>
          <w:w w:val="100"/>
          <w:position w:val="0"/>
        </w:rPr>
        <w:t>/</w:t>
      </w:r>
      <w:r>
        <w:rPr>
          <w:color w:val="000000"/>
          <w:spacing w:val="0"/>
          <w:w w:val="100"/>
          <w:position w:val="0"/>
        </w:rPr>
        <w:t>准</w:t>
      </w:r>
      <w:r>
        <w:rPr>
          <w:rFonts w:ascii="Times New Roman" w:eastAsia="Times New Roman" w:hAnsi="Times New Roman" w:cs="Times New Roman"/>
          <w:color w:val="000000"/>
          <w:spacing w:val="0"/>
          <w:w w:val="100"/>
          <w:position w:val="0"/>
        </w:rPr>
        <w:t>Z</w:t>
      </w:r>
      <w:r>
        <w:rPr>
          <w:color w:val="000000"/>
          <w:spacing w:val="0"/>
          <w:w w:val="100"/>
          <w:position w:val="0"/>
        </w:rPr>
        <w:t>源光伏逆变装置及并网电能质量控制系统”荣获省 科学技术进步二等奖；期间还分别获得</w:t>
      </w:r>
      <w:r>
        <w:rPr>
          <w:rFonts w:ascii="Times New Roman" w:eastAsia="Times New Roman" w:hAnsi="Times New Roman" w:cs="Times New Roman"/>
          <w:color w:val="000000"/>
          <w:spacing w:val="0"/>
          <w:w w:val="100"/>
          <w:position w:val="0"/>
        </w:rPr>
        <w:t>2</w:t>
      </w:r>
      <w:r>
        <w:rPr>
          <w:color w:val="000000"/>
          <w:spacing w:val="0"/>
          <w:w w:val="100"/>
          <w:position w:val="0"/>
        </w:rPr>
        <w:t>项南通市级和</w:t>
      </w:r>
      <w:r>
        <w:rPr>
          <w:rFonts w:ascii="Times New Roman" w:eastAsia="Times New Roman" w:hAnsi="Times New Roman" w:cs="Times New Roman"/>
          <w:color w:val="000000"/>
          <w:spacing w:val="0"/>
          <w:w w:val="100"/>
          <w:position w:val="0"/>
        </w:rPr>
        <w:t>2</w:t>
      </w:r>
      <w:r>
        <w:rPr>
          <w:color w:val="000000"/>
          <w:spacing w:val="0"/>
          <w:w w:val="100"/>
          <w:position w:val="0"/>
        </w:rPr>
        <w:t>项启东市级的科技奖项。</w:t>
      </w:r>
      <w:r>
        <w:rPr>
          <w:rFonts w:ascii="Times New Roman" w:eastAsia="Times New Roman" w:hAnsi="Times New Roman" w:cs="Times New Roman"/>
          <w:color w:val="000000"/>
          <w:spacing w:val="0"/>
          <w:w w:val="100"/>
          <w:position w:val="0"/>
        </w:rPr>
        <w:t>2013</w:t>
      </w:r>
      <w:r>
        <w:rPr>
          <w:color w:val="000000"/>
          <w:spacing w:val="0"/>
          <w:w w:val="100"/>
          <w:position w:val="0"/>
        </w:rPr>
        <w:t>年公司 累计完成授权专利</w:t>
      </w:r>
      <w:r>
        <w:rPr>
          <w:rFonts w:ascii="Times New Roman" w:eastAsia="Times New Roman" w:hAnsi="Times New Roman" w:cs="Times New Roman"/>
          <w:color w:val="000000"/>
          <w:spacing w:val="0"/>
          <w:w w:val="100"/>
          <w:position w:val="0"/>
        </w:rPr>
        <w:t>19</w:t>
      </w:r>
      <w:r>
        <w:rPr>
          <w:color w:val="000000"/>
          <w:spacing w:val="0"/>
          <w:w w:val="100"/>
          <w:position w:val="0"/>
        </w:rPr>
        <w:t>件，软件著作权</w:t>
      </w:r>
      <w:r>
        <w:rPr>
          <w:rFonts w:ascii="Times New Roman" w:eastAsia="Times New Roman" w:hAnsi="Times New Roman" w:cs="Times New Roman"/>
          <w:color w:val="000000"/>
          <w:spacing w:val="0"/>
          <w:w w:val="100"/>
          <w:position w:val="0"/>
        </w:rPr>
        <w:t>8</w:t>
      </w:r>
      <w:r>
        <w:rPr>
          <w:color w:val="000000"/>
          <w:spacing w:val="0"/>
          <w:w w:val="100"/>
          <w:position w:val="0"/>
        </w:rPr>
        <w:t xml:space="preserve">项，在申请的专利中，发明专利申请达到了 </w:t>
      </w:r>
      <w:r>
        <w:rPr>
          <w:rFonts w:ascii="Times New Roman" w:eastAsia="Times New Roman" w:hAnsi="Times New Roman" w:cs="Times New Roman"/>
          <w:color w:val="000000"/>
          <w:spacing w:val="0"/>
          <w:w w:val="100"/>
          <w:position w:val="0"/>
        </w:rPr>
        <w:t>12</w:t>
      </w:r>
      <w:r>
        <w:rPr>
          <w:color w:val="000000"/>
          <w:spacing w:val="0"/>
          <w:w w:val="100"/>
          <w:position w:val="0"/>
        </w:rPr>
        <w:t>件。</w:t>
      </w:r>
    </w:p>
    <w:p>
      <w:pPr>
        <w:pStyle w:val="Style29"/>
        <w:keepNext/>
        <w:keepLines/>
        <w:widowControl w:val="0"/>
        <w:shd w:val="clear" w:color="auto" w:fill="auto"/>
        <w:tabs>
          <w:tab w:pos="757" w:val="left"/>
        </w:tabs>
        <w:bidi w:val="0"/>
        <w:spacing w:before="0" w:after="120" w:line="274" w:lineRule="exact"/>
        <w:ind w:left="0" w:right="0" w:firstLine="42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4</w:t>
      </w:r>
      <w:bookmarkEnd w:id="88"/>
      <w:r>
        <w:rPr>
          <w:color w:val="000000"/>
          <w:spacing w:val="0"/>
          <w:w w:val="100"/>
          <w:position w:val="0"/>
        </w:rPr>
        <w:t>）</w:t>
        <w:tab/>
        <w:t>提升公司自动化水平及精益生产导入，全面控制成本。</w:t>
      </w:r>
      <w:bookmarkEnd w:id="86"/>
      <w:bookmarkEnd w:id="87"/>
      <w:bookmarkEnd w:id="89"/>
    </w:p>
    <w:p>
      <w:pPr>
        <w:pStyle w:val="Style12"/>
        <w:keepNext w:val="0"/>
        <w:keepLines w:val="0"/>
        <w:widowControl w:val="0"/>
        <w:shd w:val="clear" w:color="auto" w:fill="auto"/>
        <w:bidi w:val="0"/>
        <w:spacing w:before="0" w:after="120" w:line="274" w:lineRule="exact"/>
        <w:ind w:left="420" w:right="0" w:firstLine="420"/>
        <w:jc w:val="both"/>
      </w:pPr>
      <w:r>
        <w:rPr>
          <w:color w:val="000000"/>
          <w:spacing w:val="0"/>
          <w:w w:val="100"/>
          <w:position w:val="0"/>
        </w:rPr>
        <w:t>为了顺应行业发展趋势和公司发展的需求，</w:t>
      </w:r>
      <w:r>
        <w:rPr>
          <w:rFonts w:ascii="Times New Roman" w:eastAsia="Times New Roman" w:hAnsi="Times New Roman" w:cs="Times New Roman"/>
          <w:color w:val="000000"/>
          <w:spacing w:val="0"/>
          <w:w w:val="100"/>
          <w:position w:val="0"/>
        </w:rPr>
        <w:t>2013</w:t>
      </w:r>
      <w:r>
        <w:rPr>
          <w:color w:val="000000"/>
          <w:spacing w:val="0"/>
          <w:w w:val="100"/>
          <w:position w:val="0"/>
        </w:rPr>
        <w:t>年公司继续按照董事会提出的</w:t>
      </w:r>
      <w:r>
        <w:rPr>
          <w:rFonts w:ascii="Times New Roman" w:eastAsia="Times New Roman" w:hAnsi="Times New Roman" w:cs="Times New Roman"/>
          <w:color w:val="000000"/>
          <w:spacing w:val="0"/>
          <w:w w:val="100"/>
          <w:position w:val="0"/>
        </w:rPr>
        <w:t>"</w:t>
      </w:r>
      <w:r>
        <w:rPr>
          <w:color w:val="000000"/>
          <w:spacing w:val="0"/>
          <w:w w:val="100"/>
          <w:position w:val="0"/>
        </w:rPr>
        <w:t>增强运营 效率全力降本增效</w:t>
      </w:r>
      <w:r>
        <w:rPr>
          <w:rFonts w:ascii="Times New Roman" w:eastAsia="Times New Roman" w:hAnsi="Times New Roman" w:cs="Times New Roman"/>
          <w:color w:val="000000"/>
          <w:spacing w:val="0"/>
          <w:w w:val="100"/>
          <w:position w:val="0"/>
        </w:rPr>
        <w:t>"</w:t>
      </w:r>
      <w:r>
        <w:rPr>
          <w:color w:val="000000"/>
          <w:spacing w:val="0"/>
          <w:w w:val="100"/>
          <w:position w:val="0"/>
        </w:rPr>
        <w:t xml:space="preserve">十二字方针。紧紧围绕此核心方针，公司积极加强生产自动化的研发与革 新改造，努力提升公司生产的技术工艺水平和生产效率。报告期内，在电表行业领先的第一条 自动化调校线已顺利投入运行，目前已初步形成了颇具林洋特色的电表自动化生产模式，达到 了预期的效果；第一条面向单相电能表的精益生产示范线也已成功搭建，人均生产效率提升达 </w:t>
      </w:r>
      <w:r>
        <w:rPr>
          <w:rFonts w:ascii="Times New Roman" w:eastAsia="Times New Roman" w:hAnsi="Times New Roman" w:cs="Times New Roman"/>
          <w:color w:val="000000"/>
          <w:spacing w:val="0"/>
          <w:w w:val="100"/>
          <w:position w:val="0"/>
        </w:rPr>
        <w:t>40%</w:t>
      </w:r>
      <w:r>
        <w:rPr>
          <w:color w:val="000000"/>
          <w:spacing w:val="0"/>
          <w:w w:val="100"/>
          <w:position w:val="0"/>
        </w:rPr>
        <w:t>，实现人财物的最优资源配置和效率提升。同时各部门严格执行预算，调整采购策略，优 化设计方案，超额完成了公司提出的年度降本目标，为企业的持续盈利提供了强有力的保障。</w:t>
      </w:r>
    </w:p>
    <w:p>
      <w:pPr>
        <w:pStyle w:val="Style29"/>
        <w:keepNext/>
        <w:keepLines/>
        <w:widowControl w:val="0"/>
        <w:shd w:val="clear" w:color="auto" w:fill="auto"/>
        <w:tabs>
          <w:tab w:pos="757" w:val="left"/>
        </w:tabs>
        <w:bidi w:val="0"/>
        <w:spacing w:before="0" w:after="120" w:line="274" w:lineRule="exact"/>
        <w:ind w:left="0" w:right="0" w:firstLine="42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5</w:t>
      </w:r>
      <w:bookmarkEnd w:id="92"/>
      <w:r>
        <w:rPr>
          <w:color w:val="000000"/>
          <w:spacing w:val="0"/>
          <w:w w:val="100"/>
          <w:position w:val="0"/>
        </w:rPr>
        <w:t>）</w:t>
        <w:tab/>
        <w:t>加强人力资源管理，打造一流管理团队。</w:t>
      </w:r>
      <w:bookmarkEnd w:id="90"/>
      <w:bookmarkEnd w:id="91"/>
      <w:bookmarkEnd w:id="93"/>
    </w:p>
    <w:p>
      <w:pPr>
        <w:pStyle w:val="Style12"/>
        <w:keepNext w:val="0"/>
        <w:keepLines w:val="0"/>
        <w:widowControl w:val="0"/>
        <w:shd w:val="clear" w:color="auto" w:fill="auto"/>
        <w:bidi w:val="0"/>
        <w:spacing w:before="0" w:after="120" w:line="274" w:lineRule="exact"/>
        <w:ind w:left="420" w:right="0" w:firstLine="420"/>
        <w:jc w:val="both"/>
      </w:pPr>
      <w:r>
        <w:rPr>
          <w:color w:val="000000"/>
          <w:spacing w:val="0"/>
          <w:w w:val="100"/>
          <w:position w:val="0"/>
        </w:rPr>
        <w:t>公司董事会和总经理室高度重视人才队伍建设，</w:t>
      </w:r>
      <w:r>
        <w:rPr>
          <w:rFonts w:ascii="Times New Roman" w:eastAsia="Times New Roman" w:hAnsi="Times New Roman" w:cs="Times New Roman"/>
          <w:color w:val="000000"/>
          <w:spacing w:val="0"/>
          <w:w w:val="100"/>
          <w:position w:val="0"/>
        </w:rPr>
        <w:t>2013</w:t>
      </w:r>
      <w:r>
        <w:rPr>
          <w:color w:val="000000"/>
          <w:spacing w:val="0"/>
          <w:w w:val="100"/>
          <w:position w:val="0"/>
        </w:rPr>
        <w:t>年度，公司人力资源部广开渠道，拓 宽招聘范围，通过与高校、外地人力资源等相关部门合作，大量引进各类专业人才和高级管理 人才，全年共引进本科以上学历的各类人才</w:t>
      </w:r>
      <w:r>
        <w:rPr>
          <w:rFonts w:ascii="Times New Roman" w:eastAsia="Times New Roman" w:hAnsi="Times New Roman" w:cs="Times New Roman"/>
          <w:color w:val="000000"/>
          <w:spacing w:val="0"/>
          <w:w w:val="100"/>
          <w:position w:val="0"/>
        </w:rPr>
        <w:t>154</w:t>
      </w:r>
      <w:r>
        <w:rPr>
          <w:color w:val="000000"/>
          <w:spacing w:val="0"/>
          <w:w w:val="100"/>
          <w:position w:val="0"/>
        </w:rPr>
        <w:t>名。报告期内，公司进一步加强了对人才的培 养和锻炼，特别是由林洋大学培养的首批后备优秀人才，目前大部分已走向管理岗位并发挥着 越来越重要的作用，为公司未来的高速发展奠定了良好的人力基础。</w:t>
      </w:r>
      <w:r>
        <w:br w:type="page"/>
      </w:r>
    </w:p>
    <w:p>
      <w:pPr>
        <w:pStyle w:val="Style29"/>
        <w:keepNext/>
        <w:keepLines/>
        <w:widowControl w:val="0"/>
        <w:numPr>
          <w:ilvl w:val="0"/>
          <w:numId w:val="3"/>
        </w:numPr>
        <w:shd w:val="clear" w:color="auto" w:fill="auto"/>
        <w:bidi w:val="0"/>
        <w:spacing w:before="0" w:after="0" w:line="240" w:lineRule="auto"/>
        <w:ind w:left="0" w:right="0" w:firstLine="400"/>
        <w:jc w:val="left"/>
      </w:pPr>
      <w:bookmarkStart w:id="94" w:name="bookmark94"/>
      <w:bookmarkStart w:id="95" w:name="bookmark95"/>
      <w:bookmarkStart w:id="96" w:name="bookmark96"/>
      <w:bookmarkStart w:id="97" w:name="bookmark97"/>
      <w:bookmarkEnd w:id="96"/>
      <w:r>
        <w:rPr>
          <w:color w:val="000000"/>
          <w:spacing w:val="0"/>
          <w:w w:val="100"/>
          <w:position w:val="0"/>
        </w:rPr>
        <w:t>行业、产品或地区经营情况分析</w:t>
      </w:r>
      <w:bookmarkEnd w:id="94"/>
      <w:bookmarkEnd w:id="95"/>
      <w:bookmarkEnd w:id="97"/>
    </w:p>
    <w:p>
      <w:pPr>
        <w:pStyle w:val="Style29"/>
        <w:keepNext/>
        <w:keepLines/>
        <w:widowControl w:val="0"/>
        <w:shd w:val="clear" w:color="auto" w:fill="auto"/>
        <w:tabs>
          <w:tab w:pos="907" w:val="left"/>
        </w:tabs>
        <w:bidi w:val="0"/>
        <w:spacing w:before="0" w:after="0" w:line="240" w:lineRule="auto"/>
        <w:ind w:left="0" w:right="0" w:firstLine="400"/>
        <w:jc w:val="left"/>
      </w:pPr>
      <w:bookmarkStart w:id="94" w:name="bookmark94"/>
      <w:bookmarkStart w:id="95" w:name="bookmark95"/>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主营业务分行业、分产品情况</w:t>
      </w:r>
      <w:bookmarkEnd w:id="94"/>
      <w:bookmarkEnd w:id="95"/>
      <w:bookmarkEnd w:id="99"/>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195"/>
        <w:gridCol w:w="1690"/>
        <w:gridCol w:w="1685"/>
        <w:gridCol w:w="1186"/>
        <w:gridCol w:w="1186"/>
        <w:gridCol w:w="1186"/>
        <w:gridCol w:w="1195"/>
      </w:tblGrid>
      <w:tr>
        <w:trPr>
          <w:trHeight w:val="293"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40"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分行业</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毛利率比 上年增减</w:t>
            </w:r>
          </w:p>
          <w:p>
            <w:pPr>
              <w:pStyle w:val="Style26"/>
              <w:keepNext w:val="0"/>
              <w:keepLines w:val="0"/>
              <w:widowControl w:val="0"/>
              <w:shd w:val="clear" w:color="auto" w:fill="auto"/>
              <w:bidi w:val="0"/>
              <w:spacing w:before="0" w:after="0" w:line="278"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电工仪表 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1,895,376,009.96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1,180,785,878.49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24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2.35 </w:t>
            </w:r>
            <w:r>
              <w:rPr>
                <w:color w:val="000000"/>
                <w:spacing w:val="0"/>
                <w:w w:val="100"/>
                <w:position w:val="0"/>
              </w:rPr>
              <w:t>个百分点</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72,504,260.86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53,065,875.42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24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6.12 </w:t>
            </w:r>
            <w:r>
              <w:rPr>
                <w:color w:val="000000"/>
                <w:spacing w:val="0"/>
                <w:w w:val="100"/>
                <w:position w:val="0"/>
              </w:rPr>
              <w:t>个百分点</w:t>
            </w:r>
          </w:p>
        </w:tc>
      </w:tr>
      <w:tr>
        <w:trPr>
          <w:trHeight w:val="566"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1,967,880,270.82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1,233,851,753.92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24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2.63 </w:t>
            </w:r>
            <w:r>
              <w:rPr>
                <w:color w:val="000000"/>
                <w:spacing w:val="0"/>
                <w:w w:val="100"/>
                <w:position w:val="0"/>
              </w:rPr>
              <w:t>个百分点</w:t>
            </w:r>
          </w:p>
        </w:tc>
      </w:tr>
      <w:tr>
        <w:trPr>
          <w:trHeight w:val="288"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40"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分产品</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毛利率比 上年增减</w:t>
            </w:r>
          </w:p>
          <w:p>
            <w:pPr>
              <w:pStyle w:val="Style26"/>
              <w:keepNext w:val="0"/>
              <w:keepLines w:val="0"/>
              <w:widowControl w:val="0"/>
              <w:shd w:val="clear" w:color="auto" w:fill="auto"/>
              <w:bidi w:val="0"/>
              <w:spacing w:before="0" w:after="0" w:line="278"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电子式电 能表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1,542,263,322.16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997,545,688.75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24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3.82 </w:t>
            </w:r>
            <w:r>
              <w:rPr>
                <w:color w:val="000000"/>
                <w:spacing w:val="0"/>
                <w:w w:val="100"/>
                <w:position w:val="0"/>
              </w:rPr>
              <w:t>个百分点</w:t>
            </w:r>
          </w:p>
        </w:tc>
      </w:tr>
      <w:tr>
        <w:trPr>
          <w:trHeight w:val="83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用电信息 管理系统 及终端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304,200,928.51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150,298,713.83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24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2.81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LED</w:t>
            </w:r>
            <w:r>
              <w:rPr>
                <w:color w:val="000000"/>
                <w:spacing w:val="0"/>
                <w:w w:val="100"/>
                <w:position w:val="0"/>
              </w:rPr>
              <w:t>系列</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37,389,497.08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23,396,890.12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光伏系列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26,990,908.49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23,372,526.16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24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0.00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57,035,614.58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39,237,935.06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24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6.68 </w:t>
            </w:r>
            <w:r>
              <w:rPr>
                <w:color w:val="000000"/>
                <w:spacing w:val="0"/>
                <w:w w:val="100"/>
                <w:position w:val="0"/>
              </w:rPr>
              <w:t>个百分点</w:t>
            </w:r>
          </w:p>
        </w:tc>
      </w:tr>
      <w:tr>
        <w:trPr>
          <w:trHeight w:val="571" w:hRule="exact"/>
        </w:trPr>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主营收入 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1,967,880,270.82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1,233,851,753.92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24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2.63 </w:t>
            </w:r>
            <w:r>
              <w:rPr>
                <w:color w:val="000000"/>
                <w:spacing w:val="0"/>
                <w:w w:val="100"/>
                <w:position w:val="0"/>
              </w:rPr>
              <w:t>个百分点</w:t>
            </w:r>
          </w:p>
        </w:tc>
      </w:tr>
    </w:tbl>
    <w:p>
      <w:pPr>
        <w:widowControl w:val="0"/>
        <w:spacing w:after="239" w:line="1" w:lineRule="exact"/>
      </w:pPr>
    </w:p>
    <w:p>
      <w:pPr>
        <w:pStyle w:val="Style29"/>
        <w:keepNext/>
        <w:keepLines/>
        <w:widowControl w:val="0"/>
        <w:shd w:val="clear" w:color="auto" w:fill="auto"/>
        <w:tabs>
          <w:tab w:pos="907" w:val="left"/>
        </w:tabs>
        <w:bidi w:val="0"/>
        <w:spacing w:before="0" w:after="0" w:line="240" w:lineRule="auto"/>
        <w:ind w:left="0" w:right="0" w:firstLine="40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shd w:val="clear" w:color="auto" w:fill="FFFFFF"/>
        </w:rPr>
        <w:t>2</w:t>
      </w:r>
      <w:bookmarkEnd w:id="102"/>
      <w:r>
        <w:rPr>
          <w:color w:val="000000"/>
          <w:spacing w:val="0"/>
          <w:w w:val="100"/>
          <w:position w:val="0"/>
          <w:shd w:val="clear" w:color="auto" w:fill="FFFFFF"/>
        </w:rPr>
        <w:t>、</w:t>
      </w:r>
      <w:r>
        <w:rPr>
          <w:color w:val="000000"/>
          <w:spacing w:val="0"/>
          <w:w w:val="100"/>
          <w:position w:val="0"/>
        </w:rPr>
        <w:tab/>
        <w:t>主营业务分地区情况</w:t>
      </w:r>
      <w:bookmarkEnd w:id="100"/>
      <w:bookmarkEnd w:id="101"/>
      <w:bookmarkEnd w:id="103"/>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453"/>
        <w:gridCol w:w="3005"/>
        <w:gridCol w:w="3864"/>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境内地区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1,897,137,061.00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70,743,209.82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178.98</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主营收入合计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1,967,880,270.82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r>
    </w:tbl>
    <w:p>
      <w:pPr>
        <w:widowControl w:val="0"/>
        <w:spacing w:after="239" w:line="1" w:lineRule="exact"/>
      </w:pPr>
    </w:p>
    <w:p>
      <w:pPr>
        <w:pStyle w:val="Style29"/>
        <w:keepNext/>
        <w:keepLines/>
        <w:widowControl w:val="0"/>
        <w:numPr>
          <w:ilvl w:val="0"/>
          <w:numId w:val="3"/>
        </w:numPr>
        <w:shd w:val="clear" w:color="auto" w:fill="auto"/>
        <w:bidi w:val="0"/>
        <w:spacing w:before="0" w:after="0" w:line="240" w:lineRule="auto"/>
        <w:ind w:left="0" w:right="0" w:firstLine="400"/>
        <w:jc w:val="left"/>
      </w:pPr>
      <w:bookmarkStart w:id="104" w:name="bookmark104"/>
      <w:bookmarkStart w:id="105" w:name="bookmark105"/>
      <w:bookmarkStart w:id="106" w:name="bookmark106"/>
      <w:bookmarkStart w:id="107" w:name="bookmark107"/>
      <w:bookmarkEnd w:id="106"/>
      <w:r>
        <w:rPr>
          <w:color w:val="000000"/>
          <w:spacing w:val="0"/>
          <w:w w:val="100"/>
          <w:position w:val="0"/>
        </w:rPr>
        <w:t>资产、负债情况分析</w:t>
      </w:r>
      <w:bookmarkEnd w:id="104"/>
      <w:bookmarkEnd w:id="105"/>
      <w:bookmarkEnd w:id="107"/>
    </w:p>
    <w:p>
      <w:pPr>
        <w:pStyle w:val="Style29"/>
        <w:keepNext/>
        <w:keepLines/>
        <w:widowControl w:val="0"/>
        <w:shd w:val="clear" w:color="auto" w:fill="auto"/>
        <w:tabs>
          <w:tab w:pos="907" w:val="left"/>
        </w:tabs>
        <w:bidi w:val="0"/>
        <w:spacing w:before="0" w:after="0" w:line="240" w:lineRule="auto"/>
        <w:ind w:left="0" w:right="0" w:firstLine="400"/>
        <w:jc w:val="left"/>
      </w:pPr>
      <w:bookmarkStart w:id="104" w:name="bookmark104"/>
      <w:bookmarkStart w:id="105" w:name="bookmark105"/>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资产负债情况分析表</w:t>
      </w:r>
      <w:bookmarkEnd w:id="104"/>
      <w:bookmarkEnd w:id="105"/>
      <w:bookmarkEnd w:id="109"/>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w:t>
      </w:r>
    </w:p>
    <w:tbl>
      <w:tblPr>
        <w:tblOverlap w:val="never"/>
        <w:jc w:val="center"/>
        <w:tblLayout w:type="fixed"/>
      </w:tblPr>
      <w:tblGrid>
        <w:gridCol w:w="1862"/>
        <w:gridCol w:w="1704"/>
        <w:gridCol w:w="1272"/>
        <w:gridCol w:w="1704"/>
        <w:gridCol w:w="1277"/>
        <w:gridCol w:w="1502"/>
      </w:tblGrid>
      <w:tr>
        <w:trPr>
          <w:trHeight w:val="840"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本期期末金额 较上期期末变 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1,383,172,774.91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1,318,295,889.09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403,803,557.37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509,467,990.59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15,130,720.74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w:t>
            </w:r>
          </w:p>
        </w:tc>
      </w:tr>
    </w:tbl>
    <w:p>
      <w:pPr>
        <w:widowControl w:val="0"/>
        <w:spacing w:line="1" w:lineRule="exact"/>
      </w:pPr>
    </w:p>
    <w:tbl>
      <w:tblPr>
        <w:tblOverlap w:val="never"/>
        <w:jc w:val="center"/>
        <w:tblLayout w:type="fixed"/>
      </w:tblPr>
      <w:tblGrid>
        <w:gridCol w:w="1862"/>
        <w:gridCol w:w="1704"/>
        <w:gridCol w:w="1272"/>
        <w:gridCol w:w="1704"/>
        <w:gridCol w:w="1277"/>
        <w:gridCol w:w="1502"/>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10,933,596.88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2,767,880.73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96,504,333.01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65,636,191.09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329,182,263.06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488,964,115.15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58,328,074.00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189,726,395.22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-69.26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16,961,426.69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5,766,953.57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194.11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98,735,601.56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63,740,951.96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外币报表折算差额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-958,624.76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13,546.32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-7,176.64</w:t>
            </w:r>
          </w:p>
        </w:tc>
      </w:tr>
    </w:tbl>
    <w:p>
      <w:pPr>
        <w:pStyle w:val="Style12"/>
        <w:keepNext w:val="0"/>
        <w:keepLines w:val="0"/>
        <w:widowControl w:val="0"/>
        <w:shd w:val="clear" w:color="auto" w:fill="auto"/>
        <w:bidi w:val="0"/>
        <w:spacing w:before="0" w:after="0" w:line="273" w:lineRule="exact"/>
        <w:ind w:left="400" w:right="0" w:firstLine="20"/>
        <w:jc w:val="left"/>
      </w:pPr>
      <w:r>
        <w:rPr>
          <w:color w:val="000000"/>
          <w:spacing w:val="0"/>
          <w:w w:val="100"/>
          <w:position w:val="0"/>
        </w:rPr>
        <w:t>货币资金</w:t>
      </w:r>
      <w:r>
        <w:rPr>
          <w:color w:val="000000"/>
          <w:spacing w:val="0"/>
          <w:w w:val="100"/>
          <w:position w:val="0"/>
          <w:sz w:val="15"/>
          <w:szCs w:val="15"/>
        </w:rPr>
        <w:t>：</w:t>
      </w:r>
      <w:r>
        <w:rPr>
          <w:color w:val="000000"/>
          <w:spacing w:val="0"/>
          <w:w w:val="100"/>
          <w:position w:val="0"/>
        </w:rPr>
        <w:t>主要为货款回款所致 存货</w:t>
      </w:r>
      <w:r>
        <w:rPr>
          <w:color w:val="000000"/>
          <w:spacing w:val="0"/>
          <w:w w:val="100"/>
          <w:position w:val="0"/>
          <w:sz w:val="15"/>
          <w:szCs w:val="15"/>
        </w:rPr>
        <w:t>：</w:t>
      </w:r>
      <w:r>
        <w:rPr>
          <w:color w:val="000000"/>
          <w:spacing w:val="0"/>
          <w:w w:val="100"/>
          <w:position w:val="0"/>
        </w:rPr>
        <w:t>主要为存货采购减少所致</w:t>
      </w:r>
    </w:p>
    <w:p>
      <w:pPr>
        <w:pStyle w:val="Style12"/>
        <w:keepNext w:val="0"/>
        <w:keepLines w:val="0"/>
        <w:widowControl w:val="0"/>
        <w:shd w:val="clear" w:color="auto" w:fill="auto"/>
        <w:bidi w:val="0"/>
        <w:spacing w:before="0" w:after="0" w:line="273" w:lineRule="exact"/>
        <w:ind w:left="400" w:right="0" w:firstLine="20"/>
        <w:jc w:val="left"/>
      </w:pPr>
      <w:r>
        <w:rPr>
          <w:color w:val="000000"/>
          <w:spacing w:val="0"/>
          <w:w w:val="100"/>
          <w:position w:val="0"/>
        </w:rPr>
        <w:t>在建工程</w:t>
      </w:r>
      <w:r>
        <w:rPr>
          <w:color w:val="000000"/>
          <w:spacing w:val="0"/>
          <w:w w:val="100"/>
          <w:position w:val="0"/>
          <w:sz w:val="15"/>
          <w:szCs w:val="15"/>
        </w:rPr>
        <w:t>：</w:t>
      </w:r>
      <w:r>
        <w:rPr>
          <w:color w:val="000000"/>
          <w:spacing w:val="0"/>
          <w:w w:val="100"/>
          <w:position w:val="0"/>
        </w:rPr>
        <w:t>主要</w:t>
      </w:r>
      <w:r>
        <w:rPr>
          <w:rFonts w:ascii="Times New Roman" w:eastAsia="Times New Roman" w:hAnsi="Times New Roman" w:cs="Times New Roman"/>
          <w:color w:val="000000"/>
          <w:spacing w:val="0"/>
          <w:w w:val="100"/>
          <w:position w:val="0"/>
        </w:rPr>
        <w:t>2MW</w:t>
      </w:r>
      <w:r>
        <w:rPr>
          <w:color w:val="000000"/>
          <w:spacing w:val="0"/>
          <w:w w:val="100"/>
          <w:position w:val="0"/>
        </w:rPr>
        <w:t>光伏发电站结转固定资产所致 长期待摊费用</w:t>
      </w:r>
      <w:r>
        <w:rPr>
          <w:color w:val="000000"/>
          <w:spacing w:val="0"/>
          <w:w w:val="100"/>
          <w:position w:val="0"/>
          <w:sz w:val="15"/>
          <w:szCs w:val="15"/>
        </w:rPr>
        <w:t>：</w:t>
      </w:r>
      <w:r>
        <w:rPr>
          <w:color w:val="000000"/>
          <w:spacing w:val="0"/>
          <w:w w:val="100"/>
          <w:position w:val="0"/>
        </w:rPr>
        <w:t>主要房屋装修所致</w:t>
      </w:r>
    </w:p>
    <w:p>
      <w:pPr>
        <w:pStyle w:val="Style12"/>
        <w:keepNext w:val="0"/>
        <w:keepLines w:val="0"/>
        <w:widowControl w:val="0"/>
        <w:shd w:val="clear" w:color="auto" w:fill="auto"/>
        <w:bidi w:val="0"/>
        <w:spacing w:before="0" w:after="0" w:line="273" w:lineRule="exact"/>
        <w:ind w:left="400" w:right="0" w:firstLine="20"/>
        <w:jc w:val="left"/>
      </w:pPr>
      <w:r>
        <w:rPr>
          <w:color w:val="000000"/>
          <w:spacing w:val="0"/>
          <w:w w:val="100"/>
          <w:position w:val="0"/>
        </w:rPr>
        <w:t>应付票据</w:t>
      </w:r>
      <w:r>
        <w:rPr>
          <w:color w:val="000000"/>
          <w:spacing w:val="0"/>
          <w:w w:val="100"/>
          <w:position w:val="0"/>
          <w:sz w:val="15"/>
          <w:szCs w:val="15"/>
        </w:rPr>
        <w:t>：</w:t>
      </w:r>
      <w:r>
        <w:rPr>
          <w:color w:val="000000"/>
          <w:spacing w:val="0"/>
          <w:w w:val="100"/>
          <w:position w:val="0"/>
        </w:rPr>
        <w:t>主要为用银行承兑汇票支付增加所致 应付账款</w:t>
      </w:r>
      <w:r>
        <w:rPr>
          <w:color w:val="000000"/>
          <w:spacing w:val="0"/>
          <w:w w:val="100"/>
          <w:position w:val="0"/>
          <w:sz w:val="15"/>
          <w:szCs w:val="15"/>
        </w:rPr>
        <w:t>：</w:t>
      </w:r>
      <w:r>
        <w:rPr>
          <w:color w:val="000000"/>
          <w:spacing w:val="0"/>
          <w:w w:val="100"/>
          <w:position w:val="0"/>
        </w:rPr>
        <w:t>主要为采购材料减少所致 预收款项</w:t>
      </w:r>
      <w:r>
        <w:rPr>
          <w:color w:val="000000"/>
          <w:spacing w:val="0"/>
          <w:w w:val="100"/>
          <w:position w:val="0"/>
          <w:sz w:val="15"/>
          <w:szCs w:val="15"/>
        </w:rPr>
        <w:t>：</w:t>
      </w:r>
      <w:r>
        <w:rPr>
          <w:color w:val="000000"/>
          <w:spacing w:val="0"/>
          <w:w w:val="100"/>
          <w:position w:val="0"/>
        </w:rPr>
        <w:t>主要为预收货款减少所致</w:t>
      </w:r>
    </w:p>
    <w:p>
      <w:pPr>
        <w:pStyle w:val="Style12"/>
        <w:keepNext w:val="0"/>
        <w:keepLines w:val="0"/>
        <w:widowControl w:val="0"/>
        <w:shd w:val="clear" w:color="auto" w:fill="auto"/>
        <w:bidi w:val="0"/>
        <w:spacing w:before="0" w:after="0" w:line="273" w:lineRule="exact"/>
        <w:ind w:left="400" w:right="0" w:firstLine="20"/>
        <w:jc w:val="left"/>
      </w:pPr>
      <w:r>
        <w:rPr>
          <w:color w:val="000000"/>
          <w:spacing w:val="0"/>
          <w:w w:val="100"/>
          <w:position w:val="0"/>
        </w:rPr>
        <w:t>其他非流动负债</w:t>
      </w:r>
      <w:r>
        <w:rPr>
          <w:color w:val="000000"/>
          <w:spacing w:val="0"/>
          <w:w w:val="100"/>
          <w:position w:val="0"/>
          <w:sz w:val="15"/>
          <w:szCs w:val="15"/>
        </w:rPr>
        <w:t>：</w:t>
      </w:r>
      <w:r>
        <w:rPr>
          <w:color w:val="000000"/>
          <w:spacing w:val="0"/>
          <w:w w:val="100"/>
          <w:position w:val="0"/>
        </w:rPr>
        <w:t>主要为收到金太阳示范工程补贴款所致 盈余公积</w:t>
      </w:r>
      <w:r>
        <w:rPr>
          <w:color w:val="000000"/>
          <w:spacing w:val="0"/>
          <w:w w:val="100"/>
          <w:position w:val="0"/>
          <w:sz w:val="15"/>
          <w:szCs w:val="15"/>
        </w:rPr>
        <w:t>：</w:t>
      </w:r>
      <w:r>
        <w:rPr>
          <w:color w:val="000000"/>
          <w:spacing w:val="0"/>
          <w:w w:val="100"/>
          <w:position w:val="0"/>
        </w:rPr>
        <w:t>主要为利润增加计提盈余公积所致</w:t>
      </w:r>
    </w:p>
    <w:p>
      <w:pPr>
        <w:pStyle w:val="Style12"/>
        <w:keepNext w:val="0"/>
        <w:keepLines w:val="0"/>
        <w:widowControl w:val="0"/>
        <w:shd w:val="clear" w:color="auto" w:fill="auto"/>
        <w:bidi w:val="0"/>
        <w:spacing w:before="0" w:after="380" w:line="273" w:lineRule="exact"/>
        <w:ind w:left="0" w:right="0"/>
        <w:jc w:val="left"/>
      </w:pPr>
      <w:r>
        <w:rPr>
          <w:color w:val="000000"/>
          <w:spacing w:val="0"/>
          <w:w w:val="100"/>
          <w:position w:val="0"/>
        </w:rPr>
        <w:t>外币报表折算差额</w:t>
      </w:r>
      <w:r>
        <w:rPr>
          <w:color w:val="000000"/>
          <w:spacing w:val="0"/>
          <w:w w:val="100"/>
          <w:position w:val="0"/>
          <w:sz w:val="15"/>
          <w:szCs w:val="15"/>
        </w:rPr>
        <w:t>：</w:t>
      </w:r>
      <w:r>
        <w:rPr>
          <w:color w:val="000000"/>
          <w:spacing w:val="0"/>
          <w:w w:val="100"/>
          <w:position w:val="0"/>
        </w:rPr>
        <w:t>主要为境外子公司汇率差所致</w:t>
      </w:r>
    </w:p>
    <w:p>
      <w:pPr>
        <w:pStyle w:val="Style29"/>
        <w:keepNext/>
        <w:keepLines/>
        <w:widowControl w:val="0"/>
        <w:shd w:val="clear" w:color="auto" w:fill="auto"/>
        <w:bidi w:val="0"/>
        <w:spacing w:before="0" w:after="100" w:line="272" w:lineRule="exact"/>
        <w:ind w:left="0" w:right="0" w:firstLine="40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w:t>
      </w:r>
      <w:bookmarkEnd w:id="112"/>
      <w:r>
        <w:rPr>
          <w:color w:val="000000"/>
          <w:spacing w:val="0"/>
          <w:w w:val="100"/>
          <w:position w:val="0"/>
        </w:rPr>
        <w:t>四</w:t>
      </w:r>
      <w:r>
        <w:rPr>
          <w:color w:val="000000"/>
          <w:spacing w:val="0"/>
          <w:w w:val="100"/>
          <w:position w:val="0"/>
        </w:rPr>
        <w:t>）</w:t>
      </w:r>
      <w:r>
        <w:rPr>
          <w:color w:val="000000"/>
          <w:spacing w:val="0"/>
          <w:w w:val="100"/>
          <w:position w:val="0"/>
        </w:rPr>
        <w:t>核心竞争力分析</w:t>
      </w:r>
      <w:bookmarkEnd w:id="110"/>
      <w:bookmarkEnd w:id="111"/>
      <w:bookmarkEnd w:id="113"/>
    </w:p>
    <w:p>
      <w:pPr>
        <w:pStyle w:val="Style12"/>
        <w:keepNext w:val="0"/>
        <w:keepLines w:val="0"/>
        <w:widowControl w:val="0"/>
        <w:shd w:val="clear" w:color="auto" w:fill="auto"/>
        <w:bidi w:val="0"/>
        <w:spacing w:before="0" w:line="272" w:lineRule="exact"/>
        <w:ind w:left="400" w:right="0" w:firstLine="440"/>
        <w:jc w:val="both"/>
      </w:pPr>
      <w:r>
        <w:rPr>
          <w:color w:val="000000"/>
          <w:spacing w:val="0"/>
          <w:w w:val="100"/>
          <w:position w:val="0"/>
        </w:rPr>
        <w:t>作为智能化电能计量和用电信息管理行业最具竞争力的企业之一，公司规模、产能、销量 与质量均列行业前茅。近年来公司董事会正确把握国家产业政策，以高瞻远瞩的战略眼光，通 过资源整合，充分发挥公司在产品研发、质量管理、市场营销、成本控制、规模生产、品牌影 响力等方面优势的基础上，提出智能、节能、新能源</w:t>
      </w:r>
      <w:r>
        <w:rPr>
          <w:rFonts w:ascii="Times New Roman" w:eastAsia="Times New Roman" w:hAnsi="Times New Roman" w:cs="Times New Roman"/>
          <w:color w:val="000000"/>
          <w:spacing w:val="0"/>
          <w:w w:val="100"/>
          <w:position w:val="0"/>
        </w:rPr>
        <w:t>"</w:t>
      </w:r>
      <w:r>
        <w:rPr>
          <w:color w:val="000000"/>
          <w:spacing w:val="0"/>
          <w:w w:val="100"/>
          <w:position w:val="0"/>
        </w:rPr>
        <w:t>三轮驱动</w:t>
      </w:r>
      <w:r>
        <w:rPr>
          <w:rFonts w:ascii="Times New Roman" w:eastAsia="Times New Roman" w:hAnsi="Times New Roman" w:cs="Times New Roman"/>
          <w:color w:val="000000"/>
          <w:spacing w:val="0"/>
          <w:w w:val="100"/>
          <w:position w:val="0"/>
        </w:rPr>
        <w:t>"</w:t>
      </w:r>
      <w:r>
        <w:rPr>
          <w:color w:val="000000"/>
          <w:spacing w:val="0"/>
          <w:w w:val="100"/>
          <w:position w:val="0"/>
        </w:rPr>
        <w:t>的战略目标，全面提升林洋电 子的整体竞争力。公司核心的竞争力体现在如下几个方面：</w:t>
      </w:r>
    </w:p>
    <w:p>
      <w:pPr>
        <w:pStyle w:val="Style12"/>
        <w:keepNext w:val="0"/>
        <w:keepLines w:val="0"/>
        <w:widowControl w:val="0"/>
        <w:shd w:val="clear" w:color="auto" w:fill="auto"/>
        <w:tabs>
          <w:tab w:pos="833" w:val="left"/>
        </w:tabs>
        <w:bidi w:val="0"/>
        <w:spacing w:before="0" w:line="272" w:lineRule="exact"/>
        <w:ind w:left="0" w:right="0"/>
        <w:jc w:val="left"/>
      </w:pPr>
      <w:bookmarkStart w:id="114" w:name="bookmark114"/>
      <w:r>
        <w:rPr>
          <w:b/>
          <w:bCs/>
          <w:color w:val="000000"/>
          <w:spacing w:val="0"/>
          <w:w w:val="100"/>
          <w:position w:val="0"/>
        </w:rPr>
        <w:t>（</w:t>
      </w:r>
      <w:bookmarkEnd w:id="11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技术研发与创新优势</w:t>
      </w:r>
    </w:p>
    <w:p>
      <w:pPr>
        <w:pStyle w:val="Style12"/>
        <w:keepNext w:val="0"/>
        <w:keepLines w:val="0"/>
        <w:widowControl w:val="0"/>
        <w:shd w:val="clear" w:color="auto" w:fill="auto"/>
        <w:bidi w:val="0"/>
        <w:spacing w:before="0" w:line="271" w:lineRule="exact"/>
        <w:ind w:left="400" w:right="0" w:firstLine="440"/>
        <w:jc w:val="both"/>
      </w:pPr>
      <w:r>
        <w:rPr>
          <w:color w:val="000000"/>
          <w:spacing w:val="0"/>
          <w:w w:val="100"/>
          <w:position w:val="0"/>
        </w:rPr>
        <w:t xml:space="preserve">公司是经科技部认定的国家重点高新技术企业，依托国家博士后科研工作站、国家级电能 表检测与校准实验室、江苏省电力电子应用工程技术研究中心、江苏省级企业技术中心等高规 格、高水平研发平台，公司在高精度电能表计量技术、网络通信技术、电力电子应用技术和产 品可靠性等方面积累了丰富的研发经验。公司通过与复旦大学、东南大学、华东理工大学、国 家电力科学研究院、中国电力科学研究院、中科院半导体所等科研机构合作，加强在智能电网、 </w:t>
      </w:r>
      <w:r>
        <w:rPr>
          <w:rFonts w:ascii="Times New Roman" w:eastAsia="Times New Roman" w:hAnsi="Times New Roman" w:cs="Times New Roman"/>
          <w:color w:val="000000"/>
          <w:spacing w:val="0"/>
          <w:w w:val="100"/>
          <w:position w:val="0"/>
        </w:rPr>
        <w:t>LED</w:t>
      </w:r>
      <w:r>
        <w:rPr>
          <w:color w:val="000000"/>
          <w:spacing w:val="0"/>
          <w:w w:val="100"/>
          <w:position w:val="0"/>
        </w:rPr>
        <w:t>照明、太阳能光伏发电等领域的技术研发与储备，同时积极承担国家和地方科技计划项目， 起草、修订了多项国家和行业标准。截至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日，公司共计获得专利</w:t>
      </w:r>
      <w:r>
        <w:rPr>
          <w:rFonts w:ascii="Times New Roman" w:eastAsia="Times New Roman" w:hAnsi="Times New Roman" w:cs="Times New Roman"/>
          <w:color w:val="000000"/>
          <w:spacing w:val="0"/>
          <w:w w:val="100"/>
          <w:position w:val="0"/>
        </w:rPr>
        <w:t>96</w:t>
      </w:r>
      <w:r>
        <w:rPr>
          <w:color w:val="000000"/>
          <w:spacing w:val="0"/>
          <w:w w:val="100"/>
          <w:position w:val="0"/>
        </w:rPr>
        <w:t>项，著作 权</w:t>
      </w:r>
      <w:r>
        <w:rPr>
          <w:rFonts w:ascii="Times New Roman" w:eastAsia="Times New Roman" w:hAnsi="Times New Roman" w:cs="Times New Roman"/>
          <w:color w:val="000000"/>
          <w:spacing w:val="0"/>
          <w:w w:val="100"/>
          <w:position w:val="0"/>
        </w:rPr>
        <w:t>40</w:t>
      </w:r>
      <w:r>
        <w:rPr>
          <w:color w:val="000000"/>
          <w:spacing w:val="0"/>
          <w:w w:val="100"/>
          <w:position w:val="0"/>
        </w:rPr>
        <w:t>项。</w:t>
      </w:r>
    </w:p>
    <w:p>
      <w:pPr>
        <w:pStyle w:val="Style12"/>
        <w:keepNext w:val="0"/>
        <w:keepLines w:val="0"/>
        <w:widowControl w:val="0"/>
        <w:shd w:val="clear" w:color="auto" w:fill="auto"/>
        <w:tabs>
          <w:tab w:pos="833" w:val="left"/>
        </w:tabs>
        <w:bidi w:val="0"/>
        <w:spacing w:before="0" w:line="272" w:lineRule="exact"/>
        <w:ind w:left="0" w:right="0"/>
        <w:jc w:val="left"/>
      </w:pPr>
      <w:bookmarkStart w:id="115" w:name="bookmark115"/>
      <w:r>
        <w:rPr>
          <w:b/>
          <w:bCs/>
          <w:color w:val="000000"/>
          <w:spacing w:val="0"/>
          <w:w w:val="100"/>
          <w:position w:val="0"/>
        </w:rPr>
        <w:t>（</w:t>
      </w:r>
      <w:bookmarkEnd w:id="11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产品质量优势</w:t>
      </w:r>
    </w:p>
    <w:p>
      <w:pPr>
        <w:pStyle w:val="Style12"/>
        <w:keepNext w:val="0"/>
        <w:keepLines w:val="0"/>
        <w:widowControl w:val="0"/>
        <w:shd w:val="clear" w:color="auto" w:fill="auto"/>
        <w:bidi w:val="0"/>
        <w:spacing w:before="0" w:line="273" w:lineRule="exact"/>
        <w:ind w:left="400" w:right="0" w:firstLine="440"/>
        <w:jc w:val="both"/>
      </w:pPr>
      <w:r>
        <w:rPr>
          <w:color w:val="000000"/>
          <w:spacing w:val="0"/>
          <w:w w:val="100"/>
          <w:position w:val="0"/>
        </w:rPr>
        <w:t>公司以大质量管理为理念、质量零缺陷为目标、管理精细化为准则、生产精益化为手段， 逐步摸索并建立了一套完备的质量管理和质量控制体系，导入并实施了</w:t>
      </w:r>
      <w:r>
        <w:rPr>
          <w:rFonts w:ascii="Times New Roman" w:eastAsia="Times New Roman" w:hAnsi="Times New Roman" w:cs="Times New Roman"/>
          <w:color w:val="000000"/>
          <w:spacing w:val="0"/>
          <w:w w:val="100"/>
          <w:position w:val="0"/>
        </w:rPr>
        <w:t>"6S</w:t>
      </w:r>
      <w:r>
        <w:rPr>
          <w:color w:val="000000"/>
          <w:spacing w:val="0"/>
          <w:w w:val="100"/>
          <w:position w:val="0"/>
        </w:rPr>
        <w:t>管理</w:t>
      </w:r>
      <w:r>
        <w:rPr>
          <w:rFonts w:ascii="Times New Roman" w:eastAsia="Times New Roman" w:hAnsi="Times New Roman" w:cs="Times New Roman"/>
          <w:color w:val="000000"/>
          <w:spacing w:val="0"/>
          <w:w w:val="100"/>
          <w:position w:val="0"/>
        </w:rPr>
        <w:t>"</w:t>
      </w:r>
      <w:r>
        <w:rPr>
          <w:color w:val="000000"/>
          <w:spacing w:val="0"/>
          <w:w w:val="100"/>
          <w:position w:val="0"/>
        </w:rPr>
        <w:t>精益生产</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零缺陷管理</w:t>
      </w:r>
      <w:r>
        <w:rPr>
          <w:rFonts w:ascii="Times New Roman" w:eastAsia="Times New Roman" w:hAnsi="Times New Roman" w:cs="Times New Roman"/>
          <w:color w:val="000000"/>
          <w:spacing w:val="0"/>
          <w:w w:val="100"/>
          <w:position w:val="0"/>
        </w:rPr>
        <w:t>"</w:t>
      </w:r>
      <w:r>
        <w:rPr>
          <w:color w:val="000000"/>
          <w:spacing w:val="0"/>
          <w:w w:val="100"/>
          <w:position w:val="0"/>
        </w:rPr>
        <w:t>卓越绩效模式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"ERP</w:t>
      </w:r>
      <w:r>
        <w:rPr>
          <w:rFonts w:ascii="Times New Roman" w:eastAsia="Times New Roman" w:hAnsi="Times New Roman" w:cs="Times New Roman"/>
          <w:color w:val="000000"/>
          <w:spacing w:val="0"/>
          <w:w w:val="100"/>
          <w:position w:val="0"/>
        </w:rPr>
        <w:t>"</w:t>
      </w:r>
      <w:r>
        <w:rPr>
          <w:color w:val="000000"/>
          <w:spacing w:val="0"/>
          <w:w w:val="100"/>
          <w:position w:val="0"/>
        </w:rPr>
        <w:t>等先进的管理方法和手段，并在生产实践中不断改进提 高。依托于精益化的高效制造体系，自动化的生产工艺流程及透明可控的信息化的制造过程数 据监控与质量预警系统，林洋建立了国际先进水平的生产管理及质量控制体系，并且在国内同 类产品制造行业中首创建立了国家级标准实验室。多年来，凭借高水平的质量管理体系和高标 准的产品质量控制，公司及公司主要产品陆续获得国内外质量检测、评定机构的多项权威认证。</w:t>
      </w:r>
    </w:p>
    <w:p>
      <w:pPr>
        <w:pStyle w:val="Style12"/>
        <w:keepNext w:val="0"/>
        <w:keepLines w:val="0"/>
        <w:widowControl w:val="0"/>
        <w:shd w:val="clear" w:color="auto" w:fill="auto"/>
        <w:tabs>
          <w:tab w:pos="833" w:val="left"/>
        </w:tabs>
        <w:bidi w:val="0"/>
        <w:spacing w:before="0" w:line="272" w:lineRule="exact"/>
        <w:ind w:left="0" w:right="0"/>
        <w:jc w:val="left"/>
      </w:pPr>
      <w:bookmarkStart w:id="116" w:name="bookmark116"/>
      <w:r>
        <w:rPr>
          <w:b/>
          <w:bCs/>
          <w:color w:val="000000"/>
          <w:spacing w:val="0"/>
          <w:w w:val="100"/>
          <w:position w:val="0"/>
        </w:rPr>
        <w:t>（</w:t>
      </w:r>
      <w:bookmarkEnd w:id="11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营销网络优势</w:t>
      </w:r>
    </w:p>
    <w:p>
      <w:pPr>
        <w:pStyle w:val="Style12"/>
        <w:keepNext w:val="0"/>
        <w:keepLines w:val="0"/>
        <w:widowControl w:val="0"/>
        <w:shd w:val="clear" w:color="auto" w:fill="auto"/>
        <w:bidi w:val="0"/>
        <w:spacing w:before="0" w:line="278" w:lineRule="exact"/>
        <w:ind w:left="400" w:right="0" w:firstLine="440"/>
        <w:jc w:val="both"/>
      </w:pPr>
      <w:r>
        <w:rPr>
          <w:color w:val="000000"/>
          <w:spacing w:val="0"/>
          <w:w w:val="100"/>
          <w:position w:val="0"/>
        </w:rPr>
        <w:t xml:space="preserve">公司经过多年市场开拓，长期实践与推广技术营销、无缝营销，在电力系统及非电力系统 客户中建立了良好的口碑。公司通过推广技术营销，在营销管理团队中加入营销工程师，以技 </w:t>
      </w:r>
      <w:r>
        <w:rPr>
          <w:color w:val="000000"/>
          <w:spacing w:val="0"/>
          <w:w w:val="100"/>
          <w:position w:val="0"/>
        </w:rPr>
        <w:t>术为先导，充分利用产品的技术优势与专家顾问的专业优势来拓展和赢得市场，进而提高企业 的核心竞争力。同时，公司在营销实践中通过推广无缝营销，从客户需求出发，建立了完善的 服务网络，增强了公司产品的市场知名度，从客户出发为客户服务的营销理念提升了公司品牌 的客户认可度。目前公司已构建了融合市场、服务与技术于一体的强大的营销服务体系，产品 已经遍布全国各个角落，并远销到欧洲、南美洲、中东、澳大利亚等</w:t>
      </w:r>
      <w:r>
        <w:rPr>
          <w:rFonts w:ascii="Times New Roman" w:eastAsia="Times New Roman" w:hAnsi="Times New Roman" w:cs="Times New Roman"/>
          <w:color w:val="000000"/>
          <w:spacing w:val="0"/>
          <w:w w:val="100"/>
          <w:position w:val="0"/>
        </w:rPr>
        <w:t>20</w:t>
      </w:r>
      <w:r>
        <w:rPr>
          <w:color w:val="000000"/>
          <w:spacing w:val="0"/>
          <w:w w:val="100"/>
          <w:position w:val="0"/>
        </w:rPr>
        <w:t>多个国家和地区。公司 强大的营销网络资源，具有较高的延伸性，能有效地支撑公司新业务战略的实施。</w:t>
      </w:r>
    </w:p>
    <w:p>
      <w:pPr>
        <w:pStyle w:val="Style12"/>
        <w:keepNext w:val="0"/>
        <w:keepLines w:val="0"/>
        <w:widowControl w:val="0"/>
        <w:shd w:val="clear" w:color="auto" w:fill="auto"/>
        <w:tabs>
          <w:tab w:pos="858" w:val="left"/>
        </w:tabs>
        <w:bidi w:val="0"/>
        <w:spacing w:before="0" w:line="272" w:lineRule="exact"/>
        <w:ind w:left="0" w:right="0" w:firstLine="420"/>
        <w:jc w:val="left"/>
      </w:pPr>
      <w:bookmarkStart w:id="117" w:name="bookmark117"/>
      <w:r>
        <w:rPr>
          <w:b/>
          <w:bCs/>
          <w:color w:val="000000"/>
          <w:spacing w:val="0"/>
          <w:w w:val="100"/>
          <w:position w:val="0"/>
        </w:rPr>
        <w:t>（</w:t>
      </w:r>
      <w:bookmarkEnd w:id="11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规模化优势</w:t>
      </w:r>
    </w:p>
    <w:p>
      <w:pPr>
        <w:pStyle w:val="Style12"/>
        <w:keepNext w:val="0"/>
        <w:keepLines w:val="0"/>
        <w:widowControl w:val="0"/>
        <w:shd w:val="clear" w:color="auto" w:fill="auto"/>
        <w:bidi w:val="0"/>
        <w:spacing w:before="0" w:line="268" w:lineRule="exact"/>
        <w:ind w:left="420" w:right="0" w:firstLine="420"/>
        <w:jc w:val="both"/>
      </w:pPr>
      <w:r>
        <w:rPr>
          <w:color w:val="000000"/>
          <w:spacing w:val="0"/>
          <w:w w:val="100"/>
          <w:position w:val="0"/>
        </w:rPr>
        <w:t>公司经过多年的持续快速发展，已成为国内规模最大的智能化电能计量与用电信息管理系 统供应商之一，公司生产方面制定了</w:t>
      </w:r>
      <w:r>
        <w:rPr>
          <w:rFonts w:ascii="Times New Roman" w:eastAsia="Times New Roman" w:hAnsi="Times New Roman" w:cs="Times New Roman"/>
          <w:color w:val="000000"/>
          <w:spacing w:val="0"/>
          <w:w w:val="100"/>
          <w:position w:val="0"/>
        </w:rPr>
        <w:t>"</w:t>
      </w:r>
      <w:r>
        <w:rPr>
          <w:color w:val="000000"/>
          <w:spacing w:val="0"/>
          <w:w w:val="100"/>
          <w:position w:val="0"/>
        </w:rPr>
        <w:t>精益化，自动化，信息化</w:t>
      </w:r>
      <w:r>
        <w:rPr>
          <w:rFonts w:ascii="Times New Roman" w:eastAsia="Times New Roman" w:hAnsi="Times New Roman" w:cs="Times New Roman"/>
          <w:color w:val="000000"/>
          <w:spacing w:val="0"/>
          <w:w w:val="100"/>
          <w:position w:val="0"/>
        </w:rPr>
        <w:t>"</w:t>
      </w:r>
      <w:r>
        <w:rPr>
          <w:color w:val="000000"/>
          <w:spacing w:val="0"/>
          <w:w w:val="100"/>
          <w:position w:val="0"/>
        </w:rPr>
        <w:t>的发展战略，大力推进实施精 益生产体系，进行全面的生产流程及关键工序的自动化改造，建立了贯穿从接单直至成品发货 的制造业务全流程的</w:t>
      </w:r>
      <w:r>
        <w:rPr>
          <w:rFonts w:ascii="Times New Roman" w:eastAsia="Times New Roman" w:hAnsi="Times New Roman" w:cs="Times New Roman"/>
          <w:color w:val="000000"/>
          <w:spacing w:val="0"/>
          <w:w w:val="100"/>
          <w:position w:val="0"/>
        </w:rPr>
        <w:t xml:space="preserve">MES </w:t>
      </w:r>
      <w:r>
        <w:rPr>
          <w:color w:val="000000"/>
          <w:spacing w:val="0"/>
          <w:w w:val="100"/>
          <w:position w:val="0"/>
        </w:rPr>
        <w:t>（制造执行信息系统）。依托于</w:t>
      </w:r>
      <w:r>
        <w:rPr>
          <w:rFonts w:ascii="Times New Roman" w:eastAsia="Times New Roman" w:hAnsi="Times New Roman" w:cs="Times New Roman"/>
          <w:color w:val="000000"/>
          <w:spacing w:val="0"/>
          <w:w w:val="100"/>
          <w:position w:val="0"/>
        </w:rPr>
        <w:t>"</w:t>
      </w:r>
      <w:r>
        <w:rPr>
          <w:color w:val="000000"/>
          <w:spacing w:val="0"/>
          <w:w w:val="100"/>
          <w:position w:val="0"/>
        </w:rPr>
        <w:t>高质量，低成本，快响应</w:t>
      </w:r>
      <w:r>
        <w:rPr>
          <w:rFonts w:ascii="Times New Roman" w:eastAsia="Times New Roman" w:hAnsi="Times New Roman" w:cs="Times New Roman"/>
          <w:color w:val="000000"/>
          <w:spacing w:val="0"/>
          <w:w w:val="100"/>
          <w:position w:val="0"/>
        </w:rPr>
        <w:t>"</w:t>
      </w:r>
      <w:r>
        <w:rPr>
          <w:color w:val="000000"/>
          <w:spacing w:val="0"/>
          <w:w w:val="100"/>
          <w:position w:val="0"/>
        </w:rPr>
        <w:t>的具有林洋 特色的卓越制造体系，凭借着公司规模化生产，显著提升了公司参与市场竞争和抵御风险的能 力：第一，公司在原材料采购中具有一定的谈判地位，相对有利于控制和降低生产成本；第二， 公司能够投入较大力量研究产品的关键技术和为客户提供全面的技术服务和技术支持；第三， 公司研发、采购、生产、销售、管理以及售后服务等各个环节协同效应高，在快速满足客户需 求上具有明显优势；第四，规模优势使公司有实力和能力适应市场的快速变化，尤其是承接集 中、大量订单的能力。</w:t>
      </w:r>
    </w:p>
    <w:p>
      <w:pPr>
        <w:pStyle w:val="Style29"/>
        <w:keepNext/>
        <w:keepLines/>
        <w:widowControl w:val="0"/>
        <w:shd w:val="clear" w:color="auto" w:fill="auto"/>
        <w:tabs>
          <w:tab w:pos="858" w:val="left"/>
        </w:tabs>
        <w:bidi w:val="0"/>
        <w:spacing w:before="0" w:after="100" w:line="272" w:lineRule="exact"/>
        <w:ind w:left="0" w:right="0" w:firstLine="42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w:t>
        <w:tab/>
        <w:t>品牌优势</w:t>
      </w:r>
      <w:bookmarkEnd w:id="118"/>
      <w:bookmarkEnd w:id="119"/>
      <w:bookmarkEnd w:id="121"/>
    </w:p>
    <w:p>
      <w:pPr>
        <w:pStyle w:val="Style12"/>
        <w:keepNext w:val="0"/>
        <w:keepLines w:val="0"/>
        <w:widowControl w:val="0"/>
        <w:shd w:val="clear" w:color="auto" w:fill="auto"/>
        <w:bidi w:val="0"/>
        <w:spacing w:before="0" w:line="274" w:lineRule="exact"/>
        <w:ind w:left="420" w:right="0" w:firstLine="420"/>
        <w:jc w:val="both"/>
      </w:pPr>
      <w:r>
        <w:rPr>
          <w:color w:val="000000"/>
          <w:spacing w:val="0"/>
          <w:w w:val="100"/>
          <w:position w:val="0"/>
        </w:rPr>
        <w:t>公司依托技术、质量、营销、规模等综合优势，致力打造林洋品牌，提出并实践</w:t>
      </w:r>
      <w:r>
        <w:rPr>
          <w:rFonts w:ascii="Times New Roman" w:eastAsia="Times New Roman" w:hAnsi="Times New Roman" w:cs="Times New Roman"/>
          <w:color w:val="000000"/>
          <w:spacing w:val="0"/>
          <w:w w:val="100"/>
          <w:position w:val="0"/>
        </w:rPr>
        <w:t>"</w:t>
      </w:r>
      <w:r>
        <w:rPr>
          <w:color w:val="000000"/>
          <w:spacing w:val="0"/>
          <w:w w:val="100"/>
          <w:position w:val="0"/>
        </w:rPr>
        <w:t>创世界名 牌、树百年林洋</w:t>
      </w:r>
      <w:r>
        <w:rPr>
          <w:rFonts w:ascii="Times New Roman" w:eastAsia="Times New Roman" w:hAnsi="Times New Roman" w:cs="Times New Roman"/>
          <w:color w:val="000000"/>
          <w:spacing w:val="0"/>
          <w:w w:val="100"/>
          <w:position w:val="0"/>
        </w:rPr>
        <w:t>"</w:t>
      </w:r>
      <w:r>
        <w:rPr>
          <w:color w:val="000000"/>
          <w:spacing w:val="0"/>
          <w:w w:val="100"/>
          <w:position w:val="0"/>
        </w:rPr>
        <w:t>的品牌发展战略。凭借过硬的产品质量、完善的客户服务体系、诚信的经营理 念、领先的企业文化建设，奠定了公司品牌在下游客户中的广泛认知度和在电子式电能表市场 的深刻影响力，公司在国家电网的招标中连续多年位列前三。</w:t>
      </w:r>
      <w:r>
        <w:rPr>
          <w:rFonts w:ascii="Times New Roman" w:eastAsia="Times New Roman" w:hAnsi="Times New Roman" w:cs="Times New Roman"/>
          <w:color w:val="000000"/>
          <w:spacing w:val="0"/>
          <w:w w:val="100"/>
          <w:position w:val="0"/>
        </w:rPr>
        <w:t>"</w:t>
      </w:r>
      <w:r>
        <w:rPr>
          <w:color w:val="000000"/>
          <w:spacing w:val="0"/>
          <w:w w:val="100"/>
          <w:position w:val="0"/>
        </w:rPr>
        <w:t>林洋</w:t>
      </w:r>
      <w:r>
        <w:rPr>
          <w:rFonts w:ascii="Times New Roman" w:eastAsia="Times New Roman" w:hAnsi="Times New Roman" w:cs="Times New Roman"/>
          <w:color w:val="000000"/>
          <w:spacing w:val="0"/>
          <w:w w:val="100"/>
          <w:position w:val="0"/>
        </w:rPr>
        <w:t>"</w:t>
      </w:r>
      <w:r>
        <w:rPr>
          <w:color w:val="000000"/>
          <w:spacing w:val="0"/>
          <w:w w:val="100"/>
          <w:position w:val="0"/>
        </w:rPr>
        <w:t>商标被国家工商行政管理 总局商标局认定为中国驰名商标。</w:t>
      </w:r>
    </w:p>
    <w:p>
      <w:pPr>
        <w:pStyle w:val="Style12"/>
        <w:keepNext w:val="0"/>
        <w:keepLines w:val="0"/>
        <w:widowControl w:val="0"/>
        <w:shd w:val="clear" w:color="auto" w:fill="auto"/>
        <w:tabs>
          <w:tab w:pos="858" w:val="left"/>
        </w:tabs>
        <w:bidi w:val="0"/>
        <w:spacing w:before="0" w:line="272" w:lineRule="exact"/>
        <w:ind w:left="0" w:right="0" w:firstLine="420"/>
        <w:jc w:val="left"/>
      </w:pPr>
      <w:bookmarkStart w:id="122" w:name="bookmark122"/>
      <w:r>
        <w:rPr>
          <w:b/>
          <w:bCs/>
          <w:color w:val="000000"/>
          <w:spacing w:val="0"/>
          <w:w w:val="100"/>
          <w:position w:val="0"/>
        </w:rPr>
        <w:t>（</w:t>
      </w:r>
      <w:bookmarkEnd w:id="12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新业务先发优势</w:t>
      </w:r>
    </w:p>
    <w:p>
      <w:pPr>
        <w:pStyle w:val="Style12"/>
        <w:keepNext w:val="0"/>
        <w:keepLines w:val="0"/>
        <w:widowControl w:val="0"/>
        <w:shd w:val="clear" w:color="auto" w:fill="auto"/>
        <w:bidi w:val="0"/>
        <w:spacing w:before="0" w:after="240" w:line="274" w:lineRule="exact"/>
        <w:ind w:left="420" w:right="0" w:firstLine="420"/>
        <w:jc w:val="both"/>
      </w:pPr>
      <w:r>
        <w:rPr>
          <w:color w:val="000000"/>
          <w:spacing w:val="0"/>
          <w:w w:val="100"/>
          <w:position w:val="0"/>
        </w:rPr>
        <w:t>作为国内最早投资光伏和屋顶电站的企业之一，公司在屋顶电站集成和运营方面具有长期 而深厚的积累。在电力系统内的良好口碑及专业化销售、服务网络对公司布局分布式光伏业务、 创新商业模式和提升项目收益水平创造了必要的条件。同时，公司在主营业务方面稳定的发展 也为公司开拓分布式光伏市场、向新业务高速转型提供了强大而持续的资金支持。</w:t>
      </w:r>
    </w:p>
    <w:p>
      <w:pPr>
        <w:pStyle w:val="Style29"/>
        <w:keepNext/>
        <w:keepLines/>
        <w:widowControl w:val="0"/>
        <w:shd w:val="clear" w:color="auto" w:fill="auto"/>
        <w:bidi w:val="0"/>
        <w:spacing w:before="0" w:after="100" w:line="272" w:lineRule="exact"/>
        <w:ind w:left="0" w:right="0" w:firstLine="42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w:t>
      </w:r>
      <w:bookmarkEnd w:id="125"/>
      <w:r>
        <w:rPr>
          <w:color w:val="000000"/>
          <w:spacing w:val="0"/>
          <w:w w:val="100"/>
          <w:position w:val="0"/>
        </w:rPr>
        <w:t>五</w:t>
      </w:r>
      <w:r>
        <w:rPr>
          <w:color w:val="000000"/>
          <w:spacing w:val="0"/>
          <w:w w:val="100"/>
          <w:position w:val="0"/>
        </w:rPr>
        <w:t>）</w:t>
      </w:r>
      <w:r>
        <w:rPr>
          <w:color w:val="000000"/>
          <w:spacing w:val="0"/>
          <w:w w:val="100"/>
          <w:position w:val="0"/>
        </w:rPr>
        <w:t>投资状况分析</w:t>
      </w:r>
      <w:bookmarkEnd w:id="123"/>
      <w:bookmarkEnd w:id="124"/>
      <w:bookmarkEnd w:id="126"/>
    </w:p>
    <w:p>
      <w:pPr>
        <w:pStyle w:val="Style29"/>
        <w:keepNext/>
        <w:keepLines/>
        <w:widowControl w:val="0"/>
        <w:shd w:val="clear" w:color="auto" w:fill="auto"/>
        <w:tabs>
          <w:tab w:pos="858" w:val="left"/>
        </w:tabs>
        <w:bidi w:val="0"/>
        <w:spacing w:before="0" w:after="100" w:line="272" w:lineRule="exact"/>
        <w:ind w:left="0" w:right="0" w:firstLine="420"/>
        <w:jc w:val="left"/>
      </w:pPr>
      <w:bookmarkStart w:id="123" w:name="bookmark123"/>
      <w:bookmarkStart w:id="124" w:name="bookmark124"/>
      <w:bookmarkStart w:id="127" w:name="bookmark127"/>
      <w:bookmarkStart w:id="128" w:name="bookmark128"/>
      <w:r>
        <w:rPr>
          <w:rFonts w:ascii="Times New Roman" w:eastAsia="Times New Roman" w:hAnsi="Times New Roman" w:cs="Times New Roman"/>
          <w:color w:val="000000"/>
          <w:spacing w:val="0"/>
          <w:w w:val="100"/>
          <w:position w:val="0"/>
        </w:rPr>
        <w:t>1</w:t>
      </w:r>
      <w:bookmarkEnd w:id="127"/>
      <w:r>
        <w:rPr>
          <w:color w:val="000000"/>
          <w:spacing w:val="0"/>
          <w:w w:val="100"/>
          <w:position w:val="0"/>
        </w:rPr>
        <w:t>、</w:t>
        <w:tab/>
        <w:t>对外股权投资总体分析</w:t>
      </w:r>
      <w:bookmarkEnd w:id="123"/>
      <w:bookmarkEnd w:id="124"/>
      <w:bookmarkEnd w:id="128"/>
    </w:p>
    <w:p>
      <w:pPr>
        <w:pStyle w:val="Style12"/>
        <w:keepNext w:val="0"/>
        <w:keepLines w:val="0"/>
        <w:widowControl w:val="0"/>
        <w:shd w:val="clear" w:color="auto" w:fill="auto"/>
        <w:bidi w:val="0"/>
        <w:spacing w:before="0" w:line="272" w:lineRule="exact"/>
        <w:ind w:left="0" w:right="0" w:firstLine="420"/>
        <w:jc w:val="left"/>
      </w:pPr>
      <w:r>
        <w:rPr>
          <w:color w:val="000000"/>
          <w:spacing w:val="0"/>
          <w:w w:val="100"/>
          <w:position w:val="0"/>
        </w:rPr>
        <w:t>报告期内公司紧紧围绕战略规划进行对外股权投资，具体投资情况如下：</w:t>
      </w:r>
    </w:p>
    <w:p>
      <w:pPr>
        <w:pStyle w:val="Style12"/>
        <w:keepNext w:val="0"/>
        <w:keepLines w:val="0"/>
        <w:widowControl w:val="0"/>
        <w:shd w:val="clear" w:color="auto" w:fill="auto"/>
        <w:bidi w:val="0"/>
        <w:spacing w:before="0" w:line="278" w:lineRule="exact"/>
        <w:ind w:left="420" w:right="0" w:firstLine="420"/>
        <w:jc w:val="both"/>
        <w:sectPr>
          <w:footnotePr>
            <w:pos w:val="pageBottom"/>
            <w:numFmt w:val="decimal"/>
            <w:numRestart w:val="continuous"/>
          </w:footnotePr>
          <w:pgSz w:w="12240" w:h="15840"/>
          <w:pgMar w:top="1094" w:right="1096" w:bottom="1502" w:left="135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日，公司投资</w:t>
      </w:r>
      <w:r>
        <w:rPr>
          <w:rFonts w:ascii="Times New Roman" w:eastAsia="Times New Roman" w:hAnsi="Times New Roman" w:cs="Times New Roman"/>
          <w:color w:val="000000"/>
          <w:spacing w:val="0"/>
          <w:w w:val="100"/>
          <w:position w:val="0"/>
        </w:rPr>
        <w:t>1,000</w:t>
      </w:r>
      <w:r>
        <w:rPr>
          <w:color w:val="000000"/>
          <w:spacing w:val="0"/>
          <w:w w:val="100"/>
          <w:position w:val="0"/>
        </w:rPr>
        <w:t>万元设立全资子公司林洋能源科技（上海）有限公司。 注册地为上海自由贸易试验区，主要从事自营和代理仪器仪表、照明、太阳能光伏等产品的进 出口业务及相关服务。</w:t>
      </w:r>
    </w:p>
    <w:p>
      <w:pPr>
        <w:pStyle w:val="Style29"/>
        <w:keepNext/>
        <w:keepLines/>
        <w:widowControl w:val="0"/>
        <w:shd w:val="clear" w:color="auto" w:fill="auto"/>
        <w:bidi w:val="0"/>
        <w:spacing w:before="0" w:after="0" w:line="240" w:lineRule="auto"/>
        <w:ind w:left="0" w:right="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2</w:t>
      </w:r>
      <w:bookmarkEnd w:id="131"/>
      <w:r>
        <w:rPr>
          <w:color w:val="000000"/>
          <w:spacing w:val="0"/>
          <w:w w:val="100"/>
          <w:position w:val="0"/>
        </w:rPr>
        <w:t>、非金融类公司委托理财及衍生品投资的情况</w:t>
      </w:r>
      <w:bookmarkEnd w:id="129"/>
      <w:bookmarkEnd w:id="130"/>
      <w:bookmarkEnd w:id="132"/>
    </w:p>
    <w:p>
      <w:pPr>
        <w:pStyle w:val="Style29"/>
        <w:keepNext/>
        <w:keepLines/>
        <w:widowControl w:val="0"/>
        <w:numPr>
          <w:ilvl w:val="0"/>
          <w:numId w:val="5"/>
        </w:numPr>
        <w:shd w:val="clear" w:color="auto" w:fill="auto"/>
        <w:bidi w:val="0"/>
        <w:spacing w:before="0" w:after="0" w:line="240" w:lineRule="auto"/>
        <w:ind w:left="0" w:right="0"/>
        <w:jc w:val="left"/>
      </w:pPr>
      <w:bookmarkStart w:id="129" w:name="bookmark129"/>
      <w:bookmarkStart w:id="130" w:name="bookmark130"/>
      <w:bookmarkStart w:id="133" w:name="bookmark133"/>
      <w:bookmarkStart w:id="134" w:name="bookmark134"/>
      <w:bookmarkEnd w:id="133"/>
      <w:r>
        <w:rPr>
          <w:color w:val="000000"/>
          <w:spacing w:val="0"/>
          <w:w w:val="100"/>
          <w:position w:val="0"/>
        </w:rPr>
        <w:t>委托理财情况</w:t>
      </w:r>
      <w:bookmarkEnd w:id="129"/>
      <w:bookmarkEnd w:id="130"/>
      <w:bookmarkEnd w:id="134"/>
    </w:p>
    <w:p>
      <w:pPr>
        <w:pStyle w:val="Style1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委托理财产品情况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040"/>
        <w:gridCol w:w="1272"/>
        <w:gridCol w:w="854"/>
        <w:gridCol w:w="1133"/>
        <w:gridCol w:w="1133"/>
        <w:gridCol w:w="1277"/>
        <w:gridCol w:w="893"/>
        <w:gridCol w:w="835"/>
        <w:gridCol w:w="797"/>
        <w:gridCol w:w="701"/>
        <w:gridCol w:w="710"/>
        <w:gridCol w:w="427"/>
        <w:gridCol w:w="1133"/>
      </w:tblGrid>
      <w:tr>
        <w:trPr>
          <w:trHeight w:val="1114"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委托理财产 品类型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委托理 财金额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 起始日期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委托理财 终止日期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报酬确定方 式</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w:t>
            </w:r>
          </w:p>
          <w:p>
            <w:pPr>
              <w:pStyle w:val="Style26"/>
              <w:keepNext w:val="0"/>
              <w:keepLines w:val="0"/>
              <w:widowControl w:val="0"/>
              <w:shd w:val="clear" w:color="auto" w:fill="auto"/>
              <w:bidi w:val="0"/>
              <w:spacing w:before="0" w:after="0" w:line="240" w:lineRule="auto"/>
              <w:ind w:left="0" w:right="440" w:firstLine="0"/>
              <w:jc w:val="right"/>
            </w:pPr>
            <w:r>
              <w:rPr>
                <w:color w:val="000000"/>
                <w:spacing w:val="0"/>
                <w:w w:val="100"/>
                <w:position w:val="0"/>
                <w:u w:val="single"/>
              </w:rPr>
              <w:t>、</w:t>
            </w:r>
          </w:p>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益</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0" w:lineRule="exact"/>
              <w:ind w:left="200" w:right="0" w:firstLine="40"/>
              <w:jc w:val="left"/>
            </w:pPr>
            <w:r>
              <w:rPr>
                <w:color w:val="000000"/>
                <w:spacing w:val="0"/>
                <w:w w:val="100"/>
                <w:position w:val="0"/>
              </w:rPr>
              <w:t>实际 收回 本金 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实际 获得 收益</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BFBFBF"/>
            <w:textDirection w:val="tbRlV"/>
            <w:vAlign w:val="center"/>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资金来源 并说明是 否为募集 资金</w:t>
            </w:r>
          </w:p>
        </w:tc>
      </w:tr>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中国银行股份有限 公司启东支行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rPr>
              <w:t>9</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rPr>
              <w:t>9</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中国工商银行股份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rPr>
              <w:t>9</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中国建设银行股份 有限公司启东支行</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保本浮动收 益型产品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产品到期后 一次性支付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tbl>
      <w:tblPr>
        <w:tblOverlap w:val="never"/>
        <w:jc w:val="center"/>
        <w:tblLayout w:type="fixed"/>
      </w:tblPr>
      <w:tblGrid>
        <w:gridCol w:w="2040"/>
        <w:gridCol w:w="1272"/>
        <w:gridCol w:w="854"/>
        <w:gridCol w:w="1133"/>
        <w:gridCol w:w="1133"/>
        <w:gridCol w:w="1277"/>
        <w:gridCol w:w="893"/>
        <w:gridCol w:w="835"/>
        <w:gridCol w:w="797"/>
        <w:gridCol w:w="701"/>
        <w:gridCol w:w="710"/>
        <w:gridCol w:w="427"/>
        <w:gridCol w:w="1133"/>
      </w:tblGrid>
      <w:tr>
        <w:trPr>
          <w:trHeight w:val="62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中国建设银行股份 有限公司启东支行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中国建设银行股份 有限公司启东支行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保本浮动收 益型产品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产品到期后 一次性支付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71,500</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796.25</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12"/>
        <w:keepNext w:val="0"/>
        <w:keepLines w:val="0"/>
        <w:widowControl w:val="0"/>
        <w:shd w:val="clear" w:color="auto" w:fill="auto"/>
        <w:bidi w:val="0"/>
        <w:spacing w:before="0" w:after="240" w:line="281" w:lineRule="exact"/>
        <w:ind w:left="480" w:right="0" w:firstLine="420"/>
        <w:jc w:val="both"/>
      </w:pPr>
      <w:r>
        <w:rPr>
          <w:color w:val="000000"/>
          <w:spacing w:val="0"/>
          <w:w w:val="100"/>
          <w:position w:val="0"/>
        </w:rPr>
        <w:t>公司已在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日发布关于使用自有闲置资金增加委托理财额度的公告（临</w:t>
      </w:r>
      <w:r>
        <w:rPr>
          <w:rFonts w:ascii="Times New Roman" w:eastAsia="Times New Roman" w:hAnsi="Times New Roman" w:cs="Times New Roman"/>
          <w:color w:val="000000"/>
          <w:spacing w:val="0"/>
          <w:w w:val="100"/>
          <w:position w:val="0"/>
        </w:rPr>
        <w:t>2013-16</w:t>
      </w:r>
      <w:r>
        <w:rPr>
          <w:color w:val="000000"/>
          <w:spacing w:val="0"/>
          <w:w w:val="100"/>
          <w:position w:val="0"/>
        </w:rPr>
        <w:t>）,</w:t>
      </w:r>
      <w:r>
        <w:rPr>
          <w:color w:val="000000"/>
          <w:spacing w:val="0"/>
          <w:w w:val="100"/>
          <w:position w:val="0"/>
        </w:rPr>
        <w:t>公司拟使用额度不超过人民币</w:t>
      </w:r>
      <w:r>
        <w:rPr>
          <w:rFonts w:ascii="Times New Roman" w:eastAsia="Times New Roman" w:hAnsi="Times New Roman" w:cs="Times New Roman"/>
          <w:color w:val="000000"/>
          <w:spacing w:val="0"/>
          <w:w w:val="100"/>
          <w:position w:val="0"/>
        </w:rPr>
        <w:t xml:space="preserve">4 </w:t>
      </w:r>
      <w:r>
        <w:rPr>
          <w:color w:val="000000"/>
          <w:spacing w:val="0"/>
          <w:w w:val="100"/>
          <w:position w:val="0"/>
        </w:rPr>
        <w:t>亿元闲置自有资金进行低风险银行短期理财产品投资，在上述额度范围内，资金可以滚动使用，公司在报告期内投资上述</w:t>
      </w:r>
      <w:r>
        <w:rPr>
          <w:rFonts w:ascii="Times New Roman" w:eastAsia="Times New Roman" w:hAnsi="Times New Roman" w:cs="Times New Roman"/>
          <w:color w:val="000000"/>
          <w:spacing w:val="0"/>
          <w:w w:val="100"/>
          <w:position w:val="0"/>
        </w:rPr>
        <w:t>15</w:t>
      </w:r>
      <w:r>
        <w:rPr>
          <w:color w:val="000000"/>
          <w:spacing w:val="0"/>
          <w:w w:val="100"/>
          <w:position w:val="0"/>
        </w:rPr>
        <w:t>份理财产 品均符合要求。</w:t>
      </w:r>
    </w:p>
    <w:p>
      <w:pPr>
        <w:pStyle w:val="Style29"/>
        <w:keepNext/>
        <w:keepLines/>
        <w:widowControl w:val="0"/>
        <w:shd w:val="clear" w:color="auto" w:fill="auto"/>
        <w:bidi w:val="0"/>
        <w:spacing w:before="0" w:after="0" w:line="281" w:lineRule="exact"/>
        <w:ind w:left="0" w:right="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w:t>
      </w:r>
      <w:bookmarkEnd w:id="13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135"/>
      <w:bookmarkEnd w:id="136"/>
      <w:bookmarkEnd w:id="138"/>
    </w:p>
    <w:p>
      <w:pPr>
        <w:pStyle w:val="Style12"/>
        <w:keepNext w:val="0"/>
        <w:keepLines w:val="0"/>
        <w:widowControl w:val="0"/>
        <w:shd w:val="clear" w:color="auto" w:fill="auto"/>
        <w:bidi w:val="0"/>
        <w:spacing w:before="0" w:after="240" w:line="281" w:lineRule="exact"/>
        <w:ind w:left="0" w:right="0" w:firstLine="580"/>
        <w:jc w:val="left"/>
      </w:pPr>
      <w:r>
        <w:rPr>
          <w:color w:val="000000"/>
          <w:spacing w:val="0"/>
          <w:w w:val="100"/>
          <w:position w:val="0"/>
        </w:rPr>
        <w:t>本年度公司无委托贷款事项。</w:t>
      </w:r>
    </w:p>
    <w:p>
      <w:pPr>
        <w:pStyle w:val="Style29"/>
        <w:keepNext/>
        <w:keepLines/>
        <w:widowControl w:val="0"/>
        <w:shd w:val="clear" w:color="auto" w:fill="auto"/>
        <w:tabs>
          <w:tab w:pos="979" w:val="left"/>
        </w:tabs>
        <w:bidi w:val="0"/>
        <w:spacing w:before="0" w:after="0" w:line="240" w:lineRule="auto"/>
        <w:ind w:left="0" w:right="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w:t>
        <w:tab/>
        <w:t>募集资金使用情况</w:t>
      </w:r>
      <w:bookmarkEnd w:id="139"/>
      <w:bookmarkEnd w:id="140"/>
      <w:bookmarkEnd w:id="142"/>
    </w:p>
    <w:p>
      <w:pPr>
        <w:pStyle w:val="Style29"/>
        <w:keepNext/>
        <w:keepLines/>
        <w:widowControl w:val="0"/>
        <w:shd w:val="clear" w:color="auto" w:fill="auto"/>
        <w:bidi w:val="0"/>
        <w:spacing w:before="0" w:after="0" w:line="240" w:lineRule="auto"/>
        <w:ind w:left="0" w:right="0"/>
        <w:jc w:val="left"/>
      </w:pPr>
      <w:bookmarkStart w:id="139" w:name="bookmark139"/>
      <w:bookmarkStart w:id="140" w:name="bookmark140"/>
      <w:bookmarkStart w:id="143" w:name="bookmark143"/>
      <w:bookmarkStart w:id="144" w:name="bookmark144"/>
      <w:r>
        <w:rPr>
          <w:rFonts w:ascii="Times New Roman" w:eastAsia="Times New Roman" w:hAnsi="Times New Roman" w:cs="Times New Roman"/>
          <w:color w:val="000000"/>
          <w:spacing w:val="0"/>
          <w:w w:val="100"/>
          <w:position w:val="0"/>
        </w:rPr>
        <w:t>（</w:t>
      </w:r>
      <w:bookmarkEnd w:id="14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39"/>
      <w:bookmarkEnd w:id="140"/>
      <w:bookmarkEnd w:id="144"/>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811"/>
        <w:gridCol w:w="1195"/>
        <w:gridCol w:w="1699"/>
        <w:gridCol w:w="1704"/>
        <w:gridCol w:w="1699"/>
        <w:gridCol w:w="1704"/>
        <w:gridCol w:w="4118"/>
      </w:tblGrid>
      <w:tr>
        <w:trPr>
          <w:trHeight w:val="571"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募集 年份</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本年度已使用募 集资金总额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已累计使用募集 资金总额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尚未使用募集资 金总额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尚未使用募集资金用途及去向</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首次发行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1,291,699,133.00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127,390,239.14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877,501,889.98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414,197,243.02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继续投入募集资金投资项目和作其他用途。</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1,291,699,133.00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127,390,239.14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877,501,889.98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414,197,243.02</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2"/>
        <w:keepNext w:val="0"/>
        <w:keepLines w:val="0"/>
        <w:widowControl w:val="0"/>
        <w:shd w:val="clear" w:color="auto" w:fill="auto"/>
        <w:bidi w:val="0"/>
        <w:spacing w:before="0" w:line="275" w:lineRule="exact"/>
        <w:ind w:left="48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日经中国证券监督管理委员会《关于核准江苏林洋电子股份有 限公司首次公开发行股票的批复》（证监许可</w:t>
      </w:r>
      <w:r>
        <w:rPr>
          <w:rFonts w:ascii="Times New Roman" w:eastAsia="Times New Roman" w:hAnsi="Times New Roman" w:cs="Times New Roman"/>
          <w:color w:val="000000"/>
          <w:spacing w:val="0"/>
          <w:w w:val="100"/>
          <w:position w:val="0"/>
        </w:rPr>
        <w:t>[2011]633</w:t>
      </w:r>
      <w:r>
        <w:rPr>
          <w:color w:val="000000"/>
          <w:spacing w:val="0"/>
          <w:w w:val="100"/>
          <w:position w:val="0"/>
        </w:rPr>
        <w:t>号文）核准，首次向社会公开发行人民币普通股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7,500.00</w:t>
      </w:r>
      <w:r>
        <w:rPr>
          <w:color w:val="000000"/>
          <w:spacing w:val="0"/>
          <w:w w:val="100"/>
          <w:position w:val="0"/>
        </w:rPr>
        <w:t>万股，每股 发行价人民币</w:t>
      </w:r>
      <w:r>
        <w:rPr>
          <w:rFonts w:ascii="Times New Roman" w:eastAsia="Times New Roman" w:hAnsi="Times New Roman" w:cs="Times New Roman"/>
          <w:color w:val="000000"/>
          <w:spacing w:val="0"/>
          <w:w w:val="100"/>
          <w:position w:val="0"/>
        </w:rPr>
        <w:t>18</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1,350,000,000.00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58,300,867.00</w:t>
      </w:r>
      <w:r>
        <w:rPr>
          <w:color w:val="000000"/>
          <w:spacing w:val="0"/>
          <w:w w:val="100"/>
          <w:position w:val="0"/>
        </w:rPr>
        <w:t xml:space="preserve">元后实际募集资金净额为人民币 </w:t>
      </w:r>
      <w:r>
        <w:rPr>
          <w:rFonts w:ascii="Times New Roman" w:eastAsia="Times New Roman" w:hAnsi="Times New Roman" w:cs="Times New Roman"/>
          <w:color w:val="000000"/>
          <w:spacing w:val="0"/>
          <w:w w:val="100"/>
          <w:position w:val="0"/>
        </w:rPr>
        <w:t>1,291,699,133.00</w:t>
      </w:r>
      <w:r>
        <w:rPr>
          <w:color w:val="000000"/>
          <w:spacing w:val="0"/>
          <w:w w:val="100"/>
          <w:position w:val="0"/>
        </w:rPr>
        <w:t>元。上述资金已于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日业经立信会计师事务所有限公司验证到位，并出具信会师报字（</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13211</w:t>
      </w:r>
      <w:r>
        <w:rPr>
          <w:color w:val="000000"/>
          <w:spacing w:val="0"/>
          <w:w w:val="100"/>
          <w:position w:val="0"/>
        </w:rPr>
        <w:t>号 验资报告。</w:t>
      </w:r>
    </w:p>
    <w:p>
      <w:pPr>
        <w:pStyle w:val="Style53"/>
        <w:keepNext w:val="0"/>
        <w:keepLines w:val="0"/>
        <w:widowControl w:val="0"/>
        <w:shd w:val="clear" w:color="auto" w:fill="auto"/>
        <w:bidi w:val="0"/>
        <w:spacing w:before="0"/>
        <w:ind w:right="0"/>
        <w:jc w:val="both"/>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日，公司募集资金累计共使用人民币</w:t>
      </w:r>
      <w:r>
        <w:rPr>
          <w:color w:val="000000"/>
          <w:spacing w:val="0"/>
          <w:w w:val="100"/>
          <w:position w:val="0"/>
        </w:rPr>
        <w:t>877,501,889.98</w:t>
      </w:r>
      <w:r>
        <w:rPr>
          <w:rFonts w:ascii="SimSun" w:eastAsia="SimSun" w:hAnsi="SimSun" w:cs="SimSun"/>
          <w:color w:val="000000"/>
          <w:spacing w:val="0"/>
          <w:w w:val="100"/>
          <w:position w:val="0"/>
        </w:rPr>
        <w:t>元，其中：以前年度使用人民币</w:t>
      </w:r>
      <w:r>
        <w:rPr>
          <w:color w:val="000000"/>
          <w:spacing w:val="0"/>
          <w:w w:val="100"/>
          <w:position w:val="0"/>
        </w:rPr>
        <w:t>750,111,650.84</w:t>
      </w:r>
      <w:r>
        <w:rPr>
          <w:rFonts w:ascii="SimSun" w:eastAsia="SimSun" w:hAnsi="SimSun" w:cs="SimSun"/>
          <w:color w:val="000000"/>
          <w:spacing w:val="0"/>
          <w:w w:val="100"/>
          <w:position w:val="0"/>
        </w:rPr>
        <w:t>元本 年度使用人民币</w:t>
      </w:r>
      <w:r>
        <w:rPr>
          <w:color w:val="000000"/>
          <w:spacing w:val="0"/>
          <w:w w:val="100"/>
          <w:position w:val="0"/>
        </w:rPr>
        <w:t>127,390,239.14</w:t>
      </w:r>
      <w:r>
        <w:rPr>
          <w:rFonts w:ascii="SimSun" w:eastAsia="SimSun" w:hAnsi="SimSun" w:cs="SimSun"/>
          <w:color w:val="000000"/>
          <w:spacing w:val="0"/>
          <w:w w:val="100"/>
          <w:position w:val="0"/>
        </w:rPr>
        <w:t>元。截至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日，募集资金专用账户本息余额为人民币</w:t>
      </w:r>
      <w:r>
        <w:rPr>
          <w:color w:val="000000"/>
          <w:spacing w:val="0"/>
          <w:w w:val="100"/>
          <w:position w:val="0"/>
        </w:rPr>
        <w:t>448,597,398.45</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其中：本金人民 币 </w:t>
      </w:r>
      <w:r>
        <w:rPr>
          <w:color w:val="000000"/>
          <w:spacing w:val="0"/>
          <w:w w:val="100"/>
          <w:position w:val="0"/>
        </w:rPr>
        <w:t xml:space="preserve">414,197,243.02 </w:t>
      </w:r>
      <w:r>
        <w:rPr>
          <w:rFonts w:ascii="SimSun" w:eastAsia="SimSun" w:hAnsi="SimSun" w:cs="SimSun"/>
          <w:color w:val="000000"/>
          <w:spacing w:val="0"/>
          <w:w w:val="100"/>
          <w:position w:val="0"/>
        </w:rPr>
        <w:t xml:space="preserve">元，利息人民币 </w:t>
      </w:r>
      <w:r>
        <w:rPr>
          <w:color w:val="000000"/>
          <w:spacing w:val="0"/>
          <w:w w:val="100"/>
          <w:position w:val="0"/>
        </w:rPr>
        <w:t xml:space="preserve">34,400,155.43 </w:t>
      </w:r>
      <w:r>
        <w:rPr>
          <w:rFonts w:ascii="SimSun" w:eastAsia="SimSun" w:hAnsi="SimSun" w:cs="SimSun"/>
          <w:color w:val="000000"/>
          <w:spacing w:val="0"/>
          <w:w w:val="100"/>
          <w:position w:val="0"/>
        </w:rPr>
        <w:t>元。</w:t>
      </w:r>
    </w:p>
    <w:p>
      <w:pPr>
        <w:pStyle w:val="Style12"/>
        <w:keepNext w:val="0"/>
        <w:keepLines w:val="0"/>
        <w:widowControl w:val="0"/>
        <w:shd w:val="clear" w:color="auto" w:fill="auto"/>
        <w:bidi w:val="0"/>
        <w:spacing w:before="0" w:after="140" w:line="275" w:lineRule="exact"/>
        <w:ind w:left="0" w:right="0" w:firstLine="900"/>
        <w:jc w:val="left"/>
      </w:pPr>
      <w:r>
        <w:rPr>
          <w:color w:val="000000"/>
          <w:spacing w:val="0"/>
          <w:w w:val="100"/>
          <w:position w:val="0"/>
        </w:rPr>
        <w:t>募集资金总体使用情况详见公司披露的《关于公司募集资金存放与实际使用情况的专项报告》。</w:t>
      </w:r>
    </w:p>
    <w:p>
      <w:pPr>
        <w:pStyle w:val="Style12"/>
        <w:keepNext w:val="0"/>
        <w:keepLines w:val="0"/>
        <w:widowControl w:val="0"/>
        <w:shd w:val="clear" w:color="auto" w:fill="auto"/>
        <w:bidi w:val="0"/>
        <w:spacing w:before="0" w:after="0" w:line="240" w:lineRule="auto"/>
        <w:ind w:left="0" w:right="0" w:firstLine="480"/>
        <w:jc w:val="left"/>
      </w:pPr>
      <w:bookmarkStart w:id="145" w:name="bookmark145"/>
      <w:r>
        <w:rPr>
          <w:rFonts w:ascii="Times New Roman" w:eastAsia="Times New Roman" w:hAnsi="Times New Roman" w:cs="Times New Roman"/>
          <w:b/>
          <w:bCs/>
          <w:color w:val="000000"/>
          <w:spacing w:val="0"/>
          <w:w w:val="100"/>
          <w:position w:val="0"/>
        </w:rPr>
        <w:t>（</w:t>
      </w:r>
      <w:bookmarkEnd w:id="145"/>
      <w:r>
        <w:rPr>
          <w:rFonts w:ascii="Times New Roman" w:eastAsia="Times New Roman" w:hAnsi="Times New Roman" w:cs="Times New Roman"/>
          <w:b/>
          <w:bCs/>
          <w:color w:val="000000"/>
          <w:spacing w:val="0"/>
          <w:w w:val="100"/>
          <w:position w:val="0"/>
        </w:rPr>
        <w:t>2）</w:t>
      </w:r>
      <w:r>
        <w:rPr>
          <w:b/>
          <w:bCs/>
          <w:color w:val="000000"/>
          <w:spacing w:val="0"/>
          <w:w w:val="100"/>
          <w:position w:val="0"/>
        </w:rPr>
        <w:t>募集资金承诺项目使用情况</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618"/>
        <w:gridCol w:w="538"/>
        <w:gridCol w:w="1056"/>
        <w:gridCol w:w="1104"/>
        <w:gridCol w:w="1133"/>
        <w:gridCol w:w="706"/>
        <w:gridCol w:w="994"/>
        <w:gridCol w:w="994"/>
        <w:gridCol w:w="994"/>
        <w:gridCol w:w="706"/>
        <w:gridCol w:w="2054"/>
        <w:gridCol w:w="1037"/>
      </w:tblGrid>
      <w:tr>
        <w:trPr>
          <w:trHeight w:val="65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承诺项目名称</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是否 变更 项目</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募集资金拟 投入金额</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募集资金本 年度投入金 额</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募集资金实 际累计投入</w:t>
            </w:r>
          </w:p>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是否符 合计划 进度</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项目进度</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预计收益</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产生收益 情况</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04" w:lineRule="exact"/>
              <w:ind w:left="0" w:right="0" w:firstLine="0"/>
              <w:jc w:val="center"/>
              <w:rPr>
                <w:sz w:val="15"/>
                <w:szCs w:val="15"/>
              </w:rPr>
            </w:pPr>
            <w:r>
              <w:rPr>
                <w:color w:val="000000"/>
                <w:spacing w:val="0"/>
                <w:w w:val="100"/>
                <w:position w:val="0"/>
                <w:sz w:val="15"/>
                <w:szCs w:val="15"/>
              </w:rPr>
              <w:t>是否符 合预计 收益</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未达到计划进度和收益说 明</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变更原因及 募集资金变 更程序说明</w:t>
            </w:r>
          </w:p>
        </w:tc>
      </w:tr>
    </w:tbl>
    <w:tbl>
      <w:tblPr>
        <w:tblOverlap w:val="never"/>
        <w:jc w:val="center"/>
        <w:tblLayout w:type="fixed"/>
      </w:tblPr>
      <w:tblGrid>
        <w:gridCol w:w="1618"/>
        <w:gridCol w:w="538"/>
        <w:gridCol w:w="1056"/>
        <w:gridCol w:w="1104"/>
        <w:gridCol w:w="1133"/>
        <w:gridCol w:w="706"/>
        <w:gridCol w:w="994"/>
        <w:gridCol w:w="994"/>
        <w:gridCol w:w="994"/>
        <w:gridCol w:w="706"/>
        <w:gridCol w:w="2054"/>
        <w:gridCol w:w="1037"/>
      </w:tblGrid>
      <w:tr>
        <w:trPr>
          <w:trHeight w:val="4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智能电能表建设项</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44,119.50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333.59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17,828.94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9,668.20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11,902.39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智能用电信息管理 终端建设项目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14,135.50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2,085.27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4,720.99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3,765.26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4,650.90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智能电能表零部件 配套项目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15,333.10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1,579.81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7,501.69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1,958.20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719.81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成本较预计上涨</w:t>
            </w: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技术和服务中心建 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6,989.70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908.95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1,275.06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4" w:lineRule="exact"/>
              <w:ind w:left="0" w:right="0" w:firstLine="0"/>
              <w:jc w:val="left"/>
              <w:rPr>
                <w:sz w:val="15"/>
                <w:szCs w:val="15"/>
              </w:rPr>
            </w:pPr>
            <w:r>
              <w:rPr>
                <w:color w:val="000000"/>
                <w:spacing w:val="0"/>
                <w:w w:val="100"/>
                <w:position w:val="0"/>
                <w:sz w:val="15"/>
                <w:szCs w:val="15"/>
              </w:rPr>
              <w:t>所在行业技术热点变化较 快，拟延长技术和服务中 心项目建设时间至</w:t>
            </w:r>
            <w:r>
              <w:rPr>
                <w:rFonts w:ascii="Calibri" w:eastAsia="Calibri" w:hAnsi="Calibri" w:cs="Calibri"/>
                <w:color w:val="000000"/>
                <w:spacing w:val="0"/>
                <w:w w:val="100"/>
                <w:position w:val="0"/>
                <w:sz w:val="16"/>
                <w:szCs w:val="16"/>
              </w:rPr>
              <w:t>2014</w:t>
            </w:r>
            <w:r>
              <w:rPr>
                <w:color w:val="000000"/>
                <w:spacing w:val="0"/>
                <w:w w:val="100"/>
                <w:position w:val="0"/>
                <w:sz w:val="15"/>
                <w:szCs w:val="15"/>
              </w:rPr>
              <w:t>年</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6"/>
                <w:szCs w:val="16"/>
              </w:rPr>
              <w:t>12</w:t>
            </w:r>
            <w:r>
              <w:rPr>
                <w:color w:val="000000"/>
                <w:spacing w:val="0"/>
                <w:w w:val="100"/>
                <w:position w:val="0"/>
                <w:sz w:val="15"/>
                <w:szCs w:val="15"/>
              </w:rPr>
              <w:t>月</w:t>
            </w:r>
            <w:r>
              <w:rPr>
                <w:rFonts w:ascii="Calibri" w:eastAsia="Calibri" w:hAnsi="Calibri" w:cs="Calibri"/>
                <w:color w:val="000000"/>
                <w:spacing w:val="0"/>
                <w:w w:val="100"/>
                <w:position w:val="0"/>
                <w:sz w:val="16"/>
                <w:szCs w:val="16"/>
              </w:rPr>
              <w:t>31</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80,577.80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4,907.62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31,326.68</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15,391.66</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99" w:line="1" w:lineRule="exact"/>
      </w:pPr>
    </w:p>
    <w:p>
      <w:pPr>
        <w:pStyle w:val="Style12"/>
        <w:keepNext w:val="0"/>
        <w:keepLines w:val="0"/>
        <w:widowControl w:val="0"/>
        <w:shd w:val="clear" w:color="auto" w:fill="auto"/>
        <w:bidi w:val="0"/>
        <w:spacing w:before="0" w:line="276" w:lineRule="exact"/>
        <w:ind w:left="34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日，公司第二届董事会第十一次会议审议通过了《关于部分募投项目完工并将节余募集资金永久补充流动资金的议 案》，截止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日，智能电能表建设项目和智能用电信息管理终端建设项目建设期已顺利结束，实现的生产能力分别达到了 预期的</w:t>
      </w:r>
      <w:r>
        <w:rPr>
          <w:rFonts w:ascii="Times New Roman" w:eastAsia="Times New Roman" w:hAnsi="Times New Roman" w:cs="Times New Roman"/>
          <w:color w:val="000000"/>
          <w:spacing w:val="0"/>
          <w:w w:val="100"/>
          <w:position w:val="0"/>
        </w:rPr>
        <w:t>100%</w:t>
      </w:r>
      <w:r>
        <w:rPr>
          <w:color w:val="000000"/>
          <w:spacing w:val="0"/>
          <w:w w:val="100"/>
          <w:position w:val="0"/>
        </w:rPr>
        <w:t>和</w:t>
      </w:r>
      <w:r>
        <w:rPr>
          <w:rFonts w:ascii="Times New Roman" w:eastAsia="Times New Roman" w:hAnsi="Times New Roman" w:cs="Times New Roman"/>
          <w:color w:val="000000"/>
          <w:spacing w:val="0"/>
          <w:w w:val="100"/>
          <w:position w:val="0"/>
        </w:rPr>
        <w:t>101.97%</w:t>
      </w:r>
      <w:r>
        <w:rPr>
          <w:color w:val="000000"/>
          <w:spacing w:val="0"/>
          <w:w w:val="100"/>
          <w:position w:val="0"/>
        </w:rPr>
        <w:t>以上，符合募集资金投资计划，可以完工；智能电能表建设项目累计投入资金人民币</w:t>
      </w:r>
      <w:r>
        <w:rPr>
          <w:rFonts w:ascii="Times New Roman" w:eastAsia="Times New Roman" w:hAnsi="Times New Roman" w:cs="Times New Roman"/>
          <w:color w:val="000000"/>
          <w:spacing w:val="0"/>
          <w:w w:val="100"/>
          <w:position w:val="0"/>
        </w:rPr>
        <w:t>17,847.34</w:t>
      </w:r>
      <w:r>
        <w:rPr>
          <w:color w:val="000000"/>
          <w:spacing w:val="0"/>
          <w:w w:val="100"/>
          <w:position w:val="0"/>
        </w:rPr>
        <w:t>万元，智能用 电信息管理终端项目累计投入资金人民币</w:t>
      </w:r>
      <w:r>
        <w:rPr>
          <w:rFonts w:ascii="Times New Roman" w:eastAsia="Times New Roman" w:hAnsi="Times New Roman" w:cs="Times New Roman"/>
          <w:color w:val="000000"/>
          <w:spacing w:val="0"/>
          <w:w w:val="100"/>
          <w:position w:val="0"/>
        </w:rPr>
        <w:t>5,130.98</w:t>
      </w:r>
      <w:r>
        <w:rPr>
          <w:color w:val="000000"/>
          <w:spacing w:val="0"/>
          <w:w w:val="100"/>
          <w:position w:val="0"/>
        </w:rPr>
        <w:t>万元，为提高募集资金使用效率，加快资金周转，节约财务费用，拟将上述两个项 目节余资金永久补充流动资金。</w:t>
      </w:r>
    </w:p>
    <w:p>
      <w:pPr>
        <w:pStyle w:val="Style12"/>
        <w:keepNext w:val="0"/>
        <w:keepLines w:val="0"/>
        <w:widowControl w:val="0"/>
        <w:shd w:val="clear" w:color="auto" w:fill="auto"/>
        <w:bidi w:val="0"/>
        <w:spacing w:before="0" w:line="277" w:lineRule="exact"/>
        <w:ind w:left="340" w:right="0" w:firstLine="420"/>
        <w:jc w:val="both"/>
        <w:sectPr>
          <w:headerReference w:type="default" r:id="rId13"/>
          <w:footerReference w:type="default" r:id="rId14"/>
          <w:footnotePr>
            <w:pos w:val="pageBottom"/>
            <w:numFmt w:val="decimal"/>
            <w:numRestart w:val="continuous"/>
          </w:footnotePr>
          <w:pgSz w:w="15840" w:h="12240" w:orient="landscape"/>
          <w:pgMar w:top="1006" w:right="1316" w:bottom="1447" w:left="131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日，公司第二届董事会第十一次会议审议通过了《关于调整募投项目投资进度的议案》，报告期内，因市场变化以 及国家电网部分招标工作的提前完成，公司目前的生产能力已基本能满足市场需求，公司董事会充分考虑国家政策以及行业竞争格局 所带来的不确定因素，从保护中小投资者利益的出发，现决定对剩余募投项目技术和服务中心建设项目建设期延长一年，计划定于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年年底完成。</w:t>
      </w:r>
    </w:p>
    <w:p>
      <w:pPr>
        <w:pStyle w:val="Style23"/>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主要子公司、参股公司分析</w:t>
      </w:r>
    </w:p>
    <w:p>
      <w:pPr>
        <w:pStyle w:val="Style23"/>
        <w:keepNext w:val="0"/>
        <w:keepLines w:val="0"/>
        <w:widowControl w:val="0"/>
        <w:shd w:val="clear" w:color="auto" w:fill="auto"/>
        <w:bidi w:val="0"/>
        <w:spacing w:before="0" w:after="0" w:line="240" w:lineRule="auto"/>
        <w:ind w:left="56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)主要子公司分析(单位：万元)</w:t>
      </w:r>
    </w:p>
    <w:tbl>
      <w:tblPr>
        <w:tblOverlap w:val="never"/>
        <w:jc w:val="center"/>
        <w:tblLayout w:type="fixed"/>
      </w:tblPr>
      <w:tblGrid>
        <w:gridCol w:w="1546"/>
        <w:gridCol w:w="840"/>
        <w:gridCol w:w="917"/>
        <w:gridCol w:w="830"/>
        <w:gridCol w:w="1243"/>
        <w:gridCol w:w="850"/>
        <w:gridCol w:w="802"/>
        <w:gridCol w:w="1114"/>
        <w:gridCol w:w="1118"/>
        <w:gridCol w:w="926"/>
      </w:tblGrid>
      <w:tr>
        <w:trPr>
          <w:trHeight w:val="76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法人代 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业务性 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注册资 本</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sz w:val="18"/>
                <w:szCs w:val="18"/>
              </w:rPr>
              <w:t xml:space="preserve">持股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期末资产 总额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期末净资 产</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本期净 利润</w:t>
            </w:r>
          </w:p>
        </w:tc>
      </w:tr>
      <w:tr>
        <w:trPr>
          <w:trHeight w:val="61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南通林洋电气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精密在线测 量仪器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-59.59</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160"/>
              <w:jc w:val="left"/>
              <w:rPr>
                <w:sz w:val="18"/>
                <w:szCs w:val="18"/>
              </w:rPr>
            </w:pPr>
            <w:r>
              <w:rPr>
                <w:color w:val="000000"/>
                <w:spacing w:val="0"/>
                <w:w w:val="100"/>
                <w:position w:val="0"/>
                <w:sz w:val="18"/>
                <w:szCs w:val="18"/>
              </w:rPr>
              <w:t>南京林洋电力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系统集成的 研制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4,314.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346.46</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武汉奥统电气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张维川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计量仪器仪 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2,486.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148.56</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160"/>
              <w:jc w:val="left"/>
              <w:rPr>
                <w:sz w:val="18"/>
                <w:szCs w:val="18"/>
              </w:rPr>
            </w:pPr>
            <w:r>
              <w:rPr>
                <w:color w:val="000000"/>
                <w:spacing w:val="0"/>
                <w:w w:val="100"/>
                <w:position w:val="0"/>
                <w:sz w:val="18"/>
                <w:szCs w:val="18"/>
              </w:rPr>
              <w:t>安徽永安电子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安庆市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仪器仪表零 部件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25,437.20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21,378.57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860.68</w:t>
            </w:r>
          </w:p>
        </w:tc>
      </w:tr>
      <w:tr>
        <w:trPr>
          <w:trHeight w:val="69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江苏林洋新能源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光伏应用系 统及产品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9,886. </w:t>
            </w:r>
            <w:r>
              <w:rPr>
                <w:color w:val="000000"/>
                <w:spacing w:val="0"/>
                <w:w w:val="100"/>
                <w:position w:val="0"/>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9,580.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-320.77</w:t>
            </w:r>
          </w:p>
        </w:tc>
      </w:tr>
      <w:tr>
        <w:trPr>
          <w:trHeight w:val="6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林洋澳洲新能源 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墨尔本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Zhou</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Hongfei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420" w:right="0" w:hanging="420"/>
              <w:jc w:val="left"/>
              <w:rPr>
                <w:sz w:val="18"/>
                <w:szCs w:val="18"/>
              </w:rPr>
            </w:pPr>
            <w:r>
              <w:rPr>
                <w:color w:val="000000"/>
                <w:spacing w:val="0"/>
                <w:w w:val="100"/>
                <w:position w:val="0"/>
                <w:sz w:val="18"/>
                <w:szCs w:val="18"/>
              </w:rPr>
              <w:t>贸易、研发、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20"/>
                <w:szCs w:val="20"/>
              </w:rPr>
              <w:t>50</w:t>
            </w:r>
            <w:r>
              <w:rPr>
                <w:color w:val="000000"/>
                <w:spacing w:val="0"/>
                <w:w w:val="100"/>
                <w:position w:val="0"/>
                <w:sz w:val="18"/>
                <w:szCs w:val="18"/>
              </w:rPr>
              <w:t>万美 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-58.27</w:t>
            </w:r>
          </w:p>
        </w:tc>
      </w:tr>
      <w:tr>
        <w:trPr>
          <w:trHeight w:val="54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160"/>
              <w:jc w:val="left"/>
              <w:rPr>
                <w:sz w:val="18"/>
                <w:szCs w:val="18"/>
              </w:rPr>
            </w:pPr>
            <w:r>
              <w:rPr>
                <w:color w:val="000000"/>
                <w:spacing w:val="0"/>
                <w:w w:val="100"/>
                <w:position w:val="0"/>
                <w:sz w:val="18"/>
                <w:szCs w:val="18"/>
              </w:rPr>
              <w:t>江苏林洋照明 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陆永新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20"/>
                <w:szCs w:val="20"/>
              </w:rPr>
              <w:t>LED</w:t>
            </w:r>
            <w:r>
              <w:rPr>
                <w:color w:val="000000"/>
                <w:spacing w:val="0"/>
                <w:w w:val="100"/>
                <w:position w:val="0"/>
                <w:sz w:val="18"/>
                <w:szCs w:val="18"/>
              </w:rPr>
              <w:t>照明产 品及工程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7,451.31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5,383. </w:t>
            </w:r>
            <w:r>
              <w:rPr>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385.95</w:t>
            </w:r>
          </w:p>
        </w:tc>
      </w:tr>
    </w:tbl>
    <w:p>
      <w:pPr>
        <w:pStyle w:val="Style23"/>
        <w:keepNext w:val="0"/>
        <w:keepLines w:val="0"/>
        <w:widowControl w:val="0"/>
        <w:shd w:val="clear" w:color="auto" w:fill="auto"/>
        <w:bidi w:val="0"/>
        <w:spacing w:before="0" w:after="0" w:line="240" w:lineRule="auto"/>
        <w:ind w:left="994" w:right="0" w:firstLine="0"/>
        <w:jc w:val="left"/>
      </w:pPr>
      <w:r>
        <w:rPr>
          <w:b w:val="0"/>
          <w:bCs w:val="0"/>
          <w:color w:val="000000"/>
          <w:spacing w:val="0"/>
          <w:w w:val="100"/>
          <w:position w:val="0"/>
        </w:rPr>
        <w:t>报告期内，公司新设立了一家全资子公司，注销了一家子公司，具体情况如下:</w:t>
      </w:r>
    </w:p>
    <w:p>
      <w:pPr>
        <w:widowControl w:val="0"/>
        <w:spacing w:after="99" w:line="1" w:lineRule="exact"/>
      </w:pPr>
    </w:p>
    <w:p>
      <w:pPr>
        <w:pStyle w:val="Style12"/>
        <w:keepNext w:val="0"/>
        <w:keepLines w:val="0"/>
        <w:widowControl w:val="0"/>
        <w:shd w:val="clear" w:color="auto" w:fill="auto"/>
        <w:bidi w:val="0"/>
        <w:spacing w:before="0" w:line="278" w:lineRule="exact"/>
        <w:ind w:left="8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日，公司在上海自贸区成立了林洋能源科技(上海)有限公司，主要从事自营 和代理仪器仪表、照明、太阳能光伏等产品的进出口业务及相关服务。至本报告披露日，已完成本 次设立的工商登记手续。</w:t>
      </w:r>
    </w:p>
    <w:p>
      <w:pPr>
        <w:pStyle w:val="Style12"/>
        <w:keepNext w:val="0"/>
        <w:keepLines w:val="0"/>
        <w:widowControl w:val="0"/>
        <w:shd w:val="clear" w:color="auto" w:fill="auto"/>
        <w:bidi w:val="0"/>
        <w:spacing w:before="0" w:after="500" w:line="278" w:lineRule="exact"/>
        <w:ind w:left="124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日，公司子公司深圳林洋在深圳市市场监督管理局办理了企业注销登记手续。</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)主要参股公司分析(单位：万元)</w:t>
      </w:r>
    </w:p>
    <w:tbl>
      <w:tblPr>
        <w:tblOverlap w:val="never"/>
        <w:jc w:val="center"/>
        <w:tblLayout w:type="fixed"/>
      </w:tblPr>
      <w:tblGrid>
        <w:gridCol w:w="2275"/>
        <w:gridCol w:w="850"/>
        <w:gridCol w:w="850"/>
        <w:gridCol w:w="850"/>
        <w:gridCol w:w="1416"/>
        <w:gridCol w:w="710"/>
        <w:gridCol w:w="826"/>
        <w:gridCol w:w="1018"/>
        <w:gridCol w:w="1080"/>
        <w:gridCol w:w="773"/>
      </w:tblGrid>
      <w:tr>
        <w:trPr>
          <w:trHeight w:val="53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合营公司全称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法人代 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业务性 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5"/>
                <w:szCs w:val="15"/>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期末资产 总额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期末净资 产</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本期净 利润</w:t>
            </w:r>
          </w:p>
        </w:tc>
      </w:tr>
      <w:tr>
        <w:trPr>
          <w:trHeight w:val="28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江苏华源仪器仪表有限公司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张宗仪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计量仪器仪表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28,367.88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10,777.08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315.13</w:t>
            </w:r>
          </w:p>
        </w:tc>
      </w:tr>
    </w:tbl>
    <w:p>
      <w:pPr>
        <w:widowControl w:val="0"/>
        <w:spacing w:after="99" w:line="1" w:lineRule="exact"/>
      </w:pPr>
    </w:p>
    <w:p>
      <w:pPr>
        <w:pStyle w:val="Style12"/>
        <w:keepNext w:val="0"/>
        <w:keepLines w:val="0"/>
        <w:widowControl w:val="0"/>
        <w:shd w:val="clear" w:color="auto" w:fill="auto"/>
        <w:bidi w:val="0"/>
        <w:spacing w:before="0" w:after="360" w:line="276" w:lineRule="exact"/>
        <w:ind w:left="820" w:right="0" w:firstLine="420"/>
        <w:jc w:val="both"/>
      </w:pPr>
      <w:r>
        <w:rPr>
          <w:color w:val="000000"/>
          <w:spacing w:val="0"/>
          <w:w w:val="100"/>
          <w:position w:val="0"/>
        </w:rPr>
        <w:t>江苏华源于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日召开股东大会审议通过了《关于对江苏华源仪器仪表有限公司增 资的议案》，由股东江苏宁供集体资产运营中心单方增资</w:t>
      </w:r>
      <w:r>
        <w:rPr>
          <w:rFonts w:ascii="Times New Roman" w:eastAsia="Times New Roman" w:hAnsi="Times New Roman" w:cs="Times New Roman"/>
          <w:color w:val="000000"/>
          <w:spacing w:val="0"/>
          <w:w w:val="100"/>
          <w:position w:val="0"/>
        </w:rPr>
        <w:t>55</w:t>
      </w:r>
      <w:r>
        <w:rPr>
          <w:color w:val="000000"/>
          <w:spacing w:val="0"/>
          <w:w w:val="100"/>
          <w:position w:val="0"/>
        </w:rPr>
        <w:t>万，林洋电子持股比例相应调整为</w:t>
      </w:r>
      <w:r>
        <w:rPr>
          <w:rFonts w:ascii="Times New Roman" w:eastAsia="Times New Roman" w:hAnsi="Times New Roman" w:cs="Times New Roman"/>
          <w:color w:val="000000"/>
          <w:spacing w:val="0"/>
          <w:w w:val="100"/>
          <w:position w:val="0"/>
        </w:rPr>
        <w:t>49%</w:t>
      </w:r>
      <w:r>
        <w:rPr>
          <w:color w:val="000000"/>
          <w:spacing w:val="0"/>
          <w:w w:val="100"/>
          <w:position w:val="0"/>
        </w:rPr>
        <w:t>， 法人代表变更为汪蕾。</w:t>
      </w:r>
    </w:p>
    <w:p>
      <w:pPr>
        <w:pStyle w:val="Style29"/>
        <w:keepNext/>
        <w:keepLines/>
        <w:widowControl w:val="0"/>
        <w:numPr>
          <w:ilvl w:val="0"/>
          <w:numId w:val="1"/>
        </w:numPr>
        <w:shd w:val="clear" w:color="auto" w:fill="auto"/>
        <w:bidi w:val="0"/>
        <w:spacing w:before="0" w:after="100" w:line="280" w:lineRule="exact"/>
        <w:ind w:left="0" w:right="0" w:firstLine="820"/>
        <w:jc w:val="both"/>
      </w:pPr>
      <w:bookmarkStart w:id="146" w:name="bookmark146"/>
      <w:bookmarkStart w:id="147" w:name="bookmark147"/>
      <w:bookmarkStart w:id="148" w:name="bookmark148"/>
      <w:bookmarkStart w:id="149" w:name="bookmark149"/>
      <w:bookmarkEnd w:id="148"/>
      <w:r>
        <w:rPr>
          <w:color w:val="000000"/>
          <w:spacing w:val="0"/>
          <w:w w:val="100"/>
          <w:position w:val="0"/>
        </w:rPr>
        <w:t>截至本报告披露日公司其他对外股权投资事项：</w:t>
      </w:r>
      <w:bookmarkEnd w:id="146"/>
      <w:bookmarkEnd w:id="147"/>
      <w:bookmarkEnd w:id="149"/>
    </w:p>
    <w:p>
      <w:pPr>
        <w:pStyle w:val="Style12"/>
        <w:keepNext w:val="0"/>
        <w:keepLines w:val="0"/>
        <w:widowControl w:val="0"/>
        <w:shd w:val="clear" w:color="auto" w:fill="auto"/>
        <w:tabs>
          <w:tab w:pos="1562" w:val="left"/>
        </w:tabs>
        <w:bidi w:val="0"/>
        <w:spacing w:before="0" w:line="281" w:lineRule="exact"/>
        <w:ind w:left="820" w:right="0" w:firstLine="420"/>
        <w:jc w:val="both"/>
      </w:pPr>
      <w:bookmarkStart w:id="150" w:name="bookmark150"/>
      <w:r>
        <w:rPr>
          <w:rFonts w:ascii="Times New Roman" w:eastAsia="Times New Roman" w:hAnsi="Times New Roman" w:cs="Times New Roman"/>
          <w:color w:val="000000"/>
          <w:spacing w:val="0"/>
          <w:w w:val="100"/>
          <w:position w:val="0"/>
        </w:rPr>
        <w:t>1</w:t>
      </w:r>
      <w:bookmarkEnd w:id="150"/>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日，参股公司江苏华源召开股东大会审议通过了《关于对江苏华源仪器仪表 有限公司增资的议案》，增资后的注册资金变为</w:t>
      </w:r>
      <w:r>
        <w:rPr>
          <w:rFonts w:ascii="Times New Roman" w:eastAsia="Times New Roman" w:hAnsi="Times New Roman" w:cs="Times New Roman"/>
          <w:color w:val="000000"/>
          <w:spacing w:val="0"/>
          <w:w w:val="100"/>
          <w:position w:val="0"/>
        </w:rPr>
        <w:t>2755</w:t>
      </w:r>
      <w:r>
        <w:rPr>
          <w:color w:val="000000"/>
          <w:spacing w:val="0"/>
          <w:w w:val="100"/>
          <w:position w:val="0"/>
        </w:rPr>
        <w:t>万，法人代表变更为汪蕾。至本报告披露日， 已完成本次变更的工商登记手续。</w:t>
      </w:r>
    </w:p>
    <w:p>
      <w:pPr>
        <w:pStyle w:val="Style12"/>
        <w:keepNext w:val="0"/>
        <w:keepLines w:val="0"/>
        <w:widowControl w:val="0"/>
        <w:shd w:val="clear" w:color="auto" w:fill="auto"/>
        <w:tabs>
          <w:tab w:pos="1562" w:val="left"/>
        </w:tabs>
        <w:bidi w:val="0"/>
        <w:spacing w:before="0" w:line="278" w:lineRule="exact"/>
        <w:ind w:left="820" w:right="0" w:firstLine="420"/>
        <w:jc w:val="both"/>
      </w:pPr>
      <w:bookmarkStart w:id="151" w:name="bookmark151"/>
      <w:r>
        <w:rPr>
          <w:rFonts w:ascii="Times New Roman" w:eastAsia="Times New Roman" w:hAnsi="Times New Roman" w:cs="Times New Roman"/>
          <w:color w:val="000000"/>
          <w:spacing w:val="0"/>
          <w:w w:val="100"/>
          <w:position w:val="0"/>
        </w:rPr>
        <w:t>2</w:t>
      </w:r>
      <w:bookmarkEnd w:id="15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日，公司第二届董事会第九次会议审议通过《关于全资子公司</w:t>
      </w:r>
      <w:r>
        <w:rPr>
          <w:color w:val="000000"/>
          <w:spacing w:val="0"/>
          <w:w w:val="100"/>
          <w:position w:val="0"/>
        </w:rPr>
        <w:t>〈</w:t>
      </w:r>
      <w:r>
        <w:rPr>
          <w:color w:val="000000"/>
          <w:spacing w:val="0"/>
          <w:w w:val="100"/>
          <w:position w:val="0"/>
        </w:rPr>
        <w:t>江苏林洋照 明科技有限公司</w:t>
      </w:r>
      <w:r>
        <w:rPr>
          <w:color w:val="000000"/>
          <w:spacing w:val="0"/>
          <w:w w:val="100"/>
          <w:position w:val="0"/>
        </w:rPr>
        <w:t>〉</w:t>
      </w:r>
      <w:r>
        <w:rPr>
          <w:color w:val="000000"/>
          <w:spacing w:val="0"/>
          <w:w w:val="100"/>
          <w:position w:val="0"/>
        </w:rPr>
        <w:t>增加注册资本的议案》，公司拟以自有资金</w:t>
      </w:r>
      <w:r>
        <w:rPr>
          <w:rFonts w:ascii="Times New Roman" w:eastAsia="Times New Roman" w:hAnsi="Times New Roman" w:cs="Times New Roman"/>
          <w:color w:val="000000"/>
          <w:spacing w:val="0"/>
          <w:w w:val="100"/>
          <w:position w:val="0"/>
        </w:rPr>
        <w:t>5,500</w:t>
      </w:r>
      <w:r>
        <w:rPr>
          <w:color w:val="000000"/>
          <w:spacing w:val="0"/>
          <w:w w:val="100"/>
          <w:position w:val="0"/>
        </w:rPr>
        <w:t>万元对全资子公司江苏林洋照明 科技有限公司进行增资，增加后的注册资本变更为</w:t>
      </w:r>
      <w:r>
        <w:rPr>
          <w:rFonts w:ascii="Times New Roman" w:eastAsia="Times New Roman" w:hAnsi="Times New Roman" w:cs="Times New Roman"/>
          <w:color w:val="000000"/>
          <w:spacing w:val="0"/>
          <w:w w:val="100"/>
          <w:position w:val="0"/>
        </w:rPr>
        <w:t>10,500</w:t>
      </w:r>
      <w:r>
        <w:rPr>
          <w:color w:val="000000"/>
          <w:spacing w:val="0"/>
          <w:w w:val="100"/>
          <w:position w:val="0"/>
        </w:rPr>
        <w:t>万元，至本报告披露日，已完成本次增资 的工商登记手续。</w:t>
      </w:r>
    </w:p>
    <w:p>
      <w:pPr>
        <w:pStyle w:val="Style12"/>
        <w:keepNext w:val="0"/>
        <w:keepLines w:val="0"/>
        <w:widowControl w:val="0"/>
        <w:shd w:val="clear" w:color="auto" w:fill="auto"/>
        <w:bidi w:val="0"/>
        <w:spacing w:before="0" w:line="278" w:lineRule="exact"/>
        <w:ind w:left="840" w:right="0" w:firstLine="420"/>
        <w:jc w:val="both"/>
      </w:pPr>
      <w:bookmarkStart w:id="152" w:name="bookmark152"/>
      <w:r>
        <w:rPr>
          <w:rFonts w:ascii="Times New Roman" w:eastAsia="Times New Roman" w:hAnsi="Times New Roman" w:cs="Times New Roman"/>
          <w:color w:val="000000"/>
          <w:spacing w:val="0"/>
          <w:w w:val="100"/>
          <w:position w:val="0"/>
        </w:rPr>
        <w:t>3</w:t>
      </w:r>
      <w:bookmarkEnd w:id="152"/>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日，本公司全资子公司江苏林洋新能源科技有限公司在江苏启东市经济开发 区全资设立江苏林洋光伏科技有限公司，注册资本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万元人民币。至本报告披露日，已完成本 次设立的工商登记手续。</w:t>
      </w:r>
    </w:p>
    <w:p>
      <w:pPr>
        <w:pStyle w:val="Style12"/>
        <w:keepNext w:val="0"/>
        <w:keepLines w:val="0"/>
        <w:widowControl w:val="0"/>
        <w:shd w:val="clear" w:color="auto" w:fill="auto"/>
        <w:bidi w:val="0"/>
        <w:spacing w:before="0" w:after="340" w:line="276" w:lineRule="exact"/>
        <w:ind w:left="840" w:right="0" w:firstLine="420"/>
        <w:jc w:val="both"/>
      </w:pPr>
      <w:bookmarkStart w:id="153" w:name="bookmark153"/>
      <w:r>
        <w:rPr>
          <w:rFonts w:ascii="Times New Roman" w:eastAsia="Times New Roman" w:hAnsi="Times New Roman" w:cs="Times New Roman"/>
          <w:color w:val="000000"/>
          <w:spacing w:val="0"/>
          <w:w w:val="100"/>
          <w:position w:val="0"/>
        </w:rPr>
        <w:t>4</w:t>
      </w:r>
      <w:bookmarkEnd w:id="153"/>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日，公司第二届董事会第十次会议审议通过设立合资子公司的议案，公司拟 在江苏南通滨海园区全资设立江苏林洋电力科技有限公司（暂定，以工商管理局最终核定名称为 准），注册资本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万元人民币。至本报告披露日，相关工商登记手续正在办理中。</w:t>
      </w:r>
    </w:p>
    <w:p>
      <w:pPr>
        <w:pStyle w:val="Style29"/>
        <w:keepNext/>
        <w:keepLines/>
        <w:widowControl w:val="0"/>
        <w:shd w:val="clear" w:color="auto" w:fill="auto"/>
        <w:tabs>
          <w:tab w:pos="1296" w:val="left"/>
        </w:tabs>
        <w:bidi w:val="0"/>
        <w:spacing w:before="0" w:after="0" w:line="277" w:lineRule="exact"/>
        <w:ind w:left="0" w:right="0" w:firstLine="84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shd w:val="clear" w:color="auto" w:fill="FFFFFF"/>
        </w:rPr>
        <w:t>5</w:t>
      </w:r>
      <w:bookmarkEnd w:id="156"/>
      <w:r>
        <w:rPr>
          <w:color w:val="000000"/>
          <w:spacing w:val="0"/>
          <w:w w:val="100"/>
          <w:position w:val="0"/>
          <w:shd w:val="clear" w:color="auto" w:fill="FFFFFF"/>
        </w:rPr>
        <w:t>、</w:t>
      </w:r>
      <w:r>
        <w:rPr>
          <w:color w:val="000000"/>
          <w:spacing w:val="0"/>
          <w:w w:val="100"/>
          <w:position w:val="0"/>
        </w:rPr>
        <w:tab/>
        <w:t>非募集资金项目情况</w:t>
      </w:r>
      <w:bookmarkEnd w:id="154"/>
      <w:bookmarkEnd w:id="155"/>
      <w:bookmarkEnd w:id="157"/>
    </w:p>
    <w:p>
      <w:pPr>
        <w:pStyle w:val="Style12"/>
        <w:keepNext w:val="0"/>
        <w:keepLines w:val="0"/>
        <w:widowControl w:val="0"/>
        <w:shd w:val="clear" w:color="auto" w:fill="auto"/>
        <w:bidi w:val="0"/>
        <w:spacing w:before="0" w:after="480" w:line="277" w:lineRule="exact"/>
        <w:ind w:left="1240" w:right="0" w:firstLine="0"/>
        <w:jc w:val="left"/>
      </w:pPr>
      <w:r>
        <w:rPr>
          <w:color w:val="000000"/>
          <w:spacing w:val="0"/>
          <w:w w:val="100"/>
          <w:position w:val="0"/>
        </w:rPr>
        <w:t>报告期内，公司无非募集资金投资项目。</w:t>
      </w:r>
    </w:p>
    <w:p>
      <w:pPr>
        <w:pStyle w:val="Style29"/>
        <w:keepNext/>
        <w:keepLines/>
        <w:widowControl w:val="0"/>
        <w:shd w:val="clear" w:color="auto" w:fill="auto"/>
        <w:bidi w:val="0"/>
        <w:spacing w:before="0" w:after="160" w:line="273" w:lineRule="exact"/>
        <w:ind w:left="0" w:right="0" w:firstLine="840"/>
        <w:jc w:val="left"/>
      </w:pPr>
      <w:bookmarkStart w:id="158" w:name="bookmark158"/>
      <w:bookmarkStart w:id="159" w:name="bookmark159"/>
      <w:bookmarkStart w:id="160" w:name="bookmark160"/>
      <w:bookmarkStart w:id="161" w:name="bookmark161"/>
      <w:r>
        <w:rPr>
          <w:color w:val="000000"/>
          <w:spacing w:val="0"/>
          <w:w w:val="100"/>
          <w:position w:val="0"/>
        </w:rPr>
        <w:t>二</w:t>
      </w:r>
      <w:bookmarkEnd w:id="160"/>
      <w:r>
        <w:rPr>
          <w:color w:val="000000"/>
          <w:spacing w:val="0"/>
          <w:w w:val="100"/>
          <w:position w:val="0"/>
        </w:rPr>
        <w:t>、董事会关于公司未来发展的讨论与分析</w:t>
      </w:r>
      <w:bookmarkEnd w:id="158"/>
      <w:bookmarkEnd w:id="159"/>
      <w:bookmarkEnd w:id="161"/>
    </w:p>
    <w:p>
      <w:pPr>
        <w:pStyle w:val="Style29"/>
        <w:keepNext/>
        <w:keepLines/>
        <w:widowControl w:val="0"/>
        <w:shd w:val="clear" w:color="auto" w:fill="auto"/>
        <w:bidi w:val="0"/>
        <w:spacing w:before="0" w:line="286" w:lineRule="auto"/>
        <w:ind w:left="0" w:right="0" w:firstLine="840"/>
        <w:jc w:val="both"/>
      </w:pPr>
      <w:bookmarkStart w:id="158" w:name="bookmark158"/>
      <w:bookmarkStart w:id="159" w:name="bookmark159"/>
      <w:bookmarkStart w:id="162" w:name="bookmark162"/>
      <w:bookmarkStart w:id="163" w:name="bookmark163"/>
      <w:r>
        <w:rPr>
          <w:rFonts w:ascii="Times New Roman" w:eastAsia="Times New Roman" w:hAnsi="Times New Roman" w:cs="Times New Roman"/>
          <w:color w:val="000000"/>
          <w:spacing w:val="0"/>
          <w:w w:val="100"/>
          <w:position w:val="0"/>
        </w:rPr>
        <w:t>（</w:t>
      </w:r>
      <w:bookmarkEnd w:id="162"/>
      <w:r>
        <w:rPr>
          <w:color w:val="000000"/>
          <w:spacing w:val="0"/>
          <w:w w:val="100"/>
          <w:position w:val="0"/>
        </w:rPr>
        <w:t>一</w:t>
      </w:r>
      <w:r>
        <w:rPr>
          <w:color w:val="000000"/>
          <w:spacing w:val="0"/>
          <w:w w:val="100"/>
          <w:position w:val="0"/>
        </w:rPr>
        <w:t>）</w:t>
      </w:r>
      <w:r>
        <w:rPr>
          <w:color w:val="000000"/>
          <w:spacing w:val="0"/>
          <w:w w:val="100"/>
          <w:position w:val="0"/>
        </w:rPr>
        <w:t>行业竞争格局和发展趋势</w:t>
      </w:r>
      <w:bookmarkEnd w:id="158"/>
      <w:bookmarkEnd w:id="159"/>
      <w:bookmarkEnd w:id="163"/>
    </w:p>
    <w:p>
      <w:pPr>
        <w:pStyle w:val="Style12"/>
        <w:keepNext w:val="0"/>
        <w:keepLines w:val="0"/>
        <w:widowControl w:val="0"/>
        <w:shd w:val="clear" w:color="auto" w:fill="auto"/>
        <w:bidi w:val="0"/>
        <w:spacing w:before="0" w:after="160" w:line="274" w:lineRule="exact"/>
        <w:ind w:left="840" w:right="0" w:firstLine="420"/>
        <w:jc w:val="both"/>
      </w:pPr>
      <w:r>
        <w:rPr>
          <w:color w:val="000000"/>
          <w:spacing w:val="0"/>
          <w:w w:val="100"/>
          <w:position w:val="0"/>
        </w:rPr>
        <w:t>党的十八届三中全会对全面深化改革做出重大战略部署，将进一步解放和发展我国社会生产力 和创造力，这将对能源和电力工业创新发展产生深远影响。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日，李克强在政府工作报 告中关注能源生产和消费方式变革，加大节能减排力度，控制能源消费总量，要提高非化石能源发 电比重，发展智能电网和分布式能源，鼓励发展太阳能，加快开发应用节能环保技术和产品。我国 提出的新型城镇化发展战略和能源</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规划加速推动国家产业结构调整和能源发展方式的变 革，带动包括智能电网、光伏、节能等新兴产业的快速发展，为国内智能电网、新能源、节能等设 备和系统解决方案企业提供了重要的发展机遇和广阔的市场空间。</w:t>
      </w:r>
    </w:p>
    <w:p>
      <w:pPr>
        <w:pStyle w:val="Style29"/>
        <w:keepNext/>
        <w:keepLines/>
        <w:widowControl w:val="0"/>
        <w:shd w:val="clear" w:color="auto" w:fill="auto"/>
        <w:bidi w:val="0"/>
        <w:spacing w:before="0" w:line="286" w:lineRule="auto"/>
        <w:ind w:left="0" w:right="0" w:firstLine="840"/>
        <w:jc w:val="both"/>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、智能领域</w:t>
      </w:r>
      <w:bookmarkEnd w:id="164"/>
      <w:bookmarkEnd w:id="165"/>
      <w:bookmarkEnd w:id="167"/>
    </w:p>
    <w:p>
      <w:pPr>
        <w:pStyle w:val="Style29"/>
        <w:keepNext/>
        <w:keepLines/>
        <w:widowControl w:val="0"/>
        <w:shd w:val="clear" w:color="auto" w:fill="auto"/>
        <w:tabs>
          <w:tab w:pos="1296" w:val="left"/>
        </w:tabs>
        <w:bidi w:val="0"/>
        <w:spacing w:before="0" w:after="100" w:line="273" w:lineRule="exact"/>
        <w:ind w:left="0" w:right="0" w:firstLine="840"/>
        <w:jc w:val="both"/>
      </w:pPr>
      <w:bookmarkStart w:id="164" w:name="bookmark164"/>
      <w:bookmarkStart w:id="165" w:name="bookmark165"/>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1</w:t>
      </w:r>
      <w:r>
        <w:rPr>
          <w:color w:val="000000"/>
          <w:spacing w:val="0"/>
          <w:w w:val="100"/>
          <w:position w:val="0"/>
        </w:rPr>
        <w:t>）</w:t>
        <w:tab/>
        <w:t>竞争格局</w:t>
      </w:r>
      <w:bookmarkEnd w:id="164"/>
      <w:bookmarkEnd w:id="165"/>
      <w:bookmarkEnd w:id="169"/>
    </w:p>
    <w:p>
      <w:pPr>
        <w:pStyle w:val="Style12"/>
        <w:keepNext w:val="0"/>
        <w:keepLines w:val="0"/>
        <w:widowControl w:val="0"/>
        <w:shd w:val="clear" w:color="auto" w:fill="auto"/>
        <w:bidi w:val="0"/>
        <w:spacing w:before="0" w:line="273" w:lineRule="exact"/>
        <w:ind w:left="840" w:right="0" w:firstLine="420"/>
        <w:jc w:val="both"/>
      </w:pPr>
      <w:r>
        <w:rPr>
          <w:color w:val="000000"/>
          <w:spacing w:val="0"/>
          <w:w w:val="100"/>
          <w:position w:val="0"/>
        </w:rPr>
        <w:t>电工仪器仪表行业是仪器仪表行业中一个较大的子行业。受电力行业整体发展及全国城乡电网 改造等因素的影响，电工仪器仪表行业成长较快。当前，我国电工仪器仪表行业集中度低，行业内 企业间竞争激烈，产品综合竞争力方面与发达国家仍有一定的差距。近年来，随着国家智能电网建 设的启动、推进，电子式电能表已逐步向智能电能表转型，在传统电子式电能表产品上具有技术优 势的规模化生产企业通过参与技术标准制定、技术升级等渠道，在智能电能表市场展开新一轮竞争。 总体来说，电能表产品竞争格局呈现围绕行业标准制定在技术升级中展开竞争、围绕产业链整合在 行业集中度提高中展开竞争、围绕智能电网建设在产品升级中展开竞争等特点。</w:t>
      </w:r>
    </w:p>
    <w:p>
      <w:pPr>
        <w:pStyle w:val="Style12"/>
        <w:keepNext w:val="0"/>
        <w:keepLines w:val="0"/>
        <w:widowControl w:val="0"/>
        <w:shd w:val="clear" w:color="auto" w:fill="auto"/>
        <w:tabs>
          <w:tab w:pos="1296" w:val="left"/>
        </w:tabs>
        <w:bidi w:val="0"/>
        <w:spacing w:before="0" w:line="273" w:lineRule="exact"/>
        <w:ind w:left="0" w:right="0" w:firstLine="840"/>
        <w:jc w:val="both"/>
      </w:pPr>
      <w:bookmarkStart w:id="170" w:name="bookmark170"/>
      <w:r>
        <w:rPr>
          <w:b/>
          <w:bCs/>
          <w:color w:val="000000"/>
          <w:spacing w:val="0"/>
          <w:w w:val="100"/>
          <w:position w:val="0"/>
        </w:rPr>
        <w:t>（</w:t>
      </w:r>
      <w:bookmarkEnd w:id="17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发展趋势</w:t>
      </w:r>
    </w:p>
    <w:p>
      <w:pPr>
        <w:pStyle w:val="Style12"/>
        <w:keepNext w:val="0"/>
        <w:keepLines w:val="0"/>
        <w:widowControl w:val="0"/>
        <w:shd w:val="clear" w:color="auto" w:fill="auto"/>
        <w:bidi w:val="0"/>
        <w:spacing w:before="0" w:after="160" w:line="271" w:lineRule="exact"/>
        <w:ind w:left="840" w:right="0" w:firstLine="420"/>
        <w:jc w:val="both"/>
      </w:pPr>
      <w:r>
        <w:rPr>
          <w:color w:val="000000"/>
          <w:spacing w:val="0"/>
          <w:w w:val="100"/>
          <w:position w:val="0"/>
        </w:rPr>
        <w:t>根据电网技术发展趋势，未来电网将实现智能用电、智能输配电、智能调度等产业链智能化全 覆盖。智能电表不仅可以实现远程抄表、阶梯电价，而且还具有电量记录、电费查询、余额报警等 功能，实现</w:t>
      </w:r>
      <w:r>
        <w:rPr>
          <w:rFonts w:ascii="Times New Roman" w:eastAsia="Times New Roman" w:hAnsi="Times New Roman" w:cs="Times New Roman"/>
          <w:color w:val="000000"/>
          <w:spacing w:val="0"/>
          <w:w w:val="100"/>
          <w:position w:val="0"/>
        </w:rPr>
        <w:t>"</w:t>
      </w:r>
      <w:r>
        <w:rPr>
          <w:color w:val="000000"/>
          <w:spacing w:val="0"/>
          <w:w w:val="100"/>
          <w:position w:val="0"/>
        </w:rPr>
        <w:t>透明消费</w:t>
      </w:r>
      <w:r>
        <w:rPr>
          <w:rFonts w:ascii="Times New Roman" w:eastAsia="Times New Roman" w:hAnsi="Times New Roman" w:cs="Times New Roman"/>
          <w:color w:val="000000"/>
          <w:spacing w:val="0"/>
          <w:w w:val="100"/>
          <w:position w:val="0"/>
        </w:rPr>
        <w:t>"</w:t>
      </w:r>
      <w:r>
        <w:rPr>
          <w:color w:val="000000"/>
          <w:spacing w:val="0"/>
          <w:w w:val="100"/>
          <w:position w:val="0"/>
        </w:rPr>
        <w:t>。对于智能电表和电能计量自动化建设的未来发展目标，国家电网进行了明 确的规划。国家电网公司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年工作会议提到，国网公司将完成全部专变客户、公变台区（不含 </w:t>
      </w:r>
      <w:r>
        <w:rPr>
          <w:rFonts w:ascii="Times New Roman" w:eastAsia="Times New Roman" w:hAnsi="Times New Roman" w:cs="Times New Roman"/>
          <w:color w:val="000000"/>
          <w:spacing w:val="0"/>
          <w:w w:val="100"/>
          <w:position w:val="0"/>
        </w:rPr>
        <w:t>2014</w:t>
      </w:r>
      <w:r>
        <w:rPr>
          <w:color w:val="000000"/>
          <w:spacing w:val="0"/>
          <w:w w:val="100"/>
          <w:position w:val="0"/>
        </w:rPr>
        <w:t>年新上划）采集建设，新增通信模块可更换、支持双向通信的智能电表</w:t>
      </w:r>
      <w:r>
        <w:rPr>
          <w:rFonts w:ascii="Times New Roman" w:eastAsia="Times New Roman" w:hAnsi="Times New Roman" w:cs="Times New Roman"/>
          <w:color w:val="000000"/>
          <w:spacing w:val="0"/>
          <w:w w:val="100"/>
          <w:position w:val="0"/>
        </w:rPr>
        <w:t>6100</w:t>
      </w:r>
      <w:r>
        <w:rPr>
          <w:color w:val="000000"/>
          <w:spacing w:val="0"/>
          <w:w w:val="100"/>
          <w:position w:val="0"/>
        </w:rPr>
        <w:t>万只，到</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年实现经营区域内智能电表和用电信息采集的全覆盖目标。另外，国家电网将着力为双向互动服务、 双向计量、抄收自动化、计量及电能质量在线监测、购售电分析、有序用电控制、分布式电源并网、 电动汽车充换电服务等提供数据支撑，提高智能电网自动化水平。同时，通过构建以客户为导向， 以智能化、互动化为特征，电网与客户能量流、信息流、业务流友好互动的智能互动服务体系，公 司将全面提升客户感知和体验，提高电能占终端能源消费比重。国家电网</w:t>
      </w:r>
      <w:r>
        <w:rPr>
          <w:rFonts w:ascii="Times New Roman" w:eastAsia="Times New Roman" w:hAnsi="Times New Roman" w:cs="Times New Roman"/>
          <w:color w:val="000000"/>
          <w:spacing w:val="0"/>
          <w:w w:val="100"/>
          <w:position w:val="0"/>
        </w:rPr>
        <w:t>2014</w:t>
      </w:r>
      <w:r>
        <w:rPr>
          <w:color w:val="000000"/>
          <w:spacing w:val="0"/>
          <w:w w:val="100"/>
          <w:position w:val="0"/>
        </w:rPr>
        <w:t>年工作会议上的数 据还显示，其今年计划完成固定资产投资</w:t>
      </w:r>
      <w:r>
        <w:rPr>
          <w:rFonts w:ascii="Times New Roman" w:eastAsia="Times New Roman" w:hAnsi="Times New Roman" w:cs="Times New Roman"/>
          <w:color w:val="000000"/>
          <w:spacing w:val="0"/>
          <w:w w:val="100"/>
          <w:position w:val="0"/>
        </w:rPr>
        <w:t>4035</w:t>
      </w:r>
      <w:r>
        <w:rPr>
          <w:color w:val="000000"/>
          <w:spacing w:val="0"/>
          <w:w w:val="100"/>
          <w:position w:val="0"/>
        </w:rPr>
        <w:t>亿元，同比增长</w:t>
      </w:r>
      <w:r>
        <w:rPr>
          <w:rFonts w:ascii="Times New Roman" w:eastAsia="Times New Roman" w:hAnsi="Times New Roman" w:cs="Times New Roman"/>
          <w:color w:val="000000"/>
          <w:spacing w:val="0"/>
          <w:w w:val="100"/>
          <w:position w:val="0"/>
        </w:rPr>
        <w:t>11.92%</w:t>
      </w:r>
      <w:r>
        <w:rPr>
          <w:color w:val="000000"/>
          <w:spacing w:val="0"/>
          <w:w w:val="100"/>
          <w:position w:val="0"/>
        </w:rPr>
        <w:t>。其中，电网投资</w:t>
      </w:r>
      <w:r>
        <w:rPr>
          <w:rFonts w:ascii="Times New Roman" w:eastAsia="Times New Roman" w:hAnsi="Times New Roman" w:cs="Times New Roman"/>
          <w:color w:val="000000"/>
          <w:spacing w:val="0"/>
          <w:w w:val="100"/>
          <w:position w:val="0"/>
        </w:rPr>
        <w:t>3815</w:t>
      </w:r>
      <w:r>
        <w:rPr>
          <w:color w:val="000000"/>
          <w:spacing w:val="0"/>
          <w:w w:val="100"/>
          <w:position w:val="0"/>
        </w:rPr>
        <w:t>亿元， 同比增长</w:t>
      </w:r>
      <w:r>
        <w:rPr>
          <w:rFonts w:ascii="Times New Roman" w:eastAsia="Times New Roman" w:hAnsi="Times New Roman" w:cs="Times New Roman"/>
          <w:color w:val="000000"/>
          <w:spacing w:val="0"/>
          <w:w w:val="100"/>
          <w:position w:val="0"/>
        </w:rPr>
        <w:t>12.9%</w:t>
      </w:r>
      <w:r>
        <w:rPr>
          <w:color w:val="000000"/>
          <w:spacing w:val="0"/>
          <w:w w:val="100"/>
          <w:position w:val="0"/>
        </w:rPr>
        <w:t>。南方电网</w:t>
      </w:r>
      <w:r>
        <w:rPr>
          <w:rFonts w:ascii="Times New Roman" w:eastAsia="Times New Roman" w:hAnsi="Times New Roman" w:cs="Times New Roman"/>
          <w:color w:val="000000"/>
          <w:spacing w:val="0"/>
          <w:w w:val="100"/>
          <w:position w:val="0"/>
        </w:rPr>
        <w:t>2014</w:t>
      </w:r>
      <w:r>
        <w:rPr>
          <w:color w:val="000000"/>
          <w:spacing w:val="0"/>
          <w:w w:val="100"/>
          <w:position w:val="0"/>
        </w:rPr>
        <w:t>年计划完成固定资产投资约</w:t>
      </w:r>
      <w:r>
        <w:rPr>
          <w:rFonts w:ascii="Times New Roman" w:eastAsia="Times New Roman" w:hAnsi="Times New Roman" w:cs="Times New Roman"/>
          <w:color w:val="000000"/>
          <w:spacing w:val="0"/>
          <w:w w:val="100"/>
          <w:position w:val="0"/>
        </w:rPr>
        <w:t>846</w:t>
      </w:r>
      <w:r>
        <w:rPr>
          <w:color w:val="000000"/>
          <w:spacing w:val="0"/>
          <w:w w:val="100"/>
          <w:position w:val="0"/>
        </w:rPr>
        <w:t>亿元，较</w:t>
      </w:r>
      <w:r>
        <w:rPr>
          <w:rFonts w:ascii="Times New Roman" w:eastAsia="Times New Roman" w:hAnsi="Times New Roman" w:cs="Times New Roman"/>
          <w:color w:val="000000"/>
          <w:spacing w:val="0"/>
          <w:w w:val="100"/>
          <w:position w:val="0"/>
        </w:rPr>
        <w:t>2013</w:t>
      </w:r>
      <w:r>
        <w:rPr>
          <w:color w:val="000000"/>
          <w:spacing w:val="0"/>
          <w:w w:val="100"/>
          <w:position w:val="0"/>
        </w:rPr>
        <w:t>年同期增长</w:t>
      </w:r>
      <w:r>
        <w:rPr>
          <w:rFonts w:ascii="Times New Roman" w:eastAsia="Times New Roman" w:hAnsi="Times New Roman" w:cs="Times New Roman"/>
          <w:color w:val="000000"/>
          <w:spacing w:val="0"/>
          <w:w w:val="100"/>
          <w:position w:val="0"/>
        </w:rPr>
        <w:t>12.8%</w:t>
      </w:r>
      <w:r>
        <w:rPr>
          <w:color w:val="000000"/>
          <w:spacing w:val="0"/>
          <w:w w:val="100"/>
          <w:position w:val="0"/>
        </w:rPr>
        <w:t xml:space="preserve">。 </w:t>
      </w:r>
      <w:r>
        <w:rPr>
          <w:color w:val="000000"/>
          <w:spacing w:val="0"/>
          <w:w w:val="100"/>
          <w:position w:val="0"/>
        </w:rPr>
        <w:t>国家电网和南方电网共计</w:t>
      </w:r>
      <w:r>
        <w:rPr>
          <w:rFonts w:ascii="Times New Roman" w:eastAsia="Times New Roman" w:hAnsi="Times New Roman" w:cs="Times New Roman"/>
          <w:color w:val="000000"/>
          <w:spacing w:val="0"/>
          <w:w w:val="100"/>
          <w:position w:val="0"/>
        </w:rPr>
        <w:t>4000</w:t>
      </w:r>
      <w:r>
        <w:rPr>
          <w:color w:val="000000"/>
          <w:spacing w:val="0"/>
          <w:w w:val="100"/>
          <w:position w:val="0"/>
        </w:rPr>
        <w:t>多亿的投资将使公司智能电表与终端、输变电在线监测、配电自动 化等业务受益。</w:t>
      </w:r>
    </w:p>
    <w:p>
      <w:pPr>
        <w:pStyle w:val="Style29"/>
        <w:keepNext/>
        <w:keepLines/>
        <w:widowControl w:val="0"/>
        <w:shd w:val="clear" w:color="auto" w:fill="auto"/>
        <w:tabs>
          <w:tab w:pos="1195" w:val="left"/>
        </w:tabs>
        <w:bidi w:val="0"/>
        <w:spacing w:before="0" w:after="100" w:line="286" w:lineRule="auto"/>
        <w:ind w:left="0" w:right="0" w:firstLine="84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w:t>
        <w:tab/>
        <w:t>节能领域</w:t>
      </w:r>
      <w:bookmarkEnd w:id="171"/>
      <w:bookmarkEnd w:id="172"/>
      <w:bookmarkEnd w:id="174"/>
    </w:p>
    <w:p>
      <w:pPr>
        <w:pStyle w:val="Style29"/>
        <w:keepNext/>
        <w:keepLines/>
        <w:widowControl w:val="0"/>
        <w:shd w:val="clear" w:color="auto" w:fill="auto"/>
        <w:tabs>
          <w:tab w:pos="1268" w:val="left"/>
        </w:tabs>
        <w:bidi w:val="0"/>
        <w:spacing w:before="0" w:after="100"/>
        <w:ind w:left="0" w:right="0" w:firstLine="840"/>
        <w:jc w:val="both"/>
      </w:pPr>
      <w:bookmarkStart w:id="171" w:name="bookmark171"/>
      <w:bookmarkStart w:id="172" w:name="bookmark172"/>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1</w:t>
      </w:r>
      <w:r>
        <w:rPr>
          <w:color w:val="000000"/>
          <w:spacing w:val="0"/>
          <w:w w:val="100"/>
          <w:position w:val="0"/>
        </w:rPr>
        <w:t>）</w:t>
        <w:tab/>
        <w:t>竞争格局</w:t>
      </w:r>
      <w:bookmarkEnd w:id="171"/>
      <w:bookmarkEnd w:id="172"/>
      <w:bookmarkEnd w:id="176"/>
    </w:p>
    <w:p>
      <w:pPr>
        <w:pStyle w:val="Style12"/>
        <w:keepNext w:val="0"/>
        <w:keepLines w:val="0"/>
        <w:widowControl w:val="0"/>
        <w:shd w:val="clear" w:color="auto" w:fill="auto"/>
        <w:bidi w:val="0"/>
        <w:spacing w:before="0" w:line="274" w:lineRule="exact"/>
        <w:ind w:left="840" w:right="0" w:firstLine="420"/>
        <w:jc w:val="both"/>
      </w:pPr>
      <w:r>
        <w:rPr>
          <w:rFonts w:ascii="Times New Roman" w:eastAsia="Times New Roman" w:hAnsi="Times New Roman" w:cs="Times New Roman"/>
          <w:color w:val="000000"/>
          <w:spacing w:val="0"/>
          <w:w w:val="100"/>
          <w:position w:val="0"/>
        </w:rPr>
        <w:t>LED</w:t>
      </w:r>
      <w:r>
        <w:rPr>
          <w:color w:val="000000"/>
          <w:spacing w:val="0"/>
          <w:w w:val="100"/>
          <w:position w:val="0"/>
        </w:rPr>
        <w:t xml:space="preserve">照明是继白炽灯、荧光灯之后的又一次光源革命。目前，世界主要国家和地区都大力发展 </w:t>
      </w:r>
      <w:r>
        <w:rPr>
          <w:rFonts w:ascii="Times New Roman" w:eastAsia="Times New Roman" w:hAnsi="Times New Roman" w:cs="Times New Roman"/>
          <w:color w:val="000000"/>
          <w:spacing w:val="0"/>
          <w:w w:val="100"/>
          <w:position w:val="0"/>
        </w:rPr>
        <w:t>LED</w:t>
      </w:r>
      <w:r>
        <w:rPr>
          <w:color w:val="000000"/>
          <w:spacing w:val="0"/>
          <w:w w:val="100"/>
          <w:position w:val="0"/>
        </w:rPr>
        <w:t xml:space="preserve">产业，形成了美国、日本、欧盟领跑，韩国、中国台湾与中国大陆快速发展的产业格局。目前, </w:t>
      </w:r>
      <w:r>
        <w:rPr>
          <w:rFonts w:ascii="Times New Roman" w:eastAsia="Times New Roman" w:hAnsi="Times New Roman" w:cs="Times New Roman"/>
          <w:color w:val="000000"/>
          <w:spacing w:val="0"/>
          <w:w w:val="100"/>
          <w:position w:val="0"/>
        </w:rPr>
        <w:t>LED</w:t>
      </w:r>
      <w:r>
        <w:rPr>
          <w:color w:val="000000"/>
          <w:spacing w:val="0"/>
          <w:w w:val="100"/>
          <w:position w:val="0"/>
        </w:rPr>
        <w:t>上游核心技术与专利被欧美、日等国家所拥有，这些国家的企业凭借其雄厚的资金实力和先进 的技术水平，多采取垂直一体化经营模式，从外延、芯片制造、器件封装到应用领域覆盖整个产业。 国内企业进入</w:t>
      </w:r>
      <w:r>
        <w:rPr>
          <w:rFonts w:ascii="Times New Roman" w:eastAsia="Times New Roman" w:hAnsi="Times New Roman" w:cs="Times New Roman"/>
          <w:color w:val="000000"/>
          <w:spacing w:val="0"/>
          <w:w w:val="100"/>
          <w:position w:val="0"/>
        </w:rPr>
        <w:t>LED</w:t>
      </w:r>
      <w:r>
        <w:rPr>
          <w:color w:val="000000"/>
          <w:spacing w:val="0"/>
          <w:w w:val="100"/>
          <w:position w:val="0"/>
        </w:rPr>
        <w:t>产业较晚，企业的资金实力、技术水平与欧、美、日企业有一定差距，因而多 专注于产业链的某个环节、走专业化道路。随着</w:t>
      </w:r>
      <w:r>
        <w:rPr>
          <w:rFonts w:ascii="Times New Roman" w:eastAsia="Times New Roman" w:hAnsi="Times New Roman" w:cs="Times New Roman"/>
          <w:color w:val="000000"/>
          <w:spacing w:val="0"/>
          <w:w w:val="100"/>
          <w:position w:val="0"/>
        </w:rPr>
        <w:t>LED</w:t>
      </w:r>
      <w:r>
        <w:rPr>
          <w:color w:val="000000"/>
          <w:spacing w:val="0"/>
          <w:w w:val="100"/>
          <w:position w:val="0"/>
        </w:rPr>
        <w:t>照明技术发展迅速，成本快速下降，产品示 范应用逐步推开，产业整合速度明显加快，产业集中度将逐步提高，最终将保留部分掌握核心技术、 拥有较多自主知识产权和知名品牌、竞争力强、产业布局合理的龙头企业。</w:t>
      </w:r>
    </w:p>
    <w:p>
      <w:pPr>
        <w:pStyle w:val="Style12"/>
        <w:keepNext w:val="0"/>
        <w:keepLines w:val="0"/>
        <w:widowControl w:val="0"/>
        <w:shd w:val="clear" w:color="auto" w:fill="auto"/>
        <w:bidi w:val="0"/>
        <w:spacing w:before="0" w:line="293" w:lineRule="exact"/>
        <w:ind w:left="840" w:right="0" w:firstLine="420"/>
        <w:jc w:val="both"/>
      </w:pPr>
      <w:r>
        <w:rPr>
          <w:color w:val="000000"/>
          <w:spacing w:val="0"/>
          <w:w w:val="100"/>
          <w:position w:val="0"/>
        </w:rPr>
        <w:t>当前，</w:t>
      </w:r>
      <w:r>
        <w:rPr>
          <w:rFonts w:ascii="Times New Roman" w:eastAsia="Times New Roman" w:hAnsi="Times New Roman" w:cs="Times New Roman"/>
          <w:color w:val="000000"/>
          <w:spacing w:val="0"/>
          <w:w w:val="100"/>
          <w:position w:val="0"/>
        </w:rPr>
        <w:t>LED</w:t>
      </w:r>
      <w:r>
        <w:rPr>
          <w:color w:val="000000"/>
          <w:spacing w:val="0"/>
          <w:w w:val="100"/>
          <w:position w:val="0"/>
        </w:rPr>
        <w:t>行业整体上呈现中高端市场产业化关键生产技术仍只被少数大型企业掌握，行业进 入门槛仍然较高，而低端市场呈现完全竞争的市场格局。</w:t>
      </w:r>
    </w:p>
    <w:p>
      <w:pPr>
        <w:pStyle w:val="Style12"/>
        <w:keepNext w:val="0"/>
        <w:keepLines w:val="0"/>
        <w:widowControl w:val="0"/>
        <w:shd w:val="clear" w:color="auto" w:fill="auto"/>
        <w:tabs>
          <w:tab w:pos="1268" w:val="left"/>
        </w:tabs>
        <w:bidi w:val="0"/>
        <w:spacing w:before="0" w:line="273" w:lineRule="exact"/>
        <w:ind w:left="0" w:right="0" w:firstLine="840"/>
        <w:jc w:val="both"/>
      </w:pPr>
      <w:bookmarkStart w:id="177" w:name="bookmark177"/>
      <w:r>
        <w:rPr>
          <w:b/>
          <w:bCs/>
          <w:color w:val="000000"/>
          <w:spacing w:val="0"/>
          <w:w w:val="100"/>
          <w:position w:val="0"/>
        </w:rPr>
        <w:t>（</w:t>
      </w:r>
      <w:bookmarkEnd w:id="17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发展趋势</w:t>
      </w:r>
    </w:p>
    <w:p>
      <w:pPr>
        <w:pStyle w:val="Style12"/>
        <w:keepNext w:val="0"/>
        <w:keepLines w:val="0"/>
        <w:widowControl w:val="0"/>
        <w:numPr>
          <w:ilvl w:val="0"/>
          <w:numId w:val="7"/>
        </w:numPr>
        <w:shd w:val="clear" w:color="auto" w:fill="auto"/>
        <w:tabs>
          <w:tab w:pos="1195" w:val="left"/>
        </w:tabs>
        <w:bidi w:val="0"/>
        <w:spacing w:before="0" w:line="273" w:lineRule="exact"/>
        <w:ind w:left="0" w:right="0" w:firstLine="840"/>
        <w:jc w:val="both"/>
      </w:pPr>
      <w:bookmarkStart w:id="178" w:name="bookmark178"/>
      <w:bookmarkEnd w:id="178"/>
      <w:r>
        <w:rPr>
          <w:rFonts w:ascii="Times New Roman" w:eastAsia="Times New Roman" w:hAnsi="Times New Roman" w:cs="Times New Roman"/>
          <w:b/>
          <w:bCs/>
          <w:color w:val="000000"/>
          <w:spacing w:val="0"/>
          <w:w w:val="100"/>
          <w:position w:val="0"/>
        </w:rPr>
        <w:t>LED</w:t>
      </w:r>
      <w:r>
        <w:rPr>
          <w:b/>
          <w:bCs/>
          <w:color w:val="000000"/>
          <w:spacing w:val="0"/>
          <w:w w:val="100"/>
          <w:position w:val="0"/>
        </w:rPr>
        <w:t>照明市场全面开启</w:t>
      </w:r>
    </w:p>
    <w:p>
      <w:pPr>
        <w:pStyle w:val="Style12"/>
        <w:keepNext w:val="0"/>
        <w:keepLines w:val="0"/>
        <w:widowControl w:val="0"/>
        <w:shd w:val="clear" w:color="auto" w:fill="auto"/>
        <w:bidi w:val="0"/>
        <w:spacing w:before="0" w:line="269" w:lineRule="exact"/>
        <w:ind w:left="840" w:right="0" w:firstLine="420"/>
        <w:jc w:val="both"/>
      </w:pPr>
      <w:r>
        <w:rPr>
          <w:color w:val="000000"/>
          <w:spacing w:val="0"/>
          <w:w w:val="100"/>
          <w:position w:val="0"/>
        </w:rPr>
        <w:t>近几年来，全球</w:t>
      </w:r>
      <w:r>
        <w:rPr>
          <w:rFonts w:ascii="Times New Roman" w:eastAsia="Times New Roman" w:hAnsi="Times New Roman" w:cs="Times New Roman"/>
          <w:color w:val="000000"/>
          <w:spacing w:val="0"/>
          <w:w w:val="100"/>
          <w:position w:val="0"/>
        </w:rPr>
        <w:t>LED</w:t>
      </w:r>
      <w:r>
        <w:rPr>
          <w:color w:val="000000"/>
          <w:spacing w:val="0"/>
          <w:w w:val="100"/>
          <w:position w:val="0"/>
        </w:rPr>
        <w:t>照明节能产业产值年增长率保持在</w:t>
      </w:r>
      <w:r>
        <w:rPr>
          <w:rFonts w:ascii="Times New Roman" w:eastAsia="Times New Roman" w:hAnsi="Times New Roman" w:cs="Times New Roman"/>
          <w:color w:val="000000"/>
          <w:spacing w:val="0"/>
          <w:w w:val="100"/>
          <w:position w:val="0"/>
        </w:rPr>
        <w:t>20%</w:t>
      </w:r>
      <w:r>
        <w:rPr>
          <w:color w:val="000000"/>
          <w:spacing w:val="0"/>
          <w:w w:val="100"/>
          <w:position w:val="0"/>
        </w:rPr>
        <w:t>以上。据有关统计到</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年全球 </w:t>
      </w:r>
      <w:r>
        <w:rPr>
          <w:rFonts w:ascii="Times New Roman" w:eastAsia="Times New Roman" w:hAnsi="Times New Roman" w:cs="Times New Roman"/>
          <w:color w:val="000000"/>
          <w:spacing w:val="0"/>
          <w:w w:val="100"/>
          <w:position w:val="0"/>
        </w:rPr>
        <w:t>LED</w:t>
      </w:r>
      <w:r>
        <w:rPr>
          <w:color w:val="000000"/>
          <w:spacing w:val="0"/>
          <w:w w:val="100"/>
          <w:position w:val="0"/>
        </w:rPr>
        <w:t>照明市场有望达到</w:t>
      </w:r>
      <w:r>
        <w:rPr>
          <w:rFonts w:ascii="Times New Roman" w:eastAsia="Times New Roman" w:hAnsi="Times New Roman" w:cs="Times New Roman"/>
          <w:color w:val="000000"/>
          <w:spacing w:val="0"/>
          <w:w w:val="100"/>
          <w:position w:val="0"/>
        </w:rPr>
        <w:t>750</w:t>
      </w:r>
      <w:r>
        <w:rPr>
          <w:color w:val="000000"/>
          <w:spacing w:val="0"/>
          <w:w w:val="100"/>
          <w:position w:val="0"/>
        </w:rPr>
        <w:t>亿美元，占全球照明市场份额</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12"/>
        <w:keepNext w:val="0"/>
        <w:keepLines w:val="0"/>
        <w:widowControl w:val="0"/>
        <w:shd w:val="clear" w:color="auto" w:fill="auto"/>
        <w:bidi w:val="0"/>
        <w:spacing w:before="0" w:line="270" w:lineRule="exact"/>
        <w:ind w:left="840" w:right="0" w:firstLine="420"/>
        <w:jc w:val="both"/>
      </w:pPr>
      <w:r>
        <w:rPr>
          <w:color w:val="000000"/>
          <w:spacing w:val="0"/>
          <w:w w:val="100"/>
          <w:position w:val="0"/>
        </w:rPr>
        <w:t>根据《国务院关于加快培育和发展战略性新兴产业的决定》、《</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节能减排综合性工作方 案》、《</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节能环保产业发展规划》以及《半导体照明节能产业发展意见》等有关内容，政府 制定了半导体照明节能产业规划。该规划提出，到</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LED</w:t>
      </w:r>
      <w:r>
        <w:rPr>
          <w:color w:val="000000"/>
          <w:spacing w:val="0"/>
          <w:w w:val="100"/>
          <w:position w:val="0"/>
        </w:rPr>
        <w:t>照明产业产值年均增长率应当达 到</w:t>
      </w:r>
      <w:r>
        <w:rPr>
          <w:rFonts w:ascii="Times New Roman" w:eastAsia="Times New Roman" w:hAnsi="Times New Roman" w:cs="Times New Roman"/>
          <w:color w:val="000000"/>
          <w:spacing w:val="0"/>
          <w:w w:val="100"/>
          <w:position w:val="0"/>
        </w:rPr>
        <w:t>30%</w:t>
      </w:r>
      <w:r>
        <w:rPr>
          <w:color w:val="000000"/>
          <w:spacing w:val="0"/>
          <w:w w:val="100"/>
          <w:position w:val="0"/>
        </w:rPr>
        <w:t>左右，</w:t>
      </w:r>
      <w:r>
        <w:rPr>
          <w:rFonts w:ascii="Times New Roman" w:eastAsia="Times New Roman" w:hAnsi="Times New Roman" w:cs="Times New Roman"/>
          <w:color w:val="000000"/>
          <w:spacing w:val="0"/>
          <w:w w:val="100"/>
          <w:position w:val="0"/>
        </w:rPr>
        <w:t>60W</w:t>
      </w:r>
      <w:r>
        <w:rPr>
          <w:color w:val="000000"/>
          <w:spacing w:val="0"/>
          <w:w w:val="100"/>
          <w:position w:val="0"/>
        </w:rPr>
        <w:t>以上的普通照明用白炽灯将全部淘汰，其市场占有率将降到</w:t>
      </w:r>
      <w:r>
        <w:rPr>
          <w:rFonts w:ascii="Times New Roman" w:eastAsia="Times New Roman" w:hAnsi="Times New Roman" w:cs="Times New Roman"/>
          <w:color w:val="000000"/>
          <w:spacing w:val="0"/>
          <w:w w:val="100"/>
          <w:position w:val="0"/>
        </w:rPr>
        <w:t>10%</w:t>
      </w:r>
      <w:r>
        <w:rPr>
          <w:color w:val="000000"/>
          <w:spacing w:val="0"/>
          <w:w w:val="100"/>
          <w:position w:val="0"/>
        </w:rPr>
        <w:t>以下，节能灯等 传统高效照明产品市场占有率稳定在</w:t>
      </w:r>
      <w:r>
        <w:rPr>
          <w:rFonts w:ascii="Times New Roman" w:eastAsia="Times New Roman" w:hAnsi="Times New Roman" w:cs="Times New Roman"/>
          <w:color w:val="000000"/>
          <w:spacing w:val="0"/>
          <w:w w:val="100"/>
          <w:position w:val="0"/>
        </w:rPr>
        <w:t>70%</w:t>
      </w:r>
      <w:r>
        <w:rPr>
          <w:color w:val="000000"/>
          <w:spacing w:val="0"/>
          <w:w w:val="100"/>
          <w:position w:val="0"/>
        </w:rPr>
        <w:t>左右，</w:t>
      </w:r>
      <w:r>
        <w:rPr>
          <w:rFonts w:ascii="Times New Roman" w:eastAsia="Times New Roman" w:hAnsi="Times New Roman" w:cs="Times New Roman"/>
          <w:color w:val="000000"/>
          <w:spacing w:val="0"/>
          <w:w w:val="100"/>
          <w:position w:val="0"/>
        </w:rPr>
        <w:t>LED</w:t>
      </w:r>
      <w:r>
        <w:rPr>
          <w:color w:val="000000"/>
          <w:spacing w:val="0"/>
          <w:w w:val="100"/>
          <w:position w:val="0"/>
        </w:rPr>
        <w:t>功能性照明产品市场占有率达</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以上，产值 </w:t>
      </w:r>
      <w:r>
        <w:rPr>
          <w:rFonts w:ascii="Times New Roman" w:eastAsia="Times New Roman" w:hAnsi="Times New Roman" w:cs="Times New Roman"/>
          <w:color w:val="000000"/>
          <w:spacing w:val="0"/>
          <w:w w:val="100"/>
          <w:position w:val="0"/>
        </w:rPr>
        <w:t>4500</w:t>
      </w:r>
      <w:r>
        <w:rPr>
          <w:color w:val="000000"/>
          <w:spacing w:val="0"/>
          <w:w w:val="100"/>
          <w:position w:val="0"/>
        </w:rPr>
        <w:t>亿元人民币</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LED</w:t>
      </w:r>
      <w:r>
        <w:rPr>
          <w:color w:val="000000"/>
          <w:spacing w:val="0"/>
          <w:w w:val="100"/>
          <w:position w:val="0"/>
        </w:rPr>
        <w:t>照明应用产品</w:t>
      </w:r>
      <w:r>
        <w:rPr>
          <w:rFonts w:ascii="Times New Roman" w:eastAsia="Times New Roman" w:hAnsi="Times New Roman" w:cs="Times New Roman"/>
          <w:color w:val="000000"/>
          <w:spacing w:val="0"/>
          <w:w w:val="100"/>
          <w:position w:val="0"/>
        </w:rPr>
        <w:t>1800</w:t>
      </w:r>
      <w:r>
        <w:rPr>
          <w:color w:val="000000"/>
          <w:spacing w:val="0"/>
          <w:w w:val="100"/>
          <w:position w:val="0"/>
        </w:rPr>
        <w:t>亿元人民币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LED</w:t>
      </w:r>
      <w:r>
        <w:rPr>
          <w:color w:val="000000"/>
          <w:spacing w:val="0"/>
          <w:w w:val="100"/>
          <w:position w:val="0"/>
        </w:rPr>
        <w:t>芯片国产化率</w:t>
      </w:r>
      <w:r>
        <w:rPr>
          <w:rFonts w:ascii="Times New Roman" w:eastAsia="Times New Roman" w:hAnsi="Times New Roman" w:cs="Times New Roman"/>
          <w:color w:val="000000"/>
          <w:spacing w:val="0"/>
          <w:w w:val="100"/>
          <w:position w:val="0"/>
        </w:rPr>
        <w:t>80%</w:t>
      </w:r>
      <w:r>
        <w:rPr>
          <w:color w:val="000000"/>
          <w:spacing w:val="0"/>
          <w:w w:val="100"/>
          <w:position w:val="0"/>
        </w:rPr>
        <w:t>以上。</w:t>
      </w:r>
    </w:p>
    <w:p>
      <w:pPr>
        <w:pStyle w:val="Style12"/>
        <w:keepNext w:val="0"/>
        <w:keepLines w:val="0"/>
        <w:widowControl w:val="0"/>
        <w:shd w:val="clear" w:color="auto" w:fill="auto"/>
        <w:bidi w:val="0"/>
        <w:spacing w:before="0" w:line="273" w:lineRule="exact"/>
        <w:ind w:left="840" w:right="0" w:firstLine="420"/>
        <w:jc w:val="both"/>
      </w:pPr>
      <w:r>
        <w:rPr>
          <w:color w:val="000000"/>
          <w:spacing w:val="0"/>
          <w:w w:val="100"/>
          <w:position w:val="0"/>
        </w:rPr>
        <w:t>我国正逐步加大财政补贴</w:t>
      </w:r>
      <w:r>
        <w:rPr>
          <w:rFonts w:ascii="Times New Roman" w:eastAsia="Times New Roman" w:hAnsi="Times New Roman" w:cs="Times New Roman"/>
          <w:color w:val="000000"/>
          <w:spacing w:val="0"/>
          <w:w w:val="100"/>
          <w:position w:val="0"/>
        </w:rPr>
        <w:t>LED</w:t>
      </w:r>
      <w:r>
        <w:rPr>
          <w:color w:val="000000"/>
          <w:spacing w:val="0"/>
          <w:w w:val="100"/>
          <w:position w:val="0"/>
        </w:rPr>
        <w:t>照明产品推广力度，在商业照明、工业照明及政府办公、公共 照明等领域，推动</w:t>
      </w:r>
      <w:r>
        <w:rPr>
          <w:rFonts w:ascii="Times New Roman" w:eastAsia="Times New Roman" w:hAnsi="Times New Roman" w:cs="Times New Roman"/>
          <w:color w:val="000000"/>
          <w:spacing w:val="0"/>
          <w:w w:val="100"/>
          <w:position w:val="0"/>
        </w:rPr>
        <w:t>LED</w:t>
      </w:r>
      <w:r>
        <w:rPr>
          <w:color w:val="000000"/>
          <w:spacing w:val="0"/>
          <w:w w:val="100"/>
          <w:position w:val="0"/>
        </w:rPr>
        <w:t>产品在医疗、农业、舞台、景观照明等专业和特殊场所的示范应用，有序 推进实施</w:t>
      </w:r>
      <w:r>
        <w:rPr>
          <w:rFonts w:ascii="Times New Roman" w:eastAsia="Times New Roman" w:hAnsi="Times New Roman" w:cs="Times New Roman"/>
          <w:color w:val="000000"/>
          <w:spacing w:val="0"/>
          <w:w w:val="100"/>
          <w:position w:val="0"/>
        </w:rPr>
        <w:t>"</w:t>
      </w:r>
      <w:r>
        <w:rPr>
          <w:color w:val="000000"/>
          <w:spacing w:val="0"/>
          <w:w w:val="100"/>
          <w:position w:val="0"/>
        </w:rPr>
        <w:t>十城万盏</w:t>
      </w:r>
      <w:r>
        <w:rPr>
          <w:rFonts w:ascii="Times New Roman" w:eastAsia="Times New Roman" w:hAnsi="Times New Roman" w:cs="Times New Roman"/>
          <w:color w:val="000000"/>
          <w:spacing w:val="0"/>
          <w:w w:val="100"/>
          <w:position w:val="0"/>
        </w:rPr>
        <w:t>"</w:t>
      </w:r>
      <w:r>
        <w:rPr>
          <w:color w:val="000000"/>
          <w:spacing w:val="0"/>
          <w:w w:val="100"/>
          <w:position w:val="0"/>
        </w:rPr>
        <w:t>半导体照明应用示范工程，重点开展</w:t>
      </w:r>
      <w:r>
        <w:rPr>
          <w:rFonts w:ascii="Times New Roman" w:eastAsia="Times New Roman" w:hAnsi="Times New Roman" w:cs="Times New Roman"/>
          <w:color w:val="000000"/>
          <w:spacing w:val="0"/>
          <w:w w:val="100"/>
          <w:position w:val="0"/>
        </w:rPr>
        <w:t>LED</w:t>
      </w:r>
      <w:r>
        <w:rPr>
          <w:color w:val="000000"/>
          <w:spacing w:val="0"/>
          <w:w w:val="100"/>
          <w:position w:val="0"/>
        </w:rPr>
        <w:t>隧道灯、路灯等产品和系统的示范应 用，积极开展绿色照明示范城市创建活动。在重点开展</w:t>
      </w:r>
      <w:r>
        <w:rPr>
          <w:rFonts w:ascii="Times New Roman" w:eastAsia="Times New Roman" w:hAnsi="Times New Roman" w:cs="Times New Roman"/>
          <w:color w:val="000000"/>
          <w:spacing w:val="0"/>
          <w:w w:val="100"/>
          <w:position w:val="0"/>
        </w:rPr>
        <w:t>LED</w:t>
      </w:r>
      <w:r>
        <w:rPr>
          <w:color w:val="000000"/>
          <w:spacing w:val="0"/>
          <w:w w:val="100"/>
          <w:position w:val="0"/>
        </w:rPr>
        <w:t>筒灯、射灯等照明产品应用和推广的 同时，适时进入家居照明领域。在国家优先发展节能环保产业政策的支持下，</w:t>
      </w:r>
      <w:r>
        <w:rPr>
          <w:rFonts w:ascii="Times New Roman" w:eastAsia="Times New Roman" w:hAnsi="Times New Roman" w:cs="Times New Roman"/>
          <w:color w:val="000000"/>
          <w:spacing w:val="0"/>
          <w:w w:val="100"/>
          <w:position w:val="0"/>
        </w:rPr>
        <w:t>LED</w:t>
      </w:r>
      <w:r>
        <w:rPr>
          <w:color w:val="000000"/>
          <w:spacing w:val="0"/>
          <w:w w:val="100"/>
          <w:position w:val="0"/>
        </w:rPr>
        <w:t>市场需求逐步提 升，未来增长趋势突显。</w:t>
      </w:r>
    </w:p>
    <w:p>
      <w:pPr>
        <w:pStyle w:val="Style29"/>
        <w:keepNext/>
        <w:keepLines/>
        <w:widowControl w:val="0"/>
        <w:numPr>
          <w:ilvl w:val="0"/>
          <w:numId w:val="7"/>
        </w:numPr>
        <w:shd w:val="clear" w:color="auto" w:fill="auto"/>
        <w:tabs>
          <w:tab w:pos="1182" w:val="left"/>
        </w:tabs>
        <w:bidi w:val="0"/>
        <w:spacing w:before="0" w:after="100"/>
        <w:ind w:left="0" w:right="0" w:firstLine="840"/>
        <w:jc w:val="both"/>
      </w:pPr>
      <w:bookmarkStart w:id="179" w:name="bookmark179"/>
      <w:bookmarkStart w:id="180" w:name="bookmark180"/>
      <w:bookmarkStart w:id="181" w:name="bookmark181"/>
      <w:bookmarkStart w:id="182" w:name="bookmark182"/>
      <w:bookmarkEnd w:id="181"/>
      <w:r>
        <w:rPr>
          <w:color w:val="000000"/>
          <w:spacing w:val="0"/>
          <w:w w:val="100"/>
          <w:position w:val="0"/>
        </w:rPr>
        <w:t>行业并购整合持续</w:t>
      </w:r>
      <w:bookmarkEnd w:id="179"/>
      <w:bookmarkEnd w:id="180"/>
      <w:bookmarkEnd w:id="182"/>
    </w:p>
    <w:p>
      <w:pPr>
        <w:pStyle w:val="Style12"/>
        <w:keepNext w:val="0"/>
        <w:keepLines w:val="0"/>
        <w:widowControl w:val="0"/>
        <w:shd w:val="clear" w:color="auto" w:fill="auto"/>
        <w:bidi w:val="0"/>
        <w:spacing w:before="0" w:after="160" w:line="272" w:lineRule="exact"/>
        <w:ind w:left="84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LED</w:t>
      </w:r>
      <w:r>
        <w:rPr>
          <w:color w:val="000000"/>
          <w:spacing w:val="0"/>
          <w:w w:val="100"/>
          <w:position w:val="0"/>
        </w:rPr>
        <w:t>行业掀起了并购整合的浪潮，多家上市公司借助资本市场平台展开了一系列的收 购整合，产业链拓展、市场拓展、渠道拓展成为并购整合的重要方向。未来受</w:t>
      </w:r>
      <w:r>
        <w:rPr>
          <w:rFonts w:ascii="Times New Roman" w:eastAsia="Times New Roman" w:hAnsi="Times New Roman" w:cs="Times New Roman"/>
          <w:color w:val="000000"/>
          <w:spacing w:val="0"/>
          <w:w w:val="100"/>
          <w:position w:val="0"/>
        </w:rPr>
        <w:t>LED</w:t>
      </w:r>
      <w:r>
        <w:rPr>
          <w:color w:val="000000"/>
          <w:spacing w:val="0"/>
          <w:w w:val="100"/>
          <w:position w:val="0"/>
        </w:rPr>
        <w:t>价格、渠道、 品牌、市场及规模等影响，</w:t>
      </w:r>
      <w:r>
        <w:rPr>
          <w:rFonts w:ascii="Times New Roman" w:eastAsia="Times New Roman" w:hAnsi="Times New Roman" w:cs="Times New Roman"/>
          <w:color w:val="000000"/>
          <w:spacing w:val="0"/>
          <w:w w:val="100"/>
          <w:position w:val="0"/>
        </w:rPr>
        <w:t>LED</w:t>
      </w:r>
      <w:r>
        <w:rPr>
          <w:color w:val="000000"/>
          <w:spacing w:val="0"/>
          <w:w w:val="100"/>
          <w:position w:val="0"/>
        </w:rPr>
        <w:t>中下游封装和应用领域的收购整合将持续，且整合力度会越来越大, 传统照明企业亦正着手或期待与新兴</w:t>
      </w:r>
      <w:r>
        <w:rPr>
          <w:rFonts w:ascii="Times New Roman" w:eastAsia="Times New Roman" w:hAnsi="Times New Roman" w:cs="Times New Roman"/>
          <w:color w:val="000000"/>
          <w:spacing w:val="0"/>
          <w:w w:val="100"/>
          <w:position w:val="0"/>
        </w:rPr>
        <w:t>LED</w:t>
      </w:r>
      <w:r>
        <w:rPr>
          <w:color w:val="000000"/>
          <w:spacing w:val="0"/>
          <w:w w:val="100"/>
          <w:position w:val="0"/>
        </w:rPr>
        <w:t>企业进行优势互补或共享的资源整合。</w:t>
      </w:r>
    </w:p>
    <w:p>
      <w:pPr>
        <w:pStyle w:val="Style29"/>
        <w:keepNext/>
        <w:keepLines/>
        <w:widowControl w:val="0"/>
        <w:shd w:val="clear" w:color="auto" w:fill="auto"/>
        <w:tabs>
          <w:tab w:pos="1195" w:val="left"/>
        </w:tabs>
        <w:bidi w:val="0"/>
        <w:spacing w:before="0" w:after="100" w:line="286" w:lineRule="auto"/>
        <w:ind w:left="0" w:right="0" w:firstLine="84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新能源领域</w:t>
      </w:r>
      <w:bookmarkEnd w:id="183"/>
      <w:bookmarkEnd w:id="184"/>
      <w:bookmarkEnd w:id="186"/>
    </w:p>
    <w:p>
      <w:pPr>
        <w:pStyle w:val="Style29"/>
        <w:keepNext/>
        <w:keepLines/>
        <w:widowControl w:val="0"/>
        <w:shd w:val="clear" w:color="auto" w:fill="auto"/>
        <w:bidi w:val="0"/>
        <w:spacing w:before="0" w:after="100"/>
        <w:ind w:left="0" w:right="0" w:firstLine="840"/>
        <w:jc w:val="both"/>
      </w:pPr>
      <w:bookmarkStart w:id="183" w:name="bookmark183"/>
      <w:bookmarkStart w:id="184" w:name="bookmark184"/>
      <w:bookmarkStart w:id="187" w:name="bookmark187"/>
      <w:bookmarkStart w:id="188" w:name="bookmark188"/>
      <w:r>
        <w:rPr>
          <w:color w:val="000000"/>
          <w:spacing w:val="0"/>
          <w:w w:val="100"/>
          <w:position w:val="0"/>
        </w:rPr>
        <w:t>（</w:t>
      </w:r>
      <w:bookmarkEnd w:id="187"/>
      <w:r>
        <w:rPr>
          <w:rFonts w:ascii="Times New Roman" w:eastAsia="Times New Roman" w:hAnsi="Times New Roman" w:cs="Times New Roman"/>
          <w:color w:val="000000"/>
          <w:spacing w:val="0"/>
          <w:w w:val="100"/>
          <w:position w:val="0"/>
        </w:rPr>
        <w:t>1</w:t>
      </w:r>
      <w:r>
        <w:rPr>
          <w:color w:val="000000"/>
          <w:spacing w:val="0"/>
          <w:w w:val="100"/>
          <w:position w:val="0"/>
        </w:rPr>
        <w:t>）竞争格局</w:t>
      </w:r>
      <w:bookmarkEnd w:id="183"/>
      <w:bookmarkEnd w:id="184"/>
      <w:bookmarkEnd w:id="188"/>
    </w:p>
    <w:p>
      <w:pPr>
        <w:pStyle w:val="Style12"/>
        <w:keepNext w:val="0"/>
        <w:keepLines w:val="0"/>
        <w:widowControl w:val="0"/>
        <w:shd w:val="clear" w:color="auto" w:fill="auto"/>
        <w:bidi w:val="0"/>
        <w:spacing w:before="0" w:line="272" w:lineRule="exact"/>
        <w:ind w:left="840" w:right="0" w:firstLine="420"/>
        <w:jc w:val="both"/>
      </w:pPr>
      <w:r>
        <w:rPr>
          <w:color w:val="000000"/>
          <w:spacing w:val="0"/>
          <w:w w:val="100"/>
          <w:position w:val="0"/>
        </w:rPr>
        <w:t>太阳能光伏产业作为政策引导性新兴产业，受政策（财政补贴政策）影响依然较为明显，受益 于国内太阳能光伏产业支持政策的不断落实，太阳能光伏行业逐步复苏，特别是国内太阳能光伏市 场出现快速发展。以中国、日本、非洲、东南亚等为代表的新兴市场正在不断发展。</w:t>
      </w:r>
      <w:r>
        <w:rPr>
          <w:rFonts w:ascii="Times New Roman" w:eastAsia="Times New Roman" w:hAnsi="Times New Roman" w:cs="Times New Roman"/>
          <w:color w:val="000000"/>
          <w:spacing w:val="0"/>
          <w:w w:val="100"/>
          <w:position w:val="0"/>
        </w:rPr>
        <w:t>2013</w:t>
      </w:r>
      <w:r>
        <w:rPr>
          <w:color w:val="000000"/>
          <w:spacing w:val="0"/>
          <w:w w:val="100"/>
          <w:position w:val="0"/>
        </w:rPr>
        <w:t>年，随着 国内太阳能光伏产业支持政策的密集出台，国内太阳能光伏市场爆发，根据能源局统计数据</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年中国新增并网光伏装机容量达</w:t>
      </w:r>
      <w:r>
        <w:rPr>
          <w:rFonts w:ascii="Times New Roman" w:eastAsia="Times New Roman" w:hAnsi="Times New Roman" w:cs="Times New Roman"/>
          <w:color w:val="000000"/>
          <w:spacing w:val="0"/>
          <w:w w:val="100"/>
          <w:position w:val="0"/>
        </w:rPr>
        <w:t>11.3GW</w:t>
      </w:r>
      <w:r>
        <w:rPr>
          <w:color w:val="000000"/>
          <w:spacing w:val="0"/>
          <w:w w:val="100"/>
          <w:position w:val="0"/>
        </w:rPr>
        <w:t>,</w:t>
      </w:r>
      <w:r>
        <w:rPr>
          <w:color w:val="000000"/>
          <w:spacing w:val="0"/>
          <w:w w:val="100"/>
          <w:position w:val="0"/>
        </w:rPr>
        <w:t>根据国家能源局下达的</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年光伏新增建设总规模 </w:t>
      </w:r>
      <w:r>
        <w:rPr>
          <w:rFonts w:ascii="Times New Roman" w:eastAsia="Times New Roman" w:hAnsi="Times New Roman" w:cs="Times New Roman"/>
          <w:color w:val="000000"/>
          <w:spacing w:val="0"/>
          <w:w w:val="100"/>
          <w:position w:val="0"/>
        </w:rPr>
        <w:t>14GW</w:t>
      </w:r>
      <w:r>
        <w:rPr>
          <w:color w:val="000000"/>
          <w:spacing w:val="0"/>
          <w:w w:val="100"/>
          <w:position w:val="0"/>
        </w:rPr>
        <w:t>的安排，国内市场需求持续增长，光伏电站运营效益可期，更多企业进入电站的开发或运营。</w:t>
      </w:r>
    </w:p>
    <w:p>
      <w:pPr>
        <w:pStyle w:val="Style12"/>
        <w:keepNext w:val="0"/>
        <w:keepLines w:val="0"/>
        <w:widowControl w:val="0"/>
        <w:shd w:val="clear" w:color="auto" w:fill="auto"/>
        <w:bidi w:val="0"/>
        <w:spacing w:before="0" w:line="281" w:lineRule="exact"/>
        <w:ind w:left="840" w:right="0" w:firstLine="420"/>
        <w:jc w:val="both"/>
      </w:pPr>
      <w:r>
        <w:rPr>
          <w:color w:val="000000"/>
          <w:spacing w:val="0"/>
          <w:w w:val="100"/>
          <w:position w:val="0"/>
        </w:rPr>
        <w:t>受益于全球经济逐渐增长，</w:t>
      </w:r>
      <w:r>
        <w:rPr>
          <w:rFonts w:ascii="Times New Roman" w:eastAsia="Times New Roman" w:hAnsi="Times New Roman" w:cs="Times New Roman"/>
          <w:color w:val="000000"/>
          <w:spacing w:val="0"/>
          <w:w w:val="100"/>
          <w:position w:val="0"/>
        </w:rPr>
        <w:t>2014</w:t>
      </w:r>
      <w:r>
        <w:rPr>
          <w:color w:val="000000"/>
          <w:spacing w:val="0"/>
          <w:w w:val="100"/>
          <w:position w:val="0"/>
        </w:rPr>
        <w:t>年太阳能光伏产业将持续复苏，但全球太阳能光伏行业依然处 于危机与机遇并存的局面，行业竞争继续加剧。产品质量、技术创新、成本控制、光伏电站</w:t>
      </w:r>
      <w:r>
        <w:rPr>
          <w:rFonts w:ascii="Times New Roman" w:eastAsia="Times New Roman" w:hAnsi="Times New Roman" w:cs="Times New Roman"/>
          <w:color w:val="000000"/>
          <w:spacing w:val="0"/>
          <w:w w:val="100"/>
          <w:position w:val="0"/>
        </w:rPr>
        <w:t xml:space="preserve">EPC </w:t>
      </w:r>
      <w:r>
        <w:rPr>
          <w:color w:val="000000"/>
          <w:spacing w:val="0"/>
          <w:w w:val="100"/>
          <w:position w:val="0"/>
        </w:rPr>
        <w:t>建设集成能力以及商业模式的创新将成为太阳能光伏企业竞争的焦点。</w:t>
      </w:r>
    </w:p>
    <w:p>
      <w:pPr>
        <w:pStyle w:val="Style12"/>
        <w:keepNext w:val="0"/>
        <w:keepLines w:val="0"/>
        <w:widowControl w:val="0"/>
        <w:shd w:val="clear" w:color="auto" w:fill="auto"/>
        <w:bidi w:val="0"/>
        <w:spacing w:before="0" w:line="274" w:lineRule="exact"/>
        <w:ind w:left="0" w:right="0" w:firstLine="840"/>
        <w:jc w:val="both"/>
      </w:pPr>
      <w:bookmarkStart w:id="189" w:name="bookmark189"/>
      <w:r>
        <w:rPr>
          <w:b/>
          <w:bCs/>
          <w:color w:val="000000"/>
          <w:spacing w:val="0"/>
          <w:w w:val="100"/>
          <w:position w:val="0"/>
        </w:rPr>
        <w:t>（</w:t>
      </w:r>
      <w:bookmarkEnd w:id="189"/>
      <w:r>
        <w:rPr>
          <w:rFonts w:ascii="Times New Roman" w:eastAsia="Times New Roman" w:hAnsi="Times New Roman" w:cs="Times New Roman"/>
          <w:b/>
          <w:bCs/>
          <w:color w:val="000000"/>
          <w:spacing w:val="0"/>
          <w:w w:val="100"/>
          <w:position w:val="0"/>
        </w:rPr>
        <w:t>2</w:t>
      </w:r>
      <w:r>
        <w:rPr>
          <w:b/>
          <w:bCs/>
          <w:color w:val="000000"/>
          <w:spacing w:val="0"/>
          <w:w w:val="100"/>
          <w:position w:val="0"/>
        </w:rPr>
        <w:t>）发展趋势</w:t>
      </w:r>
    </w:p>
    <w:p>
      <w:pPr>
        <w:pStyle w:val="Style12"/>
        <w:keepNext w:val="0"/>
        <w:keepLines w:val="0"/>
        <w:widowControl w:val="0"/>
        <w:shd w:val="clear" w:color="auto" w:fill="auto"/>
        <w:bidi w:val="0"/>
        <w:spacing w:before="0" w:line="274" w:lineRule="exact"/>
        <w:ind w:left="84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日，国家能源局网站正式公布了《关于下达</w:t>
      </w:r>
      <w:r>
        <w:rPr>
          <w:rFonts w:ascii="Times New Roman" w:eastAsia="Times New Roman" w:hAnsi="Times New Roman" w:cs="Times New Roman"/>
          <w:color w:val="000000"/>
          <w:spacing w:val="0"/>
          <w:w w:val="100"/>
          <w:position w:val="0"/>
        </w:rPr>
        <w:t>2014</w:t>
      </w:r>
      <w:r>
        <w:rPr>
          <w:color w:val="000000"/>
          <w:spacing w:val="0"/>
          <w:w w:val="100"/>
          <w:position w:val="0"/>
        </w:rPr>
        <w:t>年光伏发电年度新增建设规 模的通知国能新能〔</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33</w:t>
      </w:r>
      <w:r>
        <w:rPr>
          <w:color w:val="000000"/>
          <w:spacing w:val="0"/>
          <w:w w:val="100"/>
          <w:position w:val="0"/>
        </w:rPr>
        <w:t>号》，规划</w:t>
      </w:r>
      <w:r>
        <w:rPr>
          <w:rFonts w:ascii="Times New Roman" w:eastAsia="Times New Roman" w:hAnsi="Times New Roman" w:cs="Times New Roman"/>
          <w:color w:val="000000"/>
          <w:spacing w:val="0"/>
          <w:w w:val="100"/>
          <w:position w:val="0"/>
        </w:rPr>
        <w:t>2014</w:t>
      </w:r>
      <w:r>
        <w:rPr>
          <w:color w:val="000000"/>
          <w:spacing w:val="0"/>
          <w:w w:val="100"/>
          <w:position w:val="0"/>
        </w:rPr>
        <w:t>年新增备案规模总计</w:t>
      </w:r>
      <w:r>
        <w:rPr>
          <w:rFonts w:ascii="Times New Roman" w:eastAsia="Times New Roman" w:hAnsi="Times New Roman" w:cs="Times New Roman"/>
          <w:color w:val="000000"/>
          <w:spacing w:val="0"/>
          <w:w w:val="100"/>
          <w:position w:val="0"/>
        </w:rPr>
        <w:t>14GW</w:t>
      </w:r>
      <w:r>
        <w:rPr>
          <w:color w:val="000000"/>
          <w:spacing w:val="0"/>
          <w:w w:val="100"/>
          <w:position w:val="0"/>
        </w:rPr>
        <w:t>，</w:t>
      </w:r>
      <w:r>
        <w:rPr>
          <w:color w:val="000000"/>
          <w:spacing w:val="0"/>
          <w:w w:val="100"/>
          <w:position w:val="0"/>
        </w:rPr>
        <w:t>其中分布式</w:t>
      </w:r>
      <w:r>
        <w:rPr>
          <w:rFonts w:ascii="Times New Roman" w:eastAsia="Times New Roman" w:hAnsi="Times New Roman" w:cs="Times New Roman"/>
          <w:color w:val="000000"/>
          <w:spacing w:val="0"/>
          <w:w w:val="100"/>
          <w:position w:val="0"/>
        </w:rPr>
        <w:t>8GW</w:t>
      </w:r>
      <w:r>
        <w:rPr>
          <w:color w:val="000000"/>
          <w:spacing w:val="0"/>
          <w:w w:val="100"/>
          <w:position w:val="0"/>
        </w:rPr>
        <w:t>，光 伏电站</w:t>
      </w:r>
      <w:r>
        <w:rPr>
          <w:rFonts w:ascii="Times New Roman" w:eastAsia="Times New Roman" w:hAnsi="Times New Roman" w:cs="Times New Roman"/>
          <w:color w:val="000000"/>
          <w:spacing w:val="0"/>
          <w:w w:val="100"/>
          <w:position w:val="0"/>
        </w:rPr>
        <w:t>6GW</w:t>
      </w:r>
      <w:r>
        <w:rPr>
          <w:color w:val="000000"/>
          <w:spacing w:val="0"/>
          <w:w w:val="100"/>
          <w:position w:val="0"/>
        </w:rPr>
        <w:t>；</w:t>
      </w:r>
      <w:r>
        <w:rPr>
          <w:color w:val="000000"/>
          <w:spacing w:val="0"/>
          <w:w w:val="100"/>
          <w:position w:val="0"/>
        </w:rPr>
        <w:t>区域省市在去年年末和今年上半年纷纷出台地方补贴政策，光伏补贴包含国家补贴 和地方补贴（省级补贴和市级补贴等），补贴的确定提高电站的实际盈利能力，推动光伏电站的发 展。从中央政策到地方政策、从全面政策和细分政策都在不断强化和细化，全面支持能源结构转型 加速，核心要树立以电为核心载体的能源发展方式，包括新能源发电技术（光伏等）、智能电网新 技术、用电电气化新技术以及横贯整个电力</w:t>
      </w:r>
      <w:r>
        <w:rPr>
          <w:rFonts w:ascii="Times New Roman" w:eastAsia="Times New Roman" w:hAnsi="Times New Roman" w:cs="Times New Roman"/>
          <w:color w:val="000000"/>
          <w:spacing w:val="0"/>
          <w:w w:val="100"/>
          <w:position w:val="0"/>
        </w:rPr>
        <w:t>/</w:t>
      </w:r>
      <w:r>
        <w:rPr>
          <w:color w:val="000000"/>
          <w:spacing w:val="0"/>
          <w:w w:val="100"/>
          <w:position w:val="0"/>
        </w:rPr>
        <w:t>电气能源发展方式的节能减排新技术，支持政策的频出， 将带动新能源、智能电网等产业链热度的持续升温。从长远看，随着太阳能光伏产业的工艺革新与 技术进步，光伏发电成本与传统能源发电成本之间的差距将进一步缩小，最终实现光伏发电的平价 上网，使得太阳能成为真正具有竞争力的能源。</w:t>
      </w:r>
    </w:p>
    <w:p>
      <w:pPr>
        <w:pStyle w:val="Style12"/>
        <w:keepNext w:val="0"/>
        <w:keepLines w:val="0"/>
        <w:widowControl w:val="0"/>
        <w:shd w:val="clear" w:color="auto" w:fill="auto"/>
        <w:bidi w:val="0"/>
        <w:spacing w:before="0" w:after="360" w:line="269" w:lineRule="exact"/>
        <w:ind w:left="840" w:right="0" w:firstLine="420"/>
        <w:jc w:val="both"/>
      </w:pPr>
      <w:r>
        <w:rPr>
          <w:color w:val="000000"/>
          <w:spacing w:val="0"/>
          <w:w w:val="100"/>
          <w:position w:val="0"/>
        </w:rPr>
        <w:t>国家有关智能电网、节能和新能源产业政策将为公司发展提供契机，公司将持续强化市场开拓、 技术创新、降本增效、不断提升企业核心竞争力。</w:t>
      </w:r>
    </w:p>
    <w:p>
      <w:pPr>
        <w:pStyle w:val="Style29"/>
        <w:keepNext/>
        <w:keepLines/>
        <w:widowControl w:val="0"/>
        <w:shd w:val="clear" w:color="auto" w:fill="auto"/>
        <w:tabs>
          <w:tab w:pos="1394" w:val="left"/>
        </w:tabs>
        <w:bidi w:val="0"/>
        <w:spacing w:before="0" w:after="100" w:line="274" w:lineRule="exact"/>
        <w:ind w:left="0" w:right="0" w:firstLine="84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w:t>
      </w:r>
      <w:bookmarkEnd w:id="19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bookmarkEnd w:id="190"/>
      <w:bookmarkEnd w:id="191"/>
      <w:bookmarkEnd w:id="193"/>
    </w:p>
    <w:p>
      <w:pPr>
        <w:pStyle w:val="Style12"/>
        <w:keepNext w:val="0"/>
        <w:keepLines w:val="0"/>
        <w:widowControl w:val="0"/>
        <w:shd w:val="clear" w:color="auto" w:fill="auto"/>
        <w:bidi w:val="0"/>
        <w:spacing w:before="0" w:line="283" w:lineRule="exact"/>
        <w:ind w:left="84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年，公司确定了以智能、节能、新能源为战略发展方向，未来，公司将围绕这三大领域， 以电力行业为核心，聚焦智能用电、配网自动化、分布式发电及接入、</w:t>
      </w:r>
      <w:r>
        <w:rPr>
          <w:rFonts w:ascii="Times New Roman" w:eastAsia="Times New Roman" w:hAnsi="Times New Roman" w:cs="Times New Roman"/>
          <w:color w:val="000000"/>
          <w:spacing w:val="0"/>
          <w:w w:val="100"/>
          <w:position w:val="0"/>
        </w:rPr>
        <w:t>LED</w:t>
      </w:r>
      <w:r>
        <w:rPr>
          <w:color w:val="000000"/>
          <w:spacing w:val="0"/>
          <w:w w:val="100"/>
          <w:position w:val="0"/>
        </w:rPr>
        <w:t>绿色照明、能效管理等 业务。</w:t>
      </w:r>
    </w:p>
    <w:p>
      <w:pPr>
        <w:pStyle w:val="Style12"/>
        <w:keepNext w:val="0"/>
        <w:keepLines w:val="0"/>
        <w:widowControl w:val="0"/>
        <w:shd w:val="clear" w:color="auto" w:fill="auto"/>
        <w:bidi w:val="0"/>
        <w:spacing w:before="0" w:line="272" w:lineRule="exact"/>
        <w:ind w:left="840" w:right="0" w:firstLine="420"/>
        <w:jc w:val="both"/>
      </w:pPr>
      <w:r>
        <w:rPr>
          <w:color w:val="000000"/>
          <w:spacing w:val="0"/>
          <w:w w:val="100"/>
          <w:position w:val="0"/>
        </w:rPr>
        <w:t>作为国内太阳能行业开拓者之一，林洋在光伏行业最高峰时退出，最低谷时重新介入，不是受 短期政策和市场机会的刺激，而是相信这是新能源，尤其是分布式新能源在中国即将迎来一个巨大 发展前景和长期爆发性增长的起点而做出的一个重要决策。我们认为，电力系统是所有能源的主要 集成者，任何能源的供应商、服务商都需要和电力系统合作，不仅需要得到电力系统的支持和协助， 也需要对电力系统有着深入的理解和认识，而这也正是林洋相比于国内其他竞争对手的最大优势所 在。我们立志成为中国东部地区最大的分布式光伏发电运营商，是基于我们对电力系统的理解、对 光伏产业的熟悉和未来能源大趋势的敏锐观察做出的战略决策，就像当年我们决定投入到电表行业 一样，对此我们充满信心，也充满了期待。</w:t>
      </w:r>
    </w:p>
    <w:p>
      <w:pPr>
        <w:pStyle w:val="Style12"/>
        <w:keepNext w:val="0"/>
        <w:keepLines w:val="0"/>
        <w:widowControl w:val="0"/>
        <w:shd w:val="clear" w:color="auto" w:fill="auto"/>
        <w:bidi w:val="0"/>
        <w:spacing w:before="0" w:line="274" w:lineRule="exact"/>
        <w:ind w:left="840" w:right="0" w:firstLine="420"/>
        <w:jc w:val="both"/>
      </w:pPr>
      <w:r>
        <w:rPr>
          <w:color w:val="000000"/>
          <w:spacing w:val="0"/>
          <w:w w:val="100"/>
          <w:position w:val="0"/>
        </w:rPr>
        <w:t>电表产业作为公司的基础业务，为林洋的发展提供了最有利的现金流和电力系统资源，通过十 几年的行业耕耘，林洋电子已成为了国内电表行业的翘楚，并经将业务发展到了全球多个区域，公 司电表业务国际化已经初具规模，销售收入增速非常迅猛。未来，我们将进一步实施技术创新、资 本运作、国际化和人才战略，积极打造全球化品牌和管理团队，在继续保持国内领先的同时，大力 加强配变电领域的延伸和国际市场的开拓，持续提升公司的核心竞争力和市场占有率，努力把公司 发展成为最具国际竞争力的设备、解决方案和服务供应商。</w:t>
      </w:r>
    </w:p>
    <w:p>
      <w:pPr>
        <w:pStyle w:val="Style12"/>
        <w:keepNext w:val="0"/>
        <w:keepLines w:val="0"/>
        <w:widowControl w:val="0"/>
        <w:shd w:val="clear" w:color="auto" w:fill="auto"/>
        <w:tabs>
          <w:tab w:pos="1394" w:val="left"/>
        </w:tabs>
        <w:bidi w:val="0"/>
        <w:spacing w:before="0" w:line="274" w:lineRule="exact"/>
        <w:ind w:left="0" w:right="0" w:firstLine="840"/>
        <w:jc w:val="both"/>
      </w:pPr>
      <w:bookmarkStart w:id="194" w:name="bookmark194"/>
      <w:r>
        <w:rPr>
          <w:rFonts w:ascii="Times New Roman" w:eastAsia="Times New Roman" w:hAnsi="Times New Roman" w:cs="Times New Roman"/>
          <w:b/>
          <w:bCs/>
          <w:color w:val="000000"/>
          <w:spacing w:val="0"/>
          <w:w w:val="100"/>
          <w:position w:val="0"/>
        </w:rPr>
        <w:t>（</w:t>
      </w:r>
      <w:bookmarkEnd w:id="194"/>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经营计划</w:t>
      </w:r>
    </w:p>
    <w:p>
      <w:pPr>
        <w:pStyle w:val="Style12"/>
        <w:keepNext w:val="0"/>
        <w:keepLines w:val="0"/>
        <w:widowControl w:val="0"/>
        <w:shd w:val="clear" w:color="auto" w:fill="auto"/>
        <w:bidi w:val="0"/>
        <w:spacing w:before="0" w:line="278" w:lineRule="exact"/>
        <w:ind w:left="84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年公司将紧紧抓住国家智能电网建设、节能以及新能源产业发展机遇，围绕</w:t>
      </w:r>
      <w:r>
        <w:rPr>
          <w:rFonts w:ascii="Times New Roman" w:eastAsia="Times New Roman" w:hAnsi="Times New Roman" w:cs="Times New Roman"/>
          <w:color w:val="000000"/>
          <w:spacing w:val="0"/>
          <w:w w:val="100"/>
          <w:position w:val="0"/>
        </w:rPr>
        <w:t>"</w:t>
      </w:r>
      <w:r>
        <w:rPr>
          <w:color w:val="000000"/>
          <w:spacing w:val="0"/>
          <w:w w:val="100"/>
          <w:position w:val="0"/>
        </w:rPr>
        <w:t>增强营运效 率</w:t>
      </w:r>
      <w:r>
        <w:rPr>
          <w:rFonts w:ascii="Times New Roman" w:eastAsia="Times New Roman" w:hAnsi="Times New Roman" w:cs="Times New Roman"/>
          <w:color w:val="000000"/>
          <w:spacing w:val="0"/>
          <w:w w:val="100"/>
          <w:position w:val="0"/>
        </w:rPr>
        <w:t>,</w:t>
      </w:r>
      <w:r>
        <w:rPr>
          <w:color w:val="000000"/>
          <w:spacing w:val="0"/>
          <w:w w:val="100"/>
          <w:position w:val="0"/>
        </w:rPr>
        <w:t>全力降本增效</w:t>
      </w:r>
      <w:r>
        <w:rPr>
          <w:rFonts w:ascii="Times New Roman" w:eastAsia="Times New Roman" w:hAnsi="Times New Roman" w:cs="Times New Roman"/>
          <w:color w:val="000000"/>
          <w:spacing w:val="0"/>
          <w:w w:val="100"/>
          <w:position w:val="0"/>
        </w:rPr>
        <w:t>"</w:t>
      </w:r>
      <w:r>
        <w:rPr>
          <w:color w:val="000000"/>
          <w:spacing w:val="0"/>
          <w:w w:val="100"/>
          <w:position w:val="0"/>
        </w:rPr>
        <w:t>战略方针，加强内部管控，加大科研投入，拓展营销思路，创新营销模式，确保 公司主营业务健康稳定发展的同时，做强节能与新能源业务，不断提升公司核心竞争力。</w:t>
      </w:r>
    </w:p>
    <w:p>
      <w:pPr>
        <w:pStyle w:val="Style12"/>
        <w:keepNext w:val="0"/>
        <w:keepLines w:val="0"/>
        <w:widowControl w:val="0"/>
        <w:shd w:val="clear" w:color="auto" w:fill="auto"/>
        <w:tabs>
          <w:tab w:pos="1580" w:val="left"/>
        </w:tabs>
        <w:bidi w:val="0"/>
        <w:spacing w:before="0" w:after="120" w:line="271" w:lineRule="exact"/>
        <w:ind w:left="840" w:right="0" w:firstLine="420"/>
        <w:jc w:val="both"/>
      </w:pPr>
      <w:bookmarkStart w:id="195" w:name="bookmark195"/>
      <w:r>
        <w:rPr>
          <w:rFonts w:ascii="Times New Roman" w:eastAsia="Times New Roman" w:hAnsi="Times New Roman" w:cs="Times New Roman"/>
          <w:b/>
          <w:bCs/>
          <w:color w:val="000000"/>
          <w:spacing w:val="0"/>
          <w:w w:val="100"/>
          <w:position w:val="0"/>
        </w:rPr>
        <w:t>1</w:t>
      </w:r>
      <w:bookmarkEnd w:id="195"/>
      <w:r>
        <w:rPr>
          <w:b/>
          <w:bCs/>
          <w:color w:val="000000"/>
          <w:spacing w:val="0"/>
          <w:w w:val="100"/>
          <w:position w:val="0"/>
        </w:rPr>
        <w:t>、</w:t>
        <w:tab/>
        <w:t>持续优化战略布局，积极拓展新产业、新市场。</w:t>
      </w:r>
      <w:r>
        <w:rPr>
          <w:color w:val="000000"/>
          <w:spacing w:val="0"/>
          <w:w w:val="100"/>
          <w:position w:val="0"/>
        </w:rPr>
        <w:t>加快实现由传统电表制造产业向新兴、多 元化产业的转型</w:t>
      </w:r>
      <w:r>
        <w:rPr>
          <w:b/>
          <w:bCs/>
          <w:color w:val="000000"/>
          <w:spacing w:val="0"/>
          <w:w w:val="100"/>
          <w:position w:val="0"/>
        </w:rPr>
        <w:t>。</w:t>
      </w:r>
      <w:r>
        <w:rPr>
          <w:color w:val="000000"/>
          <w:spacing w:val="0"/>
          <w:w w:val="100"/>
          <w:position w:val="0"/>
        </w:rPr>
        <w:t xml:space="preserve">智能用电产品方面，紧抓市场机遇，顺应市场形势变化，拓展营销思路和渠道， 创新产品营销模式，继续做好国家电网、南方电网招标的投标工作和中标后的一系列工作；继续做 好网省公司以下自销量工作；积极拓展澳洲、南美、南非、中东等国际市场；提升配网自动化、输 变电在线监测等技术开发及相关产品的销售比例。太阳能光伏电站方面，公司将投建适量的生产线， 为未来分布式太阳能业务的快速发展做好技术和产业方面的准备；与各地电网公司、节能公司、大 型国有企业积极合作，确定可行、可靠的商业模式；加强与政府部门的顺畅对接，进一步拓展分布 式光伏电站市场。除了积极推进已签署的通州湾项目实施外，未来两到三年，我们计划开发 </w:t>
      </w:r>
      <w:r>
        <w:rPr>
          <w:rFonts w:ascii="Times New Roman" w:eastAsia="Times New Roman" w:hAnsi="Times New Roman" w:cs="Times New Roman"/>
          <w:color w:val="000000"/>
          <w:spacing w:val="0"/>
          <w:w w:val="100"/>
          <w:position w:val="0"/>
        </w:rPr>
        <w:t>500-800MW</w:t>
      </w:r>
      <w:r>
        <w:rPr>
          <w:color w:val="000000"/>
          <w:spacing w:val="0"/>
          <w:w w:val="100"/>
          <w:position w:val="0"/>
        </w:rPr>
        <w:t>以上的分布式电站项目。节能方面，公司将深度挖掘和拓展国内中高端</w:t>
      </w:r>
      <w:r>
        <w:rPr>
          <w:rFonts w:ascii="Times New Roman" w:eastAsia="Times New Roman" w:hAnsi="Times New Roman" w:cs="Times New Roman"/>
          <w:color w:val="000000"/>
          <w:spacing w:val="0"/>
          <w:w w:val="100"/>
          <w:position w:val="0"/>
        </w:rPr>
        <w:t>LED</w:t>
      </w:r>
      <w:r>
        <w:rPr>
          <w:color w:val="000000"/>
          <w:spacing w:val="0"/>
          <w:w w:val="100"/>
          <w:position w:val="0"/>
        </w:rPr>
        <w:t>照明市场， 重点以商业照明、市政照明为主，加强技术升级、供应链管理和成本控制，逐步向公司所在地以外 区域拓展。此外，公司</w:t>
      </w:r>
      <w:r>
        <w:rPr>
          <w:rFonts w:ascii="Times New Roman" w:eastAsia="Times New Roman" w:hAnsi="Times New Roman" w:cs="Times New Roman"/>
          <w:color w:val="000000"/>
          <w:spacing w:val="0"/>
          <w:w w:val="100"/>
          <w:position w:val="0"/>
        </w:rPr>
        <w:t>2014</w:t>
      </w:r>
      <w:r>
        <w:rPr>
          <w:color w:val="000000"/>
          <w:spacing w:val="0"/>
          <w:w w:val="100"/>
          <w:position w:val="0"/>
        </w:rPr>
        <w:t>年将力争在能效管理业务上取得突破，完成节能领域的全面布局。</w:t>
      </w:r>
    </w:p>
    <w:p>
      <w:pPr>
        <w:pStyle w:val="Style12"/>
        <w:keepNext w:val="0"/>
        <w:keepLines w:val="0"/>
        <w:widowControl w:val="0"/>
        <w:shd w:val="clear" w:color="auto" w:fill="auto"/>
        <w:bidi w:val="0"/>
        <w:spacing w:before="0" w:after="120" w:line="274" w:lineRule="exact"/>
        <w:ind w:left="840" w:right="0" w:firstLine="420"/>
        <w:jc w:val="both"/>
      </w:pPr>
      <w:bookmarkStart w:id="196" w:name="bookmark196"/>
      <w:r>
        <w:rPr>
          <w:rFonts w:ascii="Times New Roman" w:eastAsia="Times New Roman" w:hAnsi="Times New Roman" w:cs="Times New Roman"/>
          <w:b/>
          <w:bCs/>
          <w:color w:val="000000"/>
          <w:spacing w:val="0"/>
          <w:w w:val="100"/>
          <w:position w:val="0"/>
        </w:rPr>
        <w:t>2</w:t>
      </w:r>
      <w:bookmarkEnd w:id="196"/>
      <w:r>
        <w:rPr>
          <w:b/>
          <w:bCs/>
          <w:color w:val="000000"/>
          <w:spacing w:val="0"/>
          <w:w w:val="100"/>
          <w:position w:val="0"/>
        </w:rPr>
        <w:t>、 加大产业投资并购步伐，提升核心竞争力。</w:t>
      </w:r>
      <w:r>
        <w:rPr>
          <w:color w:val="000000"/>
          <w:spacing w:val="0"/>
          <w:w w:val="100"/>
          <w:position w:val="0"/>
        </w:rPr>
        <w:t>根据公司战略目标，公司将不断搜寻具有技术、 品牌或渠道等优势资源的目标企业，与其强强联合或优势互补，以扩大公司经营规模，加快产业扩 张，在较短的时间内完成新产品在技术、品牌、渠道等方面的积累，提升公司在智能、节能、新能 源领域内的核心竞争力。</w:t>
      </w:r>
      <w:r>
        <w:rPr>
          <w:rFonts w:ascii="Times New Roman" w:eastAsia="Times New Roman" w:hAnsi="Times New Roman" w:cs="Times New Roman"/>
          <w:color w:val="000000"/>
          <w:spacing w:val="0"/>
          <w:w w:val="100"/>
          <w:position w:val="0"/>
        </w:rPr>
        <w:t>2014</w:t>
      </w:r>
      <w:r>
        <w:rPr>
          <w:color w:val="000000"/>
          <w:spacing w:val="0"/>
          <w:w w:val="100"/>
          <w:position w:val="0"/>
        </w:rPr>
        <w:t>年还将通过投资建设符合产业规范要求的全自动光伏组件生产线，加 强技术创新，强化公司在分布式电站业务中的成本与质量控制，进一步提高电站业务的收益水平。</w:t>
      </w:r>
    </w:p>
    <w:p>
      <w:pPr>
        <w:pStyle w:val="Style12"/>
        <w:keepNext w:val="0"/>
        <w:keepLines w:val="0"/>
        <w:widowControl w:val="0"/>
        <w:shd w:val="clear" w:color="auto" w:fill="auto"/>
        <w:bidi w:val="0"/>
        <w:spacing w:before="0" w:after="120" w:line="273" w:lineRule="exact"/>
        <w:ind w:left="840" w:right="0" w:firstLine="420"/>
        <w:jc w:val="both"/>
      </w:pPr>
      <w:bookmarkStart w:id="197" w:name="bookmark197"/>
      <w:r>
        <w:rPr>
          <w:rFonts w:ascii="Times New Roman" w:eastAsia="Times New Roman" w:hAnsi="Times New Roman" w:cs="Times New Roman"/>
          <w:b/>
          <w:bCs/>
          <w:color w:val="000000"/>
          <w:spacing w:val="0"/>
          <w:w w:val="100"/>
          <w:position w:val="0"/>
        </w:rPr>
        <w:t>3</w:t>
      </w:r>
      <w:bookmarkEnd w:id="197"/>
      <w:r>
        <w:rPr>
          <w:b/>
          <w:bCs/>
          <w:color w:val="000000"/>
          <w:spacing w:val="0"/>
          <w:w w:val="100"/>
          <w:position w:val="0"/>
        </w:rPr>
        <w:t>、 继续提升科技创新能力，确保公司持续健康发展。</w:t>
      </w:r>
      <w:r>
        <w:rPr>
          <w:color w:val="000000"/>
          <w:spacing w:val="0"/>
          <w:w w:val="100"/>
          <w:position w:val="0"/>
        </w:rPr>
        <w:t>智能用电产品方面，全面布局国际市场 的电能表产品平台、终端和小系统软件。继续开展电源、通信、费控和计量等领域的技术研究，积 极开展科研合作，提高公司综合技术实力和在行业中的影响力以及产品的持续竞争力。光伏产品方 面，引入高效组件技术，加强与国内外顶尖光伏专业院校的合作，不断提高光伏电站系统的集成能 力，提高发电效率，降低运营成本。</w:t>
      </w:r>
      <w:r>
        <w:rPr>
          <w:rFonts w:ascii="Times New Roman" w:eastAsia="Times New Roman" w:hAnsi="Times New Roman" w:cs="Times New Roman"/>
          <w:color w:val="000000"/>
          <w:spacing w:val="0"/>
          <w:w w:val="100"/>
          <w:position w:val="0"/>
        </w:rPr>
        <w:t>LED</w:t>
      </w:r>
      <w:r>
        <w:rPr>
          <w:color w:val="000000"/>
          <w:spacing w:val="0"/>
          <w:w w:val="100"/>
          <w:position w:val="0"/>
        </w:rPr>
        <w:t>照明产品方面，以市场需求为导向，加快公司</w:t>
      </w:r>
      <w:r>
        <w:rPr>
          <w:rFonts w:ascii="Times New Roman" w:eastAsia="Times New Roman" w:hAnsi="Times New Roman" w:cs="Times New Roman"/>
          <w:color w:val="000000"/>
          <w:spacing w:val="0"/>
          <w:w w:val="100"/>
          <w:position w:val="0"/>
        </w:rPr>
        <w:t>LED</w:t>
      </w:r>
      <w:r>
        <w:rPr>
          <w:color w:val="000000"/>
          <w:spacing w:val="0"/>
          <w:w w:val="100"/>
          <w:position w:val="0"/>
        </w:rPr>
        <w:t>照明 新技术开发、快速实现</w:t>
      </w:r>
      <w:r>
        <w:rPr>
          <w:rFonts w:ascii="Times New Roman" w:eastAsia="Times New Roman" w:hAnsi="Times New Roman" w:cs="Times New Roman"/>
          <w:color w:val="000000"/>
          <w:spacing w:val="0"/>
          <w:w w:val="100"/>
          <w:position w:val="0"/>
        </w:rPr>
        <w:t>LED</w:t>
      </w:r>
      <w:r>
        <w:rPr>
          <w:color w:val="000000"/>
          <w:spacing w:val="0"/>
          <w:w w:val="100"/>
          <w:position w:val="0"/>
        </w:rPr>
        <w:t>技术成果向产业化转化。公司将加大研发支出的投入力度，加强在照 明灯具模块化、智能化应用的开发，大力丰富公司现有的产品系列，为客户提供多样化的可替代性 选择。</w:t>
      </w:r>
    </w:p>
    <w:p>
      <w:pPr>
        <w:pStyle w:val="Style12"/>
        <w:keepNext w:val="0"/>
        <w:keepLines w:val="0"/>
        <w:widowControl w:val="0"/>
        <w:shd w:val="clear" w:color="auto" w:fill="auto"/>
        <w:bidi w:val="0"/>
        <w:spacing w:before="0" w:after="120" w:line="276" w:lineRule="exact"/>
        <w:ind w:left="840" w:right="0" w:firstLine="420"/>
        <w:jc w:val="both"/>
      </w:pPr>
      <w:bookmarkStart w:id="198" w:name="bookmark198"/>
      <w:r>
        <w:rPr>
          <w:rFonts w:ascii="Times New Roman" w:eastAsia="Times New Roman" w:hAnsi="Times New Roman" w:cs="Times New Roman"/>
          <w:b/>
          <w:bCs/>
          <w:color w:val="000000"/>
          <w:spacing w:val="0"/>
          <w:w w:val="100"/>
          <w:position w:val="0"/>
        </w:rPr>
        <w:t>4</w:t>
      </w:r>
      <w:bookmarkEnd w:id="198"/>
      <w:r>
        <w:rPr>
          <w:b/>
          <w:bCs/>
          <w:color w:val="000000"/>
          <w:spacing w:val="0"/>
          <w:w w:val="100"/>
          <w:position w:val="0"/>
        </w:rPr>
        <w:t>、 进一步加大林洋品牌在各领域的推广和传播力度，提升公司形象。</w:t>
      </w:r>
      <w:r>
        <w:rPr>
          <w:color w:val="000000"/>
          <w:spacing w:val="0"/>
          <w:w w:val="100"/>
          <w:position w:val="0"/>
        </w:rPr>
        <w:t>在智能电网领域，借助 林洋在电力行业口碑和影响力，积极拓展变电、配电领域市场份额；太阳能光伏领域，林洋品牌是 光伏行业的先行者，具有广泛的客户基础和影响力；</w:t>
      </w:r>
      <w:r>
        <w:rPr>
          <w:rFonts w:ascii="Times New Roman" w:eastAsia="Times New Roman" w:hAnsi="Times New Roman" w:cs="Times New Roman"/>
          <w:color w:val="000000"/>
          <w:spacing w:val="0"/>
          <w:w w:val="100"/>
          <w:position w:val="0"/>
        </w:rPr>
        <w:t>LED</w:t>
      </w:r>
      <w:r>
        <w:rPr>
          <w:color w:val="000000"/>
          <w:spacing w:val="0"/>
          <w:w w:val="100"/>
          <w:position w:val="0"/>
        </w:rPr>
        <w:t>照明领域，通过渠道建设、市政工程的招 投标项目，以及与国家电网节能公司的密切合作，全力推广</w:t>
      </w:r>
      <w:r>
        <w:rPr>
          <w:rFonts w:ascii="Times New Roman" w:eastAsia="Times New Roman" w:hAnsi="Times New Roman" w:cs="Times New Roman"/>
          <w:color w:val="000000"/>
          <w:spacing w:val="0"/>
          <w:w w:val="100"/>
          <w:position w:val="0"/>
        </w:rPr>
        <w:t>"</w:t>
      </w:r>
      <w:r>
        <w:rPr>
          <w:color w:val="000000"/>
          <w:spacing w:val="0"/>
          <w:w w:val="100"/>
          <w:position w:val="0"/>
        </w:rPr>
        <w:t>林洋照明</w:t>
      </w:r>
      <w:r>
        <w:rPr>
          <w:rFonts w:ascii="Times New Roman" w:eastAsia="Times New Roman" w:hAnsi="Times New Roman" w:cs="Times New Roman"/>
          <w:color w:val="000000"/>
          <w:spacing w:val="0"/>
          <w:w w:val="100"/>
          <w:position w:val="0"/>
        </w:rPr>
        <w:t>"</w:t>
      </w:r>
      <w:r>
        <w:rPr>
          <w:color w:val="000000"/>
          <w:spacing w:val="0"/>
          <w:w w:val="100"/>
          <w:position w:val="0"/>
        </w:rPr>
        <w:t>品牌，强化客户的品牌认知 度。</w:t>
      </w:r>
    </w:p>
    <w:p>
      <w:pPr>
        <w:pStyle w:val="Style12"/>
        <w:keepNext w:val="0"/>
        <w:keepLines w:val="0"/>
        <w:widowControl w:val="0"/>
        <w:shd w:val="clear" w:color="auto" w:fill="auto"/>
        <w:bidi w:val="0"/>
        <w:spacing w:before="0" w:after="120" w:line="277" w:lineRule="exact"/>
        <w:ind w:left="840" w:right="0" w:firstLine="420"/>
        <w:jc w:val="both"/>
      </w:pPr>
      <w:bookmarkStart w:id="199" w:name="bookmark199"/>
      <w:r>
        <w:rPr>
          <w:rFonts w:ascii="Times New Roman" w:eastAsia="Times New Roman" w:hAnsi="Times New Roman" w:cs="Times New Roman"/>
          <w:b/>
          <w:bCs/>
          <w:color w:val="000000"/>
          <w:spacing w:val="0"/>
          <w:w w:val="100"/>
          <w:position w:val="0"/>
        </w:rPr>
        <w:t>5</w:t>
      </w:r>
      <w:bookmarkEnd w:id="199"/>
      <w:r>
        <w:rPr>
          <w:b/>
          <w:bCs/>
          <w:color w:val="000000"/>
          <w:spacing w:val="0"/>
          <w:w w:val="100"/>
          <w:position w:val="0"/>
        </w:rPr>
        <w:t>、 全面强化公司人才培养和团队建设能力，为新产业输送合适人才。</w:t>
      </w:r>
      <w:r>
        <w:rPr>
          <w:color w:val="000000"/>
          <w:spacing w:val="0"/>
          <w:w w:val="100"/>
          <w:position w:val="0"/>
        </w:rPr>
        <w:t>通过实施人才培养与引 进计划，形成公司内部良好的人才梯队与人才储备。建立健全人才招聘制度，拓宽招聘渠道，积极 引入优秀的管理人员和专业人才，使管理团队更职业化和专业化。完善绩效管理体系，通过股权激 励等措施，提升个人和团队的执行力及使命感。</w:t>
      </w:r>
    </w:p>
    <w:p>
      <w:pPr>
        <w:pStyle w:val="Style12"/>
        <w:keepNext w:val="0"/>
        <w:keepLines w:val="0"/>
        <w:widowControl w:val="0"/>
        <w:shd w:val="clear" w:color="auto" w:fill="auto"/>
        <w:tabs>
          <w:tab w:pos="1580" w:val="left"/>
        </w:tabs>
        <w:bidi w:val="0"/>
        <w:spacing w:before="0" w:after="220" w:line="275" w:lineRule="exact"/>
        <w:ind w:left="840" w:right="0" w:firstLine="420"/>
        <w:jc w:val="both"/>
      </w:pPr>
      <w:bookmarkStart w:id="200" w:name="bookmark200"/>
      <w:r>
        <w:rPr>
          <w:rFonts w:ascii="Times New Roman" w:eastAsia="Times New Roman" w:hAnsi="Times New Roman" w:cs="Times New Roman"/>
          <w:b/>
          <w:bCs/>
          <w:color w:val="000000"/>
          <w:spacing w:val="0"/>
          <w:w w:val="100"/>
          <w:position w:val="0"/>
        </w:rPr>
        <w:t>6</w:t>
      </w:r>
      <w:bookmarkEnd w:id="200"/>
      <w:r>
        <w:rPr>
          <w:b/>
          <w:bCs/>
          <w:color w:val="000000"/>
          <w:spacing w:val="0"/>
          <w:w w:val="100"/>
          <w:position w:val="0"/>
        </w:rPr>
        <w:t>、</w:t>
        <w:tab/>
        <w:t>全面强化经营管理能力建设，提升公司盈利能力。</w:t>
      </w:r>
      <w:r>
        <w:rPr>
          <w:color w:val="000000"/>
          <w:spacing w:val="0"/>
          <w:w w:val="100"/>
          <w:position w:val="0"/>
        </w:rPr>
        <w:t>继续实施</w:t>
      </w:r>
      <w:r>
        <w:rPr>
          <w:rFonts w:ascii="Times New Roman" w:eastAsia="Times New Roman" w:hAnsi="Times New Roman" w:cs="Times New Roman"/>
          <w:color w:val="000000"/>
          <w:spacing w:val="0"/>
          <w:w w:val="100"/>
          <w:position w:val="0"/>
        </w:rPr>
        <w:t>"</w:t>
      </w:r>
      <w:r>
        <w:rPr>
          <w:color w:val="000000"/>
          <w:spacing w:val="0"/>
          <w:w w:val="100"/>
          <w:position w:val="0"/>
        </w:rPr>
        <w:t>降本增效</w:t>
      </w:r>
      <w:r>
        <w:rPr>
          <w:rFonts w:ascii="Times New Roman" w:eastAsia="Times New Roman" w:hAnsi="Times New Roman" w:cs="Times New Roman"/>
          <w:color w:val="000000"/>
          <w:spacing w:val="0"/>
          <w:w w:val="100"/>
          <w:position w:val="0"/>
        </w:rPr>
        <w:t>"</w:t>
      </w:r>
      <w:r>
        <w:rPr>
          <w:color w:val="000000"/>
          <w:spacing w:val="0"/>
          <w:w w:val="100"/>
          <w:position w:val="0"/>
        </w:rPr>
        <w:t>的战略方针，加强 成本、费用的有效管控，降低原材料、人工成本、制造费用及期间费用，增强应收账款和库存管理 工作，有效控制经营风险；通过加强绩效考核、信息化管理、内控风险管理及提升执行力等方式， 深化公司精细化管理，提升管理效率和质量。</w:t>
      </w:r>
    </w:p>
    <w:p>
      <w:pPr>
        <w:pStyle w:val="Style12"/>
        <w:keepNext w:val="0"/>
        <w:keepLines w:val="0"/>
        <w:widowControl w:val="0"/>
        <w:shd w:val="clear" w:color="auto" w:fill="auto"/>
        <w:bidi w:val="0"/>
        <w:spacing w:before="0" w:after="360" w:line="281" w:lineRule="exact"/>
        <w:ind w:left="84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年经营目标：营业收入</w:t>
      </w:r>
      <w:r>
        <w:rPr>
          <w:rFonts w:ascii="Times New Roman" w:eastAsia="Times New Roman" w:hAnsi="Times New Roman" w:cs="Times New Roman"/>
          <w:color w:val="000000"/>
          <w:spacing w:val="0"/>
          <w:w w:val="100"/>
          <w:position w:val="0"/>
        </w:rPr>
        <w:t>25</w:t>
      </w:r>
      <w:r>
        <w:rPr>
          <w:color w:val="000000"/>
          <w:spacing w:val="0"/>
          <w:w w:val="100"/>
          <w:position w:val="0"/>
        </w:rPr>
        <w:t>亿元人民币。上述经营目标并不代表公司对</w:t>
      </w:r>
      <w:r>
        <w:rPr>
          <w:rFonts w:ascii="Times New Roman" w:eastAsia="Times New Roman" w:hAnsi="Times New Roman" w:cs="Times New Roman"/>
          <w:color w:val="000000"/>
          <w:spacing w:val="0"/>
          <w:w w:val="100"/>
          <w:position w:val="0"/>
        </w:rPr>
        <w:t>2014</w:t>
      </w:r>
      <w:r>
        <w:rPr>
          <w:color w:val="000000"/>
          <w:spacing w:val="0"/>
          <w:w w:val="100"/>
          <w:position w:val="0"/>
        </w:rPr>
        <w:t>年度的盈利预 测，能否实现或超额完成还取决于国家宏观政策、市场状况的变化等多种因素，存在不确定性，敬 请投资者特别注意。</w:t>
      </w:r>
    </w:p>
    <w:p>
      <w:pPr>
        <w:pStyle w:val="Style29"/>
        <w:keepNext/>
        <w:keepLines/>
        <w:widowControl w:val="0"/>
        <w:shd w:val="clear" w:color="auto" w:fill="auto"/>
        <w:bidi w:val="0"/>
        <w:spacing w:before="0" w:after="0" w:line="274" w:lineRule="exact"/>
        <w:ind w:left="0" w:right="0" w:firstLine="840"/>
        <w:jc w:val="both"/>
      </w:pPr>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因维持当前业务并完成在建投资项目公司所需的资金需求</w:t>
      </w:r>
      <w:bookmarkEnd w:id="201"/>
      <w:bookmarkEnd w:id="202"/>
      <w:bookmarkEnd w:id="203"/>
    </w:p>
    <w:p>
      <w:pPr>
        <w:pStyle w:val="Style12"/>
        <w:keepNext w:val="0"/>
        <w:keepLines w:val="0"/>
        <w:widowControl w:val="0"/>
        <w:shd w:val="clear" w:color="auto" w:fill="auto"/>
        <w:bidi w:val="0"/>
        <w:spacing w:before="0" w:after="120" w:line="274" w:lineRule="exact"/>
        <w:ind w:left="0" w:right="0" w:firstLine="840"/>
        <w:jc w:val="both"/>
      </w:pPr>
      <w:r>
        <w:rPr>
          <w:color w:val="000000"/>
          <w:spacing w:val="0"/>
          <w:w w:val="100"/>
          <w:position w:val="0"/>
        </w:rPr>
        <w:t>公司目前财务状况良好，可以满足生产经营需要。</w:t>
      </w:r>
    </w:p>
    <w:p>
      <w:pPr>
        <w:pStyle w:val="Style29"/>
        <w:keepNext/>
        <w:keepLines/>
        <w:widowControl w:val="0"/>
        <w:shd w:val="clear" w:color="auto" w:fill="auto"/>
        <w:bidi w:val="0"/>
        <w:spacing w:before="0" w:after="120"/>
        <w:ind w:left="0" w:right="0" w:firstLine="84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w:t>
      </w:r>
      <w:bookmarkEnd w:id="206"/>
      <w:r>
        <w:rPr>
          <w:color w:val="000000"/>
          <w:spacing w:val="0"/>
          <w:w w:val="100"/>
          <w:position w:val="0"/>
        </w:rPr>
        <w:t>五</w:t>
      </w:r>
      <w:r>
        <w:rPr>
          <w:color w:val="000000"/>
          <w:spacing w:val="0"/>
          <w:w w:val="100"/>
          <w:position w:val="0"/>
        </w:rPr>
        <w:t>）</w:t>
      </w:r>
      <w:r>
        <w:rPr>
          <w:color w:val="000000"/>
          <w:spacing w:val="0"/>
          <w:w w:val="100"/>
          <w:position w:val="0"/>
        </w:rPr>
        <w:t>可能面对的风险</w:t>
      </w:r>
      <w:bookmarkEnd w:id="204"/>
      <w:bookmarkEnd w:id="205"/>
      <w:bookmarkEnd w:id="207"/>
    </w:p>
    <w:p>
      <w:pPr>
        <w:pStyle w:val="Style29"/>
        <w:keepNext/>
        <w:keepLines/>
        <w:widowControl w:val="0"/>
        <w:numPr>
          <w:ilvl w:val="0"/>
          <w:numId w:val="9"/>
        </w:numPr>
        <w:shd w:val="clear" w:color="auto" w:fill="auto"/>
        <w:tabs>
          <w:tab w:pos="1173" w:val="left"/>
        </w:tabs>
        <w:bidi w:val="0"/>
        <w:spacing w:before="0" w:after="220"/>
        <w:ind w:left="0" w:right="0" w:firstLine="840"/>
        <w:jc w:val="both"/>
      </w:pPr>
      <w:bookmarkStart w:id="204" w:name="bookmark204"/>
      <w:bookmarkStart w:id="205" w:name="bookmark205"/>
      <w:bookmarkStart w:id="208" w:name="bookmark208"/>
      <w:bookmarkStart w:id="209" w:name="bookmark209"/>
      <w:bookmarkEnd w:id="208"/>
      <w:r>
        <w:rPr>
          <w:color w:val="000000"/>
          <w:spacing w:val="0"/>
          <w:w w:val="100"/>
          <w:position w:val="0"/>
        </w:rPr>
        <w:t>政策风险</w:t>
      </w:r>
      <w:bookmarkEnd w:id="204"/>
      <w:bookmarkEnd w:id="205"/>
      <w:bookmarkEnd w:id="209"/>
    </w:p>
    <w:p>
      <w:pPr>
        <w:pStyle w:val="Style12"/>
        <w:keepNext w:val="0"/>
        <w:keepLines w:val="0"/>
        <w:widowControl w:val="0"/>
        <w:shd w:val="clear" w:color="auto" w:fill="auto"/>
        <w:bidi w:val="0"/>
        <w:spacing w:before="0" w:after="120" w:line="272" w:lineRule="exact"/>
        <w:ind w:left="840" w:right="0" w:firstLine="420"/>
        <w:jc w:val="both"/>
      </w:pPr>
      <w:r>
        <w:rPr>
          <w:color w:val="000000"/>
          <w:spacing w:val="0"/>
          <w:w w:val="100"/>
          <w:position w:val="0"/>
        </w:rPr>
        <w:t>公司提出的智能、节能、新能源战略目标与国家宏观经济政策、能源政策、节能环保政策等密 切相关，未来公司可能面临着国家出于宏观调控需要，调整相关产业政策的风险，从而给公司的业 务发展造成不利影响。对策：公司将进一步加强对国家宏观政策和产业发展趋势的研究和分析，加 强公司战略管控，通过优化内部资源，促进公司持续、稳定、健康发展。</w:t>
      </w:r>
    </w:p>
    <w:p>
      <w:pPr>
        <w:pStyle w:val="Style29"/>
        <w:keepNext/>
        <w:keepLines/>
        <w:widowControl w:val="0"/>
        <w:numPr>
          <w:ilvl w:val="0"/>
          <w:numId w:val="9"/>
        </w:numPr>
        <w:shd w:val="clear" w:color="auto" w:fill="auto"/>
        <w:tabs>
          <w:tab w:pos="1182" w:val="left"/>
        </w:tabs>
        <w:bidi w:val="0"/>
        <w:spacing w:before="0" w:after="220"/>
        <w:ind w:left="0" w:right="0" w:firstLine="840"/>
        <w:jc w:val="both"/>
      </w:pPr>
      <w:bookmarkStart w:id="210" w:name="bookmark210"/>
      <w:bookmarkStart w:id="211" w:name="bookmark211"/>
      <w:bookmarkStart w:id="212" w:name="bookmark212"/>
      <w:bookmarkStart w:id="213" w:name="bookmark213"/>
      <w:bookmarkEnd w:id="212"/>
      <w:r>
        <w:rPr>
          <w:color w:val="000000"/>
          <w:spacing w:val="0"/>
          <w:w w:val="100"/>
          <w:position w:val="0"/>
        </w:rPr>
        <w:t>市场竞争风险</w:t>
      </w:r>
      <w:bookmarkEnd w:id="210"/>
      <w:bookmarkEnd w:id="211"/>
      <w:bookmarkEnd w:id="213"/>
    </w:p>
    <w:p>
      <w:pPr>
        <w:pStyle w:val="Style12"/>
        <w:keepNext w:val="0"/>
        <w:keepLines w:val="0"/>
        <w:widowControl w:val="0"/>
        <w:shd w:val="clear" w:color="auto" w:fill="auto"/>
        <w:bidi w:val="0"/>
        <w:spacing w:before="0" w:after="120" w:line="274" w:lineRule="exact"/>
        <w:ind w:left="840" w:right="0" w:firstLine="420"/>
        <w:jc w:val="both"/>
      </w:pPr>
      <w:r>
        <w:rPr>
          <w:color w:val="000000"/>
          <w:spacing w:val="0"/>
          <w:w w:val="100"/>
          <w:position w:val="0"/>
        </w:rPr>
        <w:t>电能表与终端市场经过多年发展，市场化程度较高，虽然公司目前竞争优势明显，已连续多年 在国家电网公司的中标规模居前三位，拥有较高的行业地位，但公司仍面临着行业内企业数量不断 增加以及竞争对手的低价竞争的市场风险。</w:t>
      </w:r>
      <w:r>
        <w:rPr>
          <w:rFonts w:ascii="Times New Roman" w:eastAsia="Times New Roman" w:hAnsi="Times New Roman" w:cs="Times New Roman"/>
          <w:color w:val="000000"/>
          <w:spacing w:val="0"/>
          <w:w w:val="100"/>
          <w:position w:val="0"/>
        </w:rPr>
        <w:t>LED</w:t>
      </w:r>
      <w:r>
        <w:rPr>
          <w:color w:val="000000"/>
          <w:spacing w:val="0"/>
          <w:w w:val="100"/>
          <w:position w:val="0"/>
        </w:rPr>
        <w:t>照明和太阳能光伏行业市场前景广阔，但目前也面 临市场无序竞争、需求不振等风险。对策：公司将持续以市场为导向，加大细分市场营销力度，不 断拓展营销思路和渠道，创新产品营销模式，充分利用已经建立的营销渠道、品牌优势等，在巩固 国内业务的同时，积极开拓国际市场，全面提升国际业务及新产品的销售比例。</w:t>
      </w:r>
    </w:p>
    <w:p>
      <w:pPr>
        <w:pStyle w:val="Style29"/>
        <w:keepNext/>
        <w:keepLines/>
        <w:widowControl w:val="0"/>
        <w:numPr>
          <w:ilvl w:val="0"/>
          <w:numId w:val="9"/>
        </w:numPr>
        <w:shd w:val="clear" w:color="auto" w:fill="auto"/>
        <w:tabs>
          <w:tab w:pos="1182" w:val="left"/>
        </w:tabs>
        <w:bidi w:val="0"/>
        <w:spacing w:before="0" w:after="220"/>
        <w:ind w:left="0" w:right="0" w:firstLine="840"/>
        <w:jc w:val="both"/>
      </w:pPr>
      <w:bookmarkStart w:id="214" w:name="bookmark214"/>
      <w:bookmarkStart w:id="215" w:name="bookmark215"/>
      <w:bookmarkStart w:id="216" w:name="bookmark216"/>
      <w:bookmarkStart w:id="217" w:name="bookmark217"/>
      <w:bookmarkEnd w:id="216"/>
      <w:r>
        <w:rPr>
          <w:color w:val="000000"/>
          <w:spacing w:val="0"/>
          <w:w w:val="100"/>
          <w:position w:val="0"/>
        </w:rPr>
        <w:t>技术革新风险</w:t>
      </w:r>
      <w:bookmarkEnd w:id="214"/>
      <w:bookmarkEnd w:id="215"/>
      <w:bookmarkEnd w:id="217"/>
    </w:p>
    <w:p>
      <w:pPr>
        <w:pStyle w:val="Style12"/>
        <w:keepNext w:val="0"/>
        <w:keepLines w:val="0"/>
        <w:widowControl w:val="0"/>
        <w:shd w:val="clear" w:color="auto" w:fill="auto"/>
        <w:bidi w:val="0"/>
        <w:spacing w:before="0" w:after="120" w:line="273" w:lineRule="exact"/>
        <w:ind w:left="840" w:right="0" w:firstLine="420"/>
        <w:jc w:val="both"/>
      </w:pPr>
      <w:r>
        <w:rPr>
          <w:color w:val="000000"/>
          <w:spacing w:val="0"/>
          <w:w w:val="100"/>
          <w:position w:val="0"/>
        </w:rPr>
        <w:t>随着市场竞争的加剧，技术更新换代周期越来越短。新技术的应用与新产品的开发是确保公司 核心竞争力的关键之一，如果公司不能保持持续创新的能力，不能及时准确把握技术、产品和市场 发展趋势，将削弱已有的竞争优势，从而对公司产品的市场份额和经济效益造成不利风险。对策： 公司密切关注客户需求及行业内最新技术应用和市场、技术发展趋势；加强与科研院所、高校的合 作，加大对技术人才的引进和提升、加大新产品、新技术的研发投入；进一步优化研发管理体系， 缩短新产品开发周期，使公司在市场竞争中具备更强的技术优势。</w:t>
      </w:r>
    </w:p>
    <w:p>
      <w:pPr>
        <w:pStyle w:val="Style29"/>
        <w:keepNext/>
        <w:keepLines/>
        <w:widowControl w:val="0"/>
        <w:numPr>
          <w:ilvl w:val="0"/>
          <w:numId w:val="9"/>
        </w:numPr>
        <w:shd w:val="clear" w:color="auto" w:fill="auto"/>
        <w:tabs>
          <w:tab w:pos="1182" w:val="left"/>
        </w:tabs>
        <w:bidi w:val="0"/>
        <w:spacing w:before="0" w:after="220"/>
        <w:ind w:left="0" w:right="0" w:firstLine="840"/>
        <w:jc w:val="both"/>
      </w:pPr>
      <w:bookmarkStart w:id="218" w:name="bookmark218"/>
      <w:bookmarkStart w:id="219" w:name="bookmark219"/>
      <w:bookmarkStart w:id="220" w:name="bookmark220"/>
      <w:bookmarkStart w:id="221" w:name="bookmark221"/>
      <w:bookmarkEnd w:id="220"/>
      <w:r>
        <w:rPr>
          <w:color w:val="000000"/>
          <w:spacing w:val="0"/>
          <w:w w:val="100"/>
          <w:position w:val="0"/>
        </w:rPr>
        <w:t>高端人才缺乏风险</w:t>
      </w:r>
      <w:bookmarkEnd w:id="218"/>
      <w:bookmarkEnd w:id="219"/>
      <w:bookmarkEnd w:id="221"/>
    </w:p>
    <w:p>
      <w:pPr>
        <w:pStyle w:val="Style12"/>
        <w:keepNext w:val="0"/>
        <w:keepLines w:val="0"/>
        <w:widowControl w:val="0"/>
        <w:shd w:val="clear" w:color="auto" w:fill="auto"/>
        <w:bidi w:val="0"/>
        <w:spacing w:before="0" w:after="220" w:line="276" w:lineRule="exact"/>
        <w:ind w:left="840" w:right="0" w:firstLine="420"/>
        <w:jc w:val="both"/>
      </w:pPr>
      <w:r>
        <w:rPr>
          <w:color w:val="000000"/>
          <w:spacing w:val="0"/>
          <w:w w:val="100"/>
          <w:position w:val="0"/>
        </w:rPr>
        <w:t>随着公司战略规划的全面推进，公司可能存在管理人才和专业人才储备与公司发展需求不能很 好匹配的风险。对策：公司制定了有吸引力的薪酬制度和股权激励等措施，公司将不断完善绩效管 理体系，并根据公司业务发展需要，招募优秀人才加盟公司，着力打造一流人才队伍。</w:t>
      </w:r>
    </w:p>
    <w:p>
      <w:pPr>
        <w:pStyle w:val="Style29"/>
        <w:keepNext/>
        <w:keepLines/>
        <w:widowControl w:val="0"/>
        <w:shd w:val="clear" w:color="auto" w:fill="auto"/>
        <w:tabs>
          <w:tab w:pos="1416" w:val="left"/>
        </w:tabs>
        <w:bidi w:val="0"/>
        <w:spacing w:before="0" w:after="0"/>
        <w:ind w:left="0" w:right="0" w:firstLine="840"/>
        <w:jc w:val="both"/>
      </w:pPr>
      <w:bookmarkStart w:id="222" w:name="bookmark222"/>
      <w:bookmarkStart w:id="223" w:name="bookmark223"/>
      <w:bookmarkStart w:id="224" w:name="bookmark224"/>
      <w:bookmarkStart w:id="225" w:name="bookmark225"/>
      <w:r>
        <w:rPr>
          <w:color w:val="000000"/>
          <w:spacing w:val="0"/>
          <w:w w:val="100"/>
          <w:position w:val="0"/>
        </w:rPr>
        <w:t>三</w:t>
      </w:r>
      <w:bookmarkEnd w:id="224"/>
      <w:r>
        <w:rPr>
          <w:color w:val="000000"/>
          <w:spacing w:val="0"/>
          <w:w w:val="100"/>
          <w:position w:val="0"/>
        </w:rPr>
        <w:t>、</w:t>
        <w:tab/>
        <w:t>董事会对会计师事务所“非标准审计报告”的说明</w:t>
      </w:r>
      <w:bookmarkEnd w:id="222"/>
      <w:bookmarkEnd w:id="223"/>
      <w:bookmarkEnd w:id="225"/>
    </w:p>
    <w:p>
      <w:pPr>
        <w:pStyle w:val="Style29"/>
        <w:keepNext/>
        <w:keepLines/>
        <w:widowControl w:val="0"/>
        <w:shd w:val="clear" w:color="auto" w:fill="auto"/>
        <w:tabs>
          <w:tab w:pos="1416" w:val="left"/>
        </w:tabs>
        <w:bidi w:val="0"/>
        <w:spacing w:before="0" w:after="0"/>
        <w:ind w:left="0" w:right="0" w:firstLine="840"/>
        <w:jc w:val="both"/>
      </w:pPr>
      <w:bookmarkStart w:id="222" w:name="bookmark222"/>
      <w:bookmarkStart w:id="223" w:name="bookmark223"/>
      <w:bookmarkStart w:id="226" w:name="bookmark226"/>
      <w:bookmarkStart w:id="227" w:name="bookmark227"/>
      <w:r>
        <w:rPr>
          <w:rFonts w:ascii="Times New Roman" w:eastAsia="Times New Roman" w:hAnsi="Times New Roman" w:cs="Times New Roman"/>
          <w:color w:val="000000"/>
          <w:spacing w:val="0"/>
          <w:w w:val="100"/>
          <w:position w:val="0"/>
        </w:rPr>
        <w:t>（</w:t>
      </w:r>
      <w:bookmarkEnd w:id="22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董事会、监事会对会计师事务所“非标准审计报告”的说明</w:t>
      </w:r>
      <w:bookmarkEnd w:id="222"/>
      <w:bookmarkEnd w:id="223"/>
      <w:bookmarkEnd w:id="227"/>
    </w:p>
    <w:p>
      <w:pPr>
        <w:pStyle w:val="Style12"/>
        <w:keepNext w:val="0"/>
        <w:keepLines w:val="0"/>
        <w:widowControl w:val="0"/>
        <w:shd w:val="clear" w:color="auto" w:fill="auto"/>
        <w:bidi w:val="0"/>
        <w:spacing w:before="0" w:after="220" w:line="273" w:lineRule="exact"/>
        <w:ind w:left="0" w:right="0" w:firstLine="840"/>
        <w:jc w:val="both"/>
      </w:pPr>
      <w:r>
        <w:rPr>
          <w:rFonts w:ascii="Arial" w:eastAsia="Arial" w:hAnsi="Arial" w:cs="Arial"/>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416" w:val="left"/>
        </w:tabs>
        <w:bidi w:val="0"/>
        <w:spacing w:before="0" w:after="0"/>
        <w:ind w:left="0" w:right="0" w:firstLine="84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w:t>
      </w:r>
      <w:bookmarkEnd w:id="230"/>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bookmarkEnd w:id="228"/>
      <w:bookmarkEnd w:id="229"/>
      <w:bookmarkEnd w:id="231"/>
    </w:p>
    <w:p>
      <w:pPr>
        <w:pStyle w:val="Style12"/>
        <w:keepNext w:val="0"/>
        <w:keepLines w:val="0"/>
        <w:widowControl w:val="0"/>
        <w:shd w:val="clear" w:color="auto" w:fill="auto"/>
        <w:bidi w:val="0"/>
        <w:spacing w:before="0" w:after="220" w:line="273" w:lineRule="exact"/>
        <w:ind w:left="0" w:right="0" w:firstLine="840"/>
        <w:jc w:val="both"/>
      </w:pPr>
      <w:r>
        <w:rPr>
          <w:rFonts w:ascii="Arial" w:eastAsia="Arial" w:hAnsi="Arial" w:cs="Arial"/>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416" w:val="left"/>
        </w:tabs>
        <w:bidi w:val="0"/>
        <w:spacing w:before="0" w:after="0"/>
        <w:ind w:left="0" w:right="0" w:firstLine="84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w:t>
      </w:r>
      <w:bookmarkEnd w:id="23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bookmarkEnd w:id="232"/>
      <w:bookmarkEnd w:id="233"/>
      <w:bookmarkEnd w:id="235"/>
    </w:p>
    <w:p>
      <w:pPr>
        <w:pStyle w:val="Style12"/>
        <w:keepNext w:val="0"/>
        <w:keepLines w:val="0"/>
        <w:widowControl w:val="0"/>
        <w:shd w:val="clear" w:color="auto" w:fill="auto"/>
        <w:bidi w:val="0"/>
        <w:spacing w:before="0" w:after="220" w:line="273" w:lineRule="exact"/>
        <w:ind w:left="0" w:right="0" w:firstLine="840"/>
        <w:jc w:val="both"/>
      </w:pPr>
      <w:r>
        <w:rPr>
          <w:rFonts w:ascii="Arial" w:eastAsia="Arial" w:hAnsi="Arial" w:cs="Arial"/>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416" w:val="left"/>
        </w:tabs>
        <w:bidi w:val="0"/>
        <w:spacing w:before="0" w:after="120"/>
        <w:ind w:left="0" w:right="0" w:firstLine="840"/>
        <w:jc w:val="both"/>
      </w:pPr>
      <w:bookmarkStart w:id="236" w:name="bookmark236"/>
      <w:bookmarkStart w:id="237" w:name="bookmark237"/>
      <w:bookmarkStart w:id="238" w:name="bookmark238"/>
      <w:bookmarkStart w:id="239" w:name="bookmark239"/>
      <w:r>
        <w:rPr>
          <w:color w:val="000000"/>
          <w:spacing w:val="0"/>
          <w:w w:val="100"/>
          <w:position w:val="0"/>
        </w:rPr>
        <w:t>四</w:t>
      </w:r>
      <w:bookmarkEnd w:id="238"/>
      <w:r>
        <w:rPr>
          <w:color w:val="000000"/>
          <w:spacing w:val="0"/>
          <w:w w:val="100"/>
          <w:position w:val="0"/>
        </w:rPr>
        <w:t>、</w:t>
        <w:tab/>
        <w:t>利润分配或资本公积金转增预案</w:t>
      </w:r>
      <w:bookmarkEnd w:id="236"/>
      <w:bookmarkEnd w:id="237"/>
      <w:bookmarkEnd w:id="239"/>
    </w:p>
    <w:p>
      <w:pPr>
        <w:pStyle w:val="Style29"/>
        <w:keepNext/>
        <w:keepLines/>
        <w:widowControl w:val="0"/>
        <w:shd w:val="clear" w:color="auto" w:fill="auto"/>
        <w:bidi w:val="0"/>
        <w:spacing w:before="0" w:after="220"/>
        <w:ind w:left="0" w:right="0" w:firstLine="840"/>
        <w:jc w:val="both"/>
      </w:pPr>
      <w:bookmarkStart w:id="236" w:name="bookmark236"/>
      <w:bookmarkStart w:id="237" w:name="bookmark237"/>
      <w:bookmarkStart w:id="240" w:name="bookmark240"/>
      <w:bookmarkStart w:id="241" w:name="bookmark241"/>
      <w:r>
        <w:rPr>
          <w:rFonts w:ascii="Times New Roman" w:eastAsia="Times New Roman" w:hAnsi="Times New Roman" w:cs="Times New Roman"/>
          <w:color w:val="000000"/>
          <w:spacing w:val="0"/>
          <w:w w:val="100"/>
          <w:position w:val="0"/>
        </w:rPr>
        <w:t>（</w:t>
      </w:r>
      <w:bookmarkEnd w:id="240"/>
      <w:r>
        <w:rPr>
          <w:color w:val="000000"/>
          <w:spacing w:val="0"/>
          <w:w w:val="100"/>
          <w:position w:val="0"/>
        </w:rPr>
        <w:t>一</w:t>
      </w:r>
      <w:r>
        <w:rPr>
          <w:color w:val="000000"/>
          <w:spacing w:val="0"/>
          <w:w w:val="100"/>
          <w:position w:val="0"/>
        </w:rPr>
        <w:t>）</w:t>
      </w:r>
      <w:r>
        <w:rPr>
          <w:color w:val="000000"/>
          <w:spacing w:val="0"/>
          <w:w w:val="100"/>
          <w:position w:val="0"/>
        </w:rPr>
        <w:t>现金分红政策的制定、执行或调整情况</w:t>
      </w:r>
      <w:bookmarkEnd w:id="236"/>
      <w:bookmarkEnd w:id="237"/>
      <w:bookmarkEnd w:id="241"/>
    </w:p>
    <w:p>
      <w:pPr>
        <w:pStyle w:val="Style12"/>
        <w:keepNext w:val="0"/>
        <w:keepLines w:val="0"/>
        <w:widowControl w:val="0"/>
        <w:shd w:val="clear" w:color="auto" w:fill="auto"/>
        <w:bidi w:val="0"/>
        <w:spacing w:before="0" w:after="240" w:line="269" w:lineRule="exact"/>
        <w:ind w:left="840" w:right="0" w:firstLine="420"/>
        <w:jc w:val="both"/>
      </w:pPr>
      <w:r>
        <w:rPr>
          <w:color w:val="000000"/>
          <w:spacing w:val="0"/>
          <w:w w:val="100"/>
          <w:position w:val="0"/>
        </w:rPr>
        <w:t>报告期内，根据中国证券监督管理委员会（以下简称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）《关于进一步落实上市公司 现金分红有关事项的通知》（证监发</w:t>
      </w:r>
      <w:r>
        <w:rPr>
          <w:rFonts w:ascii="Times New Roman" w:eastAsia="Times New Roman" w:hAnsi="Times New Roman" w:cs="Times New Roman"/>
          <w:color w:val="000000"/>
          <w:spacing w:val="0"/>
          <w:w w:val="100"/>
          <w:position w:val="0"/>
        </w:rPr>
        <w:t>[2012]37</w:t>
      </w:r>
      <w:r>
        <w:rPr>
          <w:color w:val="000000"/>
          <w:spacing w:val="0"/>
          <w:w w:val="100"/>
          <w:position w:val="0"/>
        </w:rPr>
        <w:t>号）和中国证券监督管理委员会江苏监管局《关于认 真贯彻落实</w:t>
      </w:r>
      <w:r>
        <w:rPr>
          <w:color w:val="000000"/>
          <w:spacing w:val="0"/>
          <w:w w:val="100"/>
          <w:position w:val="0"/>
        </w:rPr>
        <w:t>〈</w:t>
      </w:r>
      <w:r>
        <w:rPr>
          <w:color w:val="000000"/>
          <w:spacing w:val="0"/>
          <w:w w:val="100"/>
          <w:position w:val="0"/>
        </w:rPr>
        <w:t>关于进一步落实上市公司现金分红事项的通知</w:t>
      </w:r>
      <w:r>
        <w:rPr>
          <w:color w:val="000000"/>
          <w:spacing w:val="0"/>
          <w:w w:val="100"/>
          <w:position w:val="0"/>
        </w:rPr>
        <w:t>〉</w:t>
      </w:r>
      <w:r>
        <w:rPr>
          <w:color w:val="000000"/>
          <w:spacing w:val="0"/>
          <w:w w:val="100"/>
          <w:position w:val="0"/>
        </w:rPr>
        <w:t xml:space="preserve">有关要求的通知》（苏证局公司字 </w:t>
      </w:r>
      <w:r>
        <w:rPr>
          <w:rFonts w:ascii="Times New Roman" w:eastAsia="Times New Roman" w:hAnsi="Times New Roman" w:cs="Times New Roman"/>
          <w:color w:val="000000"/>
          <w:spacing w:val="0"/>
          <w:w w:val="100"/>
          <w:position w:val="0"/>
        </w:rPr>
        <w:t>[2012]276</w:t>
      </w:r>
      <w:r>
        <w:rPr>
          <w:color w:val="000000"/>
          <w:spacing w:val="0"/>
          <w:w w:val="100"/>
          <w:position w:val="0"/>
        </w:rPr>
        <w:t xml:space="preserve">号）（以下简称《通知》）相关文件要求，公司董事会及经营管理层高度重视，并结合公 </w:t>
      </w:r>
      <w:r>
        <w:rPr>
          <w:color w:val="000000"/>
          <w:spacing w:val="0"/>
          <w:w w:val="100"/>
          <w:position w:val="0"/>
        </w:rPr>
        <w:t xml:space="preserve">司实际情况，公司已实施了 </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年度利润分配预案，该预案的制定、执行均符合公司章程的规定, 利润分配符合股东大会决议的要求，分红标准和比例明确、清晰，相关的决策程序和机制完备、合 规，独立董事履职尽责并发挥了应有的作用，充分保护中小股东的合法权益。</w:t>
      </w:r>
    </w:p>
    <w:p>
      <w:pPr>
        <w:pStyle w:val="Style29"/>
        <w:keepNext/>
        <w:keepLines/>
        <w:widowControl w:val="0"/>
        <w:shd w:val="clear" w:color="auto" w:fill="auto"/>
        <w:tabs>
          <w:tab w:pos="1365" w:val="left"/>
        </w:tabs>
        <w:bidi w:val="0"/>
        <w:spacing w:before="0" w:after="0" w:line="274" w:lineRule="exact"/>
        <w:ind w:left="82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w:t>
      </w:r>
      <w:bookmarkEnd w:id="24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报告期内盈利且母公司未分配利润为正，但未提出现金红利分配预案的，公司应当详细披露 原因以及未分配利润的用途和使用计划</w:t>
      </w:r>
      <w:bookmarkEnd w:id="242"/>
      <w:bookmarkEnd w:id="243"/>
      <w:bookmarkEnd w:id="245"/>
    </w:p>
    <w:p>
      <w:pPr>
        <w:pStyle w:val="Style12"/>
        <w:keepNext w:val="0"/>
        <w:keepLines w:val="0"/>
        <w:widowControl w:val="0"/>
        <w:shd w:val="clear" w:color="auto" w:fill="auto"/>
        <w:bidi w:val="0"/>
        <w:spacing w:before="0" w:after="200"/>
        <w:ind w:left="0" w:right="0" w:firstLine="820"/>
        <w:jc w:val="left"/>
      </w:pPr>
      <w:r>
        <w:rPr>
          <w:rFonts w:ascii="Arial" w:eastAsia="Arial" w:hAnsi="Arial" w:cs="Arial"/>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365" w:val="left"/>
        </w:tabs>
        <w:bidi w:val="0"/>
        <w:spacing w:before="0" w:after="0" w:line="274" w:lineRule="exact"/>
        <w:ind w:left="0" w:right="0" w:firstLine="82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w:t>
      </w:r>
      <w:bookmarkEnd w:id="248"/>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bookmarkEnd w:id="246"/>
      <w:bookmarkEnd w:id="247"/>
      <w:bookmarkEnd w:id="249"/>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23"/>
        <w:gridCol w:w="1114"/>
        <w:gridCol w:w="1114"/>
        <w:gridCol w:w="1114"/>
        <w:gridCol w:w="1512"/>
        <w:gridCol w:w="1699"/>
        <w:gridCol w:w="1646"/>
      </w:tblGrid>
      <w:tr>
        <w:trPr>
          <w:trHeight w:val="111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现金分红的数 额（含税）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分红年度合并报 表中归属于上市 公司股东的净利 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占合并报表中 归属于上市公 司股东的净利 润的比率</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71,036,000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371,514,771.45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124,351,500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302,597,941.80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187,674,008.98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五、积极履行社会责任的工作情况</w:t>
      </w:r>
    </w:p>
    <w:p>
      <w:pPr>
        <w:widowControl w:val="0"/>
        <w:spacing w:after="199" w:line="1" w:lineRule="exact"/>
      </w:pPr>
    </w:p>
    <w:p>
      <w:pPr>
        <w:pStyle w:val="Style12"/>
        <w:keepNext w:val="0"/>
        <w:keepLines w:val="0"/>
        <w:widowControl w:val="0"/>
        <w:shd w:val="clear" w:color="auto" w:fill="auto"/>
        <w:bidi w:val="0"/>
        <w:spacing w:before="0" w:after="200" w:line="274" w:lineRule="exact"/>
        <w:ind w:left="820" w:right="0" w:firstLine="440"/>
        <w:jc w:val="left"/>
      </w:pPr>
      <w:r>
        <w:rPr>
          <w:color w:val="000000"/>
          <w:spacing w:val="0"/>
          <w:w w:val="100"/>
          <w:position w:val="0"/>
        </w:rPr>
        <w:t>本着对社会负责的态度，常怀感恩之心，常为感恩之行，林洋电子多年来持续积极履行社会责 任，在保持公司发展的同时，对国家和社会的全面发展及对员工、股东、客户、供应商等利益相关 方承担责任，在推动经济社会建设、促进和谐社会构建等方面做出了自己应有的贡献。</w:t>
      </w:r>
    </w:p>
    <w:p>
      <w:pPr>
        <w:pStyle w:val="Style12"/>
        <w:keepNext w:val="0"/>
        <w:keepLines w:val="0"/>
        <w:widowControl w:val="0"/>
        <w:shd w:val="clear" w:color="auto" w:fill="auto"/>
        <w:bidi w:val="0"/>
        <w:spacing w:before="0" w:after="200" w:line="281" w:lineRule="exact"/>
        <w:ind w:left="820" w:right="0" w:firstLine="440"/>
        <w:jc w:val="left"/>
      </w:pPr>
      <w:r>
        <w:rPr>
          <w:color w:val="000000"/>
          <w:spacing w:val="0"/>
          <w:w w:val="100"/>
          <w:position w:val="0"/>
        </w:rPr>
        <w:t>报告期内，公司向启东市慈善基金会捐款</w:t>
      </w:r>
      <w:r>
        <w:rPr>
          <w:rFonts w:ascii="Times New Roman" w:eastAsia="Times New Roman" w:hAnsi="Times New Roman" w:cs="Times New Roman"/>
          <w:color w:val="000000"/>
          <w:spacing w:val="0"/>
          <w:w w:val="100"/>
          <w:position w:val="0"/>
        </w:rPr>
        <w:t>75</w:t>
      </w:r>
      <w:r>
        <w:rPr>
          <w:color w:val="000000"/>
          <w:spacing w:val="0"/>
          <w:w w:val="100"/>
          <w:position w:val="0"/>
        </w:rPr>
        <w:t>万元，公司及员工向</w:t>
      </w:r>
      <w:r>
        <w:rPr>
          <w:rFonts w:ascii="Times New Roman" w:eastAsia="Times New Roman" w:hAnsi="Times New Roman" w:cs="Times New Roman"/>
          <w:color w:val="000000"/>
          <w:spacing w:val="0"/>
          <w:w w:val="100"/>
          <w:position w:val="0"/>
        </w:rPr>
        <w:t>4.20</w:t>
      </w:r>
      <w:r>
        <w:rPr>
          <w:color w:val="000000"/>
          <w:spacing w:val="0"/>
          <w:w w:val="100"/>
          <w:position w:val="0"/>
        </w:rPr>
        <w:t>雅安灾区捐款</w:t>
      </w:r>
      <w:r>
        <w:rPr>
          <w:rFonts w:ascii="Times New Roman" w:eastAsia="Times New Roman" w:hAnsi="Times New Roman" w:cs="Times New Roman"/>
          <w:color w:val="000000"/>
          <w:spacing w:val="0"/>
          <w:w w:val="100"/>
          <w:position w:val="0"/>
        </w:rPr>
        <w:t>57.1</w:t>
      </w:r>
      <w:r>
        <w:rPr>
          <w:color w:val="000000"/>
          <w:spacing w:val="0"/>
          <w:w w:val="100"/>
          <w:position w:val="0"/>
        </w:rPr>
        <w:t>万元。 此外，公司还对</w:t>
      </w:r>
      <w:r>
        <w:rPr>
          <w:rFonts w:ascii="Times New Roman" w:eastAsia="Times New Roman" w:hAnsi="Times New Roman" w:cs="Times New Roman"/>
          <w:color w:val="000000"/>
          <w:spacing w:val="0"/>
          <w:w w:val="100"/>
          <w:position w:val="0"/>
        </w:rPr>
        <w:t>15</w:t>
      </w:r>
      <w:r>
        <w:rPr>
          <w:color w:val="000000"/>
          <w:spacing w:val="0"/>
          <w:w w:val="100"/>
          <w:position w:val="0"/>
        </w:rPr>
        <w:t>位困难职工和</w:t>
      </w:r>
      <w:r>
        <w:rPr>
          <w:rFonts w:ascii="Times New Roman" w:eastAsia="Times New Roman" w:hAnsi="Times New Roman" w:cs="Times New Roman"/>
          <w:color w:val="000000"/>
          <w:spacing w:val="0"/>
          <w:w w:val="100"/>
          <w:position w:val="0"/>
        </w:rPr>
        <w:t>10</w:t>
      </w:r>
      <w:r>
        <w:rPr>
          <w:color w:val="000000"/>
          <w:spacing w:val="0"/>
          <w:w w:val="100"/>
          <w:position w:val="0"/>
        </w:rPr>
        <w:t>户社会困难劳模进行了补助和募捐，并派专人在中秋、重阳、 春节等传统佳节，慰问困难劳模、特困人员、敬老院老人等，以实际行动为社会尽绵薄之力。</w:t>
      </w:r>
    </w:p>
    <w:p>
      <w:pPr>
        <w:pStyle w:val="Style12"/>
        <w:keepNext w:val="0"/>
        <w:keepLines w:val="0"/>
        <w:widowControl w:val="0"/>
        <w:shd w:val="clear" w:color="auto" w:fill="auto"/>
        <w:bidi w:val="0"/>
        <w:spacing w:before="0" w:after="200" w:line="274" w:lineRule="exact"/>
        <w:ind w:left="820" w:right="0" w:firstLine="440"/>
        <w:jc w:val="left"/>
        <w:sectPr>
          <w:headerReference w:type="default" r:id="rId15"/>
          <w:footerReference w:type="default" r:id="rId16"/>
          <w:headerReference w:type="first" r:id="rId17"/>
          <w:footerReference w:type="first" r:id="rId18"/>
          <w:footnotePr>
            <w:pos w:val="pageBottom"/>
            <w:numFmt w:val="decimal"/>
            <w:numRestart w:val="continuous"/>
          </w:footnotePr>
          <w:pgSz w:w="12240" w:h="15840"/>
          <w:pgMar w:top="1058" w:right="991" w:bottom="1898" w:left="603" w:header="0" w:footer="3" w:gutter="0"/>
          <w:cols w:space="720"/>
          <w:noEndnote/>
          <w:titlePg/>
          <w:rtlGutter w:val="0"/>
          <w:docGrid w:linePitch="360"/>
        </w:sectPr>
      </w:pPr>
      <w:r>
        <w:rPr>
          <w:color w:val="000000"/>
          <w:spacing w:val="0"/>
          <w:w w:val="100"/>
          <w:position w:val="0"/>
        </w:rPr>
        <w:t>在今后的发展中，公司将始终坚持不断为股东创造价值，主动接受监管部门、社会各界的监督, 加强内控、完善管理、开拓创新，为客户提供高品质、智能、节能产品的同时，促进企业与社会、 环境的和谐发展，并积极承担对股东、员工等相关利益相关方的责任，勤勉尽责努力成为优秀企业 公民的典范，用智慧和劳动让生活更美好、社会更和谐。</w:t>
      </w:r>
    </w:p>
    <w:p>
      <w:pPr>
        <w:pStyle w:val="Style21"/>
        <w:keepNext/>
        <w:keepLines/>
        <w:widowControl w:val="0"/>
        <w:shd w:val="clear" w:color="auto" w:fill="auto"/>
        <w:bidi w:val="0"/>
        <w:spacing w:before="300" w:after="580" w:line="240" w:lineRule="auto"/>
        <w:ind w:left="0" w:right="0" w:firstLine="0"/>
        <w:jc w:val="center"/>
      </w:pPr>
      <w:bookmarkStart w:id="250" w:name="bookmark250"/>
      <w:bookmarkStart w:id="251" w:name="bookmark251"/>
      <w:bookmarkStart w:id="252" w:name="bookmark252"/>
      <w:r>
        <w:rPr>
          <w:color w:val="000000"/>
          <w:spacing w:val="0"/>
          <w:w w:val="100"/>
          <w:position w:val="0"/>
        </w:rPr>
        <w:t>第五节重要事项</w:t>
      </w:r>
      <w:bookmarkEnd w:id="250"/>
      <w:bookmarkEnd w:id="251"/>
      <w:bookmarkEnd w:id="252"/>
    </w:p>
    <w:p>
      <w:pPr>
        <w:pStyle w:val="Style29"/>
        <w:keepNext/>
        <w:keepLines/>
        <w:widowControl w:val="0"/>
        <w:shd w:val="clear" w:color="auto" w:fill="auto"/>
        <w:tabs>
          <w:tab w:pos="1500" w:val="left"/>
        </w:tabs>
        <w:bidi w:val="0"/>
        <w:spacing w:before="0" w:after="260" w:line="240" w:lineRule="auto"/>
        <w:ind w:left="0" w:right="0" w:firstLine="820"/>
        <w:jc w:val="left"/>
      </w:pPr>
      <w:bookmarkStart w:id="253" w:name="bookmark253"/>
      <w:bookmarkStart w:id="254" w:name="bookmark254"/>
      <w:bookmarkStart w:id="255" w:name="bookmark255"/>
      <w:bookmarkStart w:id="256" w:name="bookmark256"/>
      <w:r>
        <w:rPr>
          <w:color w:val="000000"/>
          <w:spacing w:val="0"/>
          <w:w w:val="100"/>
          <w:position w:val="0"/>
        </w:rPr>
        <w:t>一</w:t>
      </w:r>
      <w:bookmarkEnd w:id="255"/>
      <w:r>
        <w:rPr>
          <w:color w:val="000000"/>
          <w:spacing w:val="0"/>
          <w:w w:val="100"/>
          <w:position w:val="0"/>
        </w:rPr>
        <w:t>、</w:t>
        <w:tab/>
        <w:t>本年度公司无重大诉讼、仲裁和媒体质疑事项。</w:t>
      </w:r>
      <w:bookmarkEnd w:id="253"/>
      <w:bookmarkEnd w:id="254"/>
      <w:bookmarkEnd w:id="256"/>
    </w:p>
    <w:p>
      <w:pPr>
        <w:pStyle w:val="Style29"/>
        <w:keepNext/>
        <w:keepLines/>
        <w:widowControl w:val="0"/>
        <w:shd w:val="clear" w:color="auto" w:fill="auto"/>
        <w:tabs>
          <w:tab w:pos="1500" w:val="left"/>
        </w:tabs>
        <w:bidi w:val="0"/>
        <w:spacing w:before="0" w:after="0" w:line="240" w:lineRule="auto"/>
        <w:ind w:left="0" w:right="0" w:firstLine="820"/>
        <w:jc w:val="left"/>
      </w:pPr>
      <w:bookmarkStart w:id="253" w:name="bookmark253"/>
      <w:bookmarkStart w:id="254" w:name="bookmark254"/>
      <w:bookmarkStart w:id="257" w:name="bookmark257"/>
      <w:bookmarkStart w:id="258" w:name="bookmark258"/>
      <w:r>
        <w:rPr>
          <w:color w:val="000000"/>
          <w:spacing w:val="0"/>
          <w:w w:val="100"/>
          <w:position w:val="0"/>
        </w:rPr>
        <w:t>二</w:t>
      </w:r>
      <w:bookmarkEnd w:id="257"/>
      <w:r>
        <w:rPr>
          <w:color w:val="000000"/>
          <w:spacing w:val="0"/>
          <w:w w:val="100"/>
          <w:position w:val="0"/>
        </w:rPr>
        <w:t>、</w:t>
        <w:tab/>
        <w:t>报告期内资金被占用情况及清欠进展情况</w:t>
      </w:r>
      <w:bookmarkEnd w:id="253"/>
      <w:bookmarkEnd w:id="254"/>
      <w:bookmarkEnd w:id="258"/>
    </w:p>
    <w:p>
      <w:pPr>
        <w:pStyle w:val="Style12"/>
        <w:keepNext w:val="0"/>
        <w:keepLines w:val="0"/>
        <w:widowControl w:val="0"/>
        <w:shd w:val="clear" w:color="auto" w:fill="auto"/>
        <w:bidi w:val="0"/>
        <w:spacing w:before="0" w:after="260" w:line="240" w:lineRule="auto"/>
        <w:ind w:left="0" w:right="0" w:firstLine="820"/>
        <w:jc w:val="both"/>
      </w:pPr>
      <w:r>
        <w:rPr>
          <w:rFonts w:ascii="Arial" w:eastAsia="Arial" w:hAnsi="Arial" w:cs="Arial"/>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500" w:val="left"/>
        </w:tabs>
        <w:bidi w:val="0"/>
        <w:spacing w:before="0" w:after="260" w:line="240" w:lineRule="auto"/>
        <w:ind w:left="0" w:right="0" w:firstLine="820"/>
        <w:jc w:val="both"/>
      </w:pPr>
      <w:bookmarkStart w:id="259" w:name="bookmark259"/>
      <w:bookmarkStart w:id="260" w:name="bookmark260"/>
      <w:bookmarkStart w:id="261" w:name="bookmark261"/>
      <w:bookmarkStart w:id="262" w:name="bookmark262"/>
      <w:r>
        <w:rPr>
          <w:color w:val="000000"/>
          <w:spacing w:val="0"/>
          <w:w w:val="100"/>
          <w:position w:val="0"/>
        </w:rPr>
        <w:t>三</w:t>
      </w:r>
      <w:bookmarkEnd w:id="261"/>
      <w:r>
        <w:rPr>
          <w:color w:val="000000"/>
          <w:spacing w:val="0"/>
          <w:w w:val="100"/>
          <w:position w:val="0"/>
        </w:rPr>
        <w:t>、</w:t>
        <w:tab/>
        <w:t>本年度公司无破产重整相关事项。</w:t>
      </w:r>
      <w:bookmarkEnd w:id="259"/>
      <w:bookmarkEnd w:id="260"/>
      <w:bookmarkEnd w:id="262"/>
    </w:p>
    <w:p>
      <w:pPr>
        <w:pStyle w:val="Style29"/>
        <w:keepNext/>
        <w:keepLines/>
        <w:widowControl w:val="0"/>
        <w:shd w:val="clear" w:color="auto" w:fill="auto"/>
        <w:tabs>
          <w:tab w:pos="1500" w:val="left"/>
        </w:tabs>
        <w:bidi w:val="0"/>
        <w:spacing w:before="0" w:after="0" w:line="240" w:lineRule="auto"/>
        <w:ind w:left="0" w:right="0" w:firstLine="820"/>
        <w:jc w:val="both"/>
      </w:pPr>
      <w:bookmarkStart w:id="259" w:name="bookmark259"/>
      <w:bookmarkStart w:id="260" w:name="bookmark260"/>
      <w:bookmarkStart w:id="263" w:name="bookmark263"/>
      <w:bookmarkStart w:id="264" w:name="bookmark264"/>
      <w:r>
        <w:rPr>
          <w:color w:val="000000"/>
          <w:spacing w:val="0"/>
          <w:w w:val="100"/>
          <w:position w:val="0"/>
        </w:rPr>
        <w:t>四</w:t>
      </w:r>
      <w:bookmarkEnd w:id="263"/>
      <w:r>
        <w:rPr>
          <w:color w:val="000000"/>
          <w:spacing w:val="0"/>
          <w:w w:val="100"/>
          <w:position w:val="0"/>
        </w:rPr>
        <w:t>、</w:t>
        <w:tab/>
        <w:t>资产交易、企业合并事项</w:t>
      </w:r>
      <w:bookmarkEnd w:id="259"/>
      <w:bookmarkEnd w:id="260"/>
      <w:bookmarkEnd w:id="264"/>
    </w:p>
    <w:p>
      <w:pPr>
        <w:pStyle w:val="Style12"/>
        <w:keepNext w:val="0"/>
        <w:keepLines w:val="0"/>
        <w:widowControl w:val="0"/>
        <w:shd w:val="clear" w:color="auto" w:fill="auto"/>
        <w:bidi w:val="0"/>
        <w:spacing w:before="0" w:after="260" w:line="240" w:lineRule="auto"/>
        <w:ind w:left="0" w:right="0" w:firstLine="820"/>
        <w:jc w:val="both"/>
      </w:pPr>
      <w:r>
        <w:rPr>
          <w:rFonts w:ascii="Arial" w:eastAsia="Arial" w:hAnsi="Arial" w:cs="Arial"/>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五、公司股权激励情况及其影响</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一</w:t>
      </w:r>
      <w:r>
        <w:rPr>
          <w:b w:val="0"/>
          <w:bCs w:val="0"/>
          <w:color w:val="000000"/>
          <w:spacing w:val="0"/>
          <w:w w:val="100"/>
          <w:position w:val="0"/>
        </w:rPr>
        <w:t>）</w:t>
      </w:r>
      <w:r>
        <w:rPr>
          <w:b w:val="0"/>
          <w:bCs w:val="0"/>
          <w:color w:val="000000"/>
          <w:spacing w:val="0"/>
          <w:w w:val="100"/>
          <w:position w:val="0"/>
        </w:rPr>
        <w:t>相关股权激励事项已在临时公告披露且后续实施无进展或变化的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10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日，公司第二届董事会第四次会议 审议通过《关于限制性股票激励计划之股票首次 解锁事宜的议案》，首次解锁的限制性股票数量为 </w:t>
            </w:r>
            <w:r>
              <w:rPr>
                <w:rFonts w:ascii="Times New Roman" w:eastAsia="Times New Roman" w:hAnsi="Times New Roman" w:cs="Times New Roman"/>
                <w:color w:val="000000"/>
                <w:spacing w:val="0"/>
                <w:w w:val="100"/>
                <w:position w:val="0"/>
              </w:rPr>
              <w:t>2,154,000</w:t>
            </w:r>
            <w:r>
              <w:rPr>
                <w:color w:val="000000"/>
                <w:spacing w:val="0"/>
                <w:w w:val="100"/>
                <w:position w:val="0"/>
              </w:rPr>
              <w:t>股，上市流通日为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7" w:lineRule="exact"/>
              <w:ind w:left="0" w:right="0" w:firstLine="0"/>
              <w:jc w:val="left"/>
            </w:pPr>
            <w:r>
              <w:rPr>
                <w:color w:val="000000"/>
                <w:spacing w:val="0"/>
                <w:w w:val="100"/>
                <w:position w:val="0"/>
              </w:rPr>
              <w:t xml:space="preserve">上海证券交易所网站公司公告中《公司第二届董 事会第四次会议决议公告》和《公司股权激励计 划限制性股票解锁暨上市公告》，公告编号分别为 临 </w:t>
            </w:r>
            <w:r>
              <w:rPr>
                <w:rFonts w:ascii="Times New Roman" w:eastAsia="Times New Roman" w:hAnsi="Times New Roman" w:cs="Times New Roman"/>
                <w:color w:val="000000"/>
                <w:spacing w:val="0"/>
                <w:w w:val="100"/>
                <w:position w:val="0"/>
              </w:rPr>
              <w:t xml:space="preserve">2013-27 </w:t>
            </w:r>
            <w:r>
              <w:rPr>
                <w:color w:val="000000"/>
                <w:spacing w:val="0"/>
                <w:w w:val="100"/>
                <w:position w:val="0"/>
              </w:rPr>
              <w:t xml:space="preserve">和临 </w:t>
            </w:r>
            <w:r>
              <w:rPr>
                <w:rFonts w:ascii="Times New Roman" w:eastAsia="Times New Roman" w:hAnsi="Times New Roman" w:cs="Times New Roman"/>
                <w:color w:val="000000"/>
                <w:spacing w:val="0"/>
                <w:w w:val="100"/>
                <w:position w:val="0"/>
              </w:rPr>
              <w:t>2013-29</w:t>
            </w:r>
            <w:r>
              <w:rPr>
                <w:color w:val="000000"/>
                <w:spacing w:val="0"/>
                <w:w w:val="100"/>
                <w:position w:val="0"/>
              </w:rPr>
              <w:t>。</w:t>
            </w:r>
          </w:p>
        </w:tc>
      </w:tr>
      <w:tr>
        <w:trPr>
          <w:trHeight w:val="138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日，公司第二届董事会第六次会 议审议通过《关于回购注销部分激励对象已获授 但尚未解锁的限制性股票的议案》，将原激励对象 黄祖斌、张俊已获授的限制性股票</w:t>
            </w:r>
            <w:r>
              <w:rPr>
                <w:rFonts w:ascii="Times New Roman" w:eastAsia="Times New Roman" w:hAnsi="Times New Roman" w:cs="Times New Roman"/>
                <w:color w:val="000000"/>
                <w:spacing w:val="0"/>
                <w:w w:val="100"/>
                <w:position w:val="0"/>
              </w:rPr>
              <w:t>11</w:t>
            </w:r>
            <w:r>
              <w:rPr>
                <w:color w:val="000000"/>
                <w:spacing w:val="0"/>
                <w:w w:val="100"/>
                <w:position w:val="0"/>
              </w:rPr>
              <w:t>万股全部进 行回购注销。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上海证券交易所网站公司公告中《公司第二届董 事会第六次会议决议公告》和《公司关于部分不 符合激励条件的限制性股票回购注销完成公告》， 公告编号分别为临</w:t>
            </w:r>
            <w:r>
              <w:rPr>
                <w:rFonts w:ascii="Times New Roman" w:eastAsia="Times New Roman" w:hAnsi="Times New Roman" w:cs="Times New Roman"/>
                <w:color w:val="000000"/>
                <w:spacing w:val="0"/>
                <w:w w:val="100"/>
                <w:position w:val="0"/>
              </w:rPr>
              <w:t>2013-36</w:t>
            </w:r>
            <w:r>
              <w:rPr>
                <w:color w:val="000000"/>
                <w:spacing w:val="0"/>
                <w:w w:val="100"/>
                <w:position w:val="0"/>
              </w:rPr>
              <w:t>和临</w:t>
            </w:r>
            <w:r>
              <w:rPr>
                <w:rFonts w:ascii="Times New Roman" w:eastAsia="Times New Roman" w:hAnsi="Times New Roman" w:cs="Times New Roman"/>
                <w:color w:val="000000"/>
                <w:spacing w:val="0"/>
                <w:w w:val="100"/>
                <w:position w:val="0"/>
              </w:rPr>
              <w:t>2013-42</w:t>
            </w:r>
            <w:r>
              <w:rPr>
                <w:color w:val="000000"/>
                <w:spacing w:val="0"/>
                <w:w w:val="100"/>
                <w:position w:val="0"/>
              </w:rPr>
              <w:t>。</w:t>
            </w:r>
          </w:p>
        </w:tc>
      </w:tr>
    </w:tbl>
    <w:p>
      <w:pPr>
        <w:widowControl w:val="0"/>
        <w:spacing w:after="259" w:line="1" w:lineRule="exact"/>
      </w:pPr>
    </w:p>
    <w:p>
      <w:pPr>
        <w:pStyle w:val="Style29"/>
        <w:keepNext/>
        <w:keepLines/>
        <w:widowControl w:val="0"/>
        <w:shd w:val="clear" w:color="auto" w:fill="auto"/>
        <w:bidi w:val="0"/>
        <w:spacing w:before="0" w:after="0" w:line="274" w:lineRule="exact"/>
        <w:ind w:left="0" w:right="0" w:firstLine="82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w:t>
      </w:r>
      <w:bookmarkEnd w:id="267"/>
      <w:r>
        <w:rPr>
          <w:color w:val="000000"/>
          <w:spacing w:val="0"/>
          <w:w w:val="100"/>
          <w:position w:val="0"/>
        </w:rPr>
        <w:t>二</w:t>
      </w:r>
      <w:r>
        <w:rPr>
          <w:color w:val="000000"/>
          <w:spacing w:val="0"/>
          <w:w w:val="100"/>
          <w:position w:val="0"/>
        </w:rPr>
        <w:t>）</w:t>
      </w:r>
      <w:r>
        <w:rPr>
          <w:color w:val="000000"/>
          <w:spacing w:val="0"/>
          <w:w w:val="100"/>
          <w:position w:val="0"/>
        </w:rPr>
        <w:t>报告期公司股权激励相关情况说明</w:t>
      </w:r>
      <w:bookmarkEnd w:id="265"/>
      <w:bookmarkEnd w:id="266"/>
      <w:bookmarkEnd w:id="268"/>
    </w:p>
    <w:p>
      <w:pPr>
        <w:pStyle w:val="Style12"/>
        <w:keepNext w:val="0"/>
        <w:keepLines w:val="0"/>
        <w:widowControl w:val="0"/>
        <w:shd w:val="clear" w:color="auto" w:fill="auto"/>
        <w:bidi w:val="0"/>
        <w:spacing w:before="0" w:line="274" w:lineRule="exact"/>
        <w:ind w:left="820" w:right="0" w:firstLine="0"/>
        <w:jc w:val="both"/>
      </w:pPr>
      <w:r>
        <w:rPr>
          <w:color w:val="000000"/>
          <w:spacing w:val="0"/>
          <w:w w:val="100"/>
          <w:position w:val="0"/>
        </w:rPr>
        <w:t>本报告期内，公司首期限制性股票激励计划（以下简称</w:t>
      </w:r>
      <w:r>
        <w:rPr>
          <w:rFonts w:ascii="Times New Roman" w:eastAsia="Times New Roman" w:hAnsi="Times New Roman" w:cs="Times New Roman"/>
          <w:color w:val="000000"/>
          <w:spacing w:val="0"/>
          <w:w w:val="100"/>
          <w:position w:val="0"/>
        </w:rPr>
        <w:t>"</w:t>
      </w:r>
      <w:r>
        <w:rPr>
          <w:color w:val="000000"/>
          <w:spacing w:val="0"/>
          <w:w w:val="100"/>
          <w:position w:val="0"/>
        </w:rPr>
        <w:t>本次股权激励计划</w:t>
      </w:r>
      <w:r>
        <w:rPr>
          <w:rFonts w:ascii="Times New Roman" w:eastAsia="Times New Roman" w:hAnsi="Times New Roman" w:cs="Times New Roman"/>
          <w:color w:val="000000"/>
          <w:spacing w:val="0"/>
          <w:w w:val="100"/>
          <w:position w:val="0"/>
        </w:rPr>
        <w:t>"</w:t>
      </w:r>
      <w:r>
        <w:rPr>
          <w:color w:val="000000"/>
          <w:spacing w:val="0"/>
          <w:w w:val="100"/>
          <w:position w:val="0"/>
        </w:rPr>
        <w:t>）实施过程中已履行如 下程序：</w:t>
      </w:r>
    </w:p>
    <w:p>
      <w:pPr>
        <w:pStyle w:val="Style12"/>
        <w:keepNext w:val="0"/>
        <w:keepLines w:val="0"/>
        <w:widowControl w:val="0"/>
        <w:shd w:val="clear" w:color="auto" w:fill="auto"/>
        <w:tabs>
          <w:tab w:pos="1610" w:val="left"/>
        </w:tabs>
        <w:bidi w:val="0"/>
        <w:spacing w:before="0" w:line="278" w:lineRule="exact"/>
        <w:ind w:left="820" w:right="0" w:firstLine="440"/>
        <w:jc w:val="both"/>
      </w:pPr>
      <w:bookmarkStart w:id="269" w:name="bookmark269"/>
      <w:r>
        <w:rPr>
          <w:rFonts w:ascii="Times New Roman" w:eastAsia="Times New Roman" w:hAnsi="Times New Roman" w:cs="Times New Roman"/>
          <w:color w:val="000000"/>
          <w:spacing w:val="0"/>
          <w:w w:val="100"/>
          <w:position w:val="0"/>
        </w:rPr>
        <w:t>1</w:t>
      </w:r>
      <w:bookmarkEnd w:id="26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日，公司薪酬与考核委员会对本次股权激励计划之激励对象的解锁资格和条 件进行审核，委员会成员一致认为</w:t>
      </w:r>
      <w:r>
        <w:rPr>
          <w:rFonts w:ascii="Times New Roman" w:eastAsia="Times New Roman" w:hAnsi="Times New Roman" w:cs="Times New Roman"/>
          <w:color w:val="000000"/>
          <w:spacing w:val="0"/>
          <w:w w:val="100"/>
          <w:position w:val="0"/>
        </w:rPr>
        <w:t>98</w:t>
      </w:r>
      <w:r>
        <w:rPr>
          <w:color w:val="000000"/>
          <w:spacing w:val="0"/>
          <w:w w:val="100"/>
          <w:position w:val="0"/>
        </w:rPr>
        <w:t>名激励对象已具备第一期限制性股票的解锁资格和解锁条件, 同意将激励对象的解锁资格和解锁条件提交公司董事会审议。</w:t>
      </w:r>
    </w:p>
    <w:p>
      <w:pPr>
        <w:pStyle w:val="Style12"/>
        <w:keepNext w:val="0"/>
        <w:keepLines w:val="0"/>
        <w:widowControl w:val="0"/>
        <w:shd w:val="clear" w:color="auto" w:fill="auto"/>
        <w:tabs>
          <w:tab w:pos="1610" w:val="left"/>
        </w:tabs>
        <w:bidi w:val="0"/>
        <w:spacing w:before="0" w:line="274" w:lineRule="exact"/>
        <w:ind w:left="820" w:right="760" w:firstLine="440"/>
        <w:jc w:val="both"/>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日，公司第二届董事会第四次会议审议通过《关于限制性股票激励计划之股 票首次解锁事宜的议案》，首次解锁的限制性股票数量为</w:t>
      </w:r>
      <w:r>
        <w:rPr>
          <w:rFonts w:ascii="Times New Roman" w:eastAsia="Times New Roman" w:hAnsi="Times New Roman" w:cs="Times New Roman"/>
          <w:color w:val="000000"/>
          <w:spacing w:val="0"/>
          <w:w w:val="100"/>
          <w:position w:val="0"/>
        </w:rPr>
        <w:t>2,154,000</w:t>
      </w:r>
      <w:r>
        <w:rPr>
          <w:color w:val="000000"/>
          <w:spacing w:val="0"/>
          <w:w w:val="100"/>
          <w:position w:val="0"/>
        </w:rPr>
        <w:t>股，上市流通日为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12"/>
        <w:keepNext w:val="0"/>
        <w:keepLines w:val="0"/>
        <w:widowControl w:val="0"/>
        <w:shd w:val="clear" w:color="auto" w:fill="auto"/>
        <w:tabs>
          <w:tab w:pos="1610" w:val="left"/>
        </w:tabs>
        <w:bidi w:val="0"/>
        <w:spacing w:before="0" w:line="280" w:lineRule="exact"/>
        <w:ind w:left="820" w:right="760" w:firstLine="440"/>
        <w:jc w:val="both"/>
      </w:pPr>
      <w:bookmarkStart w:id="271" w:name="bookmark271"/>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日，公司第二届董事会第六次会议审议通过《关于回购注销部分激励对象 已获授但尚未解锁的限制性股票的议案》，将原激励对象黄祖斌、张俊已获授的限制性股票</w:t>
      </w:r>
      <w:r>
        <w:rPr>
          <w:rFonts w:ascii="Times New Roman" w:eastAsia="Times New Roman" w:hAnsi="Times New Roman" w:cs="Times New Roman"/>
          <w:color w:val="000000"/>
          <w:spacing w:val="0"/>
          <w:w w:val="100"/>
          <w:position w:val="0"/>
        </w:rPr>
        <w:t>11</w:t>
      </w:r>
      <w:r>
        <w:rPr>
          <w:color w:val="000000"/>
          <w:spacing w:val="0"/>
          <w:w w:val="100"/>
          <w:position w:val="0"/>
        </w:rPr>
        <w:t>万股 全部进行回购注销，并到中国证券登记结算有限责任公司上海分公司和上海证券交易所办理了回购 注销相关手续。</w:t>
      </w:r>
    </w:p>
    <w:p>
      <w:pPr>
        <w:pStyle w:val="Style12"/>
        <w:keepNext w:val="0"/>
        <w:keepLines w:val="0"/>
        <w:widowControl w:val="0"/>
        <w:shd w:val="clear" w:color="auto" w:fill="auto"/>
        <w:tabs>
          <w:tab w:pos="1596" w:val="left"/>
        </w:tabs>
        <w:bidi w:val="0"/>
        <w:spacing w:before="0" w:after="180" w:line="274" w:lineRule="exact"/>
        <w:ind w:left="820" w:right="760" w:firstLine="440"/>
        <w:jc w:val="both"/>
      </w:pPr>
      <w:bookmarkStart w:id="272" w:name="bookmark272"/>
      <w:r>
        <w:rPr>
          <w:rFonts w:ascii="Times New Roman" w:eastAsia="Times New Roman" w:hAnsi="Times New Roman" w:cs="Times New Roman"/>
          <w:color w:val="000000"/>
          <w:spacing w:val="0"/>
          <w:w w:val="100"/>
          <w:position w:val="0"/>
        </w:rPr>
        <w:t>4</w:t>
      </w:r>
      <w:bookmarkEnd w:id="27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日，公司在上海证券交易所网站发布了《公司关于部分不符合激励条件的 限制性股票回购注销完成公告》，原激励对象黄祖斌和张俊授予的限制性股票</w:t>
      </w:r>
      <w:r>
        <w:rPr>
          <w:rFonts w:ascii="Times New Roman" w:eastAsia="Times New Roman" w:hAnsi="Times New Roman" w:cs="Times New Roman"/>
          <w:color w:val="000000"/>
          <w:spacing w:val="0"/>
          <w:w w:val="100"/>
          <w:position w:val="0"/>
        </w:rPr>
        <w:t>11</w:t>
      </w:r>
      <w:r>
        <w:rPr>
          <w:color w:val="000000"/>
          <w:spacing w:val="0"/>
          <w:w w:val="100"/>
          <w:position w:val="0"/>
        </w:rPr>
        <w:t>万股已于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日注销。注销完成后，公司注册资本由</w:t>
      </w:r>
      <w:r>
        <w:rPr>
          <w:rFonts w:ascii="Times New Roman" w:eastAsia="Times New Roman" w:hAnsi="Times New Roman" w:cs="Times New Roman"/>
          <w:color w:val="000000"/>
          <w:spacing w:val="0"/>
          <w:w w:val="100"/>
          <w:position w:val="0"/>
        </w:rPr>
        <w:t>35,529</w:t>
      </w:r>
      <w:r>
        <w:rPr>
          <w:color w:val="000000"/>
          <w:spacing w:val="0"/>
          <w:w w:val="100"/>
          <w:position w:val="0"/>
        </w:rPr>
        <w:t>万元减少至</w:t>
      </w:r>
      <w:r>
        <w:rPr>
          <w:rFonts w:ascii="Times New Roman" w:eastAsia="Times New Roman" w:hAnsi="Times New Roman" w:cs="Times New Roman"/>
          <w:color w:val="000000"/>
          <w:spacing w:val="0"/>
          <w:w w:val="100"/>
          <w:position w:val="0"/>
        </w:rPr>
        <w:t>35,518</w:t>
      </w:r>
      <w:r>
        <w:rPr>
          <w:color w:val="000000"/>
          <w:spacing w:val="0"/>
          <w:w w:val="100"/>
          <w:position w:val="0"/>
        </w:rPr>
        <w:t>万元。</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六、重大关联交易</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与日常经营相关的关联交易</w:t>
      </w:r>
    </w:p>
    <w:p>
      <w:pPr>
        <w:pStyle w:val="Style23"/>
        <w:keepNext w:val="0"/>
        <w:keepLines w:val="0"/>
        <w:widowControl w:val="0"/>
        <w:shd w:val="clear" w:color="auto" w:fill="auto"/>
        <w:tabs>
          <w:tab w:pos="51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已在临时公告披露且后续实施无进展或变化的事项</w:t>
      </w:r>
    </w:p>
    <w:tbl>
      <w:tblPr>
        <w:tblOverlap w:val="never"/>
        <w:jc w:val="center"/>
        <w:tblLayout w:type="fixed"/>
      </w:tblPr>
      <w:tblGrid>
        <w:gridCol w:w="4646"/>
        <w:gridCol w:w="4675"/>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84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 通过了《关于公司</w:t>
            </w:r>
            <w:r>
              <w:rPr>
                <w:rFonts w:ascii="Times New Roman" w:eastAsia="Times New Roman" w:hAnsi="Times New Roman" w:cs="Times New Roman"/>
                <w:color w:val="000000"/>
                <w:spacing w:val="0"/>
                <w:w w:val="100"/>
                <w:position w:val="0"/>
              </w:rPr>
              <w:t>2013</w:t>
            </w:r>
            <w:r>
              <w:rPr>
                <w:color w:val="000000"/>
                <w:spacing w:val="0"/>
                <w:w w:val="100"/>
                <w:position w:val="0"/>
              </w:rPr>
              <w:t>年度预计日常关联交易的 议案》。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上海证券交易所网站公司公告中：</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日公告的《公司</w:t>
            </w:r>
            <w:r>
              <w:rPr>
                <w:rFonts w:ascii="Times New Roman" w:eastAsia="Times New Roman" w:hAnsi="Times New Roman" w:cs="Times New Roman"/>
                <w:color w:val="000000"/>
                <w:spacing w:val="0"/>
                <w:w w:val="100"/>
                <w:position w:val="0"/>
              </w:rPr>
              <w:t>2013</w:t>
            </w:r>
            <w:r>
              <w:rPr>
                <w:color w:val="000000"/>
                <w:spacing w:val="0"/>
                <w:w w:val="100"/>
                <w:position w:val="0"/>
              </w:rPr>
              <w:t>年度日常关联交易公告》， 公告编号为临</w:t>
            </w:r>
            <w:r>
              <w:rPr>
                <w:rFonts w:ascii="Times New Roman" w:eastAsia="Times New Roman" w:hAnsi="Times New Roman" w:cs="Times New Roman"/>
                <w:color w:val="000000"/>
                <w:spacing w:val="0"/>
                <w:w w:val="100"/>
                <w:position w:val="0"/>
              </w:rPr>
              <w:t>2013-15</w:t>
            </w:r>
            <w:r>
              <w:rPr>
                <w:color w:val="000000"/>
                <w:spacing w:val="0"/>
                <w:w w:val="100"/>
                <w:position w:val="0"/>
              </w:rPr>
              <w:t>。</w:t>
            </w:r>
          </w:p>
        </w:tc>
      </w:tr>
    </w:tbl>
    <w:p>
      <w:pPr>
        <w:widowControl w:val="0"/>
        <w:spacing w:after="239" w:line="1" w:lineRule="exact"/>
      </w:pPr>
    </w:p>
    <w:p>
      <w:pPr>
        <w:pStyle w:val="Style29"/>
        <w:keepNext/>
        <w:keepLines/>
        <w:widowControl w:val="0"/>
        <w:shd w:val="clear" w:color="auto" w:fill="auto"/>
        <w:tabs>
          <w:tab w:pos="1403" w:val="left"/>
        </w:tabs>
        <w:bidi w:val="0"/>
        <w:spacing w:before="0" w:line="240" w:lineRule="auto"/>
        <w:ind w:left="0" w:right="0" w:firstLine="80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shd w:val="clear" w:color="auto" w:fill="FFFFFF"/>
        </w:rPr>
        <w:t>2</w:t>
      </w:r>
      <w:bookmarkEnd w:id="275"/>
      <w:r>
        <w:rPr>
          <w:color w:val="000000"/>
          <w:spacing w:val="0"/>
          <w:w w:val="100"/>
          <w:position w:val="0"/>
          <w:shd w:val="clear" w:color="auto" w:fill="FFFFFF"/>
        </w:rPr>
        <w:t>、</w:t>
      </w:r>
      <w:r>
        <w:rPr>
          <w:color w:val="000000"/>
          <w:spacing w:val="0"/>
          <w:w w:val="100"/>
          <w:position w:val="0"/>
        </w:rPr>
        <w:tab/>
        <w:t>临时公告未披露的事项</w:t>
      </w:r>
      <w:bookmarkEnd w:id="273"/>
      <w:bookmarkEnd w:id="274"/>
      <w:bookmarkEnd w:id="276"/>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864"/>
        <w:gridCol w:w="994"/>
        <w:gridCol w:w="706"/>
        <w:gridCol w:w="854"/>
        <w:gridCol w:w="710"/>
        <w:gridCol w:w="691"/>
        <w:gridCol w:w="1162"/>
        <w:gridCol w:w="850"/>
        <w:gridCol w:w="984"/>
        <w:gridCol w:w="427"/>
        <w:gridCol w:w="1080"/>
      </w:tblGrid>
      <w:tr>
        <w:trPr>
          <w:trHeight w:val="1382"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 易方</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关联关 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 交易 类型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关联交 易内容</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关联 交易 定价 原则</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关联 交易 价格</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 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占同类 交易金 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BFBFBF"/>
            <w:textDirection w:val="tbRlV"/>
            <w:vAlign w:val="top"/>
          </w:tcPr>
          <w:p>
            <w:pPr>
              <w:pStyle w:val="Style5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市场价格</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交易价格 与市场参 考价格差 异较大的 原因</w:t>
            </w:r>
          </w:p>
        </w:tc>
      </w:tr>
      <w:tr>
        <w:trPr>
          <w:trHeight w:val="112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南通华 虹生态 园艺有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0" w:lineRule="exact"/>
              <w:ind w:left="0" w:right="0" w:firstLine="0"/>
              <w:jc w:val="left"/>
            </w:pPr>
            <w:r>
              <w:rPr>
                <w:color w:val="000000"/>
                <w:spacing w:val="0"/>
                <w:w w:val="100"/>
                <w:position w:val="0"/>
              </w:rPr>
              <w:t>关联人 （与公 司同一 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接受 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绿化景 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参照 市场 价格 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401,521.00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工程完 毕后三 个月内 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启东市 华虹电 子有限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控股股 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其它 流出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租赁办 公用房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参照 市场 价格 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江苏华 乐光电 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母公司 的控股 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销售 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销售商 品</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参照 市场 价格 定价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150,290.60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9"/>
        <w:keepNext/>
        <w:keepLines/>
        <w:widowControl w:val="0"/>
        <w:shd w:val="clear" w:color="auto" w:fill="auto"/>
        <w:bidi w:val="0"/>
        <w:spacing w:before="0" w:line="281" w:lineRule="exact"/>
        <w:ind w:left="0" w:right="0" w:firstLine="800"/>
        <w:jc w:val="left"/>
      </w:pPr>
      <w:bookmarkStart w:id="277" w:name="bookmark277"/>
      <w:bookmarkStart w:id="278" w:name="bookmark278"/>
      <w:bookmarkStart w:id="279" w:name="bookmark279"/>
      <w:r>
        <w:rPr>
          <w:color w:val="000000"/>
          <w:spacing w:val="0"/>
          <w:w w:val="100"/>
          <w:position w:val="0"/>
        </w:rPr>
        <w:t>七、重大合同及其履行情况</w:t>
      </w:r>
      <w:bookmarkEnd w:id="277"/>
      <w:bookmarkEnd w:id="278"/>
      <w:bookmarkEnd w:id="279"/>
    </w:p>
    <w:p>
      <w:pPr>
        <w:pStyle w:val="Style29"/>
        <w:keepNext/>
        <w:keepLines/>
        <w:widowControl w:val="0"/>
        <w:shd w:val="clear" w:color="auto" w:fill="auto"/>
        <w:tabs>
          <w:tab w:pos="1403" w:val="left"/>
        </w:tabs>
        <w:bidi w:val="0"/>
        <w:spacing w:before="0" w:line="240" w:lineRule="auto"/>
        <w:ind w:left="0" w:right="0" w:firstLine="800"/>
        <w:jc w:val="left"/>
      </w:pPr>
      <w:bookmarkStart w:id="277" w:name="bookmark277"/>
      <w:bookmarkStart w:id="278" w:name="bookmark278"/>
      <w:bookmarkStart w:id="280" w:name="bookmark280"/>
      <w:bookmarkStart w:id="281" w:name="bookmark281"/>
      <w:r>
        <w:rPr>
          <w:rFonts w:ascii="Times New Roman" w:eastAsia="Times New Roman" w:hAnsi="Times New Roman" w:cs="Times New Roman"/>
          <w:color w:val="000000"/>
          <w:spacing w:val="0"/>
          <w:w w:val="100"/>
          <w:position w:val="0"/>
        </w:rPr>
        <w:t>（</w:t>
      </w:r>
      <w:bookmarkEnd w:id="28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托管、承包、租赁事项</w:t>
      </w:r>
      <w:bookmarkEnd w:id="277"/>
      <w:bookmarkEnd w:id="278"/>
      <w:bookmarkEnd w:id="281"/>
    </w:p>
    <w:p>
      <w:pPr>
        <w:pStyle w:val="Style12"/>
        <w:keepNext w:val="0"/>
        <w:keepLines w:val="0"/>
        <w:widowControl w:val="0"/>
        <w:shd w:val="clear" w:color="auto" w:fill="auto"/>
        <w:bidi w:val="0"/>
        <w:spacing w:before="0" w:after="240" w:line="240" w:lineRule="auto"/>
        <w:ind w:left="0" w:right="0" w:firstLine="800"/>
        <w:jc w:val="left"/>
      </w:pPr>
      <w:r>
        <w:rPr>
          <w:rFonts w:ascii="Arial" w:eastAsia="Arial" w:hAnsi="Arial" w:cs="Arial"/>
          <w:color w:val="000000"/>
          <w:spacing w:val="0"/>
          <w:w w:val="100"/>
          <w:position w:val="0"/>
        </w:rPr>
        <w:t>V</w:t>
      </w:r>
      <w:r>
        <w:rPr>
          <w:color w:val="000000"/>
          <w:spacing w:val="0"/>
          <w:w w:val="100"/>
          <w:position w:val="0"/>
        </w:rPr>
        <w:t>不适用</w:t>
      </w:r>
    </w:p>
    <w:p>
      <w:pPr>
        <w:pStyle w:val="Style12"/>
        <w:keepNext w:val="0"/>
        <w:keepLines w:val="0"/>
        <w:widowControl w:val="0"/>
        <w:shd w:val="clear" w:color="auto" w:fill="auto"/>
        <w:tabs>
          <w:tab w:pos="1403" w:val="left"/>
        </w:tabs>
        <w:bidi w:val="0"/>
        <w:spacing w:before="0" w:after="0" w:line="293" w:lineRule="auto"/>
        <w:ind w:left="0" w:right="0" w:firstLine="800"/>
        <w:jc w:val="left"/>
      </w:pPr>
      <w:bookmarkStart w:id="282" w:name="bookmark282"/>
      <w:r>
        <w:rPr>
          <w:rFonts w:ascii="Times New Roman" w:eastAsia="Times New Roman" w:hAnsi="Times New Roman" w:cs="Times New Roman"/>
          <w:b/>
          <w:bCs/>
          <w:color w:val="000000"/>
          <w:spacing w:val="0"/>
          <w:w w:val="100"/>
          <w:position w:val="0"/>
        </w:rPr>
        <w:t>（</w:t>
      </w:r>
      <w:bookmarkEnd w:id="282"/>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担保情况</w:t>
      </w:r>
    </w:p>
    <w:p>
      <w:pPr>
        <w:pStyle w:val="Style12"/>
        <w:keepNext w:val="0"/>
        <w:keepLines w:val="0"/>
        <w:widowControl w:val="0"/>
        <w:shd w:val="clear" w:color="auto" w:fill="auto"/>
        <w:bidi w:val="0"/>
        <w:spacing w:before="0" w:after="240" w:line="293" w:lineRule="auto"/>
        <w:ind w:left="0" w:right="0" w:firstLine="800"/>
        <w:jc w:val="left"/>
      </w:pPr>
      <w:r>
        <w:rPr>
          <w:rFonts w:ascii="Arial" w:eastAsia="Arial" w:hAnsi="Arial" w:cs="Arial"/>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403" w:val="left"/>
        </w:tabs>
        <w:bidi w:val="0"/>
        <w:spacing w:before="0" w:line="293" w:lineRule="auto"/>
        <w:ind w:left="0" w:right="0" w:firstLine="80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w:t>
      </w:r>
      <w:bookmarkEnd w:id="28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其他重大合同</w:t>
      </w:r>
      <w:bookmarkEnd w:id="283"/>
      <w:bookmarkEnd w:id="284"/>
      <w:bookmarkEnd w:id="286"/>
    </w:p>
    <w:p>
      <w:pPr>
        <w:pStyle w:val="Style12"/>
        <w:keepNext w:val="0"/>
        <w:keepLines w:val="0"/>
        <w:widowControl w:val="0"/>
        <w:shd w:val="clear" w:color="auto" w:fill="auto"/>
        <w:tabs>
          <w:tab w:pos="1590" w:val="left"/>
        </w:tabs>
        <w:bidi w:val="0"/>
        <w:spacing w:before="0" w:line="281" w:lineRule="exact"/>
        <w:ind w:left="800" w:right="0" w:firstLine="460"/>
        <w:jc w:val="both"/>
      </w:pPr>
      <w:bookmarkStart w:id="287" w:name="bookmark287"/>
      <w:r>
        <w:rPr>
          <w:rFonts w:ascii="Times New Roman" w:eastAsia="Times New Roman" w:hAnsi="Times New Roman" w:cs="Times New Roman"/>
          <w:color w:val="000000"/>
          <w:spacing w:val="0"/>
          <w:w w:val="100"/>
          <w:position w:val="0"/>
        </w:rPr>
        <w:t>1</w:t>
      </w:r>
      <w:bookmarkEnd w:id="28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月，公司在</w:t>
      </w:r>
      <w:r>
        <w:rPr>
          <w:rFonts w:ascii="Times New Roman" w:eastAsia="Times New Roman" w:hAnsi="Times New Roman" w:cs="Times New Roman"/>
          <w:color w:val="000000"/>
          <w:spacing w:val="0"/>
          <w:w w:val="100"/>
          <w:position w:val="0"/>
        </w:rPr>
        <w:t>"</w:t>
      </w:r>
      <w:r>
        <w:rPr>
          <w:color w:val="000000"/>
          <w:spacing w:val="0"/>
          <w:w w:val="100"/>
          <w:position w:val="0"/>
        </w:rPr>
        <w:t>国家电网公司集中规模招标采购</w:t>
      </w:r>
      <w:r>
        <w:rPr>
          <w:rFonts w:ascii="Times New Roman" w:eastAsia="Times New Roman" w:hAnsi="Times New Roman" w:cs="Times New Roman"/>
          <w:color w:val="000000"/>
          <w:spacing w:val="0"/>
          <w:w w:val="100"/>
          <w:position w:val="0"/>
        </w:rPr>
        <w:t>2013</w:t>
      </w:r>
      <w:r>
        <w:rPr>
          <w:color w:val="000000"/>
          <w:spacing w:val="0"/>
          <w:w w:val="100"/>
          <w:position w:val="0"/>
        </w:rPr>
        <w:t>年电能表试点项目</w:t>
      </w:r>
      <w:r>
        <w:rPr>
          <w:rFonts w:ascii="Times New Roman" w:eastAsia="Times New Roman" w:hAnsi="Times New Roman" w:cs="Times New Roman"/>
          <w:color w:val="000000"/>
          <w:spacing w:val="0"/>
          <w:w w:val="100"/>
          <w:position w:val="0"/>
        </w:rPr>
        <w:t>"</w:t>
      </w:r>
      <w:r>
        <w:rPr>
          <w:color w:val="000000"/>
          <w:spacing w:val="0"/>
          <w:w w:val="100"/>
          <w:position w:val="0"/>
        </w:rPr>
        <w:t>中，中标的 电能表总数量为</w:t>
      </w:r>
      <w:r>
        <w:rPr>
          <w:rFonts w:ascii="Times New Roman" w:eastAsia="Times New Roman" w:hAnsi="Times New Roman" w:cs="Times New Roman"/>
          <w:color w:val="000000"/>
          <w:spacing w:val="0"/>
          <w:w w:val="100"/>
          <w:position w:val="0"/>
        </w:rPr>
        <w:t>101,000</w:t>
      </w:r>
      <w:r>
        <w:rPr>
          <w:color w:val="000000"/>
          <w:spacing w:val="0"/>
          <w:w w:val="100"/>
          <w:position w:val="0"/>
        </w:rPr>
        <w:t>只，中标总金额为</w:t>
      </w:r>
      <w:r>
        <w:rPr>
          <w:rFonts w:ascii="Times New Roman" w:eastAsia="Times New Roman" w:hAnsi="Times New Roman" w:cs="Times New Roman"/>
          <w:color w:val="000000"/>
          <w:spacing w:val="0"/>
          <w:w w:val="100"/>
          <w:position w:val="0"/>
        </w:rPr>
        <w:t>3,214</w:t>
      </w:r>
      <w:r>
        <w:rPr>
          <w:color w:val="000000"/>
          <w:spacing w:val="0"/>
          <w:w w:val="100"/>
          <w:position w:val="0"/>
        </w:rPr>
        <w:t>万元。报告期内，公司按要求与项目单位签订书 面合同，并按合同的规定履行相应事宜。</w:t>
      </w:r>
    </w:p>
    <w:p>
      <w:pPr>
        <w:pStyle w:val="Style12"/>
        <w:keepNext w:val="0"/>
        <w:keepLines w:val="0"/>
        <w:widowControl w:val="0"/>
        <w:shd w:val="clear" w:color="auto" w:fill="auto"/>
        <w:tabs>
          <w:tab w:pos="1581" w:val="left"/>
        </w:tabs>
        <w:bidi w:val="0"/>
        <w:spacing w:before="0" w:line="281" w:lineRule="exact"/>
        <w:ind w:left="800" w:right="0" w:firstLine="460"/>
        <w:jc w:val="both"/>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月，公司在</w:t>
      </w:r>
      <w:r>
        <w:rPr>
          <w:rFonts w:ascii="Times New Roman" w:eastAsia="Times New Roman" w:hAnsi="Times New Roman" w:cs="Times New Roman"/>
          <w:color w:val="000000"/>
          <w:spacing w:val="0"/>
          <w:w w:val="100"/>
          <w:position w:val="0"/>
        </w:rPr>
        <w:t>"</w:t>
      </w:r>
      <w:r>
        <w:rPr>
          <w:color w:val="000000"/>
          <w:spacing w:val="0"/>
          <w:w w:val="100"/>
          <w:position w:val="0"/>
        </w:rPr>
        <w:t>国家电网公司集中规模招标采购</w:t>
      </w:r>
      <w:r>
        <w:rPr>
          <w:rFonts w:ascii="Times New Roman" w:eastAsia="Times New Roman" w:hAnsi="Times New Roman" w:cs="Times New Roman"/>
          <w:color w:val="000000"/>
          <w:spacing w:val="0"/>
          <w:w w:val="100"/>
          <w:position w:val="0"/>
        </w:rPr>
        <w:t>2013</w:t>
      </w:r>
      <w:r>
        <w:rPr>
          <w:color w:val="000000"/>
          <w:spacing w:val="0"/>
          <w:w w:val="100"/>
          <w:position w:val="0"/>
        </w:rPr>
        <w:t>年电能表第一批项目</w:t>
      </w:r>
      <w:r>
        <w:rPr>
          <w:rFonts w:ascii="Times New Roman" w:eastAsia="Times New Roman" w:hAnsi="Times New Roman" w:cs="Times New Roman"/>
          <w:color w:val="000000"/>
          <w:spacing w:val="0"/>
          <w:w w:val="100"/>
          <w:position w:val="0"/>
        </w:rPr>
        <w:t>"</w:t>
      </w:r>
      <w:r>
        <w:rPr>
          <w:color w:val="000000"/>
          <w:spacing w:val="0"/>
          <w:w w:val="100"/>
          <w:position w:val="0"/>
        </w:rPr>
        <w:t>中，中标 的电能表及用电信息采集系统总数量为</w:t>
      </w:r>
      <w:r>
        <w:rPr>
          <w:rFonts w:ascii="Times New Roman" w:eastAsia="Times New Roman" w:hAnsi="Times New Roman" w:cs="Times New Roman"/>
          <w:color w:val="000000"/>
          <w:spacing w:val="0"/>
          <w:w w:val="100"/>
          <w:position w:val="0"/>
        </w:rPr>
        <w:t>1,111,370</w:t>
      </w:r>
      <w:r>
        <w:rPr>
          <w:color w:val="000000"/>
          <w:spacing w:val="0"/>
          <w:w w:val="100"/>
          <w:position w:val="0"/>
        </w:rPr>
        <w:t>只，中标总金额为</w:t>
      </w:r>
      <w:r>
        <w:rPr>
          <w:rFonts w:ascii="Times New Roman" w:eastAsia="Times New Roman" w:hAnsi="Times New Roman" w:cs="Times New Roman"/>
          <w:color w:val="000000"/>
          <w:spacing w:val="0"/>
          <w:w w:val="100"/>
          <w:position w:val="0"/>
        </w:rPr>
        <w:t>26,424.67</w:t>
      </w:r>
      <w:r>
        <w:rPr>
          <w:color w:val="000000"/>
          <w:spacing w:val="0"/>
          <w:w w:val="100"/>
          <w:position w:val="0"/>
        </w:rPr>
        <w:t>万元。报告期内，公 司按要求与项目单位签订书面合同，并按合同的规定履行相应事宜。</w:t>
      </w:r>
    </w:p>
    <w:p>
      <w:pPr>
        <w:pStyle w:val="Style12"/>
        <w:keepNext w:val="0"/>
        <w:keepLines w:val="0"/>
        <w:widowControl w:val="0"/>
        <w:shd w:val="clear" w:color="auto" w:fill="auto"/>
        <w:tabs>
          <w:tab w:pos="1571" w:val="left"/>
        </w:tabs>
        <w:bidi w:val="0"/>
        <w:spacing w:before="0" w:line="278" w:lineRule="exact"/>
        <w:ind w:left="800" w:right="0" w:firstLine="460"/>
        <w:jc w:val="both"/>
      </w:pPr>
      <w:bookmarkStart w:id="289" w:name="bookmark289"/>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月，公司在</w:t>
      </w:r>
      <w:r>
        <w:rPr>
          <w:rFonts w:ascii="Times New Roman" w:eastAsia="Times New Roman" w:hAnsi="Times New Roman" w:cs="Times New Roman"/>
          <w:color w:val="000000"/>
          <w:spacing w:val="0"/>
          <w:w w:val="100"/>
          <w:position w:val="0"/>
        </w:rPr>
        <w:t>"</w:t>
      </w:r>
      <w:r>
        <w:rPr>
          <w:color w:val="000000"/>
          <w:spacing w:val="0"/>
          <w:w w:val="100"/>
          <w:position w:val="0"/>
        </w:rPr>
        <w:t>国家南方电网有限责任公司</w:t>
      </w:r>
      <w:r>
        <w:rPr>
          <w:rFonts w:ascii="Times New Roman" w:eastAsia="Times New Roman" w:hAnsi="Times New Roman" w:cs="Times New Roman"/>
          <w:color w:val="000000"/>
          <w:spacing w:val="0"/>
          <w:w w:val="100"/>
          <w:position w:val="0"/>
        </w:rPr>
        <w:t>2013</w:t>
      </w:r>
      <w:r>
        <w:rPr>
          <w:color w:val="000000"/>
          <w:spacing w:val="0"/>
          <w:w w:val="100"/>
          <w:position w:val="0"/>
        </w:rPr>
        <w:t>年度电能表类上半年框架招标项目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中，中标的电能表分别为</w:t>
      </w:r>
      <w:r>
        <w:rPr>
          <w:rFonts w:ascii="Times New Roman" w:eastAsia="Times New Roman" w:hAnsi="Times New Roman" w:cs="Times New Roman"/>
          <w:color w:val="000000"/>
          <w:spacing w:val="0"/>
          <w:w w:val="100"/>
          <w:position w:val="0"/>
        </w:rPr>
        <w:t>RS-485</w:t>
      </w:r>
      <w:r>
        <w:rPr>
          <w:color w:val="000000"/>
          <w:spacing w:val="0"/>
          <w:w w:val="100"/>
          <w:position w:val="0"/>
        </w:rPr>
        <w:t xml:space="preserve">接口单相电子式电能表（广东）、单相载波电子式电能表（云南）、 </w:t>
      </w:r>
      <w:r>
        <w:rPr>
          <w:color w:val="000000"/>
          <w:spacing w:val="0"/>
          <w:w w:val="100"/>
          <w:position w:val="0"/>
        </w:rPr>
        <w:t>三相多功能电能表（贵州）、普通三相电子式电能表（广东）、三相载波电子式电能表（广东）。报 告期内，公司按要求与项目单位签订书面合同，并按合同的规定履行相应事宜。</w:t>
      </w:r>
    </w:p>
    <w:p>
      <w:pPr>
        <w:pStyle w:val="Style12"/>
        <w:keepNext w:val="0"/>
        <w:keepLines w:val="0"/>
        <w:widowControl w:val="0"/>
        <w:shd w:val="clear" w:color="auto" w:fill="auto"/>
        <w:tabs>
          <w:tab w:pos="1561" w:val="left"/>
        </w:tabs>
        <w:bidi w:val="0"/>
        <w:spacing w:before="0" w:line="281" w:lineRule="exact"/>
        <w:ind w:left="840" w:right="0" w:firstLine="420"/>
        <w:jc w:val="both"/>
      </w:pPr>
      <w:bookmarkStart w:id="290" w:name="bookmark290"/>
      <w:r>
        <w:rPr>
          <w:rFonts w:ascii="Times New Roman" w:eastAsia="Times New Roman" w:hAnsi="Times New Roman" w:cs="Times New Roman"/>
          <w:color w:val="000000"/>
          <w:spacing w:val="0"/>
          <w:w w:val="100"/>
          <w:position w:val="0"/>
        </w:rPr>
        <w:t>4</w:t>
      </w:r>
      <w:bookmarkEnd w:id="290"/>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月，公司在</w:t>
      </w:r>
      <w:r>
        <w:rPr>
          <w:rFonts w:ascii="Times New Roman" w:eastAsia="Times New Roman" w:hAnsi="Times New Roman" w:cs="Times New Roman"/>
          <w:color w:val="000000"/>
          <w:spacing w:val="0"/>
          <w:w w:val="100"/>
          <w:position w:val="0"/>
        </w:rPr>
        <w:t>"</w:t>
      </w:r>
      <w:r>
        <w:rPr>
          <w:color w:val="000000"/>
          <w:spacing w:val="0"/>
          <w:w w:val="100"/>
          <w:position w:val="0"/>
        </w:rPr>
        <w:t>国家电网公司集中规模招标采购</w:t>
      </w:r>
      <w:r>
        <w:rPr>
          <w:rFonts w:ascii="Times New Roman" w:eastAsia="Times New Roman" w:hAnsi="Times New Roman" w:cs="Times New Roman"/>
          <w:color w:val="000000"/>
          <w:spacing w:val="0"/>
          <w:w w:val="100"/>
          <w:position w:val="0"/>
        </w:rPr>
        <w:t>2013</w:t>
      </w:r>
      <w:r>
        <w:rPr>
          <w:color w:val="000000"/>
          <w:spacing w:val="0"/>
          <w:w w:val="100"/>
          <w:position w:val="0"/>
        </w:rPr>
        <w:t>年电能表第二批项目</w:t>
      </w:r>
      <w:r>
        <w:rPr>
          <w:rFonts w:ascii="Times New Roman" w:eastAsia="Times New Roman" w:hAnsi="Times New Roman" w:cs="Times New Roman"/>
          <w:color w:val="000000"/>
          <w:spacing w:val="0"/>
          <w:w w:val="100"/>
          <w:position w:val="0"/>
        </w:rPr>
        <w:t>"</w:t>
      </w:r>
      <w:r>
        <w:rPr>
          <w:color w:val="000000"/>
          <w:spacing w:val="0"/>
          <w:w w:val="100"/>
          <w:position w:val="0"/>
        </w:rPr>
        <w:t>中，中标 的电能表及用电信息采集系统总数量为</w:t>
      </w:r>
      <w:r>
        <w:rPr>
          <w:rFonts w:ascii="Times New Roman" w:eastAsia="Times New Roman" w:hAnsi="Times New Roman" w:cs="Times New Roman"/>
          <w:color w:val="000000"/>
          <w:spacing w:val="0"/>
          <w:w w:val="100"/>
          <w:position w:val="0"/>
        </w:rPr>
        <w:t>1,240,516</w:t>
      </w:r>
      <w:r>
        <w:rPr>
          <w:color w:val="000000"/>
          <w:spacing w:val="0"/>
          <w:w w:val="100"/>
          <w:position w:val="0"/>
        </w:rPr>
        <w:t>只，中标总金额为</w:t>
      </w:r>
      <w:r>
        <w:rPr>
          <w:rFonts w:ascii="Times New Roman" w:eastAsia="Times New Roman" w:hAnsi="Times New Roman" w:cs="Times New Roman"/>
          <w:color w:val="000000"/>
          <w:spacing w:val="0"/>
          <w:w w:val="100"/>
          <w:position w:val="0"/>
        </w:rPr>
        <w:t>33,040.05</w:t>
      </w:r>
      <w:r>
        <w:rPr>
          <w:color w:val="000000"/>
          <w:spacing w:val="0"/>
          <w:w w:val="100"/>
          <w:position w:val="0"/>
        </w:rPr>
        <w:t>万元。报告期内，公 司按要求与项目单位签订书面合同，并按合同的规定履行相应事宜。</w:t>
      </w:r>
    </w:p>
    <w:p>
      <w:pPr>
        <w:pStyle w:val="Style12"/>
        <w:keepNext w:val="0"/>
        <w:keepLines w:val="0"/>
        <w:widowControl w:val="0"/>
        <w:shd w:val="clear" w:color="auto" w:fill="auto"/>
        <w:tabs>
          <w:tab w:pos="1575" w:val="left"/>
        </w:tabs>
        <w:bidi w:val="0"/>
        <w:spacing w:before="0" w:line="274" w:lineRule="exact"/>
        <w:ind w:left="840" w:right="0" w:firstLine="420"/>
        <w:jc w:val="both"/>
      </w:pPr>
      <w:bookmarkStart w:id="291" w:name="bookmark291"/>
      <w:r>
        <w:rPr>
          <w:rFonts w:ascii="Times New Roman" w:eastAsia="Times New Roman" w:hAnsi="Times New Roman" w:cs="Times New Roman"/>
          <w:color w:val="000000"/>
          <w:spacing w:val="0"/>
          <w:w w:val="100"/>
          <w:position w:val="0"/>
        </w:rPr>
        <w:t>5</w:t>
      </w:r>
      <w:bookmarkEnd w:id="29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月，公司在</w:t>
      </w:r>
      <w:r>
        <w:rPr>
          <w:rFonts w:ascii="Times New Roman" w:eastAsia="Times New Roman" w:hAnsi="Times New Roman" w:cs="Times New Roman"/>
          <w:color w:val="000000"/>
          <w:spacing w:val="0"/>
          <w:w w:val="100"/>
          <w:position w:val="0"/>
        </w:rPr>
        <w:t>"</w:t>
      </w:r>
      <w:r>
        <w:rPr>
          <w:color w:val="000000"/>
          <w:spacing w:val="0"/>
          <w:w w:val="100"/>
          <w:position w:val="0"/>
        </w:rPr>
        <w:t>国家南方电网有限责任公司</w:t>
      </w:r>
      <w:r>
        <w:rPr>
          <w:rFonts w:ascii="Times New Roman" w:eastAsia="Times New Roman" w:hAnsi="Times New Roman" w:cs="Times New Roman"/>
          <w:color w:val="000000"/>
          <w:spacing w:val="0"/>
          <w:w w:val="100"/>
          <w:position w:val="0"/>
        </w:rPr>
        <w:t>2013</w:t>
      </w:r>
      <w:r>
        <w:rPr>
          <w:color w:val="000000"/>
          <w:spacing w:val="0"/>
          <w:w w:val="100"/>
          <w:position w:val="0"/>
        </w:rPr>
        <w:t>年度电能表类下半年框架招标项目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中，中标的电能表分别为</w:t>
      </w:r>
      <w:r>
        <w:rPr>
          <w:rFonts w:ascii="Times New Roman" w:eastAsia="Times New Roman" w:hAnsi="Times New Roman" w:cs="Times New Roman"/>
          <w:color w:val="000000"/>
          <w:spacing w:val="0"/>
          <w:w w:val="100"/>
          <w:position w:val="0"/>
        </w:rPr>
        <w:t>RS-485</w:t>
      </w:r>
      <w:r>
        <w:rPr>
          <w:color w:val="000000"/>
          <w:spacing w:val="0"/>
          <w:w w:val="100"/>
          <w:position w:val="0"/>
        </w:rPr>
        <w:t>接口单相电子式电能表（广州）、单相载波电子式电能表（云南、 贵州、深圳）、三相多功能电能表（广西、贵州、海南）、普通三相电子式电能表（广东、广西、云 南）、三相载波电子式电能表（广东、广西、贵州、深圳）、</w:t>
      </w:r>
      <w:r>
        <w:rPr>
          <w:rFonts w:ascii="Times New Roman" w:eastAsia="Times New Roman" w:hAnsi="Times New Roman" w:cs="Times New Roman"/>
          <w:color w:val="000000"/>
          <w:spacing w:val="0"/>
          <w:w w:val="100"/>
          <w:position w:val="0"/>
        </w:rPr>
        <w:t>0.2</w:t>
      </w:r>
      <w:r>
        <w:rPr>
          <w:color w:val="000000"/>
          <w:spacing w:val="0"/>
          <w:w w:val="100"/>
          <w:position w:val="0"/>
        </w:rPr>
        <w:t>级三相多功能电能表（广东、广西、 云南、贵州、海南）。报告期内，公司按要求与项目单位签订书面合同，并按合同的规定履行相应 事宜。</w:t>
      </w:r>
    </w:p>
    <w:p>
      <w:pPr>
        <w:pStyle w:val="Style12"/>
        <w:keepNext w:val="0"/>
        <w:keepLines w:val="0"/>
        <w:widowControl w:val="0"/>
        <w:shd w:val="clear" w:color="auto" w:fill="auto"/>
        <w:tabs>
          <w:tab w:pos="1580" w:val="left"/>
        </w:tabs>
        <w:bidi w:val="0"/>
        <w:spacing w:before="0" w:line="276" w:lineRule="exact"/>
        <w:ind w:left="840" w:right="0" w:firstLine="420"/>
        <w:jc w:val="both"/>
      </w:pPr>
      <w:bookmarkStart w:id="292" w:name="bookmark292"/>
      <w:r>
        <w:rPr>
          <w:rFonts w:ascii="Times New Roman" w:eastAsia="Times New Roman" w:hAnsi="Times New Roman" w:cs="Times New Roman"/>
          <w:color w:val="000000"/>
          <w:spacing w:val="0"/>
          <w:w w:val="100"/>
          <w:position w:val="0"/>
        </w:rPr>
        <w:t>6</w:t>
      </w:r>
      <w:bookmarkEnd w:id="29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月，公司与江苏华电南通通州湾项目筹备处，就实施南通滨海园区太阳城建设实 施方案，合作开发光伏电站，在南通签署了《战略合作框架协议》。根据该框架协议，预计可建设 </w:t>
      </w:r>
      <w:r>
        <w:rPr>
          <w:rFonts w:ascii="Times New Roman" w:eastAsia="Times New Roman" w:hAnsi="Times New Roman" w:cs="Times New Roman"/>
          <w:color w:val="000000"/>
          <w:spacing w:val="0"/>
          <w:w w:val="100"/>
          <w:position w:val="0"/>
        </w:rPr>
        <w:t>300</w:t>
      </w:r>
      <w:r>
        <w:rPr>
          <w:color w:val="000000"/>
          <w:spacing w:val="0"/>
          <w:w w:val="100"/>
          <w:position w:val="0"/>
        </w:rPr>
        <w:t>兆瓦风光渔互补光伏电站项目；建设</w:t>
      </w:r>
      <w:r>
        <w:rPr>
          <w:rFonts w:ascii="Times New Roman" w:eastAsia="Times New Roman" w:hAnsi="Times New Roman" w:cs="Times New Roman"/>
          <w:color w:val="000000"/>
          <w:spacing w:val="0"/>
          <w:w w:val="100"/>
          <w:position w:val="0"/>
        </w:rPr>
        <w:t>200</w:t>
      </w:r>
      <w:r>
        <w:rPr>
          <w:color w:val="000000"/>
          <w:spacing w:val="0"/>
          <w:w w:val="100"/>
          <w:position w:val="0"/>
        </w:rPr>
        <w:t>兆瓦分布式屋顶光伏电站项目。截至本报告披露日， 已完成了第一期项目可研报告的编制，取得了南通滨海园区经发局核准文件，项目立项申请已经上 报。</w:t>
      </w:r>
    </w:p>
    <w:p>
      <w:pPr>
        <w:pStyle w:val="Style12"/>
        <w:keepNext w:val="0"/>
        <w:keepLines w:val="0"/>
        <w:widowControl w:val="0"/>
        <w:shd w:val="clear" w:color="auto" w:fill="auto"/>
        <w:bidi w:val="0"/>
        <w:spacing w:before="0" w:line="283" w:lineRule="exact"/>
        <w:ind w:left="840" w:right="0" w:firstLine="420"/>
        <w:jc w:val="both"/>
      </w:pPr>
      <w:bookmarkStart w:id="293" w:name="bookmark293"/>
      <w:r>
        <w:rPr>
          <w:rFonts w:ascii="Times New Roman" w:eastAsia="Times New Roman" w:hAnsi="Times New Roman" w:cs="Times New Roman"/>
          <w:color w:val="000000"/>
          <w:spacing w:val="0"/>
          <w:w w:val="100"/>
          <w:position w:val="0"/>
        </w:rPr>
        <w:t>7</w:t>
      </w:r>
      <w:bookmarkEnd w:id="293"/>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月，公司在</w:t>
      </w:r>
      <w:r>
        <w:rPr>
          <w:rFonts w:ascii="Times New Roman" w:eastAsia="Times New Roman" w:hAnsi="Times New Roman" w:cs="Times New Roman"/>
          <w:color w:val="000000"/>
          <w:spacing w:val="0"/>
          <w:w w:val="100"/>
          <w:position w:val="0"/>
        </w:rPr>
        <w:t>"</w:t>
      </w:r>
      <w:r>
        <w:rPr>
          <w:color w:val="000000"/>
          <w:spacing w:val="0"/>
          <w:w w:val="100"/>
          <w:position w:val="0"/>
        </w:rPr>
        <w:t>国家电网公司集中规模招标采购</w:t>
      </w:r>
      <w:r>
        <w:rPr>
          <w:rFonts w:ascii="Times New Roman" w:eastAsia="Times New Roman" w:hAnsi="Times New Roman" w:cs="Times New Roman"/>
          <w:color w:val="000000"/>
          <w:spacing w:val="0"/>
          <w:w w:val="100"/>
          <w:position w:val="0"/>
        </w:rPr>
        <w:t>2013</w:t>
      </w:r>
      <w:r>
        <w:rPr>
          <w:color w:val="000000"/>
          <w:spacing w:val="0"/>
          <w:w w:val="100"/>
          <w:position w:val="0"/>
        </w:rPr>
        <w:t>年电能表第三批项目</w:t>
      </w:r>
      <w:r>
        <w:rPr>
          <w:rFonts w:ascii="Times New Roman" w:eastAsia="Times New Roman" w:hAnsi="Times New Roman" w:cs="Times New Roman"/>
          <w:color w:val="000000"/>
          <w:spacing w:val="0"/>
          <w:w w:val="100"/>
          <w:position w:val="0"/>
        </w:rPr>
        <w:t>”</w:t>
      </w:r>
      <w:r>
        <w:rPr>
          <w:color w:val="000000"/>
          <w:spacing w:val="0"/>
          <w:w w:val="100"/>
          <w:position w:val="0"/>
        </w:rPr>
        <w:t>中，中 标的电能表及用电信息采集系统总数量为</w:t>
      </w:r>
      <w:r>
        <w:rPr>
          <w:rFonts w:ascii="Times New Roman" w:eastAsia="Times New Roman" w:hAnsi="Times New Roman" w:cs="Times New Roman"/>
          <w:color w:val="000000"/>
          <w:spacing w:val="0"/>
          <w:w w:val="100"/>
          <w:position w:val="0"/>
        </w:rPr>
        <w:t>409,179</w:t>
      </w:r>
      <w:r>
        <w:rPr>
          <w:color w:val="000000"/>
          <w:spacing w:val="0"/>
          <w:w w:val="100"/>
          <w:position w:val="0"/>
        </w:rPr>
        <w:t>只，中标总金额为</w:t>
      </w:r>
      <w:r>
        <w:rPr>
          <w:rFonts w:ascii="Times New Roman" w:eastAsia="Times New Roman" w:hAnsi="Times New Roman" w:cs="Times New Roman"/>
          <w:color w:val="000000"/>
          <w:spacing w:val="0"/>
          <w:w w:val="100"/>
          <w:position w:val="0"/>
        </w:rPr>
        <w:t>8,739</w:t>
      </w:r>
      <w:r>
        <w:rPr>
          <w:color w:val="000000"/>
          <w:spacing w:val="0"/>
          <w:w w:val="100"/>
          <w:position w:val="0"/>
        </w:rPr>
        <w:t>万元。报告期内，公司 按要求与项目单位签订书面合同，并按合同的规定履行相应事宜。</w:t>
      </w:r>
    </w:p>
    <w:p>
      <w:pPr>
        <w:pStyle w:val="Style12"/>
        <w:keepNext w:val="0"/>
        <w:keepLines w:val="0"/>
        <w:widowControl w:val="0"/>
        <w:shd w:val="clear" w:color="auto" w:fill="auto"/>
        <w:tabs>
          <w:tab w:pos="1570" w:val="left"/>
        </w:tabs>
        <w:bidi w:val="0"/>
        <w:spacing w:before="0" w:after="480" w:line="283" w:lineRule="exact"/>
        <w:ind w:left="840" w:right="0" w:firstLine="420"/>
        <w:jc w:val="both"/>
      </w:pPr>
      <w:bookmarkStart w:id="294" w:name="bookmark294"/>
      <w:r>
        <w:rPr>
          <w:rFonts w:ascii="Times New Roman" w:eastAsia="Times New Roman" w:hAnsi="Times New Roman" w:cs="Times New Roman"/>
          <w:color w:val="000000"/>
          <w:spacing w:val="0"/>
          <w:w w:val="100"/>
          <w:position w:val="0"/>
        </w:rPr>
        <w:t>8</w:t>
      </w:r>
      <w:bookmarkEnd w:id="29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月，公司在</w:t>
      </w:r>
      <w:r>
        <w:rPr>
          <w:rFonts w:ascii="Times New Roman" w:eastAsia="Times New Roman" w:hAnsi="Times New Roman" w:cs="Times New Roman"/>
          <w:color w:val="000000"/>
          <w:spacing w:val="0"/>
          <w:w w:val="100"/>
          <w:position w:val="0"/>
        </w:rPr>
        <w:t>"</w:t>
      </w:r>
      <w:r>
        <w:rPr>
          <w:color w:val="000000"/>
          <w:spacing w:val="0"/>
          <w:w w:val="100"/>
          <w:position w:val="0"/>
        </w:rPr>
        <w:t>国家电网公司集中规模招标采购</w:t>
      </w:r>
      <w:r>
        <w:rPr>
          <w:rFonts w:ascii="Times New Roman" w:eastAsia="Times New Roman" w:hAnsi="Times New Roman" w:cs="Times New Roman"/>
          <w:color w:val="000000"/>
          <w:spacing w:val="0"/>
          <w:w w:val="100"/>
          <w:position w:val="0"/>
        </w:rPr>
        <w:t>2013</w:t>
      </w:r>
      <w:r>
        <w:rPr>
          <w:color w:val="000000"/>
          <w:spacing w:val="0"/>
          <w:w w:val="100"/>
          <w:position w:val="0"/>
        </w:rPr>
        <w:t>年电能表第四批项目</w:t>
      </w:r>
      <w:r>
        <w:rPr>
          <w:rFonts w:ascii="Times New Roman" w:eastAsia="Times New Roman" w:hAnsi="Times New Roman" w:cs="Times New Roman"/>
          <w:color w:val="000000"/>
          <w:spacing w:val="0"/>
          <w:w w:val="100"/>
          <w:position w:val="0"/>
        </w:rPr>
        <w:t>"</w:t>
      </w:r>
      <w:r>
        <w:rPr>
          <w:color w:val="000000"/>
          <w:spacing w:val="0"/>
          <w:w w:val="100"/>
          <w:position w:val="0"/>
        </w:rPr>
        <w:t>中，中 标的电能表及用电信息采集系统总数量为</w:t>
      </w:r>
      <w:r>
        <w:rPr>
          <w:rFonts w:ascii="Times New Roman" w:eastAsia="Times New Roman" w:hAnsi="Times New Roman" w:cs="Times New Roman"/>
          <w:color w:val="000000"/>
          <w:spacing w:val="0"/>
          <w:w w:val="100"/>
          <w:position w:val="0"/>
        </w:rPr>
        <w:t>475,100</w:t>
      </w:r>
      <w:r>
        <w:rPr>
          <w:color w:val="000000"/>
          <w:spacing w:val="0"/>
          <w:w w:val="100"/>
          <w:position w:val="0"/>
        </w:rPr>
        <w:t>只，中标总金额为</w:t>
      </w:r>
      <w:r>
        <w:rPr>
          <w:rFonts w:ascii="Times New Roman" w:eastAsia="Times New Roman" w:hAnsi="Times New Roman" w:cs="Times New Roman"/>
          <w:color w:val="000000"/>
          <w:spacing w:val="0"/>
          <w:w w:val="100"/>
          <w:position w:val="0"/>
        </w:rPr>
        <w:t>13,875</w:t>
      </w:r>
      <w:r>
        <w:rPr>
          <w:color w:val="000000"/>
          <w:spacing w:val="0"/>
          <w:w w:val="100"/>
          <w:position w:val="0"/>
        </w:rPr>
        <w:t>万元。报告期内，公司 按要求与项目单位签订书面合同，并按合同的规定履行相应事宜。</w:t>
      </w:r>
    </w:p>
    <w:p>
      <w:pPr>
        <w:pStyle w:val="Style12"/>
        <w:keepNext w:val="0"/>
        <w:keepLines w:val="0"/>
        <w:widowControl w:val="0"/>
        <w:shd w:val="clear" w:color="auto" w:fill="auto"/>
        <w:bidi w:val="0"/>
        <w:spacing w:before="0" w:after="260" w:line="278" w:lineRule="exact"/>
        <w:ind w:left="0" w:right="0" w:firstLine="840"/>
        <w:jc w:val="both"/>
      </w:pPr>
      <w:r>
        <w:rPr>
          <w:color w:val="000000"/>
          <w:spacing w:val="0"/>
          <w:w w:val="100"/>
          <w:position w:val="0"/>
        </w:rPr>
        <w:t>截至报告期末，公司已签订未执行完毕的国网、南网订单共计</w:t>
      </w:r>
      <w:r>
        <w:rPr>
          <w:rFonts w:ascii="Times New Roman" w:eastAsia="Times New Roman" w:hAnsi="Times New Roman" w:cs="Times New Roman"/>
          <w:color w:val="000000"/>
          <w:spacing w:val="0"/>
          <w:w w:val="100"/>
          <w:position w:val="0"/>
        </w:rPr>
        <w:t>6.05</w:t>
      </w:r>
      <w:r>
        <w:rPr>
          <w:color w:val="000000"/>
          <w:spacing w:val="0"/>
          <w:w w:val="100"/>
          <w:position w:val="0"/>
        </w:rPr>
        <w:t>亿。</w:t>
      </w:r>
    </w:p>
    <w:p>
      <w:pPr>
        <w:pStyle w:val="Style12"/>
        <w:keepNext w:val="0"/>
        <w:keepLines w:val="0"/>
        <w:widowControl w:val="0"/>
        <w:shd w:val="clear" w:color="auto" w:fill="auto"/>
        <w:bidi w:val="0"/>
        <w:spacing w:before="0" w:line="290" w:lineRule="auto"/>
        <w:ind w:left="0" w:right="0" w:firstLine="8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年截至本报告披露日签订的重大合同：</w:t>
      </w:r>
    </w:p>
    <w:p>
      <w:pPr>
        <w:pStyle w:val="Style12"/>
        <w:keepNext w:val="0"/>
        <w:keepLines w:val="0"/>
        <w:widowControl w:val="0"/>
        <w:shd w:val="clear" w:color="auto" w:fill="auto"/>
        <w:tabs>
          <w:tab w:pos="1552" w:val="left"/>
        </w:tabs>
        <w:bidi w:val="0"/>
        <w:spacing w:before="0" w:line="278" w:lineRule="exact"/>
        <w:ind w:left="840" w:right="0" w:firstLine="420"/>
        <w:jc w:val="both"/>
      </w:pPr>
      <w:bookmarkStart w:id="295" w:name="bookmark295"/>
      <w:r>
        <w:rPr>
          <w:rFonts w:ascii="Times New Roman" w:eastAsia="Times New Roman" w:hAnsi="Times New Roman" w:cs="Times New Roman"/>
          <w:color w:val="000000"/>
          <w:spacing w:val="0"/>
          <w:w w:val="100"/>
          <w:position w:val="0"/>
        </w:rPr>
        <w:t>1</w:t>
      </w:r>
      <w:bookmarkEnd w:id="29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月，公司在</w:t>
      </w:r>
      <w:r>
        <w:rPr>
          <w:rFonts w:ascii="Times New Roman" w:eastAsia="Times New Roman" w:hAnsi="Times New Roman" w:cs="Times New Roman"/>
          <w:color w:val="000000"/>
          <w:spacing w:val="0"/>
          <w:w w:val="100"/>
          <w:position w:val="0"/>
        </w:rPr>
        <w:t>"</w:t>
      </w:r>
      <w:r>
        <w:rPr>
          <w:color w:val="000000"/>
          <w:spacing w:val="0"/>
          <w:w w:val="100"/>
          <w:position w:val="0"/>
        </w:rPr>
        <w:t>国家电网公司</w:t>
      </w:r>
      <w:r>
        <w:rPr>
          <w:rFonts w:ascii="Times New Roman" w:eastAsia="Times New Roman" w:hAnsi="Times New Roman" w:cs="Times New Roman"/>
          <w:color w:val="000000"/>
          <w:spacing w:val="0"/>
          <w:w w:val="100"/>
          <w:position w:val="0"/>
        </w:rPr>
        <w:t>2014</w:t>
      </w:r>
      <w:r>
        <w:rPr>
          <w:color w:val="000000"/>
          <w:spacing w:val="0"/>
          <w:w w:val="100"/>
          <w:position w:val="0"/>
        </w:rPr>
        <w:t>年第一批电能表及用电信息采集设备招标采购项 目</w:t>
      </w:r>
      <w:r>
        <w:rPr>
          <w:rFonts w:ascii="Times New Roman" w:eastAsia="Times New Roman" w:hAnsi="Times New Roman" w:cs="Times New Roman"/>
          <w:color w:val="000000"/>
          <w:spacing w:val="0"/>
          <w:w w:val="100"/>
          <w:position w:val="0"/>
        </w:rPr>
        <w:t>”</w:t>
      </w:r>
      <w:r>
        <w:rPr>
          <w:color w:val="000000"/>
          <w:spacing w:val="0"/>
          <w:w w:val="100"/>
          <w:position w:val="0"/>
        </w:rPr>
        <w:t>中，中标的电能表及用电信息采集系统数量</w:t>
      </w:r>
      <w:r>
        <w:rPr>
          <w:rFonts w:ascii="Times New Roman" w:eastAsia="Times New Roman" w:hAnsi="Times New Roman" w:cs="Times New Roman"/>
          <w:color w:val="000000"/>
          <w:spacing w:val="0"/>
          <w:w w:val="100"/>
          <w:position w:val="0"/>
        </w:rPr>
        <w:t>1,737,410</w:t>
      </w:r>
      <w:r>
        <w:rPr>
          <w:color w:val="000000"/>
          <w:spacing w:val="0"/>
          <w:w w:val="100"/>
          <w:position w:val="0"/>
        </w:rPr>
        <w:t>只，金额约</w:t>
      </w:r>
      <w:r>
        <w:rPr>
          <w:rFonts w:ascii="Times New Roman" w:eastAsia="Times New Roman" w:hAnsi="Times New Roman" w:cs="Times New Roman"/>
          <w:color w:val="000000"/>
          <w:spacing w:val="0"/>
          <w:w w:val="100"/>
          <w:position w:val="0"/>
        </w:rPr>
        <w:t>40,989</w:t>
      </w:r>
      <w:r>
        <w:rPr>
          <w:color w:val="000000"/>
          <w:spacing w:val="0"/>
          <w:w w:val="100"/>
          <w:position w:val="0"/>
        </w:rPr>
        <w:t>万元。截至本报告披露 日，公司按要求与项目单位签订书面合同，并按合同的规定履行相应事宜。</w:t>
      </w:r>
    </w:p>
    <w:p>
      <w:pPr>
        <w:pStyle w:val="Style12"/>
        <w:keepNext w:val="0"/>
        <w:keepLines w:val="0"/>
        <w:widowControl w:val="0"/>
        <w:shd w:val="clear" w:color="auto" w:fill="auto"/>
        <w:tabs>
          <w:tab w:pos="1570" w:val="left"/>
        </w:tabs>
        <w:bidi w:val="0"/>
        <w:spacing w:before="0" w:line="276" w:lineRule="exact"/>
        <w:ind w:left="840" w:right="0" w:firstLine="420"/>
        <w:jc w:val="both"/>
      </w:pPr>
      <w:bookmarkStart w:id="296" w:name="bookmark296"/>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月，公司中标广东电网公司</w:t>
      </w:r>
      <w:r>
        <w:rPr>
          <w:rFonts w:ascii="Times New Roman" w:eastAsia="Times New Roman" w:hAnsi="Times New Roman" w:cs="Times New Roman"/>
          <w:color w:val="000000"/>
          <w:spacing w:val="0"/>
          <w:w w:val="100"/>
          <w:position w:val="0"/>
        </w:rPr>
        <w:t>2014</w:t>
      </w:r>
      <w:r>
        <w:rPr>
          <w:color w:val="000000"/>
          <w:spacing w:val="0"/>
          <w:w w:val="100"/>
          <w:position w:val="0"/>
        </w:rPr>
        <w:t>年低压集抄、负荷管理终端等计量自动化设备框 架招标项目，金额约</w:t>
      </w:r>
      <w:r>
        <w:rPr>
          <w:rFonts w:ascii="Times New Roman" w:eastAsia="Times New Roman" w:hAnsi="Times New Roman" w:cs="Times New Roman"/>
          <w:color w:val="000000"/>
          <w:spacing w:val="0"/>
          <w:w w:val="100"/>
          <w:position w:val="0"/>
        </w:rPr>
        <w:t>4,116</w:t>
      </w:r>
      <w:r>
        <w:rPr>
          <w:color w:val="000000"/>
          <w:spacing w:val="0"/>
          <w:w w:val="100"/>
          <w:position w:val="0"/>
        </w:rPr>
        <w:t>万元。截至本报告披露日，公司按要求与项目单位签订书面合同，并按 合同的规定履行相应事宜。</w:t>
      </w:r>
    </w:p>
    <w:p>
      <w:pPr>
        <w:pStyle w:val="Style12"/>
        <w:keepNext w:val="0"/>
        <w:keepLines w:val="0"/>
        <w:widowControl w:val="0"/>
        <w:shd w:val="clear" w:color="auto" w:fill="auto"/>
        <w:bidi w:val="0"/>
        <w:spacing w:before="0" w:line="281" w:lineRule="exact"/>
        <w:ind w:left="840" w:right="0" w:firstLine="420"/>
        <w:jc w:val="both"/>
        <w:sectPr>
          <w:headerReference w:type="default" r:id="rId19"/>
          <w:footerReference w:type="default" r:id="rId20"/>
          <w:headerReference w:type="first" r:id="rId21"/>
          <w:footerReference w:type="first" r:id="rId22"/>
          <w:footnotePr>
            <w:pos w:val="pageBottom"/>
            <w:numFmt w:val="decimal"/>
            <w:numRestart w:val="continuous"/>
          </w:footnotePr>
          <w:pgSz w:w="12240" w:h="15840"/>
          <w:pgMar w:top="1109" w:right="994" w:bottom="2127" w:left="600" w:header="0" w:footer="3" w:gutter="0"/>
          <w:cols w:space="720"/>
          <w:noEndnote/>
          <w:titlePg/>
          <w:rtlGutter w:val="0"/>
          <w:docGrid w:linePitch="360"/>
        </w:sectPr>
      </w:pPr>
      <w:bookmarkStart w:id="297" w:name="bookmark297"/>
      <w:r>
        <w:rPr>
          <w:rFonts w:ascii="Times New Roman" w:eastAsia="Times New Roman" w:hAnsi="Times New Roman" w:cs="Times New Roman"/>
          <w:color w:val="000000"/>
          <w:spacing w:val="0"/>
          <w:w w:val="100"/>
          <w:position w:val="0"/>
        </w:rPr>
        <w:t>3</w:t>
      </w:r>
      <w:bookmarkEnd w:id="297"/>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月，公司中标</w:t>
      </w:r>
      <w:r>
        <w:rPr>
          <w:rFonts w:ascii="Times New Roman" w:eastAsia="Times New Roman" w:hAnsi="Times New Roman" w:cs="Times New Roman"/>
          <w:color w:val="000000"/>
          <w:spacing w:val="0"/>
          <w:w w:val="100"/>
          <w:position w:val="0"/>
        </w:rPr>
        <w:t>"</w:t>
      </w:r>
      <w:r>
        <w:rPr>
          <w:color w:val="000000"/>
          <w:spacing w:val="0"/>
          <w:w w:val="100"/>
          <w:position w:val="0"/>
        </w:rPr>
        <w:t>中国南方电网有限责任公司</w:t>
      </w:r>
      <w:r>
        <w:rPr>
          <w:rFonts w:ascii="Times New Roman" w:eastAsia="Times New Roman" w:hAnsi="Times New Roman" w:cs="Times New Roman"/>
          <w:color w:val="000000"/>
          <w:spacing w:val="0"/>
          <w:w w:val="100"/>
          <w:position w:val="0"/>
        </w:rPr>
        <w:t>2014</w:t>
      </w:r>
      <w:r>
        <w:rPr>
          <w:color w:val="000000"/>
          <w:spacing w:val="0"/>
          <w:w w:val="100"/>
          <w:position w:val="0"/>
        </w:rPr>
        <w:t>年度电能表类框架招标项目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 司共中标</w:t>
      </w:r>
      <w:r>
        <w:rPr>
          <w:rFonts w:ascii="Times New Roman" w:eastAsia="Times New Roman" w:hAnsi="Times New Roman" w:cs="Times New Roman"/>
          <w:color w:val="000000"/>
          <w:spacing w:val="0"/>
          <w:w w:val="100"/>
          <w:position w:val="0"/>
        </w:rPr>
        <w:t>16</w:t>
      </w:r>
      <w:r>
        <w:rPr>
          <w:color w:val="000000"/>
          <w:spacing w:val="0"/>
          <w:w w:val="100"/>
          <w:position w:val="0"/>
        </w:rPr>
        <w:t>个包，预计中标金额约</w:t>
      </w:r>
      <w:r>
        <w:rPr>
          <w:rFonts w:ascii="Times New Roman" w:eastAsia="Times New Roman" w:hAnsi="Times New Roman" w:cs="Times New Roman"/>
          <w:color w:val="000000"/>
          <w:spacing w:val="0"/>
          <w:w w:val="100"/>
          <w:position w:val="0"/>
        </w:rPr>
        <w:t>1.8</w:t>
      </w:r>
      <w:r>
        <w:rPr>
          <w:color w:val="000000"/>
          <w:spacing w:val="0"/>
          <w:w w:val="100"/>
          <w:position w:val="0"/>
        </w:rPr>
        <w:t>亿元。截至本报告披露日，公司按要求与项目单位签订书面 合同，并按合同的规定履行相应事宜。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八_承诺事项履行情况</w:t>
      </w:r>
    </w:p>
    <w:tbl>
      <w:tblPr>
        <w:tblOverlap w:val="never"/>
        <w:jc w:val="center"/>
        <w:tblLayout w:type="fixed"/>
      </w:tblPr>
      <w:tblGrid>
        <w:gridCol w:w="734"/>
        <w:gridCol w:w="850"/>
        <w:gridCol w:w="1291"/>
        <w:gridCol w:w="4934"/>
        <w:gridCol w:w="1147"/>
        <w:gridCol w:w="710"/>
        <w:gridCol w:w="710"/>
        <w:gridCol w:w="1272"/>
        <w:gridCol w:w="1147"/>
      </w:tblGrid>
      <w:tr>
        <w:trPr>
          <w:trHeight w:val="269"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上市公司、持股</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的股东、控股股东及实际控制人在报告期内或持续到报</w:t>
            </w:r>
          </w:p>
        </w:tc>
        <w:tc>
          <w:tcPr>
            <w:gridSpan w:val="5"/>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艮告期内的承诺事项</w:t>
            </w:r>
          </w:p>
        </w:tc>
      </w:tr>
      <w:tr>
        <w:trPr>
          <w:trHeight w:val="1099"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承诺 背景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承诺类 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如未能及时 履行应说明 未完成履行 的具体原因</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如未能及 时履行应 说明下一 步计划</w:t>
            </w:r>
          </w:p>
        </w:tc>
      </w:tr>
      <w:tr>
        <w:trPr>
          <w:trHeight w:val="83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140" w:right="0" w:firstLine="0"/>
              <w:jc w:val="left"/>
            </w:pPr>
            <w:r>
              <w:rPr>
                <w:color w:val="000000"/>
                <w:spacing w:val="0"/>
                <w:w w:val="100"/>
                <w:position w:val="0"/>
              </w:rPr>
              <w:t>与首 次公 开发 行相 关的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启东市华虹 电子有限公 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 他人管理其持有的公司股份，也不由公司回购其持有 的公司股份。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2011.8.8-2</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股份限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南通华强投 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 他人管理其持有的公司股份，也不由公司回购其持有 的公司股份。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2011.8.8-2</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1"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 他人管理其间接持有的公司股份，也不由公司回购其 间接持有的公司股份。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2011.8.8-2</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在担任董事或高级管理人员的期间，每年转让的股份不 超过其持有公司股份数的</w:t>
            </w:r>
            <w:r>
              <w:rPr>
                <w:rFonts w:ascii="Times New Roman" w:eastAsia="Times New Roman" w:hAnsi="Times New Roman" w:cs="Times New Roman"/>
                <w:color w:val="000000"/>
                <w:spacing w:val="0"/>
                <w:w w:val="100"/>
                <w:position w:val="0"/>
              </w:rPr>
              <w:t>25%</w:t>
            </w:r>
            <w:r>
              <w:rPr>
                <w:color w:val="000000"/>
                <w:spacing w:val="0"/>
                <w:w w:val="100"/>
                <w:position w:val="0"/>
              </w:rPr>
              <w:t>，买卖本公司股票交易 时间期限不低于</w:t>
            </w:r>
            <w:r>
              <w:rPr>
                <w:rFonts w:ascii="Times New Roman" w:eastAsia="Times New Roman" w:hAnsi="Times New Roman" w:cs="Times New Roman"/>
                <w:color w:val="000000"/>
                <w:spacing w:val="0"/>
                <w:w w:val="100"/>
                <w:position w:val="0"/>
              </w:rPr>
              <w:t>6</w:t>
            </w:r>
            <w:r>
              <w:rPr>
                <w:color w:val="000000"/>
                <w:spacing w:val="0"/>
                <w:w w:val="100"/>
                <w:position w:val="0"/>
              </w:rPr>
              <w:t>个月；在离职后</w:t>
            </w:r>
            <w:r>
              <w:rPr>
                <w:rFonts w:ascii="Times New Roman" w:eastAsia="Times New Roman" w:hAnsi="Times New Roman" w:cs="Times New Roman"/>
                <w:color w:val="000000"/>
                <w:spacing w:val="0"/>
                <w:w w:val="100"/>
                <w:position w:val="0"/>
              </w:rPr>
              <w:t>6</w:t>
            </w:r>
            <w:r>
              <w:rPr>
                <w:color w:val="000000"/>
                <w:spacing w:val="0"/>
                <w:w w:val="100"/>
                <w:position w:val="0"/>
              </w:rPr>
              <w:t>个月内，不转让其 持有的公司股份；在申报离职</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 转让的公司股份不超过其持有公司股份总数的</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毛彩虹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1"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 他人管理其间接持有的公司股份，也不由公司回购其 间接持有的公司股份。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2011.8.8-2</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股份限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 他人管理其间接持有的公司股份，也不由公司回购其 间接持有的公司股份。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2011.8.8-2</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股份限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在担任董事或高级管理人员的期间，每年转让的股份不 超过其持有公司股份数的</w:t>
            </w:r>
            <w:r>
              <w:rPr>
                <w:rFonts w:ascii="Times New Roman" w:eastAsia="Times New Roman" w:hAnsi="Times New Roman" w:cs="Times New Roman"/>
                <w:color w:val="000000"/>
                <w:spacing w:val="0"/>
                <w:w w:val="100"/>
                <w:position w:val="0"/>
              </w:rPr>
              <w:t>25%</w:t>
            </w:r>
            <w:r>
              <w:rPr>
                <w:color w:val="000000"/>
                <w:spacing w:val="0"/>
                <w:w w:val="100"/>
                <w:position w:val="0"/>
              </w:rPr>
              <w:t>，买卖本公司股票交易 时间期限不低于</w:t>
            </w:r>
            <w:r>
              <w:rPr>
                <w:rFonts w:ascii="Times New Roman" w:eastAsia="Times New Roman" w:hAnsi="Times New Roman" w:cs="Times New Roman"/>
                <w:color w:val="000000"/>
                <w:spacing w:val="0"/>
                <w:w w:val="100"/>
                <w:position w:val="0"/>
              </w:rPr>
              <w:t>6</w:t>
            </w:r>
            <w:r>
              <w:rPr>
                <w:color w:val="000000"/>
                <w:spacing w:val="0"/>
                <w:w w:val="100"/>
                <w:position w:val="0"/>
              </w:rPr>
              <w:t>个月；在离职后</w:t>
            </w:r>
            <w:r>
              <w:rPr>
                <w:rFonts w:ascii="Times New Roman" w:eastAsia="Times New Roman" w:hAnsi="Times New Roman" w:cs="Times New Roman"/>
                <w:color w:val="000000"/>
                <w:spacing w:val="0"/>
                <w:w w:val="100"/>
                <w:position w:val="0"/>
              </w:rPr>
              <w:t>6</w:t>
            </w:r>
            <w:r>
              <w:rPr>
                <w:color w:val="000000"/>
                <w:spacing w:val="0"/>
                <w:w w:val="100"/>
                <w:position w:val="0"/>
              </w:rPr>
              <w:t>个月内，不转让其 持有的公司股份；在申报离职</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 转让的公司股份不超过其持有公司股份总数的</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在担任董事或高级管理人员的期间，每年转让的股份不 超过其持有公司股份数的</w:t>
            </w:r>
            <w:r>
              <w:rPr>
                <w:rFonts w:ascii="Times New Roman" w:eastAsia="Times New Roman" w:hAnsi="Times New Roman" w:cs="Times New Roman"/>
                <w:color w:val="000000"/>
                <w:spacing w:val="0"/>
                <w:w w:val="100"/>
                <w:position w:val="0"/>
              </w:rPr>
              <w:t>25%</w:t>
            </w:r>
            <w:r>
              <w:rPr>
                <w:color w:val="000000"/>
                <w:spacing w:val="0"/>
                <w:w w:val="100"/>
                <w:position w:val="0"/>
              </w:rPr>
              <w:t>，买卖本公司股票交易 时间期限不低于</w:t>
            </w:r>
            <w:r>
              <w:rPr>
                <w:rFonts w:ascii="Times New Roman" w:eastAsia="Times New Roman" w:hAnsi="Times New Roman" w:cs="Times New Roman"/>
                <w:color w:val="000000"/>
                <w:spacing w:val="0"/>
                <w:w w:val="100"/>
                <w:position w:val="0"/>
              </w:rPr>
              <w:t>6</w:t>
            </w:r>
            <w:r>
              <w:rPr>
                <w:color w:val="000000"/>
                <w:spacing w:val="0"/>
                <w:w w:val="100"/>
                <w:position w:val="0"/>
              </w:rPr>
              <w:t>个月；在离职后</w:t>
            </w:r>
            <w:r>
              <w:rPr>
                <w:rFonts w:ascii="Times New Roman" w:eastAsia="Times New Roman" w:hAnsi="Times New Roman" w:cs="Times New Roman"/>
                <w:color w:val="000000"/>
                <w:spacing w:val="0"/>
                <w:w w:val="100"/>
                <w:position w:val="0"/>
              </w:rPr>
              <w:t>6</w:t>
            </w:r>
            <w:r>
              <w:rPr>
                <w:color w:val="000000"/>
                <w:spacing w:val="0"/>
                <w:w w:val="100"/>
                <w:position w:val="0"/>
              </w:rPr>
              <w:t>个月内，不转让其 持有的公司股份；在申报离职</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850"/>
        <w:gridCol w:w="1277"/>
        <w:gridCol w:w="4963"/>
        <w:gridCol w:w="1133"/>
        <w:gridCol w:w="710"/>
        <w:gridCol w:w="710"/>
        <w:gridCol w:w="1272"/>
        <w:gridCol w:w="1147"/>
      </w:tblGrid>
      <w:tr>
        <w:trPr>
          <w:trHeight w:val="34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转让的公司股份不超过其持有公司股份总数的</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启东市华虹 电子有限公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为避免同业竞争，华虹电子向公司出具了《避免同业 竞争承诺函》，主要内容为：“本公司将来不以任何方 式（包括但不限于其单独经营、通过合资经营或拥有 另一公司或企业的股份及其他权益）直接或间接地从 事与江苏林洋电子股份有限公司（以下简称“发行 人”）主营业务构成或可能构成竞争的业务，不制定 与发行人可能发生同业竞争的经营发展规划，不利用 股东地位，做出损害发行人及全体股东利益的行为， 保障发行人资产、业务、人员、财务、机构方面的独 立性，充分尊重发行人独立经营、自主决策的权利， 严格遵守《公司法》和发行人《公司章程》的规定， 履行应尽的诚信、勤勉责任。”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解决同 业竞争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南通华强投 资有限公司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为避免同业竞争，华强投资向公司出具了《避免同业 竞争承诺函》，主要内容为：“本公司将来不以任何方 式（包括但不限于其单独经营、通过合资经营或拥有 另一公司或企业的股份及其他权益）直接或间接地从 事与江苏林洋电子股份有限公司（以下简称“发行 人”）主营业务构成或可能构成竞争的业务，不制定 与发行人可能发生同业竞争的经营发展规划，不利用 股东地位，做出损害发行人及全体股东利益的行为， 保障发行人资产、业务、人员、财务、机构方面的独 立性，充分尊重发行人独立经营、自主决策的权利， 严格遵守《公司法》和发行人《公司章程》的规定， 履行应尽的诚信、勤勉责任。”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850"/>
        <w:gridCol w:w="1277"/>
        <w:gridCol w:w="4963"/>
        <w:gridCol w:w="1133"/>
        <w:gridCol w:w="710"/>
        <w:gridCol w:w="710"/>
        <w:gridCol w:w="1272"/>
        <w:gridCol w:w="1147"/>
      </w:tblGrid>
      <w:tr>
        <w:trPr>
          <w:trHeight w:val="3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实际控制人陆永华先生向公司出具了《避免同业竞争 承诺函》，主要内容为：“本人将来不以任何方式（包 括但不限于其单独经营、通过合资经营或拥有另一公 司或企业的股份及其他权益）直接或间接地从事与江 苏林洋电子股份有限公司（以下简称“发行人”）主 营业务构成或可能构成竞争的业务，不制定与发行人 可能发生同业竞争的经营发展规划，不利用发行人实 际控制人的身份，作出损害发行人及全体股东利益的 行为，保障发行人资产、业务、人员、财务、机构方 面的独立性，充分尊重发行人独立经营、自主决策的 权利，严格遵守《公司法》和发行人《公司章程》的 规定，履行应尽的诚信、勤勉责任。”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与股 权激 励相 关的 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股份限 售</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公司首期限 制性股票激 励计划</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名被激励对 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自限制性股票登记日起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个月后各申请解锁授予限制性股票总量的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2012.8.10</w:t>
              <w:softHyphen/>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2015.8.10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footnotePr>
            <w:pos w:val="pageBottom"/>
            <w:numFmt w:val="decimal"/>
            <w:numRestart w:val="continuous"/>
          </w:footnotePr>
          <w:pgSz w:w="15840" w:h="12240" w:orient="landscape"/>
          <w:pgMar w:top="1006" w:right="1262" w:bottom="1538" w:left="1747" w:header="0"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九、聘任、解聘会计师事务所情况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302"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年</w:t>
            </w:r>
          </w:p>
        </w:tc>
      </w:tr>
    </w:tbl>
    <w:p>
      <w:pPr>
        <w:widowControl w:val="0"/>
        <w:spacing w:after="419" w:line="1" w:lineRule="exact"/>
      </w:pPr>
    </w:p>
    <w:p>
      <w:pPr>
        <w:pStyle w:val="Style29"/>
        <w:keepNext/>
        <w:keepLines/>
        <w:widowControl w:val="0"/>
        <w:shd w:val="clear" w:color="auto" w:fill="auto"/>
        <w:bidi w:val="0"/>
        <w:spacing w:before="0" w:after="0" w:line="293" w:lineRule="exact"/>
        <w:ind w:left="340" w:right="0" w:firstLine="0"/>
        <w:jc w:val="left"/>
      </w:pPr>
      <w:bookmarkStart w:id="298" w:name="bookmark298"/>
      <w:bookmarkStart w:id="299" w:name="bookmark299"/>
      <w:bookmarkStart w:id="300" w:name="bookmark300"/>
      <w:r>
        <w:rPr>
          <w:color w:val="000000"/>
          <w:spacing w:val="0"/>
          <w:w w:val="100"/>
          <w:position w:val="0"/>
        </w:rPr>
        <w:t>十、 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以上股份的股东、实际控制人、收购人 处罚及整改情况</w:t>
      </w:r>
      <w:bookmarkEnd w:id="298"/>
      <w:bookmarkEnd w:id="299"/>
      <w:bookmarkEnd w:id="300"/>
    </w:p>
    <w:p>
      <w:pPr>
        <w:pStyle w:val="Style12"/>
        <w:keepNext w:val="0"/>
        <w:keepLines w:val="0"/>
        <w:widowControl w:val="0"/>
        <w:shd w:val="clear" w:color="auto" w:fill="auto"/>
        <w:bidi w:val="0"/>
        <w:spacing w:before="0" w:after="240" w:line="274" w:lineRule="exact"/>
        <w:ind w:left="340" w:right="0" w:firstLine="0"/>
        <w:jc w:val="left"/>
      </w:pPr>
      <w:r>
        <w:rPr>
          <w:color w:val="000000"/>
          <w:spacing w:val="0"/>
          <w:w w:val="100"/>
          <w:position w:val="0"/>
        </w:rPr>
        <w:t>本年度公司及其董事、监事、高级管理人员、持有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以上股份的股东、实际控制人、收购人均未 受中国证监会的稽查、行政处罚、通报批评及证券交易所的公开谴责。</w:t>
      </w:r>
    </w:p>
    <w:p>
      <w:pPr>
        <w:pStyle w:val="Style29"/>
        <w:keepNext/>
        <w:keepLines/>
        <w:widowControl w:val="0"/>
        <w:shd w:val="clear" w:color="auto" w:fill="auto"/>
        <w:bidi w:val="0"/>
        <w:spacing w:before="0" w:after="0" w:line="283" w:lineRule="exact"/>
        <w:ind w:left="0" w:right="0" w:firstLine="340"/>
        <w:jc w:val="left"/>
      </w:pPr>
      <w:bookmarkStart w:id="301" w:name="bookmark301"/>
      <w:bookmarkStart w:id="302" w:name="bookmark302"/>
      <w:bookmarkStart w:id="303" w:name="bookmark303"/>
      <w:r>
        <w:rPr>
          <w:color w:val="000000"/>
          <w:spacing w:val="0"/>
          <w:w w:val="100"/>
          <w:position w:val="0"/>
        </w:rPr>
        <w:t>十一、其他重大事项的说明</w:t>
      </w:r>
      <w:bookmarkEnd w:id="301"/>
      <w:bookmarkEnd w:id="302"/>
      <w:bookmarkEnd w:id="303"/>
    </w:p>
    <w:p>
      <w:pPr>
        <w:pStyle w:val="Style12"/>
        <w:keepNext w:val="0"/>
        <w:keepLines w:val="0"/>
        <w:widowControl w:val="0"/>
        <w:shd w:val="clear" w:color="auto" w:fill="auto"/>
        <w:bidi w:val="0"/>
        <w:spacing w:before="0" w:after="320" w:line="283" w:lineRule="exact"/>
        <w:ind w:left="0" w:right="0" w:firstLine="340"/>
        <w:jc w:val="left"/>
      </w:pPr>
      <w:r>
        <w:rPr>
          <w:color w:val="000000"/>
          <w:spacing w:val="0"/>
          <w:w w:val="100"/>
          <w:position w:val="0"/>
        </w:rPr>
        <w:t>报告期内公司无其他重大事项。</w:t>
      </w:r>
      <w:r>
        <w:br w:type="page"/>
      </w:r>
    </w:p>
    <w:p>
      <w:pPr>
        <w:pStyle w:val="Style15"/>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第六节股份变动及股东情况</w:t>
      </w:r>
    </w:p>
    <w:p>
      <w:pPr>
        <w:pStyle w:val="Style1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一、 股本变动情况</w:t>
      </w:r>
    </w:p>
    <w:p>
      <w:pPr>
        <w:pStyle w:val="Style12"/>
        <w:keepNext w:val="0"/>
        <w:keepLines w:val="0"/>
        <w:widowControl w:val="0"/>
        <w:numPr>
          <w:ilvl w:val="0"/>
          <w:numId w:val="11"/>
        </w:numPr>
        <w:shd w:val="clear" w:color="auto" w:fill="auto"/>
        <w:bidi w:val="0"/>
        <w:spacing w:before="0" w:after="0" w:line="240" w:lineRule="auto"/>
        <w:ind w:left="0" w:right="0" w:firstLine="360"/>
        <w:jc w:val="left"/>
      </w:pPr>
      <w:bookmarkStart w:id="304" w:name="bookmark304"/>
      <w:bookmarkEnd w:id="304"/>
      <w:r>
        <w:rPr>
          <w:b/>
          <w:bCs/>
          <w:color w:val="000000"/>
          <w:spacing w:val="0"/>
          <w:w w:val="100"/>
          <w:position w:val="0"/>
        </w:rPr>
        <w:t>股份变动情况表</w:t>
      </w:r>
    </w:p>
    <w:p>
      <w:pPr>
        <w:pStyle w:val="Style12"/>
        <w:keepNext w:val="0"/>
        <w:keepLines w:val="0"/>
        <w:widowControl w:val="0"/>
        <w:shd w:val="clear" w:color="auto" w:fill="auto"/>
        <w:tabs>
          <w:tab w:pos="871" w:val="left"/>
        </w:tabs>
        <w:bidi w:val="0"/>
        <w:spacing w:before="0" w:after="0" w:line="240" w:lineRule="auto"/>
        <w:ind w:left="0" w:right="0" w:firstLine="360"/>
        <w:jc w:val="left"/>
      </w:pPr>
      <w:bookmarkStart w:id="305" w:name="bookmark305"/>
      <w:r>
        <w:rPr>
          <w:rFonts w:ascii="Times New Roman" w:eastAsia="Times New Roman" w:hAnsi="Times New Roman" w:cs="Times New Roman"/>
          <w:b/>
          <w:bCs/>
          <w:color w:val="000000"/>
          <w:spacing w:val="0"/>
          <w:w w:val="100"/>
          <w:position w:val="0"/>
        </w:rPr>
        <w:t>1</w:t>
      </w:r>
      <w:bookmarkEnd w:id="305"/>
      <w:r>
        <w:rPr>
          <w:b/>
          <w:bCs/>
          <w:color w:val="000000"/>
          <w:spacing w:val="0"/>
          <w:w w:val="100"/>
          <w:position w:val="0"/>
        </w:rPr>
        <w:t>、</w:t>
        <w:tab/>
        <w:t>股份变动情况表</w:t>
      </w:r>
    </w:p>
    <w:p>
      <w:pPr>
        <w:pStyle w:val="Style23"/>
        <w:keepNext w:val="0"/>
        <w:keepLines w:val="0"/>
        <w:widowControl w:val="0"/>
        <w:shd w:val="clear" w:color="auto" w:fill="auto"/>
        <w:bidi w:val="0"/>
        <w:spacing w:before="0" w:after="0" w:line="240" w:lineRule="auto"/>
        <w:ind w:left="8510" w:right="0" w:firstLine="0"/>
        <w:jc w:val="left"/>
      </w:pPr>
      <w:r>
        <w:rPr>
          <w:b w:val="0"/>
          <w:bCs w:val="0"/>
          <w:color w:val="000000"/>
          <w:spacing w:val="0"/>
          <w:w w:val="100"/>
          <w:position w:val="0"/>
        </w:rPr>
        <w:t>单位：股</w:t>
      </w:r>
    </w:p>
    <w:tbl>
      <w:tblPr>
        <w:tblOverlap w:val="never"/>
        <w:jc w:val="center"/>
        <w:tblLayout w:type="fixed"/>
      </w:tblPr>
      <w:tblGrid>
        <w:gridCol w:w="1459"/>
        <w:gridCol w:w="1277"/>
        <w:gridCol w:w="710"/>
        <w:gridCol w:w="706"/>
        <w:gridCol w:w="427"/>
        <w:gridCol w:w="850"/>
        <w:gridCol w:w="1138"/>
        <w:gridCol w:w="1142"/>
        <w:gridCol w:w="1267"/>
        <w:gridCol w:w="744"/>
      </w:tblGrid>
      <w:tr>
        <w:trPr>
          <w:trHeight w:val="293"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62"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发行 新股</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送 股</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一、有限售条 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241,290,000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-5,864,000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235,426,000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66.28</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、其他内资 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241,290,000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-5,864,000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235,426,000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66.28</w:t>
            </w:r>
          </w:p>
        </w:tc>
      </w:tr>
      <w:tr>
        <w:trPr>
          <w:trHeight w:val="830"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其中：境内 非国有法人 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64.87</w:t>
            </w:r>
          </w:p>
        </w:tc>
      </w:tr>
      <w:tr>
        <w:trPr>
          <w:trHeight w:val="562"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境内自然 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5,026,000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境外自然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二、无限售条 件流通股份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5,754,000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119,754,000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33.72</w:t>
            </w:r>
          </w:p>
        </w:tc>
      </w:tr>
      <w:tr>
        <w:trPr>
          <w:trHeight w:val="557"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 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5,754,000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119,754,000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33.72</w:t>
            </w: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 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355,290,000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355,180,000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459" w:line="1" w:lineRule="exact"/>
      </w:pPr>
    </w:p>
    <w:p>
      <w:pPr>
        <w:pStyle w:val="Style29"/>
        <w:keepNext/>
        <w:keepLines/>
        <w:widowControl w:val="0"/>
        <w:shd w:val="clear" w:color="auto" w:fill="auto"/>
        <w:tabs>
          <w:tab w:pos="871" w:val="left"/>
        </w:tabs>
        <w:bidi w:val="0"/>
        <w:spacing w:before="0" w:after="100" w:line="274" w:lineRule="exact"/>
        <w:ind w:left="0" w:right="0" w:firstLine="36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shd w:val="clear" w:color="auto" w:fill="FFFFFF"/>
        </w:rPr>
        <w:t>2</w:t>
      </w:r>
      <w:bookmarkEnd w:id="308"/>
      <w:r>
        <w:rPr>
          <w:color w:val="000000"/>
          <w:spacing w:val="0"/>
          <w:w w:val="100"/>
          <w:position w:val="0"/>
          <w:shd w:val="clear" w:color="auto" w:fill="FFFFFF"/>
        </w:rPr>
        <w:t>、</w:t>
      </w:r>
      <w:r>
        <w:rPr>
          <w:color w:val="000000"/>
          <w:spacing w:val="0"/>
          <w:w w:val="100"/>
          <w:position w:val="0"/>
        </w:rPr>
        <w:tab/>
        <w:t>股份变动情况说明</w:t>
      </w:r>
      <w:bookmarkEnd w:id="306"/>
      <w:bookmarkEnd w:id="307"/>
      <w:bookmarkEnd w:id="309"/>
    </w:p>
    <w:p>
      <w:pPr>
        <w:pStyle w:val="Style12"/>
        <w:keepNext w:val="0"/>
        <w:keepLines w:val="0"/>
        <w:widowControl w:val="0"/>
        <w:shd w:val="clear" w:color="auto" w:fill="auto"/>
        <w:bidi w:val="0"/>
        <w:spacing w:before="0" w:after="60" w:line="274" w:lineRule="exact"/>
        <w:ind w:left="360" w:right="0" w:firstLine="420"/>
        <w:jc w:val="left"/>
      </w:pPr>
      <w:bookmarkStart w:id="310" w:name="bookmark310"/>
      <w:r>
        <w:rPr>
          <w:rFonts w:ascii="Times New Roman" w:eastAsia="Times New Roman" w:hAnsi="Times New Roman" w:cs="Times New Roman"/>
          <w:color w:val="000000"/>
          <w:spacing w:val="0"/>
          <w:w w:val="100"/>
          <w:position w:val="0"/>
        </w:rPr>
        <w:t>1</w:t>
      </w:r>
      <w:bookmarkEnd w:id="310"/>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日，公司发布首次公开发行限售股上市流通公告，本次公司上市限售股为广 发信德投资管理有限公司持有的有限售股份</w:t>
      </w:r>
      <w:r>
        <w:rPr>
          <w:rFonts w:ascii="Times New Roman" w:eastAsia="Times New Roman" w:hAnsi="Times New Roman" w:cs="Times New Roman"/>
          <w:color w:val="000000"/>
          <w:spacing w:val="0"/>
          <w:w w:val="100"/>
          <w:position w:val="0"/>
        </w:rPr>
        <w:t>360</w:t>
      </w:r>
      <w:r>
        <w:rPr>
          <w:color w:val="000000"/>
          <w:spacing w:val="0"/>
          <w:w w:val="100"/>
          <w:position w:val="0"/>
        </w:rPr>
        <w:t>万股，锁定期安排为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 现锁定期将届满，该部分股票将于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日起上市流通，公司总股本不变，限售股份由</w:t>
      </w:r>
      <w:r>
        <w:rPr>
          <w:rFonts w:ascii="Times New Roman" w:eastAsia="Times New Roman" w:hAnsi="Times New Roman" w:cs="Times New Roman"/>
          <w:color w:val="000000"/>
          <w:spacing w:val="0"/>
          <w:w w:val="100"/>
          <w:position w:val="0"/>
        </w:rPr>
        <w:t xml:space="preserve">24,129 </w:t>
      </w:r>
      <w:r>
        <w:rPr>
          <w:color w:val="000000"/>
          <w:spacing w:val="0"/>
          <w:w w:val="100"/>
          <w:position w:val="0"/>
        </w:rPr>
        <w:t>万股变更为</w:t>
      </w:r>
      <w:r>
        <w:rPr>
          <w:rFonts w:ascii="Times New Roman" w:eastAsia="Times New Roman" w:hAnsi="Times New Roman" w:cs="Times New Roman"/>
          <w:color w:val="000000"/>
          <w:spacing w:val="0"/>
          <w:w w:val="100"/>
          <w:position w:val="0"/>
        </w:rPr>
        <w:t>23,769</w:t>
      </w:r>
      <w:r>
        <w:rPr>
          <w:color w:val="000000"/>
          <w:spacing w:val="0"/>
          <w:w w:val="100"/>
          <w:position w:val="0"/>
        </w:rPr>
        <w:t>万股。</w:t>
      </w:r>
    </w:p>
    <w:p>
      <w:pPr>
        <w:pStyle w:val="Style12"/>
        <w:keepNext w:val="0"/>
        <w:keepLines w:val="0"/>
        <w:widowControl w:val="0"/>
        <w:shd w:val="clear" w:color="auto" w:fill="auto"/>
        <w:tabs>
          <w:tab w:pos="1234" w:val="left"/>
        </w:tabs>
        <w:bidi w:val="0"/>
        <w:spacing w:before="0" w:line="271" w:lineRule="exact"/>
        <w:ind w:left="500" w:right="0" w:firstLine="460"/>
        <w:jc w:val="both"/>
      </w:pPr>
      <w:bookmarkStart w:id="311" w:name="bookmark311"/>
      <w:r>
        <w:rPr>
          <w:rFonts w:ascii="Times New Roman" w:eastAsia="Times New Roman" w:hAnsi="Times New Roman" w:cs="Times New Roman"/>
          <w:color w:val="000000"/>
          <w:spacing w:val="0"/>
          <w:w w:val="100"/>
          <w:position w:val="0"/>
        </w:rPr>
        <w:t>2</w:t>
      </w:r>
      <w:bookmarkEnd w:id="31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日，公司第二届董事会第四次会议审议通过了《关于限制性股票激励计划之 股票首次解锁事宜的议案》，首次解锁的限制性股票数量为</w:t>
      </w:r>
      <w:r>
        <w:rPr>
          <w:rFonts w:ascii="Times New Roman" w:eastAsia="Times New Roman" w:hAnsi="Times New Roman" w:cs="Times New Roman"/>
          <w:color w:val="000000"/>
          <w:spacing w:val="0"/>
          <w:w w:val="100"/>
          <w:position w:val="0"/>
        </w:rPr>
        <w:t>2,154,000</w:t>
      </w:r>
      <w:r>
        <w:rPr>
          <w:color w:val="000000"/>
          <w:spacing w:val="0"/>
          <w:w w:val="100"/>
          <w:position w:val="0"/>
        </w:rPr>
        <w:t>股，上市流通日为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日，公司总股本不变，限售股份由</w:t>
      </w:r>
      <w:r>
        <w:rPr>
          <w:rFonts w:ascii="Times New Roman" w:eastAsia="Times New Roman" w:hAnsi="Times New Roman" w:cs="Times New Roman"/>
          <w:color w:val="000000"/>
          <w:spacing w:val="0"/>
          <w:w w:val="100"/>
          <w:position w:val="0"/>
        </w:rPr>
        <w:t>23,769</w:t>
      </w:r>
      <w:r>
        <w:rPr>
          <w:color w:val="000000"/>
          <w:spacing w:val="0"/>
          <w:w w:val="100"/>
          <w:position w:val="0"/>
        </w:rPr>
        <w:t>万股变更为</w:t>
      </w:r>
      <w:r>
        <w:rPr>
          <w:rFonts w:ascii="Times New Roman" w:eastAsia="Times New Roman" w:hAnsi="Times New Roman" w:cs="Times New Roman"/>
          <w:color w:val="000000"/>
          <w:spacing w:val="0"/>
          <w:w w:val="100"/>
          <w:position w:val="0"/>
        </w:rPr>
        <w:t>23,553.6</w:t>
      </w:r>
      <w:r>
        <w:rPr>
          <w:color w:val="000000"/>
          <w:spacing w:val="0"/>
          <w:w w:val="100"/>
          <w:position w:val="0"/>
        </w:rPr>
        <w:t>万股。</w:t>
      </w:r>
    </w:p>
    <w:p>
      <w:pPr>
        <w:pStyle w:val="Style12"/>
        <w:keepNext w:val="0"/>
        <w:keepLines w:val="0"/>
        <w:widowControl w:val="0"/>
        <w:shd w:val="clear" w:color="auto" w:fill="auto"/>
        <w:tabs>
          <w:tab w:pos="1234" w:val="left"/>
        </w:tabs>
        <w:bidi w:val="0"/>
        <w:spacing w:before="0" w:after="500" w:line="272" w:lineRule="exact"/>
        <w:ind w:left="500" w:right="0" w:firstLine="460"/>
        <w:jc w:val="both"/>
      </w:pPr>
      <w:bookmarkStart w:id="312" w:name="bookmark312"/>
      <w:r>
        <w:rPr>
          <w:rFonts w:ascii="Times New Roman" w:eastAsia="Times New Roman" w:hAnsi="Times New Roman" w:cs="Times New Roman"/>
          <w:color w:val="000000"/>
          <w:spacing w:val="0"/>
          <w:w w:val="100"/>
          <w:position w:val="0"/>
        </w:rPr>
        <w:t>3</w:t>
      </w:r>
      <w:bookmarkEnd w:id="31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日，公司第二届董事会第六次会议审议通过了《关于回购注销部分激励对 象已获授但尚未解锁的限制性股票的议案》，根据《公司首期限制性股票激励计划（草案）》中</w:t>
      </w:r>
      <w:r>
        <w:rPr>
          <w:rFonts w:ascii="Times New Roman" w:eastAsia="Times New Roman" w:hAnsi="Times New Roman" w:cs="Times New Roman"/>
          <w:color w:val="000000"/>
          <w:spacing w:val="0"/>
          <w:w w:val="100"/>
          <w:position w:val="0"/>
        </w:rPr>
        <w:t>"</w:t>
      </w:r>
      <w:r>
        <w:rPr>
          <w:color w:val="000000"/>
          <w:spacing w:val="0"/>
          <w:w w:val="100"/>
          <w:position w:val="0"/>
        </w:rPr>
        <w:t>第 三章，第六条、限制性股票的回购注销</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第四章、限制性股票激励计划的变更、终止</w:t>
      </w:r>
      <w:r>
        <w:rPr>
          <w:rFonts w:ascii="Times New Roman" w:eastAsia="Times New Roman" w:hAnsi="Times New Roman" w:cs="Times New Roman"/>
          <w:color w:val="000000"/>
          <w:spacing w:val="0"/>
          <w:w w:val="100"/>
          <w:position w:val="0"/>
        </w:rPr>
        <w:t>"</w:t>
      </w:r>
      <w:r>
        <w:rPr>
          <w:color w:val="000000"/>
          <w:spacing w:val="0"/>
          <w:w w:val="100"/>
          <w:position w:val="0"/>
        </w:rPr>
        <w:t>的相关规 定，将原激励对象黄祖斌、张俊已获授的股份全部进行回购注销。黄祖斌、张俊的原授予股份数量 为</w:t>
      </w:r>
      <w:r>
        <w:rPr>
          <w:rFonts w:ascii="Times New Roman" w:eastAsia="Times New Roman" w:hAnsi="Times New Roman" w:cs="Times New Roman"/>
          <w:color w:val="000000"/>
          <w:spacing w:val="0"/>
          <w:w w:val="100"/>
          <w:position w:val="0"/>
        </w:rPr>
        <w:t>11</w:t>
      </w:r>
      <w:r>
        <w:rPr>
          <w:color w:val="000000"/>
          <w:spacing w:val="0"/>
          <w:w w:val="100"/>
          <w:position w:val="0"/>
        </w:rPr>
        <w:t>万股，授予价格为</w:t>
      </w:r>
      <w:r>
        <w:rPr>
          <w:rFonts w:ascii="Times New Roman" w:eastAsia="Times New Roman" w:hAnsi="Times New Roman" w:cs="Times New Roman"/>
          <w:color w:val="000000"/>
          <w:spacing w:val="0"/>
          <w:w w:val="100"/>
          <w:position w:val="0"/>
        </w:rPr>
        <w:t>5.54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股，由于公司实施了 </w:t>
      </w:r>
      <w:r>
        <w:rPr>
          <w:rFonts w:ascii="Times New Roman" w:eastAsia="Times New Roman" w:hAnsi="Times New Roman" w:cs="Times New Roman"/>
          <w:color w:val="000000"/>
          <w:spacing w:val="0"/>
          <w:w w:val="100"/>
          <w:position w:val="0"/>
        </w:rPr>
        <w:t>2012</w:t>
      </w:r>
      <w:r>
        <w:rPr>
          <w:color w:val="000000"/>
          <w:spacing w:val="0"/>
          <w:w w:val="100"/>
          <w:position w:val="0"/>
        </w:rPr>
        <w:t>年度分配方案，向全体股东每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rPr>
        <w:t>3.5</w:t>
      </w:r>
      <w:r>
        <w:rPr>
          <w:color w:val="000000"/>
          <w:spacing w:val="0"/>
          <w:w w:val="100"/>
          <w:position w:val="0"/>
        </w:rPr>
        <w:t>元（含税），故回购价格调整为</w:t>
      </w:r>
      <w:r>
        <w:rPr>
          <w:rFonts w:ascii="Times New Roman" w:eastAsia="Times New Roman" w:hAnsi="Times New Roman" w:cs="Times New Roman"/>
          <w:color w:val="000000"/>
          <w:spacing w:val="0"/>
          <w:w w:val="100"/>
          <w:position w:val="0"/>
        </w:rPr>
        <w:t>5.19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日对上述尚未解锁 的限制性股票</w:t>
      </w:r>
      <w:r>
        <w:rPr>
          <w:rFonts w:ascii="Times New Roman" w:eastAsia="Times New Roman" w:hAnsi="Times New Roman" w:cs="Times New Roman"/>
          <w:color w:val="000000"/>
          <w:spacing w:val="0"/>
          <w:w w:val="100"/>
          <w:position w:val="0"/>
        </w:rPr>
        <w:t>11</w:t>
      </w:r>
      <w:r>
        <w:rPr>
          <w:color w:val="000000"/>
          <w:spacing w:val="0"/>
          <w:w w:val="100"/>
          <w:position w:val="0"/>
        </w:rPr>
        <w:t>万股依法办理了回购过户手续。并于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日予以注销。注销完成后， 公司总股本由</w:t>
      </w:r>
      <w:r>
        <w:rPr>
          <w:rFonts w:ascii="Times New Roman" w:eastAsia="Times New Roman" w:hAnsi="Times New Roman" w:cs="Times New Roman"/>
          <w:color w:val="000000"/>
          <w:spacing w:val="0"/>
          <w:w w:val="100"/>
          <w:position w:val="0"/>
        </w:rPr>
        <w:t>35,529</w:t>
      </w:r>
      <w:r>
        <w:rPr>
          <w:color w:val="000000"/>
          <w:spacing w:val="0"/>
          <w:w w:val="100"/>
          <w:position w:val="0"/>
        </w:rPr>
        <w:t>万股减少至</w:t>
      </w:r>
      <w:r>
        <w:rPr>
          <w:rFonts w:ascii="Times New Roman" w:eastAsia="Times New Roman" w:hAnsi="Times New Roman" w:cs="Times New Roman"/>
          <w:color w:val="000000"/>
          <w:spacing w:val="0"/>
          <w:w w:val="100"/>
          <w:position w:val="0"/>
        </w:rPr>
        <w:t>35,518</w:t>
      </w:r>
      <w:r>
        <w:rPr>
          <w:color w:val="000000"/>
          <w:spacing w:val="0"/>
          <w:w w:val="100"/>
          <w:position w:val="0"/>
        </w:rPr>
        <w:t>万股。</w:t>
      </w:r>
    </w:p>
    <w:tbl>
      <w:tblPr>
        <w:tblOverlap w:val="never"/>
        <w:jc w:val="left"/>
        <w:tblLayout w:type="fixed"/>
      </w:tblPr>
      <w:tblGrid>
        <w:gridCol w:w="2290"/>
        <w:gridCol w:w="994"/>
        <w:gridCol w:w="1133"/>
        <w:gridCol w:w="1133"/>
        <w:gridCol w:w="850"/>
        <w:gridCol w:w="1138"/>
        <w:gridCol w:w="1786"/>
      </w:tblGrid>
      <w:tr>
        <w:trPr>
          <w:trHeight w:val="566" w:hRule="exact"/>
        </w:trPr>
        <w:tc>
          <w:tcPr>
            <w:tcBorders>
              <w:top w:val="single" w:sz="4"/>
              <w:left w:val="single" w:sz="4"/>
            </w:tcBorders>
            <w:shd w:val="clear" w:color="auto" w:fill="BFBFB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BFBFBF"/>
            <w:vAlign w:val="bottom"/>
          </w:tcPr>
          <w:p>
            <w:pPr>
              <w:pStyle w:val="Style26"/>
              <w:keepNext w:val="0"/>
              <w:keepLines w:val="0"/>
              <w:framePr w:w="9322" w:h="4296" w:vSpace="538" w:wrap="notBeside" w:vAnchor="text" w:hAnchor="text" w:x="416" w:y="539"/>
              <w:widowControl w:val="0"/>
              <w:shd w:val="clear" w:color="auto" w:fill="auto"/>
              <w:bidi w:val="0"/>
              <w:spacing w:before="0" w:after="0" w:line="278" w:lineRule="exact"/>
              <w:ind w:left="0" w:right="0" w:firstLine="0"/>
              <w:jc w:val="center"/>
            </w:pPr>
            <w:r>
              <w:rPr>
                <w:color w:val="000000"/>
                <w:spacing w:val="0"/>
                <w:w w:val="100"/>
                <w:position w:val="0"/>
              </w:rPr>
              <w:t>年初限 售股数</w:t>
            </w:r>
          </w:p>
        </w:tc>
        <w:tc>
          <w:tcPr>
            <w:tcBorders>
              <w:top w:val="single" w:sz="4"/>
              <w:left w:val="single" w:sz="4"/>
            </w:tcBorders>
            <w:shd w:val="clear" w:color="auto" w:fill="BFBFBF"/>
            <w:vAlign w:val="bottom"/>
          </w:tcPr>
          <w:p>
            <w:pPr>
              <w:pStyle w:val="Style26"/>
              <w:keepNext w:val="0"/>
              <w:keepLines w:val="0"/>
              <w:framePr w:w="9322" w:h="4296" w:vSpace="538" w:wrap="notBeside" w:vAnchor="text" w:hAnchor="text" w:x="416" w:y="539"/>
              <w:widowControl w:val="0"/>
              <w:shd w:val="clear" w:color="auto" w:fill="auto"/>
              <w:bidi w:val="0"/>
              <w:spacing w:before="0" w:after="0" w:line="278"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BFBFBF"/>
            <w:vAlign w:val="bottom"/>
          </w:tcPr>
          <w:p>
            <w:pPr>
              <w:pStyle w:val="Style26"/>
              <w:keepNext w:val="0"/>
              <w:keepLines w:val="0"/>
              <w:framePr w:w="9322" w:h="4296" w:vSpace="538" w:wrap="notBeside" w:vAnchor="text" w:hAnchor="text" w:x="416" w:y="539"/>
              <w:widowControl w:val="0"/>
              <w:shd w:val="clear" w:color="auto" w:fill="auto"/>
              <w:bidi w:val="0"/>
              <w:spacing w:before="0" w:after="0" w:line="278"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BFBFBF"/>
            <w:vAlign w:val="bottom"/>
          </w:tcPr>
          <w:p>
            <w:pPr>
              <w:pStyle w:val="Style26"/>
              <w:keepNext w:val="0"/>
              <w:keepLines w:val="0"/>
              <w:framePr w:w="9322" w:h="4296" w:vSpace="538" w:wrap="notBeside" w:vAnchor="text" w:hAnchor="text" w:x="416" w:y="539"/>
              <w:widowControl w:val="0"/>
              <w:shd w:val="clear" w:color="auto" w:fill="auto"/>
              <w:bidi w:val="0"/>
              <w:spacing w:before="0" w:after="0" w:line="278" w:lineRule="exact"/>
              <w:ind w:left="0" w:right="0" w:firstLine="0"/>
              <w:jc w:val="right"/>
            </w:pPr>
            <w:r>
              <w:rPr>
                <w:color w:val="000000"/>
                <w:spacing w:val="0"/>
                <w:w w:val="100"/>
                <w:position w:val="0"/>
              </w:rPr>
              <w:t>年末限 售股数</w:t>
            </w:r>
          </w:p>
        </w:tc>
        <w:tc>
          <w:tcPr>
            <w:tcBorders>
              <w:top w:val="single" w:sz="4"/>
              <w:left w:val="single" w:sz="4"/>
            </w:tcBorders>
            <w:shd w:val="clear" w:color="auto" w:fill="BFBFB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BFBFB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562" w:hRule="exact"/>
        </w:trPr>
        <w:tc>
          <w:tcPr>
            <w:tcBorders>
              <w:top w:val="single" w:sz="4"/>
              <w:left w:val="single" w:sz="4"/>
            </w:tcBorders>
            <w:shd w:val="clear" w:color="auto" w:fill="FFFFFF"/>
            <w:vAlign w:val="top"/>
          </w:tcPr>
          <w:p>
            <w:pPr>
              <w:pStyle w:val="Style26"/>
              <w:keepNext w:val="0"/>
              <w:keepLines w:val="0"/>
              <w:framePr w:w="9322" w:h="4296" w:vSpace="538" w:wrap="notBeside" w:vAnchor="text" w:hAnchor="text" w:x="416" w:y="539"/>
              <w:widowControl w:val="0"/>
              <w:shd w:val="clear" w:color="auto" w:fill="auto"/>
              <w:bidi w:val="0"/>
              <w:spacing w:before="0" w:after="0" w:line="264" w:lineRule="exact"/>
              <w:ind w:left="0" w:right="0" w:firstLine="0"/>
              <w:jc w:val="left"/>
            </w:pPr>
            <w:r>
              <w:rPr>
                <w:color w:val="000000"/>
                <w:spacing w:val="0"/>
                <w:w w:val="100"/>
                <w:position w:val="0"/>
              </w:rPr>
              <w:t>广发信德投资管理有 限公司</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上市承诺</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沈凯平</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胡生</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3"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陆云海</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方壮志</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王凤林</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杨光</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陆寒熹</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林少武</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8"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施卫兵</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framePr w:w="9322" w:h="4296" w:vSpace="538" w:wrap="notBeside" w:vAnchor="text" w:hAnchor="text" w:x="416" w:y="539"/>
              <w:widowControl w:val="0"/>
              <w:rPr>
                <w:sz w:val="10"/>
                <w:szCs w:val="10"/>
              </w:rPr>
            </w:pP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83" w:hRule="exact"/>
        </w:trPr>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91</w:t>
            </w:r>
            <w:r>
              <w:rPr>
                <w:color w:val="000000"/>
                <w:spacing w:val="0"/>
                <w:w w:val="100"/>
                <w:position w:val="0"/>
              </w:rPr>
              <w:t>名激励对象</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167.7</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w:t>
            </w:r>
          </w:p>
        </w:tc>
        <w:tc>
          <w:tcPr>
            <w:tcBorders>
              <w:top w:val="single" w:sz="4"/>
              <w:lef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1,089</w:t>
            </w:r>
          </w:p>
        </w:tc>
        <w:tc>
          <w:tcPr>
            <w:tcBorders>
              <w:top w:val="single" w:sz="4"/>
              <w:left w:val="single" w:sz="4"/>
              <w:bottom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575.4</w:t>
            </w:r>
          </w:p>
        </w:tc>
        <w:tc>
          <w:tcPr>
            <w:tcBorders>
              <w:top w:val="single" w:sz="4"/>
              <w:left w:val="single" w:sz="4"/>
              <w:bottom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502.6</w:t>
            </w:r>
          </w:p>
        </w:tc>
        <w:tc>
          <w:tcPr>
            <w:tcBorders>
              <w:top w:val="single" w:sz="4"/>
              <w:left w:val="single" w:sz="4"/>
              <w:bottom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framePr w:w="9322" w:h="4296" w:vSpace="538" w:wrap="notBeside" w:vAnchor="text" w:hAnchor="text" w:x="416" w:y="53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framePr w:w="2290" w:h="274" w:hSpace="415" w:wrap="notBeside" w:vAnchor="text" w:hAnchor="text" w:x="416"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23"/>
        <w:keepNext w:val="0"/>
        <w:keepLines w:val="0"/>
        <w:framePr w:w="1085" w:h="259" w:hSpace="415" w:wrap="notBeside" w:vAnchor="text" w:hAnchor="text" w:x="8374" w:y="275"/>
        <w:widowControl w:val="0"/>
        <w:shd w:val="clear" w:color="auto" w:fill="auto"/>
        <w:bidi w:val="0"/>
        <w:spacing w:before="0" w:after="0" w:line="240" w:lineRule="auto"/>
        <w:ind w:left="0" w:right="0" w:firstLine="0"/>
        <w:jc w:val="left"/>
      </w:pPr>
      <w:r>
        <w:rPr>
          <w:b w:val="0"/>
          <w:bCs w:val="0"/>
          <w:color w:val="000000"/>
          <w:spacing w:val="0"/>
          <w:w w:val="100"/>
          <w:position w:val="0"/>
        </w:rPr>
        <w:t>单位：万股</w:t>
      </w:r>
    </w:p>
    <w:p>
      <w:pPr>
        <w:widowControl w:val="0"/>
        <w:spacing w:line="1" w:lineRule="exact"/>
      </w:pPr>
    </w:p>
    <w:p>
      <w:pPr>
        <w:pStyle w:val="Style29"/>
        <w:keepNext/>
        <w:keepLines/>
        <w:widowControl w:val="0"/>
        <w:shd w:val="clear" w:color="auto" w:fill="auto"/>
        <w:bidi w:val="0"/>
        <w:spacing w:before="0" w:line="240" w:lineRule="auto"/>
        <w:ind w:left="0" w:right="0" w:firstLine="500"/>
        <w:jc w:val="both"/>
      </w:pPr>
      <w:bookmarkStart w:id="313" w:name="bookmark313"/>
      <w:bookmarkStart w:id="314" w:name="bookmark314"/>
      <w:bookmarkStart w:id="315" w:name="bookmark315"/>
      <w:bookmarkStart w:id="316" w:name="bookmark316"/>
      <w:r>
        <w:rPr>
          <w:color w:val="000000"/>
          <w:spacing w:val="0"/>
          <w:w w:val="100"/>
          <w:position w:val="0"/>
        </w:rPr>
        <w:t>二</w:t>
      </w:r>
      <w:bookmarkEnd w:id="315"/>
      <w:r>
        <w:rPr>
          <w:color w:val="000000"/>
          <w:spacing w:val="0"/>
          <w:w w:val="100"/>
          <w:position w:val="0"/>
        </w:rPr>
        <w:t>、证券发行与上市情况</w:t>
      </w:r>
      <w:bookmarkEnd w:id="313"/>
      <w:bookmarkEnd w:id="314"/>
      <w:bookmarkEnd w:id="316"/>
    </w:p>
    <w:p>
      <w:pPr>
        <w:pStyle w:val="Style29"/>
        <w:keepNext/>
        <w:keepLines/>
        <w:widowControl w:val="0"/>
        <w:shd w:val="clear" w:color="auto" w:fill="auto"/>
        <w:bidi w:val="0"/>
        <w:spacing w:before="0" w:line="240" w:lineRule="auto"/>
        <w:ind w:left="0" w:right="0" w:firstLine="500"/>
        <w:jc w:val="both"/>
      </w:pPr>
      <w:bookmarkStart w:id="313" w:name="bookmark313"/>
      <w:bookmarkStart w:id="314" w:name="bookmark314"/>
      <w:bookmarkStart w:id="317" w:name="bookmark317"/>
      <w:bookmarkStart w:id="318" w:name="bookmark318"/>
      <w:r>
        <w:rPr>
          <w:rFonts w:ascii="Times New Roman" w:eastAsia="Times New Roman" w:hAnsi="Times New Roman" w:cs="Times New Roman"/>
          <w:color w:val="000000"/>
          <w:spacing w:val="0"/>
          <w:w w:val="100"/>
          <w:position w:val="0"/>
        </w:rPr>
        <w:t>（</w:t>
      </w:r>
      <w:bookmarkEnd w:id="317"/>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bookmarkEnd w:id="313"/>
      <w:bookmarkEnd w:id="314"/>
      <w:bookmarkEnd w:id="318"/>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19"/>
        <w:gridCol w:w="2347"/>
        <w:gridCol w:w="960"/>
        <w:gridCol w:w="1162"/>
        <w:gridCol w:w="1814"/>
        <w:gridCol w:w="1157"/>
        <w:gridCol w:w="662"/>
      </w:tblGrid>
      <w:tr>
        <w:trPr>
          <w:trHeight w:val="840"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 衍生证券 的种类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发行价 格（或利 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获准上市 交易数量</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 终止 日期</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2,187,000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2,187,000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2,187,000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2,187,000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2,916,000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2"/>
        <w:keepNext w:val="0"/>
        <w:keepLines w:val="0"/>
        <w:widowControl w:val="0"/>
        <w:shd w:val="clear" w:color="auto" w:fill="auto"/>
        <w:bidi w:val="0"/>
        <w:spacing w:before="0" w:line="269" w:lineRule="exact"/>
        <w:ind w:left="50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[2011]633</w:t>
      </w:r>
      <w:r>
        <w:rPr>
          <w:color w:val="000000"/>
          <w:spacing w:val="0"/>
          <w:w w:val="100"/>
          <w:position w:val="0"/>
        </w:rPr>
        <w:t xml:space="preserve">号文核准及上海证券交易所上证发字 </w:t>
      </w:r>
      <w:r>
        <w:rPr>
          <w:rFonts w:ascii="Times New Roman" w:eastAsia="Times New Roman" w:hAnsi="Times New Roman" w:cs="Times New Roman"/>
          <w:color w:val="000000"/>
          <w:spacing w:val="0"/>
          <w:w w:val="100"/>
          <w:position w:val="0"/>
        </w:rPr>
        <w:t>[2011]30</w:t>
      </w:r>
      <w:r>
        <w:rPr>
          <w:color w:val="000000"/>
          <w:spacing w:val="0"/>
          <w:w w:val="100"/>
          <w:position w:val="0"/>
        </w:rPr>
        <w:t>号文批准，公司于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7,500</w:t>
      </w:r>
      <w:r>
        <w:rPr>
          <w:color w:val="000000"/>
          <w:spacing w:val="0"/>
          <w:w w:val="100"/>
          <w:position w:val="0"/>
        </w:rPr>
        <w:t xml:space="preserve">万股，于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日起上市交易。本次公司公开发行股票价格每股</w:t>
      </w:r>
      <w:r>
        <w:rPr>
          <w:rFonts w:ascii="Times New Roman" w:eastAsia="Times New Roman" w:hAnsi="Times New Roman" w:cs="Times New Roman"/>
          <w:color w:val="000000"/>
          <w:spacing w:val="0"/>
          <w:w w:val="100"/>
          <w:position w:val="0"/>
        </w:rPr>
        <w:t>18</w:t>
      </w:r>
      <w:r>
        <w:rPr>
          <w:color w:val="000000"/>
          <w:spacing w:val="0"/>
          <w:w w:val="100"/>
          <w:position w:val="0"/>
        </w:rPr>
        <w:t>元，募集资金总额为</w:t>
      </w:r>
    </w:p>
    <w:p>
      <w:pPr>
        <w:pStyle w:val="Style53"/>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1,350,000,000.00</w:t>
      </w:r>
      <w:r>
        <w:rPr>
          <w:rFonts w:ascii="SimSun" w:eastAsia="SimSun" w:hAnsi="SimSun" w:cs="SimSun"/>
          <w:color w:val="000000"/>
          <w:spacing w:val="0"/>
          <w:w w:val="100"/>
          <w:position w:val="0"/>
        </w:rPr>
        <w:t>元，扣除各项发行费用后，募集资金净额为</w:t>
      </w:r>
      <w:r>
        <w:rPr>
          <w:color w:val="000000"/>
          <w:spacing w:val="0"/>
          <w:w w:val="100"/>
          <w:position w:val="0"/>
        </w:rPr>
        <w:t>1,291,699,133.00</w:t>
      </w:r>
      <w:r>
        <w:rPr>
          <w:rFonts w:ascii="SimSun" w:eastAsia="SimSun" w:hAnsi="SimSun" w:cs="SimSun"/>
          <w:color w:val="000000"/>
          <w:spacing w:val="0"/>
          <w:w w:val="100"/>
          <w:position w:val="0"/>
        </w:rPr>
        <w:t>元。</w:t>
      </w:r>
    </w:p>
    <w:p>
      <w:pPr>
        <w:pStyle w:val="Style12"/>
        <w:keepNext w:val="0"/>
        <w:keepLines w:val="0"/>
        <w:widowControl w:val="0"/>
        <w:shd w:val="clear" w:color="auto" w:fill="auto"/>
        <w:bidi w:val="0"/>
        <w:spacing w:before="0" w:after="240" w:line="273" w:lineRule="exact"/>
        <w:ind w:left="52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日，公司召开第三次临时股东大会，审议通过了《江苏林洋电子股份有限公 司首期限制性股票激励计划（草案）》，并授权董事会办理相关事项。</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日，公司第一 届董事会第二十二次会议审议通过了《关于确定公司首期限制性股票激励计划授予相关事项的议 案》，以每股</w:t>
      </w:r>
      <w:r>
        <w:rPr>
          <w:rFonts w:ascii="Times New Roman" w:eastAsia="Times New Roman" w:hAnsi="Times New Roman" w:cs="Times New Roman"/>
          <w:color w:val="000000"/>
          <w:spacing w:val="0"/>
          <w:w w:val="100"/>
          <w:position w:val="0"/>
        </w:rPr>
        <w:t>5.54</w:t>
      </w:r>
      <w:r>
        <w:rPr>
          <w:color w:val="000000"/>
          <w:spacing w:val="0"/>
          <w:w w:val="100"/>
          <w:position w:val="0"/>
        </w:rPr>
        <w:t>元的价格向</w:t>
      </w:r>
      <w:r>
        <w:rPr>
          <w:rFonts w:ascii="Times New Roman" w:eastAsia="Times New Roman" w:hAnsi="Times New Roman" w:cs="Times New Roman"/>
          <w:color w:val="000000"/>
          <w:spacing w:val="0"/>
          <w:w w:val="100"/>
          <w:position w:val="0"/>
        </w:rPr>
        <w:t>100</w:t>
      </w:r>
      <w:r>
        <w:rPr>
          <w:color w:val="000000"/>
          <w:spacing w:val="0"/>
          <w:w w:val="100"/>
          <w:position w:val="0"/>
        </w:rPr>
        <w:t>名被激励对象定向增发</w:t>
      </w:r>
      <w:r>
        <w:rPr>
          <w:rFonts w:ascii="Times New Roman" w:eastAsia="Times New Roman" w:hAnsi="Times New Roman" w:cs="Times New Roman"/>
          <w:color w:val="000000"/>
          <w:spacing w:val="0"/>
          <w:w w:val="100"/>
          <w:position w:val="0"/>
        </w:rPr>
        <w:t>729</w:t>
      </w:r>
      <w:r>
        <w:rPr>
          <w:color w:val="000000"/>
          <w:spacing w:val="0"/>
          <w:w w:val="100"/>
          <w:position w:val="0"/>
        </w:rPr>
        <w:t>万股限制性股票，立信会计师事务所 对公司新增注册资本和股本的实收情况进行了审验。</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日，中国证券登记结算有限责任公司上 海分公司向公司出具了证券变更登记证明，公司总股本由</w:t>
      </w:r>
      <w:r>
        <w:rPr>
          <w:rFonts w:ascii="Times New Roman" w:eastAsia="Times New Roman" w:hAnsi="Times New Roman" w:cs="Times New Roman"/>
          <w:color w:val="000000"/>
          <w:spacing w:val="0"/>
          <w:w w:val="100"/>
          <w:position w:val="0"/>
        </w:rPr>
        <w:t>34800</w:t>
      </w:r>
      <w:r>
        <w:rPr>
          <w:color w:val="000000"/>
          <w:spacing w:val="0"/>
          <w:w w:val="100"/>
          <w:position w:val="0"/>
        </w:rPr>
        <w:t>万股变更为</w:t>
      </w:r>
      <w:r>
        <w:rPr>
          <w:rFonts w:ascii="Times New Roman" w:eastAsia="Times New Roman" w:hAnsi="Times New Roman" w:cs="Times New Roman"/>
          <w:color w:val="000000"/>
          <w:spacing w:val="0"/>
          <w:w w:val="100"/>
          <w:position w:val="0"/>
        </w:rPr>
        <w:t>35529</w:t>
      </w:r>
      <w:r>
        <w:rPr>
          <w:color w:val="000000"/>
          <w:spacing w:val="0"/>
          <w:w w:val="100"/>
          <w:position w:val="0"/>
        </w:rPr>
        <w:t>万股。</w:t>
      </w:r>
    </w:p>
    <w:p>
      <w:pPr>
        <w:pStyle w:val="Style29"/>
        <w:keepNext/>
        <w:keepLines/>
        <w:widowControl w:val="0"/>
        <w:shd w:val="clear" w:color="auto" w:fill="auto"/>
        <w:tabs>
          <w:tab w:pos="1051" w:val="left"/>
        </w:tabs>
        <w:bidi w:val="0"/>
        <w:spacing w:before="0" w:after="0"/>
        <w:ind w:left="0" w:right="0" w:firstLine="52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w:t>
      </w:r>
      <w:bookmarkEnd w:id="32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bookmarkEnd w:id="319"/>
      <w:bookmarkEnd w:id="320"/>
      <w:bookmarkEnd w:id="322"/>
    </w:p>
    <w:p>
      <w:pPr>
        <w:pStyle w:val="Style12"/>
        <w:keepNext w:val="0"/>
        <w:keepLines w:val="0"/>
        <w:widowControl w:val="0"/>
        <w:shd w:val="clear" w:color="auto" w:fill="auto"/>
        <w:bidi w:val="0"/>
        <w:spacing w:before="0" w:after="240" w:line="273" w:lineRule="exact"/>
        <w:ind w:left="0" w:right="0" w:firstLine="740"/>
        <w:jc w:val="both"/>
      </w:pPr>
      <w:r>
        <w:rPr>
          <w:color w:val="000000"/>
          <w:spacing w:val="0"/>
          <w:w w:val="100"/>
          <w:position w:val="0"/>
        </w:rPr>
        <w:t>报告期内没有因送股、配股等原因引起公司股份总数及结构的变动。</w:t>
      </w:r>
    </w:p>
    <w:p>
      <w:pPr>
        <w:pStyle w:val="Style29"/>
        <w:keepNext/>
        <w:keepLines/>
        <w:widowControl w:val="0"/>
        <w:shd w:val="clear" w:color="auto" w:fill="auto"/>
        <w:tabs>
          <w:tab w:pos="1051" w:val="left"/>
        </w:tabs>
        <w:bidi w:val="0"/>
        <w:spacing w:before="0" w:after="0"/>
        <w:ind w:left="0" w:right="0" w:firstLine="52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w:t>
      </w:r>
      <w:bookmarkEnd w:id="32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bookmarkEnd w:id="323"/>
      <w:bookmarkEnd w:id="324"/>
      <w:bookmarkEnd w:id="326"/>
    </w:p>
    <w:p>
      <w:pPr>
        <w:pStyle w:val="Style12"/>
        <w:keepNext w:val="0"/>
        <w:keepLines w:val="0"/>
        <w:widowControl w:val="0"/>
        <w:shd w:val="clear" w:color="auto" w:fill="auto"/>
        <w:bidi w:val="0"/>
        <w:spacing w:before="0" w:after="240" w:line="273" w:lineRule="exact"/>
        <w:ind w:left="0" w:right="0" w:firstLine="740"/>
        <w:jc w:val="both"/>
      </w:pPr>
      <w:r>
        <w:rPr>
          <w:color w:val="000000"/>
          <w:spacing w:val="0"/>
          <w:w w:val="100"/>
          <w:position w:val="0"/>
        </w:rPr>
        <w:t>本报告期末公司无内部职工股。</w:t>
      </w:r>
    </w:p>
    <w:p>
      <w:pPr>
        <w:pStyle w:val="Style12"/>
        <w:keepNext w:val="0"/>
        <w:keepLines w:val="0"/>
        <w:widowControl w:val="0"/>
        <w:shd w:val="clear" w:color="auto" w:fill="auto"/>
        <w:bidi w:val="0"/>
        <w:spacing w:before="0" w:after="0" w:line="273" w:lineRule="exact"/>
        <w:ind w:left="0" w:right="0" w:firstLine="520"/>
        <w:jc w:val="both"/>
      </w:pPr>
      <w:bookmarkStart w:id="327" w:name="bookmark327"/>
      <w:r>
        <w:rPr>
          <w:b/>
          <w:bCs/>
          <w:color w:val="000000"/>
          <w:spacing w:val="0"/>
          <w:w w:val="100"/>
          <w:position w:val="0"/>
        </w:rPr>
        <w:t>三</w:t>
      </w:r>
      <w:bookmarkEnd w:id="327"/>
      <w:r>
        <w:rPr>
          <w:b/>
          <w:bCs/>
          <w:color w:val="000000"/>
          <w:spacing w:val="0"/>
          <w:w w:val="100"/>
          <w:position w:val="0"/>
        </w:rPr>
        <w:t>、股东和实际控制人情况</w:t>
      </w:r>
    </w:p>
    <w:p>
      <w:pPr>
        <w:pStyle w:val="Style12"/>
        <w:keepNext w:val="0"/>
        <w:keepLines w:val="0"/>
        <w:widowControl w:val="0"/>
        <w:shd w:val="clear" w:color="auto" w:fill="auto"/>
        <w:bidi w:val="0"/>
        <w:spacing w:before="0" w:after="0" w:line="273" w:lineRule="exact"/>
        <w:ind w:left="0" w:right="0" w:firstLine="520"/>
        <w:jc w:val="both"/>
      </w:pPr>
      <w:bookmarkStart w:id="328" w:name="bookmark328"/>
      <w:r>
        <w:rPr>
          <w:rFonts w:ascii="Times New Roman" w:eastAsia="Times New Roman" w:hAnsi="Times New Roman" w:cs="Times New Roman"/>
          <w:b/>
          <w:bCs/>
          <w:color w:val="000000"/>
          <w:spacing w:val="0"/>
          <w:w w:val="100"/>
          <w:position w:val="0"/>
        </w:rPr>
        <w:t>（</w:t>
      </w:r>
      <w:bookmarkEnd w:id="328"/>
      <w:r>
        <w:rPr>
          <w:b/>
          <w:bCs/>
          <w:color w:val="000000"/>
          <w:spacing w:val="0"/>
          <w:w w:val="100"/>
          <w:position w:val="0"/>
        </w:rPr>
        <w:t>一</w:t>
      </w:r>
      <w:r>
        <w:rPr>
          <w:b/>
          <w:bCs/>
          <w:color w:val="000000"/>
          <w:spacing w:val="0"/>
          <w:w w:val="100"/>
          <w:position w:val="0"/>
        </w:rPr>
        <w:t>）</w:t>
      </w:r>
      <w:r>
        <w:rPr>
          <w:b/>
          <w:bCs/>
          <w:color w:val="000000"/>
          <w:spacing w:val="0"/>
          <w:w w:val="100"/>
          <w:position w:val="0"/>
        </w:rPr>
        <w:t>股东数量和持股情况</w:t>
      </w:r>
    </w:p>
    <w:p>
      <w:pPr>
        <w:pStyle w:val="Style23"/>
        <w:keepNext w:val="0"/>
        <w:keepLines w:val="0"/>
        <w:widowControl w:val="0"/>
        <w:shd w:val="clear" w:color="auto" w:fill="auto"/>
        <w:bidi w:val="0"/>
        <w:spacing w:before="0" w:after="0" w:line="240" w:lineRule="auto"/>
        <w:ind w:left="8688" w:right="0" w:firstLine="0"/>
        <w:jc w:val="left"/>
      </w:pPr>
      <w:r>
        <w:rPr>
          <w:b w:val="0"/>
          <w:bCs w:val="0"/>
          <w:color w:val="000000"/>
          <w:spacing w:val="0"/>
          <w:w w:val="100"/>
          <w:position w:val="0"/>
        </w:rPr>
        <w:t>单位：股</w:t>
      </w:r>
    </w:p>
    <w:tbl>
      <w:tblPr>
        <w:tblOverlap w:val="never"/>
        <w:jc w:val="center"/>
        <w:tblLayout w:type="fixed"/>
      </w:tblPr>
      <w:tblGrid>
        <w:gridCol w:w="1920"/>
        <w:gridCol w:w="1714"/>
        <w:gridCol w:w="782"/>
        <w:gridCol w:w="413"/>
        <w:gridCol w:w="1267"/>
        <w:gridCol w:w="1090"/>
        <w:gridCol w:w="1440"/>
        <w:gridCol w:w="1454"/>
      </w:tblGrid>
      <w:tr>
        <w:trPr>
          <w:trHeight w:val="538" w:hRule="exact"/>
        </w:trPr>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11,242</w:t>
            </w:r>
          </w:p>
        </w:tc>
        <w:tc>
          <w:tcPr>
            <w:gridSpan w:val="4"/>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14,337</w:t>
            </w:r>
          </w:p>
        </w:tc>
      </w:tr>
      <w:tr>
        <w:trPr>
          <w:trHeight w:val="288"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刖十</w:t>
            </w:r>
          </w:p>
        </w:tc>
        <w:tc>
          <w:tcPr>
            <w:gridSpan w:val="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-名股东持股情况</w:t>
            </w:r>
          </w:p>
        </w:tc>
      </w:tr>
      <w:tr>
        <w:trPr>
          <w:trHeight w:val="552"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持股比例</w:t>
            </w:r>
          </w:p>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持有有限售条 件股份数量</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质押或冻结 的股份数量</w:t>
            </w:r>
          </w:p>
        </w:tc>
      </w:tr>
      <w:tr>
        <w:trPr>
          <w:trHeight w:val="54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启东市华虹电子有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南通华强投资有限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质押 </w:t>
            </w:r>
            <w:r>
              <w:rPr>
                <w:rFonts w:ascii="Times New Roman" w:eastAsia="Times New Roman" w:hAnsi="Times New Roman" w:cs="Times New Roman"/>
                <w:color w:val="000000"/>
                <w:spacing w:val="0"/>
                <w:w w:val="100"/>
                <w:position w:val="0"/>
              </w:rPr>
              <w:t>17,940,000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虞海娟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无</w:t>
            </w:r>
          </w:p>
        </w:tc>
      </w:tr>
      <w:tr>
        <w:trPr>
          <w:trHeight w:val="10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中国建设银行股份 有限公司一华夏盛 世精选股票型证券 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6,583,027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6,583,027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未知</w:t>
            </w:r>
          </w:p>
        </w:tc>
      </w:tr>
      <w:tr>
        <w:trPr>
          <w:trHeight w:val="82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中国工商银行一广 发聚丰股票型证券 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5,478,233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5,478,233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未知</w:t>
            </w:r>
          </w:p>
        </w:tc>
      </w:tr>
      <w:tr>
        <w:trPr>
          <w:trHeight w:val="54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安耐德合伙人有限 公司一客户资金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4,089,136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4,089,136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未知</w:t>
            </w:r>
          </w:p>
        </w:tc>
      </w:tr>
      <w:tr>
        <w:trPr>
          <w:trHeight w:val="109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中国工商银行股份 有限公司一汇添富 价值精选股票型证 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3,629,170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3,629,170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未知</w:t>
            </w:r>
          </w:p>
        </w:tc>
      </w:tr>
      <w:tr>
        <w:trPr>
          <w:trHeight w:val="106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64" w:lineRule="exact"/>
              <w:ind w:left="0" w:right="0" w:firstLine="0"/>
              <w:jc w:val="both"/>
            </w:pPr>
            <w:r>
              <w:rPr>
                <w:color w:val="000000"/>
                <w:spacing w:val="0"/>
                <w:w w:val="100"/>
                <w:position w:val="0"/>
              </w:rPr>
              <w:t>中国工商银行一鹏 华优质治理股票型 证券投资基金</w:t>
            </w:r>
          </w:p>
          <w:p>
            <w:pPr>
              <w:pStyle w:val="Style26"/>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（LOF）</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3,499,854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3,499,854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未知</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周春举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3,217,842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3,217,842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未知</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景福证券投资基金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2,411,722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2,411,722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未知</w:t>
            </w:r>
          </w:p>
        </w:tc>
      </w:tr>
      <w:tr>
        <w:trPr>
          <w:trHeight w:val="278" w:hRule="exact"/>
        </w:trPr>
        <w:tc>
          <w:tcPr>
            <w:gridSpan w:val="8"/>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bl>
    <w:p>
      <w:pPr>
        <w:spacing w:lineRule="exact" w:line="1"/>
        <w:rPr>
          <w:sz w:val="2"/>
          <w:szCs w:val="2"/>
        </w:rPr>
      </w:pPr>
      <w:r>
        <w:br w:type="page"/>
      </w:r>
    </w:p>
    <w:tbl>
      <w:tblPr>
        <w:tblOverlap w:val="never"/>
        <w:jc w:val="center"/>
        <w:tblLayout w:type="fixed"/>
      </w:tblPr>
      <w:tblGrid>
        <w:gridCol w:w="2554"/>
        <w:gridCol w:w="2846"/>
        <w:gridCol w:w="4675"/>
      </w:tblGrid>
      <w:tr>
        <w:trPr>
          <w:trHeight w:val="27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持有无限售条件股份的数量</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9,800,000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pos="360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9,800,000</w:t>
            </w:r>
          </w:p>
        </w:tc>
      </w:tr>
      <w:tr>
        <w:trPr>
          <w:trHeight w:val="82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中国建设银行股份有限公 司一华夏盛世精选股票型 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6,583,027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361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6,583,027</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中国工商银行一广发聚丰 股票型证券投资基金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5,478,233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3610"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5,478,233</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安耐德合伙人有限公司一 客户资金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4,089,136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360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4,089,136</w:t>
            </w:r>
          </w:p>
        </w:tc>
      </w:tr>
      <w:tr>
        <w:trPr>
          <w:trHeight w:val="82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中国工商银行股份有限公 司一汇添富价值精选股票 型证券投资基金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3,629,170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360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3,629,170</w:t>
            </w:r>
          </w:p>
        </w:tc>
      </w:tr>
      <w:tr>
        <w:trPr>
          <w:trHeight w:val="7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中国工商银行一鹏华优质 治理股票型证券投资基金 </w:t>
            </w:r>
            <w:r>
              <w:rPr>
                <w:rFonts w:ascii="Times New Roman" w:eastAsia="Times New Roman" w:hAnsi="Times New Roman" w:cs="Times New Roman"/>
                <w:color w:val="000000"/>
                <w:spacing w:val="0"/>
                <w:w w:val="100"/>
                <w:position w:val="0"/>
              </w:rPr>
              <w:t>(LOF)</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3,499,854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360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3,499,854</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周春举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3,217,842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pos="360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3,217,842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景福证券投资基金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2,411,722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pos="3614"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2,411,722</w:t>
            </w:r>
          </w:p>
        </w:tc>
      </w:tr>
      <w:tr>
        <w:trPr>
          <w:trHeight w:val="82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中国银行股份有限公司一 大成优选股票型证券投资 基金</w:t>
            </w:r>
            <w:r>
              <w:rPr>
                <w:rFonts w:ascii="Times New Roman" w:eastAsia="Times New Roman" w:hAnsi="Times New Roman" w:cs="Times New Roman"/>
                <w:color w:val="000000"/>
                <w:spacing w:val="0"/>
                <w:w w:val="100"/>
                <w:position w:val="0"/>
              </w:rPr>
              <w:t>(LOF)</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2,329,736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3605"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2,329,736</w:t>
            </w:r>
          </w:p>
        </w:tc>
      </w:tr>
      <w:tr>
        <w:trPr>
          <w:trHeight w:val="7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7" w:lineRule="exact"/>
              <w:ind w:left="0" w:right="0" w:firstLine="0"/>
              <w:jc w:val="both"/>
            </w:pPr>
            <w:r>
              <w:rPr>
                <w:color w:val="000000"/>
                <w:spacing w:val="0"/>
                <w:w w:val="100"/>
                <w:position w:val="0"/>
              </w:rPr>
              <w:t xml:space="preserve">中国银行一华夏行业精选 股票型证券投资基金 </w:t>
            </w:r>
            <w:r>
              <w:rPr>
                <w:rFonts w:ascii="Times New Roman" w:eastAsia="Times New Roman" w:hAnsi="Times New Roman" w:cs="Times New Roman"/>
                <w:color w:val="000000"/>
                <w:spacing w:val="0"/>
                <w:w w:val="100"/>
                <w:position w:val="0"/>
              </w:rPr>
              <w:t>(LOF)</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1,932,617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3624" w:val="left"/>
              </w:tabs>
              <w:bidi w:val="0"/>
              <w:spacing w:before="0" w:after="0" w:line="240" w:lineRule="auto"/>
              <w:ind w:left="0" w:right="0" w:firstLine="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1,932,617</w:t>
            </w:r>
          </w:p>
        </w:tc>
      </w:tr>
      <w:tr>
        <w:trPr>
          <w:trHeight w:val="1363"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上述股东关联关系或一致 行动的说明</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启东市华虹电子有限公司与南通华强投资有限公司的实际控制人均为陆永华先 生。前三大股东与其他股东间不存在关联关系。本公司未知上述其他股东之间是 否存在关联关系，也未知上述其他股东是否属于《上市公司股东持股变动信息披 露管理办法》规定的一致行动人。</w:t>
            </w:r>
          </w:p>
        </w:tc>
      </w:tr>
    </w:tbl>
    <w:p>
      <w:pPr>
        <w:widowControl w:val="0"/>
        <w:spacing w:after="239" w:line="1" w:lineRule="exact"/>
      </w:pPr>
    </w:p>
    <w:p>
      <w:pPr>
        <w:pStyle w:val="Style1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前十名有限售条件股东持股数量及限售条件</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610"/>
        <w:gridCol w:w="1704"/>
        <w:gridCol w:w="1560"/>
        <w:gridCol w:w="1848"/>
        <w:gridCol w:w="1555"/>
        <w:gridCol w:w="2875"/>
      </w:tblGrid>
      <w:tr>
        <w:trPr>
          <w:trHeight w:val="283" w:hRule="exact"/>
        </w:trPr>
        <w:tc>
          <w:tcPr>
            <w:vMerge w:val="restart"/>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有限售条件股东 名称</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持有的有限售 条件股份数量</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有限售条件股份可</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「上市交易情况</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2" w:hRule="exact"/>
        </w:trPr>
        <w:tc>
          <w:tcPr>
            <w:vMerge/>
            <w:tcBorders>
              <w:left w:val="single" w:sz="4"/>
            </w:tcBorders>
            <w:shd w:val="clear" w:color="auto" w:fill="BFBFBF"/>
            <w:textDirection w:val="tbRlV"/>
            <w:vAlign w:val="bottom"/>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160"/>
              <w:jc w:val="both"/>
            </w:pPr>
            <w:r>
              <w:rPr>
                <w:color w:val="000000"/>
                <w:spacing w:val="0"/>
                <w:w w:val="100"/>
                <w:position w:val="0"/>
              </w:rPr>
              <w:t>可上市交易时间</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BFBFBF"/>
            <w:vAlign w:val="center"/>
          </w:tcPr>
          <w:p>
            <w:pPr/>
          </w:p>
        </w:tc>
      </w:tr>
      <w:tr>
        <w:trPr>
          <w:trHeight w:val="5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启东市华虹电子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自公司</w:t>
            </w:r>
            <w:r>
              <w:rPr>
                <w:rFonts w:ascii="Times New Roman" w:eastAsia="Times New Roman" w:hAnsi="Times New Roman" w:cs="Times New Roman"/>
                <w:color w:val="000000"/>
                <w:spacing w:val="0"/>
                <w:w w:val="100"/>
                <w:position w:val="0"/>
              </w:rPr>
              <w:t>A</w:t>
            </w:r>
            <w:r>
              <w:rPr>
                <w:color w:val="000000"/>
                <w:spacing w:val="0"/>
                <w:w w:val="100"/>
                <w:position w:val="0"/>
              </w:rPr>
              <w:t>股股票在上海证券 交易所上市之日起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南通华强投资有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自公司</w:t>
            </w:r>
            <w:r>
              <w:rPr>
                <w:rFonts w:ascii="Times New Roman" w:eastAsia="Times New Roman" w:hAnsi="Times New Roman" w:cs="Times New Roman"/>
                <w:color w:val="000000"/>
                <w:spacing w:val="0"/>
                <w:w w:val="100"/>
                <w:position w:val="0"/>
              </w:rPr>
              <w:t>A</w:t>
            </w:r>
            <w:r>
              <w:rPr>
                <w:color w:val="000000"/>
                <w:spacing w:val="0"/>
                <w:w w:val="100"/>
                <w:position w:val="0"/>
              </w:rPr>
              <w:t>股股票在上海证券 交易所上市之日起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陆云海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75,000</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公司首期限制性股票激励计 划的授予日为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日，若达到激励计划规定的解 锁条件，激励对象可分三次申 请解锁，分别息授予日起的 </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 月后各申请解锁授予限制性 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 公司董事、高级管理人员所持</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w:t>
            </w: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75,000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w:t>
            </w: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陆寒熹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57,000</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76,000</w:t>
            </w:r>
          </w:p>
        </w:tc>
        <w:tc>
          <w:tcPr>
            <w:vMerge/>
            <w:tcBorders>
              <w:left w:val="single" w:sz="4"/>
              <w:right w:val="single" w:sz="4"/>
            </w:tcBorders>
            <w:shd w:val="clear" w:color="auto" w:fill="FFFFFF"/>
            <w:vAlign w:val="center"/>
          </w:tcPr>
          <w:p>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沈凯平</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45,000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60,000</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方壮志</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45,000</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610"/>
        <w:gridCol w:w="1704"/>
        <w:gridCol w:w="1560"/>
        <w:gridCol w:w="1858"/>
        <w:gridCol w:w="1546"/>
        <w:gridCol w:w="2875"/>
      </w:tblGrid>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股份的转让应当符合《公司 法》和《证券法》等法律法规 和规范性文件以及《公司章 程》的相关规定，包括但不限 于在公司任职期间每年转让 的股份不得超过其所持有本 公司股份总的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王凤林</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vMerge/>
            <w:tcBorders>
              <w:left w:val="single" w:sz="4"/>
              <w:right w:val="single" w:sz="4"/>
            </w:tcBorders>
            <w:shd w:val="clear" w:color="auto" w:fill="FFFFFF"/>
            <w:vAlign w:val="top"/>
          </w:tcPr>
          <w:p>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杨光</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vMerge/>
            <w:tcBorders>
              <w:left w:val="single" w:sz="4"/>
              <w:right w:val="single" w:sz="4"/>
            </w:tcBorders>
            <w:shd w:val="clear" w:color="auto" w:fill="FFFFFF"/>
            <w:vAlign w:val="top"/>
          </w:tcPr>
          <w:p>
            <w:pP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施卫兵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vMerge/>
            <w:tcBorders>
              <w:left w:val="single" w:sz="4"/>
              <w:right w:val="single" w:sz="4"/>
            </w:tcBorders>
            <w:shd w:val="clear" w:color="auto" w:fill="FFFFFF"/>
            <w:vAlign w:val="top"/>
          </w:tcPr>
          <w:p>
            <w:pPr/>
          </w:p>
        </w:tc>
      </w:tr>
      <w:tr>
        <w:trPr>
          <w:trHeight w:val="850" w:hRule="exact"/>
        </w:trPr>
        <w:tc>
          <w:tcPr>
            <w:gridSpan w:val="3"/>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启东市华虹电子有 均为陆永华先生。第 激励计划的部分激励</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限公司与南通华强投资有限公司的实际控制人</w:t>
            </w:r>
          </w:p>
          <w:p>
            <w:pPr>
              <w:pStyle w:val="Style26"/>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4-10</w:t>
            </w:r>
            <w:r>
              <w:rPr>
                <w:color w:val="000000"/>
                <w:spacing w:val="0"/>
                <w:w w:val="100"/>
                <w:position w:val="0"/>
              </w:rPr>
              <w:t>位有限售条件股东系公司首次限制性股票 协对象。</w:t>
            </w:r>
          </w:p>
        </w:tc>
      </w:tr>
    </w:tbl>
    <w:p>
      <w:pPr>
        <w:widowControl w:val="0"/>
        <w:spacing w:after="239" w:line="1" w:lineRule="exact"/>
      </w:pPr>
    </w:p>
    <w:p>
      <w:pPr>
        <w:pStyle w:val="Style12"/>
        <w:keepNext w:val="0"/>
        <w:keepLines w:val="0"/>
        <w:widowControl w:val="0"/>
        <w:shd w:val="clear" w:color="auto" w:fill="auto"/>
        <w:bidi w:val="0"/>
        <w:spacing w:before="0" w:after="0" w:line="240" w:lineRule="auto"/>
        <w:ind w:left="0" w:right="0" w:firstLine="560"/>
        <w:jc w:val="left"/>
      </w:pPr>
      <w:bookmarkStart w:id="329" w:name="bookmark329"/>
      <w:r>
        <w:rPr>
          <w:b/>
          <w:bCs/>
          <w:color w:val="000000"/>
          <w:spacing w:val="0"/>
          <w:w w:val="100"/>
          <w:position w:val="0"/>
        </w:rPr>
        <w:t>四</w:t>
      </w:r>
      <w:bookmarkEnd w:id="329"/>
      <w:r>
        <w:rPr>
          <w:b/>
          <w:bCs/>
          <w:color w:val="000000"/>
          <w:spacing w:val="0"/>
          <w:w w:val="100"/>
          <w:position w:val="0"/>
        </w:rPr>
        <w:t>、控股股东及实际控制人情况</w:t>
      </w:r>
    </w:p>
    <w:p>
      <w:pPr>
        <w:pStyle w:val="Style12"/>
        <w:keepNext w:val="0"/>
        <w:keepLines w:val="0"/>
        <w:widowControl w:val="0"/>
        <w:shd w:val="clear" w:color="auto" w:fill="auto"/>
        <w:bidi w:val="0"/>
        <w:spacing w:before="0" w:after="0" w:line="240" w:lineRule="auto"/>
        <w:ind w:left="0" w:right="0" w:firstLine="560"/>
        <w:jc w:val="left"/>
      </w:pPr>
      <w:bookmarkStart w:id="330" w:name="bookmark330"/>
      <w:r>
        <w:rPr>
          <w:rFonts w:ascii="Times New Roman" w:eastAsia="Times New Roman" w:hAnsi="Times New Roman" w:cs="Times New Roman"/>
          <w:b/>
          <w:bCs/>
          <w:color w:val="000000"/>
          <w:spacing w:val="0"/>
          <w:w w:val="100"/>
          <w:position w:val="0"/>
        </w:rPr>
        <w:t>（</w:t>
      </w:r>
      <w:bookmarkEnd w:id="330"/>
      <w:r>
        <w:rPr>
          <w:b/>
          <w:bCs/>
          <w:color w:val="000000"/>
          <w:spacing w:val="0"/>
          <w:w w:val="100"/>
          <w:position w:val="0"/>
        </w:rPr>
        <w:t>一</w:t>
      </w:r>
      <w:r>
        <w:rPr>
          <w:b/>
          <w:bCs/>
          <w:color w:val="000000"/>
          <w:spacing w:val="0"/>
          <w:w w:val="100"/>
          <w:position w:val="0"/>
        </w:rPr>
        <w:t>）</w:t>
      </w:r>
      <w:r>
        <w:rPr>
          <w:b/>
          <w:bCs/>
          <w:color w:val="000000"/>
          <w:spacing w:val="0"/>
          <w:w w:val="100"/>
          <w:position w:val="0"/>
        </w:rPr>
        <w:t>控股股东情况</w:t>
      </w:r>
    </w:p>
    <w:p>
      <w:pPr>
        <w:pStyle w:val="Style12"/>
        <w:keepNext w:val="0"/>
        <w:keepLines w:val="0"/>
        <w:widowControl w:val="0"/>
        <w:shd w:val="clear" w:color="auto" w:fill="auto"/>
        <w:tabs>
          <w:tab w:pos="1085" w:val="left"/>
        </w:tabs>
        <w:bidi w:val="0"/>
        <w:spacing w:before="0" w:after="0" w:line="240" w:lineRule="auto"/>
        <w:ind w:left="0" w:right="0" w:firstLine="560"/>
        <w:jc w:val="left"/>
      </w:pPr>
      <w:bookmarkStart w:id="331" w:name="bookmark331"/>
      <w:r>
        <w:rPr>
          <w:rFonts w:ascii="Times New Roman" w:eastAsia="Times New Roman" w:hAnsi="Times New Roman" w:cs="Times New Roman"/>
          <w:b/>
          <w:bCs/>
          <w:color w:val="000000"/>
          <w:spacing w:val="0"/>
          <w:w w:val="100"/>
          <w:position w:val="0"/>
          <w:shd w:val="clear" w:color="auto" w:fill="FFFFFF"/>
        </w:rPr>
        <w:t>1</w:t>
      </w:r>
      <w:bookmarkEnd w:id="331"/>
      <w:r>
        <w:rPr>
          <w:b/>
          <w:bCs/>
          <w:color w:val="000000"/>
          <w:spacing w:val="0"/>
          <w:w w:val="100"/>
          <w:position w:val="0"/>
          <w:shd w:val="clear" w:color="auto" w:fill="FFFFFF"/>
        </w:rPr>
        <w:t>、</w:t>
      </w:r>
      <w:r>
        <w:rPr>
          <w:b/>
          <w:bCs/>
          <w:color w:val="000000"/>
          <w:spacing w:val="0"/>
          <w:w w:val="100"/>
          <w:position w:val="0"/>
        </w:rPr>
        <w:tab/>
        <w:t>法人</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70376298-4</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r>
      <w:tr>
        <w:trPr>
          <w:trHeight w:val="298" w:hRule="exact"/>
        </w:trPr>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电子产品销售、投资及资产管理、管理咨询</w:t>
            </w:r>
          </w:p>
        </w:tc>
      </w:tr>
    </w:tbl>
    <w:p>
      <w:pPr>
        <w:widowControl w:val="0"/>
        <w:spacing w:after="239" w:line="1" w:lineRule="exact"/>
      </w:pPr>
    </w:p>
    <w:p>
      <w:pPr>
        <w:pStyle w:val="Style29"/>
        <w:keepNext/>
        <w:keepLines/>
        <w:widowControl w:val="0"/>
        <w:shd w:val="clear" w:color="auto" w:fill="auto"/>
        <w:tabs>
          <w:tab w:pos="1085" w:val="left"/>
        </w:tabs>
        <w:bidi w:val="0"/>
        <w:spacing w:before="0" w:after="0" w:line="240" w:lineRule="auto"/>
        <w:ind w:left="0" w:right="0" w:firstLine="56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shd w:val="clear" w:color="auto" w:fill="FFFFFF"/>
        </w:rPr>
        <w:t>2</w:t>
      </w:r>
      <w:bookmarkEnd w:id="334"/>
      <w:r>
        <w:rPr>
          <w:color w:val="000000"/>
          <w:spacing w:val="0"/>
          <w:w w:val="100"/>
          <w:position w:val="0"/>
          <w:shd w:val="clear" w:color="auto" w:fill="FFFFFF"/>
        </w:rPr>
        <w:t>、</w:t>
      </w:r>
      <w:r>
        <w:rPr>
          <w:color w:val="000000"/>
          <w:spacing w:val="0"/>
          <w:w w:val="100"/>
          <w:position w:val="0"/>
        </w:rPr>
        <w:tab/>
        <w:t>报告期内控股股东变更情况索引及日期</w:t>
      </w:r>
      <w:bookmarkEnd w:id="332"/>
      <w:bookmarkEnd w:id="333"/>
      <w:bookmarkEnd w:id="335"/>
    </w:p>
    <w:p>
      <w:pPr>
        <w:pStyle w:val="Style1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报告期内无发生控股股东变更的情况</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自然人</w:t>
      </w:r>
    </w:p>
    <w:tbl>
      <w:tblPr>
        <w:tblOverlap w:val="never"/>
        <w:jc w:val="center"/>
        <w:tblLayout w:type="fixed"/>
      </w:tblPr>
      <w:tblGrid>
        <w:gridCol w:w="4613"/>
        <w:gridCol w:w="4709"/>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曾任江苏林洋新能源有限公司总经理、董事长等 职。现任公司董事长、总经理，华虹电子、永安 电子、华强投资执行董事等职。</w:t>
            </w:r>
          </w:p>
        </w:tc>
      </w:tr>
      <w:tr>
        <w:trPr>
          <w:trHeight w:val="845"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2" w:lineRule="exact"/>
              <w:ind w:left="0" w:right="0" w:firstLine="0"/>
              <w:jc w:val="left"/>
            </w:pPr>
            <w:r>
              <w:rPr>
                <w:color w:val="000000"/>
                <w:spacing w:val="0"/>
                <w:w w:val="100"/>
                <w:position w:val="0"/>
              </w:rPr>
              <w:t>韩华新能源（启东）有限公司（原名江苏林洋新 能源有限公司）于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日在美国纳斯 达克上市，</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月已将持有股份全部转让。</w:t>
            </w:r>
          </w:p>
        </w:tc>
      </w:tr>
    </w:tbl>
    <w:p>
      <w:pPr>
        <w:widowControl w:val="0"/>
        <w:spacing w:after="239" w:line="1" w:lineRule="exact"/>
      </w:pPr>
    </w:p>
    <w:p>
      <w:pPr>
        <w:pStyle w:val="Style12"/>
        <w:keepNext w:val="0"/>
        <w:keepLines w:val="0"/>
        <w:widowControl w:val="0"/>
        <w:shd w:val="clear" w:color="auto" w:fill="auto"/>
        <w:tabs>
          <w:tab w:pos="1085" w:val="left"/>
        </w:tabs>
        <w:bidi w:val="0"/>
        <w:spacing w:before="0" w:after="240" w:line="283" w:lineRule="exact"/>
        <w:ind w:left="560" w:right="0" w:firstLine="0"/>
        <w:jc w:val="left"/>
      </w:pPr>
      <w:bookmarkStart w:id="336" w:name="bookmark336"/>
      <w:r>
        <w:rPr>
          <w:rFonts w:ascii="Times New Roman" w:eastAsia="Times New Roman" w:hAnsi="Times New Roman" w:cs="Times New Roman"/>
          <w:b/>
          <w:bCs/>
          <w:color w:val="000000"/>
          <w:spacing w:val="0"/>
          <w:w w:val="100"/>
          <w:position w:val="0"/>
          <w:shd w:val="clear" w:color="auto" w:fill="FFFFFF"/>
        </w:rPr>
        <w:t>2</w:t>
      </w:r>
      <w:bookmarkEnd w:id="336"/>
      <w:r>
        <w:rPr>
          <w:b/>
          <w:bCs/>
          <w:color w:val="000000"/>
          <w:spacing w:val="0"/>
          <w:w w:val="100"/>
          <w:position w:val="0"/>
          <w:shd w:val="clear" w:color="auto" w:fill="FFFFFF"/>
        </w:rPr>
        <w:t>、</w:t>
      </w:r>
      <w:r>
        <w:rPr>
          <w:b/>
          <w:bCs/>
          <w:color w:val="000000"/>
          <w:spacing w:val="0"/>
          <w:w w:val="100"/>
          <w:position w:val="0"/>
        </w:rPr>
        <w:tab/>
        <w:t xml:space="preserve">报告期内实际控制人变更情况索引及日期 </w:t>
      </w:r>
      <w:r>
        <w:rPr>
          <w:color w:val="000000"/>
          <w:spacing w:val="0"/>
          <w:w w:val="100"/>
          <w:position w:val="0"/>
        </w:rPr>
        <w:t>报告期内无实际控制人变更情况</w:t>
      </w:r>
    </w:p>
    <w:p>
      <w:pPr>
        <w:pStyle w:val="Style12"/>
        <w:keepNext w:val="0"/>
        <w:keepLines w:val="0"/>
        <w:widowControl w:val="0"/>
        <w:shd w:val="clear" w:color="auto" w:fill="auto"/>
        <w:bidi w:val="0"/>
        <w:spacing w:before="0" w:after="240" w:line="240" w:lineRule="auto"/>
        <w:ind w:left="560" w:right="0" w:firstLine="0"/>
        <w:jc w:val="left"/>
      </w:pPr>
      <w:bookmarkStart w:id="337" w:name="bookmark337"/>
      <w:r>
        <w:rPr>
          <w:rFonts w:ascii="Times New Roman" w:eastAsia="Times New Roman" w:hAnsi="Times New Roman" w:cs="Times New Roman"/>
          <w:b/>
          <w:bCs/>
          <w:color w:val="000000"/>
          <w:spacing w:val="0"/>
          <w:w w:val="100"/>
          <w:position w:val="0"/>
        </w:rPr>
        <w:t>3</w:t>
      </w:r>
      <w:bookmarkEnd w:id="337"/>
      <w:r>
        <w:rPr>
          <w:b/>
          <w:bCs/>
          <w:color w:val="000000"/>
          <w:spacing w:val="0"/>
          <w:w w:val="100"/>
          <w:position w:val="0"/>
        </w:rPr>
        <w:t>、公司与实际控制人之间的产权及控制关系的方框图</w:t>
      </w:r>
      <w:r>
        <w:br w:type="page"/>
      </w:r>
    </w:p>
    <w:p>
      <w:pPr>
        <w:widowControl w:val="0"/>
        <w:jc w:val="center"/>
        <w:rPr>
          <w:sz w:val="2"/>
          <w:szCs w:val="2"/>
        </w:rPr>
      </w:pPr>
      <w:r>
        <w:drawing>
          <wp:inline>
            <wp:extent cx="4096385" cy="212725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5"/>
                    <a:stretch/>
                  </pic:blipFill>
                  <pic:spPr>
                    <a:xfrm>
                      <a:ext cx="4096385" cy="2127250"/>
                    </a:xfrm>
                    <a:prstGeom prst="rect"/>
                  </pic:spPr>
                </pic:pic>
              </a:graphicData>
            </a:graphic>
          </wp:inline>
        </w:drawing>
      </w:r>
    </w:p>
    <w:p>
      <w:pPr>
        <w:widowControl w:val="0"/>
        <w:spacing w:after="219" w:line="1" w:lineRule="exact"/>
      </w:pPr>
    </w:p>
    <w:p>
      <w:pPr>
        <w:pStyle w:val="Style29"/>
        <w:keepNext/>
        <w:keepLines/>
        <w:widowControl w:val="0"/>
        <w:shd w:val="clear" w:color="auto" w:fill="auto"/>
        <w:bidi w:val="0"/>
        <w:spacing w:before="0" w:after="100" w:line="276" w:lineRule="exact"/>
        <w:ind w:left="0" w:right="0" w:firstLine="56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w:t>
      </w:r>
      <w:bookmarkEnd w:id="340"/>
      <w:r>
        <w:rPr>
          <w:color w:val="000000"/>
          <w:spacing w:val="0"/>
          <w:w w:val="100"/>
          <w:position w:val="0"/>
        </w:rPr>
        <w:t>三</w:t>
      </w:r>
      <w:r>
        <w:rPr>
          <w:color w:val="000000"/>
          <w:spacing w:val="0"/>
          <w:w w:val="100"/>
          <w:position w:val="0"/>
        </w:rPr>
        <w:t>）</w:t>
      </w:r>
      <w:r>
        <w:rPr>
          <w:color w:val="000000"/>
          <w:spacing w:val="0"/>
          <w:w w:val="100"/>
          <w:position w:val="0"/>
        </w:rPr>
        <w:t>控股股东及实际控制人其他情况介绍</w:t>
      </w:r>
      <w:bookmarkEnd w:id="338"/>
      <w:bookmarkEnd w:id="339"/>
      <w:bookmarkEnd w:id="341"/>
    </w:p>
    <w:p>
      <w:pPr>
        <w:pStyle w:val="Style12"/>
        <w:keepNext w:val="0"/>
        <w:keepLines w:val="0"/>
        <w:widowControl w:val="0"/>
        <w:shd w:val="clear" w:color="auto" w:fill="auto"/>
        <w:bidi w:val="0"/>
        <w:spacing w:before="0" w:after="220" w:line="276" w:lineRule="exact"/>
        <w:ind w:left="560" w:right="0" w:firstLine="420"/>
        <w:jc w:val="both"/>
      </w:pPr>
      <w:r>
        <w:rPr>
          <w:color w:val="000000"/>
          <w:spacing w:val="0"/>
          <w:w w:val="100"/>
          <w:position w:val="0"/>
        </w:rPr>
        <w:t>启东市华虹电子有限公司持有本公司</w:t>
      </w:r>
      <w:r>
        <w:rPr>
          <w:rFonts w:ascii="Times New Roman" w:eastAsia="Times New Roman" w:hAnsi="Times New Roman" w:cs="Times New Roman"/>
          <w:color w:val="000000"/>
          <w:spacing w:val="0"/>
          <w:w w:val="100"/>
          <w:position w:val="0"/>
        </w:rPr>
        <w:t>20,400</w:t>
      </w:r>
      <w:r>
        <w:rPr>
          <w:color w:val="000000"/>
          <w:spacing w:val="0"/>
          <w:w w:val="100"/>
          <w:position w:val="0"/>
        </w:rPr>
        <w:t>万股股份，占公司总股本</w:t>
      </w:r>
      <w:r>
        <w:rPr>
          <w:rFonts w:ascii="Times New Roman" w:eastAsia="Times New Roman" w:hAnsi="Times New Roman" w:cs="Times New Roman"/>
          <w:color w:val="000000"/>
          <w:spacing w:val="0"/>
          <w:w w:val="100"/>
          <w:position w:val="0"/>
        </w:rPr>
        <w:t>57.44%</w:t>
      </w:r>
      <w:r>
        <w:rPr>
          <w:color w:val="000000"/>
          <w:spacing w:val="0"/>
          <w:w w:val="100"/>
          <w:position w:val="0"/>
        </w:rPr>
        <w:t>,为本公司的控 股股东。陆永华先生通过启东市华虹电子有限公司及南通华强投资有限公司间接持有本公司</w:t>
      </w:r>
      <w:r>
        <w:rPr>
          <w:rFonts w:ascii="Times New Roman" w:eastAsia="Times New Roman" w:hAnsi="Times New Roman" w:cs="Times New Roman"/>
          <w:color w:val="000000"/>
          <w:spacing w:val="0"/>
          <w:w w:val="100"/>
          <w:position w:val="0"/>
        </w:rPr>
        <w:t xml:space="preserve">58.94% </w:t>
      </w:r>
      <w:r>
        <w:rPr>
          <w:color w:val="000000"/>
          <w:spacing w:val="0"/>
          <w:w w:val="100"/>
          <w:position w:val="0"/>
        </w:rPr>
        <w:t>的股份，为公司实际控制人。</w:t>
      </w:r>
    </w:p>
    <w:p>
      <w:pPr>
        <w:pStyle w:val="Style29"/>
        <w:keepNext/>
        <w:keepLines/>
        <w:widowControl w:val="0"/>
        <w:shd w:val="clear" w:color="auto" w:fill="auto"/>
        <w:bidi w:val="0"/>
        <w:spacing w:before="0" w:after="0" w:line="276" w:lineRule="exact"/>
        <w:ind w:left="0" w:right="0" w:firstLine="560"/>
        <w:jc w:val="both"/>
      </w:pPr>
      <w:bookmarkStart w:id="342" w:name="bookmark342"/>
      <w:bookmarkStart w:id="343" w:name="bookmark343"/>
      <w:bookmarkStart w:id="344" w:name="bookmark344"/>
      <w:bookmarkStart w:id="345" w:name="bookmark345"/>
      <w:r>
        <w:rPr>
          <w:color w:val="000000"/>
          <w:spacing w:val="0"/>
          <w:w w:val="100"/>
          <w:position w:val="0"/>
        </w:rPr>
        <w:t>五</w:t>
      </w:r>
      <w:bookmarkEnd w:id="344"/>
      <w:r>
        <w:rPr>
          <w:color w:val="000000"/>
          <w:spacing w:val="0"/>
          <w:w w:val="100"/>
          <w:position w:val="0"/>
        </w:rPr>
        <w:t>、其他持股在百分之十以上的法人股东</w:t>
      </w:r>
      <w:bookmarkEnd w:id="342"/>
      <w:bookmarkEnd w:id="343"/>
      <w:bookmarkEnd w:id="345"/>
    </w:p>
    <w:p>
      <w:pPr>
        <w:pStyle w:val="Style12"/>
        <w:keepNext w:val="0"/>
        <w:keepLines w:val="0"/>
        <w:widowControl w:val="0"/>
        <w:shd w:val="clear" w:color="auto" w:fill="auto"/>
        <w:bidi w:val="0"/>
        <w:spacing w:before="0" w:after="220" w:line="276" w:lineRule="exact"/>
        <w:ind w:left="0" w:right="0" w:firstLine="780"/>
        <w:jc w:val="left"/>
        <w:sectPr>
          <w:headerReference w:type="default" r:id="rId27"/>
          <w:footerReference w:type="default" r:id="rId28"/>
          <w:footnotePr>
            <w:pos w:val="pageBottom"/>
            <w:numFmt w:val="decimal"/>
            <w:numRestart w:val="continuous"/>
          </w:footnotePr>
          <w:pgSz w:w="12240" w:h="15840"/>
          <w:pgMar w:top="1090" w:right="1223" w:bottom="1882" w:left="865" w:header="0" w:footer="3" w:gutter="0"/>
          <w:cols w:space="720"/>
          <w:noEndnote/>
          <w:rtlGutter w:val="0"/>
          <w:docGrid w:linePitch="360"/>
        </w:sectPr>
      </w:pPr>
      <w:r>
        <w:rPr>
          <w:color w:val="000000"/>
          <w:spacing w:val="0"/>
          <w:w w:val="100"/>
          <w:position w:val="0"/>
        </w:rPr>
        <w:t>截止本报告期末公司无其他持股在百分之十以上的法人股东。</w:t>
      </w:r>
    </w:p>
    <w:p>
      <w:pPr>
        <w:widowControl w:val="0"/>
        <w:spacing w:line="169" w:lineRule="exact"/>
        <w:rPr>
          <w:sz w:val="14"/>
          <w:szCs w:val="14"/>
        </w:rPr>
      </w:pPr>
    </w:p>
    <w:p>
      <w:pPr>
        <w:widowControl w:val="0"/>
        <w:spacing w:line="1" w:lineRule="exact"/>
        <w:sectPr>
          <w:headerReference w:type="default" r:id="rId29"/>
          <w:footerReference w:type="default" r:id="rId30"/>
          <w:footnotePr>
            <w:pos w:val="pageBottom"/>
            <w:numFmt w:val="decimal"/>
            <w:numRestart w:val="continuous"/>
          </w:footnotePr>
          <w:pgSz w:w="15840" w:h="12240" w:orient="landscape"/>
          <w:pgMar w:top="1070" w:right="1358" w:bottom="1555" w:left="619" w:header="0" w:footer="3" w:gutter="0"/>
          <w:cols w:space="720"/>
          <w:noEndnote/>
          <w:rtlGutter w:val="0"/>
          <w:docGrid w:linePitch="360"/>
        </w:sectPr>
      </w:pPr>
    </w:p>
    <w:p>
      <w:pPr>
        <w:pStyle w:val="Style21"/>
        <w:keepNext/>
        <w:keepLines/>
        <w:widowControl w:val="0"/>
        <w:shd w:val="clear" w:color="auto" w:fill="auto"/>
        <w:bidi w:val="0"/>
        <w:spacing w:before="0" w:after="340" w:line="240" w:lineRule="auto"/>
        <w:ind w:left="0" w:right="0" w:firstLine="0"/>
        <w:jc w:val="center"/>
      </w:pPr>
      <w:bookmarkStart w:id="346" w:name="bookmark346"/>
      <w:bookmarkStart w:id="347" w:name="bookmark347"/>
      <w:bookmarkStart w:id="348" w:name="bookmark348"/>
      <w:r>
        <w:rPr>
          <w:color w:val="000000"/>
          <w:spacing w:val="0"/>
          <w:w w:val="100"/>
          <w:position w:val="0"/>
        </w:rPr>
        <w:t>第七节 董事、监事、高级管理人员和员工情况</w:t>
      </w:r>
      <w:bookmarkEnd w:id="346"/>
      <w:bookmarkEnd w:id="347"/>
      <w:bookmarkEnd w:id="348"/>
    </w:p>
    <w:p>
      <w:pPr>
        <w:pStyle w:val="Style29"/>
        <w:keepNext/>
        <w:keepLines/>
        <w:widowControl w:val="0"/>
        <w:shd w:val="clear" w:color="auto" w:fill="auto"/>
        <w:tabs>
          <w:tab w:pos="1059" w:val="left"/>
        </w:tabs>
        <w:bidi w:val="0"/>
        <w:spacing w:before="0" w:after="0" w:line="240" w:lineRule="auto"/>
        <w:ind w:left="0" w:right="0" w:firstLine="440"/>
        <w:jc w:val="left"/>
      </w:pPr>
      <w:bookmarkStart w:id="349" w:name="bookmark349"/>
      <w:bookmarkStart w:id="350" w:name="bookmark350"/>
      <w:bookmarkStart w:id="351" w:name="bookmark351"/>
      <w:r>
        <w:rPr>
          <w:color w:val="000000"/>
          <w:spacing w:val="0"/>
          <w:w w:val="100"/>
          <w:position w:val="0"/>
        </w:rPr>
        <w:t>一、</w:t>
        <w:tab/>
        <w:t>持股变动及报酬情况</w:t>
      </w:r>
      <w:bookmarkEnd w:id="349"/>
      <w:bookmarkEnd w:id="350"/>
      <w:bookmarkEnd w:id="351"/>
    </w:p>
    <w:p>
      <w:pPr>
        <w:pStyle w:val="Style29"/>
        <w:keepNext/>
        <w:keepLines/>
        <w:widowControl w:val="0"/>
        <w:shd w:val="clear" w:color="auto" w:fill="auto"/>
        <w:bidi w:val="0"/>
        <w:spacing w:before="0" w:after="0" w:line="240" w:lineRule="auto"/>
        <w:ind w:left="0" w:right="0" w:firstLine="440"/>
        <w:jc w:val="both"/>
      </w:pPr>
      <w:r>
        <mc:AlternateContent>
          <mc:Choice Requires="wps">
            <w:drawing>
              <wp:anchor distT="0" distB="0" distL="114300" distR="114300" simplePos="0" relativeHeight="125829380" behindDoc="0" locked="0" layoutInCell="1" allowOverlap="1">
                <wp:simplePos x="0" y="0"/>
                <wp:positionH relativeFrom="page">
                  <wp:posOffset>8375650</wp:posOffset>
                </wp:positionH>
                <wp:positionV relativeFrom="paragraph">
                  <wp:posOffset>165100</wp:posOffset>
                </wp:positionV>
                <wp:extent cx="554990" cy="164465"/>
                <wp:wrapTopAndBottom/>
                <wp:docPr id="59" name="Shape 59"/>
                <a:graphic xmlns:a="http://schemas.openxmlformats.org/drawingml/2006/main">
                  <a:graphicData uri="http://schemas.microsoft.com/office/word/2010/wordprocessingShape">
                    <wps:wsp>
                      <wps:cNvSpPr txBox="1"/>
                      <wps:spPr>
                        <a:xfrm>
                          <a:ext cx="554990"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单位：股</w:t>
                            </w:r>
                          </w:p>
                        </w:txbxContent>
                      </wps:txbx>
                      <wps:bodyPr wrap="none" lIns="0" tIns="0" rIns="0" bIns="0">
                        <a:noAutoFit/>
                      </wps:bodyPr>
                    </wps:wsp>
                  </a:graphicData>
                </a:graphic>
              </wp:anchor>
            </w:drawing>
          </mc:Choice>
          <mc:Fallback>
            <w:pict>
              <v:shape id="_x0000_s1085" type="#_x0000_t202" style="position:absolute;margin-left:659.5pt;margin-top:13.pt;width:43.700000000000003pt;height:12.950000000000001pt;z-index:-125829373;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单位：股</w:t>
                      </w:r>
                    </w:p>
                  </w:txbxContent>
                </v:textbox>
                <w10:wrap type="topAndBottom" anchorx="page"/>
              </v:shape>
            </w:pict>
          </mc:Fallback>
        </mc:AlternateContent>
      </w:r>
      <w:bookmarkStart w:id="349" w:name="bookmark349"/>
      <w:bookmarkStart w:id="350" w:name="bookmark350"/>
      <w:bookmarkStart w:id="352" w:name="bookmark352"/>
      <w:bookmarkStart w:id="353" w:name="bookmark353"/>
      <w:r>
        <w:rPr>
          <w:rFonts w:ascii="Times New Roman" w:eastAsia="Times New Roman" w:hAnsi="Times New Roman" w:cs="Times New Roman"/>
          <w:color w:val="000000"/>
          <w:spacing w:val="0"/>
          <w:w w:val="100"/>
          <w:position w:val="0"/>
        </w:rPr>
        <w:t>（</w:t>
      </w:r>
      <w:bookmarkEnd w:id="352"/>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bookmarkEnd w:id="349"/>
      <w:bookmarkEnd w:id="350"/>
      <w:bookmarkEnd w:id="353"/>
    </w:p>
    <w:tbl>
      <w:tblPr>
        <w:tblOverlap w:val="never"/>
        <w:jc w:val="center"/>
        <w:tblLayout w:type="fixed"/>
      </w:tblPr>
      <w:tblGrid>
        <w:gridCol w:w="869"/>
        <w:gridCol w:w="1565"/>
        <w:gridCol w:w="427"/>
        <w:gridCol w:w="422"/>
        <w:gridCol w:w="1598"/>
        <w:gridCol w:w="1622"/>
        <w:gridCol w:w="1094"/>
        <w:gridCol w:w="1027"/>
        <w:gridCol w:w="1133"/>
        <w:gridCol w:w="1421"/>
        <w:gridCol w:w="1392"/>
        <w:gridCol w:w="1291"/>
      </w:tblGrid>
      <w:tr>
        <w:trPr>
          <w:trHeight w:val="725"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姓名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职务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性 别</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年 龄</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任期起始日期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任期终止日期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年初持股 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年末持股 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年度内股份 增减变动量</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增减变动原因</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报告期内从公司领 取的应付报酬总额</w:t>
            </w:r>
          </w:p>
          <w:p>
            <w:pPr>
              <w:pStyle w:val="Style26"/>
              <w:keepNext w:val="0"/>
              <w:keepLines w:val="0"/>
              <w:widowControl w:val="0"/>
              <w:shd w:val="clear" w:color="auto" w:fill="auto"/>
              <w:bidi w:val="0"/>
              <w:spacing w:before="0" w:after="0" w:line="230" w:lineRule="exact"/>
              <w:ind w:left="0" w:right="0" w:firstLine="0"/>
              <w:jc w:val="right"/>
              <w:rPr>
                <w:sz w:val="15"/>
                <w:szCs w:val="15"/>
              </w:rPr>
            </w:pPr>
            <w:r>
              <w:rPr>
                <w:color w:val="000000"/>
                <w:spacing w:val="0"/>
                <w:w w:val="100"/>
                <w:position w:val="0"/>
                <w:sz w:val="15"/>
                <w:szCs w:val="15"/>
              </w:rPr>
              <w:t>（万元）（税前）</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报告期从股东单 位获得的应付报 酬总额（万元）</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董事长、总经理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沈凯平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副董事长，董事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陆永新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虞海娟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董事、副总经理、 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0" w:right="0" w:firstLine="0"/>
              <w:jc w:val="center"/>
              <w:rPr>
                <w:sz w:val="15"/>
                <w:szCs w:val="15"/>
              </w:rPr>
            </w:pPr>
            <w:r>
              <w:rPr>
                <w:color w:val="000000"/>
                <w:spacing w:val="0"/>
                <w:w w:val="100"/>
                <w:position w:val="0"/>
                <w:sz w:val="15"/>
                <w:szCs w:val="15"/>
              </w:rPr>
              <w:t>二级市场买卖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顾寅章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傅羽韬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沈蓉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岑蓉蓉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张桂琴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朱英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张天备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胡生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常务副总经理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陆云海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陆寒熹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方壮志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朱德省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杨光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王凤林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施卫兵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林少武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范啸川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15,040,000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2"/>
        <w:keepNext w:val="0"/>
        <w:keepLines w:val="0"/>
        <w:widowControl w:val="0"/>
        <w:shd w:val="clear" w:color="auto" w:fill="auto"/>
        <w:bidi w:val="0"/>
        <w:spacing w:before="0" w:after="0" w:line="278" w:lineRule="exact"/>
        <w:ind w:left="440" w:right="0" w:firstLine="0"/>
        <w:jc w:val="left"/>
      </w:pPr>
      <w:r>
        <w:rPr>
          <w:color w:val="000000"/>
          <w:spacing w:val="0"/>
          <w:w w:val="100"/>
          <w:position w:val="0"/>
        </w:rPr>
        <w:t>陆永华</w:t>
      </w:r>
      <w:r>
        <w:rPr>
          <w:color w:val="000000"/>
          <w:spacing w:val="0"/>
          <w:w w:val="100"/>
          <w:position w:val="0"/>
          <w:sz w:val="15"/>
          <w:szCs w:val="15"/>
        </w:rPr>
        <w:t>：</w:t>
      </w:r>
      <w:r>
        <w:rPr>
          <w:color w:val="000000"/>
          <w:spacing w:val="0"/>
          <w:w w:val="100"/>
          <w:position w:val="0"/>
        </w:rPr>
        <w:t>曾任林洋新能源有限公司总经理、董事长等职。现任公司董事长、总经理，华虹电子、永安电子、南京林洋、华强投资执行董事等职。 沈凯平</w:t>
      </w:r>
      <w:r>
        <w:rPr>
          <w:color w:val="000000"/>
          <w:spacing w:val="0"/>
          <w:w w:val="100"/>
          <w:position w:val="0"/>
          <w:sz w:val="15"/>
          <w:szCs w:val="15"/>
        </w:rPr>
        <w:t>：</w:t>
      </w:r>
      <w:r>
        <w:rPr>
          <w:color w:val="000000"/>
          <w:spacing w:val="0"/>
          <w:w w:val="100"/>
          <w:position w:val="0"/>
        </w:rPr>
        <w:t>曾任公司副总经理、华强投资监事、深圳林洋董事等职。现任公司副董事长。</w:t>
      </w:r>
    </w:p>
    <w:p>
      <w:pPr>
        <w:pStyle w:val="Style12"/>
        <w:keepNext w:val="0"/>
        <w:keepLines w:val="0"/>
        <w:widowControl w:val="0"/>
        <w:shd w:val="clear" w:color="auto" w:fill="auto"/>
        <w:bidi w:val="0"/>
        <w:spacing w:before="0" w:after="0" w:line="278" w:lineRule="exact"/>
        <w:ind w:left="0" w:right="0" w:firstLine="440"/>
        <w:jc w:val="left"/>
      </w:pPr>
      <w:r>
        <w:rPr>
          <w:color w:val="000000"/>
          <w:spacing w:val="0"/>
          <w:w w:val="100"/>
          <w:position w:val="0"/>
        </w:rPr>
        <w:t>陆永新</w:t>
      </w:r>
      <w:r>
        <w:rPr>
          <w:color w:val="000000"/>
          <w:spacing w:val="0"/>
          <w:w w:val="100"/>
          <w:position w:val="0"/>
          <w:sz w:val="15"/>
          <w:szCs w:val="15"/>
        </w:rPr>
        <w:t>：</w:t>
      </w:r>
      <w:r>
        <w:rPr>
          <w:color w:val="000000"/>
          <w:spacing w:val="0"/>
          <w:w w:val="100"/>
          <w:position w:val="0"/>
        </w:rPr>
        <w:t>曾任公司副总经理。现任公司董事，武汉奥统董事、江苏华乐光电有限公司总经理等职。</w:t>
      </w:r>
    </w:p>
    <w:p>
      <w:pPr>
        <w:pStyle w:val="Style12"/>
        <w:keepNext w:val="0"/>
        <w:keepLines w:val="0"/>
        <w:widowControl w:val="0"/>
        <w:shd w:val="clear" w:color="auto" w:fill="auto"/>
        <w:bidi w:val="0"/>
        <w:spacing w:before="0" w:line="278" w:lineRule="exact"/>
        <w:ind w:left="0" w:right="0" w:firstLine="440"/>
        <w:jc w:val="left"/>
      </w:pPr>
      <w:r>
        <w:rPr>
          <w:color w:val="000000"/>
          <w:spacing w:val="0"/>
          <w:w w:val="100"/>
          <w:position w:val="0"/>
        </w:rPr>
        <w:t>虞海娟</w:t>
      </w:r>
      <w:r>
        <w:rPr>
          <w:color w:val="000000"/>
          <w:spacing w:val="0"/>
          <w:w w:val="100"/>
          <w:position w:val="0"/>
          <w:sz w:val="15"/>
          <w:szCs w:val="15"/>
        </w:rPr>
        <w:t>：</w:t>
      </w:r>
      <w:r>
        <w:rPr>
          <w:color w:val="000000"/>
          <w:spacing w:val="0"/>
          <w:w w:val="100"/>
          <w:position w:val="0"/>
        </w:rPr>
        <w:t>曾任林洋有限财务总监、副总经理、董事，公司董事会秘书等职。现任公司董事、副总经理、财务总监，江苏华源董事，武汉奥统监</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事等职。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日起因工作原因辞去董事会秘书职务。</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顾寅章</w:t>
      </w:r>
      <w:r>
        <w:rPr>
          <w:color w:val="000000"/>
          <w:spacing w:val="0"/>
          <w:w w:val="100"/>
          <w:position w:val="0"/>
          <w:sz w:val="15"/>
          <w:szCs w:val="15"/>
        </w:rPr>
        <w:t>：</w:t>
      </w:r>
      <w:r>
        <w:rPr>
          <w:color w:val="000000"/>
          <w:spacing w:val="0"/>
          <w:w w:val="100"/>
          <w:position w:val="0"/>
        </w:rPr>
        <w:t>曾任上海爱姆伊斯技术咨询公司董事、上海置信公司高级顾问等职，现任韩华新能源有限公司独立董事，公司独立董事。</w:t>
      </w:r>
    </w:p>
    <w:p>
      <w:pPr>
        <w:pStyle w:val="Style1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傅羽韬</w:t>
      </w:r>
      <w:r>
        <w:rPr>
          <w:color w:val="000000"/>
          <w:spacing w:val="0"/>
          <w:w w:val="100"/>
          <w:position w:val="0"/>
          <w:sz w:val="15"/>
          <w:szCs w:val="15"/>
        </w:rPr>
        <w:t>：</w:t>
      </w:r>
      <w:r>
        <w:rPr>
          <w:color w:val="000000"/>
          <w:spacing w:val="0"/>
          <w:w w:val="100"/>
          <w:position w:val="0"/>
        </w:rPr>
        <w:t>现任浙江天册律师事务所合伙人、金融证券部负责人，公司独立董事。</w:t>
      </w:r>
    </w:p>
    <w:p>
      <w:pPr>
        <w:pStyle w:val="Style1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沈蓉</w:t>
      </w:r>
      <w:r>
        <w:rPr>
          <w:color w:val="000000"/>
          <w:spacing w:val="0"/>
          <w:w w:val="100"/>
          <w:position w:val="0"/>
          <w:sz w:val="15"/>
          <w:szCs w:val="15"/>
        </w:rPr>
        <w:t>：</w:t>
      </w:r>
      <w:r>
        <w:rPr>
          <w:color w:val="000000"/>
          <w:spacing w:val="0"/>
          <w:w w:val="100"/>
          <w:position w:val="0"/>
        </w:rPr>
        <w:t>现任上海众华沪银会计师事务所董事、副主任会计师、审计合伙人，公司独立董事。</w:t>
      </w:r>
    </w:p>
    <w:p>
      <w:pPr>
        <w:pStyle w:val="Style12"/>
        <w:keepNext w:val="0"/>
        <w:keepLines w:val="0"/>
        <w:widowControl w:val="0"/>
        <w:shd w:val="clear" w:color="auto" w:fill="auto"/>
        <w:bidi w:val="0"/>
        <w:spacing w:before="0" w:after="0" w:line="274" w:lineRule="exact"/>
        <w:ind w:left="440" w:right="0" w:firstLine="0"/>
        <w:jc w:val="left"/>
      </w:pPr>
      <w:r>
        <w:rPr>
          <w:color w:val="000000"/>
          <w:spacing w:val="0"/>
          <w:w w:val="100"/>
          <w:position w:val="0"/>
        </w:rPr>
        <w:t>岑蓉蓉</w:t>
      </w:r>
      <w:r>
        <w:rPr>
          <w:color w:val="000000"/>
          <w:spacing w:val="0"/>
          <w:w w:val="100"/>
          <w:position w:val="0"/>
          <w:sz w:val="15"/>
          <w:szCs w:val="15"/>
        </w:rPr>
        <w:t>：</w:t>
      </w:r>
      <w:r>
        <w:rPr>
          <w:color w:val="000000"/>
          <w:spacing w:val="0"/>
          <w:w w:val="100"/>
          <w:position w:val="0"/>
        </w:rPr>
        <w:t>曾任江苏林洋新能源有限公司投资部部长、</w:t>
      </w:r>
      <w:r>
        <w:rPr>
          <w:rFonts w:ascii="Times New Roman" w:eastAsia="Times New Roman" w:hAnsi="Times New Roman" w:cs="Times New Roman"/>
          <w:color w:val="000000"/>
          <w:spacing w:val="0"/>
          <w:w w:val="100"/>
          <w:position w:val="0"/>
        </w:rPr>
        <w:t>C00</w:t>
      </w:r>
      <w:r>
        <w:rPr>
          <w:color w:val="000000"/>
          <w:spacing w:val="0"/>
          <w:w w:val="100"/>
          <w:position w:val="0"/>
        </w:rPr>
        <w:t>助理，公司证券部部长，证券事务代表，现任公司董事会秘书、证券部和战略规划部 部长。</w:t>
      </w:r>
    </w:p>
    <w:p>
      <w:pPr>
        <w:pStyle w:val="Style12"/>
        <w:keepNext w:val="0"/>
        <w:keepLines w:val="0"/>
        <w:widowControl w:val="0"/>
        <w:shd w:val="clear" w:color="auto" w:fill="auto"/>
        <w:bidi w:val="0"/>
        <w:spacing w:before="0" w:after="0" w:line="274" w:lineRule="exact"/>
        <w:ind w:left="440" w:right="0" w:firstLine="0"/>
        <w:jc w:val="left"/>
      </w:pPr>
      <w:r>
        <w:rPr>
          <w:color w:val="000000"/>
          <w:spacing w:val="0"/>
          <w:w w:val="100"/>
          <w:position w:val="0"/>
        </w:rPr>
        <w:t>张桂琴</w:t>
      </w:r>
      <w:r>
        <w:rPr>
          <w:color w:val="000000"/>
          <w:spacing w:val="0"/>
          <w:w w:val="100"/>
          <w:position w:val="0"/>
          <w:sz w:val="15"/>
          <w:szCs w:val="15"/>
        </w:rPr>
        <w:t>：</w:t>
      </w:r>
      <w:r>
        <w:rPr>
          <w:color w:val="000000"/>
          <w:spacing w:val="0"/>
          <w:w w:val="100"/>
          <w:position w:val="0"/>
        </w:rPr>
        <w:t>曾任林洋有限市场部部长、销售经理、监事等职。现任公司销售副总、监事会主席，华虹电子、华强投资、南京林洋监事等职。 朱英</w:t>
      </w:r>
      <w:r>
        <w:rPr>
          <w:color w:val="000000"/>
          <w:spacing w:val="0"/>
          <w:w w:val="100"/>
          <w:position w:val="0"/>
          <w:sz w:val="15"/>
          <w:szCs w:val="15"/>
        </w:rPr>
        <w:t>：</w:t>
      </w:r>
      <w:r>
        <w:rPr>
          <w:color w:val="000000"/>
          <w:spacing w:val="0"/>
          <w:w w:val="100"/>
          <w:position w:val="0"/>
        </w:rPr>
        <w:t>曾任林洋有限行政管理部文员，现任公司行政管理部主任、监事。</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张天备</w:t>
      </w:r>
      <w:r>
        <w:rPr>
          <w:color w:val="000000"/>
          <w:spacing w:val="0"/>
          <w:w w:val="100"/>
          <w:position w:val="0"/>
          <w:sz w:val="15"/>
          <w:szCs w:val="15"/>
        </w:rPr>
        <w:t>：</w:t>
      </w:r>
      <w:r>
        <w:rPr>
          <w:color w:val="000000"/>
          <w:spacing w:val="0"/>
          <w:w w:val="100"/>
          <w:position w:val="0"/>
        </w:rPr>
        <w:t>曾任林洋有限监察部部长助理、行政管理部部长助理，现任公司监事。</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胡生</w:t>
      </w:r>
      <w:r>
        <w:rPr>
          <w:color w:val="000000"/>
          <w:spacing w:val="0"/>
          <w:w w:val="100"/>
          <w:position w:val="0"/>
          <w:sz w:val="15"/>
          <w:szCs w:val="15"/>
        </w:rPr>
        <w:t>：</w:t>
      </w:r>
      <w:r>
        <w:rPr>
          <w:color w:val="000000"/>
          <w:spacing w:val="0"/>
          <w:w w:val="100"/>
          <w:position w:val="0"/>
        </w:rPr>
        <w:t>曾任华强投资总经理，林洋有限副总经理。现任公司常务副总经理。</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陆云海</w:t>
      </w:r>
      <w:r>
        <w:rPr>
          <w:color w:val="000000"/>
          <w:spacing w:val="0"/>
          <w:w w:val="100"/>
          <w:position w:val="0"/>
          <w:sz w:val="15"/>
          <w:szCs w:val="15"/>
        </w:rPr>
        <w:t>：</w:t>
      </w:r>
      <w:r>
        <w:rPr>
          <w:color w:val="000000"/>
          <w:spacing w:val="0"/>
          <w:w w:val="100"/>
          <w:position w:val="0"/>
        </w:rPr>
        <w:t>现任公司副总经理，武汉奥统董事。</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陆寒熹</w:t>
      </w:r>
      <w:r>
        <w:rPr>
          <w:color w:val="000000"/>
          <w:spacing w:val="0"/>
          <w:w w:val="100"/>
          <w:position w:val="0"/>
          <w:sz w:val="15"/>
          <w:szCs w:val="15"/>
        </w:rPr>
        <w:t>：</w:t>
      </w:r>
      <w:r>
        <w:rPr>
          <w:color w:val="000000"/>
          <w:spacing w:val="0"/>
          <w:w w:val="100"/>
          <w:position w:val="0"/>
        </w:rPr>
        <w:t>曾任林洋有限副总经理，华强投资副总经理，南京林洋总经理。现任公司副总经理、系统事业部总经理。</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方壮志</w:t>
      </w:r>
      <w:r>
        <w:rPr>
          <w:color w:val="000000"/>
          <w:spacing w:val="0"/>
          <w:w w:val="100"/>
          <w:position w:val="0"/>
          <w:sz w:val="15"/>
          <w:szCs w:val="15"/>
        </w:rPr>
        <w:t>：</w:t>
      </w:r>
      <w:r>
        <w:rPr>
          <w:color w:val="000000"/>
          <w:spacing w:val="0"/>
          <w:w w:val="100"/>
          <w:position w:val="0"/>
        </w:rPr>
        <w:t>曾任天弘科技有限公司经理，明基电通信息技术有限公司经理，无锡市电子计算机厂工程师，现任公司副总经理。</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朱德省</w:t>
      </w:r>
      <w:r>
        <w:rPr>
          <w:color w:val="000000"/>
          <w:spacing w:val="0"/>
          <w:w w:val="100"/>
          <w:position w:val="0"/>
          <w:sz w:val="15"/>
          <w:szCs w:val="15"/>
        </w:rPr>
        <w:t>：</w:t>
      </w:r>
      <w:r>
        <w:rPr>
          <w:color w:val="000000"/>
          <w:spacing w:val="0"/>
          <w:w w:val="100"/>
          <w:position w:val="0"/>
        </w:rPr>
        <w:t>曾任兰吉尔仪表系统有限公司副总裁，现任公司副总经理。</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杨光</w:t>
      </w:r>
      <w:r>
        <w:rPr>
          <w:color w:val="000000"/>
          <w:spacing w:val="0"/>
          <w:w w:val="100"/>
          <w:position w:val="0"/>
          <w:sz w:val="15"/>
          <w:szCs w:val="15"/>
        </w:rPr>
        <w:t>：</w:t>
      </w:r>
      <w:r>
        <w:rPr>
          <w:color w:val="000000"/>
          <w:spacing w:val="0"/>
          <w:w w:val="100"/>
          <w:position w:val="0"/>
        </w:rPr>
        <w:t>曾任惠州学院计算机科学系网络教研室主任，深圳林洋电子科技有限公司常务副总经理，现任公司副总经理、南京林洋总经理。</w:t>
      </w:r>
    </w:p>
    <w:p>
      <w:pPr>
        <w:pStyle w:val="Style1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王凤林</w:t>
      </w:r>
      <w:r>
        <w:rPr>
          <w:color w:val="000000"/>
          <w:spacing w:val="0"/>
          <w:w w:val="100"/>
          <w:position w:val="0"/>
          <w:sz w:val="15"/>
          <w:szCs w:val="15"/>
        </w:rPr>
        <w:t>：</w:t>
      </w:r>
      <w:r>
        <w:rPr>
          <w:color w:val="000000"/>
          <w:spacing w:val="0"/>
          <w:w w:val="100"/>
          <w:position w:val="0"/>
        </w:rPr>
        <w:t>曾任启东市质量技术监督局局长，现任公司副总经理。</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施卫兵</w:t>
      </w:r>
      <w:r>
        <w:rPr>
          <w:color w:val="000000"/>
          <w:spacing w:val="0"/>
          <w:w w:val="100"/>
          <w:position w:val="0"/>
          <w:sz w:val="15"/>
          <w:szCs w:val="15"/>
        </w:rPr>
        <w:t>：</w:t>
      </w:r>
      <w:r>
        <w:rPr>
          <w:color w:val="000000"/>
          <w:spacing w:val="0"/>
          <w:w w:val="100"/>
          <w:position w:val="0"/>
        </w:rPr>
        <w:t>曾任公司销售副总经理，现任公司副总经理。</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林少武</w:t>
      </w:r>
      <w:r>
        <w:rPr>
          <w:color w:val="000000"/>
          <w:spacing w:val="0"/>
          <w:w w:val="100"/>
          <w:position w:val="0"/>
          <w:sz w:val="15"/>
          <w:szCs w:val="15"/>
        </w:rPr>
        <w:t>：</w:t>
      </w:r>
      <w:r>
        <w:rPr>
          <w:color w:val="000000"/>
          <w:spacing w:val="0"/>
          <w:w w:val="100"/>
          <w:position w:val="0"/>
        </w:rPr>
        <w:t>曾任公司销售副总经理，现任公司副总经理。</w:t>
      </w:r>
    </w:p>
    <w:p>
      <w:pPr>
        <w:pStyle w:val="Style12"/>
        <w:keepNext w:val="0"/>
        <w:keepLines w:val="0"/>
        <w:widowControl w:val="0"/>
        <w:shd w:val="clear" w:color="auto" w:fill="auto"/>
        <w:bidi w:val="0"/>
        <w:spacing w:before="0" w:after="0" w:line="274" w:lineRule="exact"/>
        <w:ind w:left="0" w:right="0" w:firstLine="440"/>
        <w:jc w:val="both"/>
        <w:sectPr>
          <w:footnotePr>
            <w:pos w:val="pageBottom"/>
            <w:numFmt w:val="decimal"/>
            <w:numRestart w:val="continuous"/>
          </w:footnotePr>
          <w:type w:val="continuous"/>
          <w:pgSz w:w="15840" w:h="12240" w:orient="landscape"/>
          <w:pgMar w:top="1070" w:right="1358" w:bottom="1555" w:left="619" w:header="0" w:footer="3" w:gutter="0"/>
          <w:cols w:space="720"/>
          <w:noEndnote/>
          <w:rtlGutter w:val="0"/>
          <w:docGrid w:linePitch="360"/>
        </w:sectPr>
      </w:pPr>
      <w:r>
        <w:rPr>
          <w:color w:val="000000"/>
          <w:spacing w:val="0"/>
          <w:w w:val="100"/>
          <w:position w:val="0"/>
        </w:rPr>
        <w:t>范啸川</w:t>
      </w:r>
      <w:r>
        <w:rPr>
          <w:color w:val="000000"/>
          <w:spacing w:val="0"/>
          <w:w w:val="100"/>
          <w:position w:val="0"/>
          <w:sz w:val="15"/>
          <w:szCs w:val="15"/>
        </w:rPr>
        <w:t>：</w:t>
      </w:r>
      <w:r>
        <w:rPr>
          <w:color w:val="000000"/>
          <w:spacing w:val="0"/>
          <w:w w:val="100"/>
          <w:position w:val="0"/>
        </w:rPr>
        <w:t>曾任香港永旺硅业投资有限公司董事，现任公司副总经理。</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二、现任及报告期内离任董事、监事和高级管理人员的任职情况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p>
    <w:tbl>
      <w:tblPr>
        <w:tblOverlap w:val="never"/>
        <w:jc w:val="center"/>
        <w:tblLayout w:type="fixed"/>
      </w:tblPr>
      <w:tblGrid>
        <w:gridCol w:w="1018"/>
        <w:gridCol w:w="2688"/>
        <w:gridCol w:w="1474"/>
        <w:gridCol w:w="2069"/>
        <w:gridCol w:w="2074"/>
      </w:tblGrid>
      <w:tr>
        <w:trPr>
          <w:trHeight w:val="566"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在股东单位 担任的职务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启东市华虹电子有限公司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南通华强投资有限公司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r>
    </w:tbl>
    <w:p>
      <w:pPr>
        <w:widowControl w:val="0"/>
        <w:spacing w:after="239" w:line="1" w:lineRule="exact"/>
      </w:pPr>
    </w:p>
    <w:p>
      <w:pPr>
        <w:widowControl w:val="0"/>
        <w:spacing w:line="1" w:lineRule="exact"/>
      </w:pPr>
    </w:p>
    <w:tbl>
      <w:tblPr>
        <w:tblOverlap w:val="never"/>
        <w:jc w:val="center"/>
        <w:tblLayout w:type="fixed"/>
      </w:tblPr>
      <w:tblGrid>
        <w:gridCol w:w="869"/>
        <w:gridCol w:w="2981"/>
        <w:gridCol w:w="1291"/>
        <w:gridCol w:w="2026"/>
        <w:gridCol w:w="2155"/>
      </w:tblGrid>
      <w:tr>
        <w:trPr>
          <w:trHeight w:val="269"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在其</w:t>
            </w:r>
          </w:p>
        </w:tc>
        <w:tc>
          <w:tcPr>
            <w:gridSpan w:val="4"/>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丢他单位任职情况</w:t>
            </w:r>
          </w:p>
        </w:tc>
      </w:tr>
      <w:tr>
        <w:trPr>
          <w:trHeight w:val="566"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任职人 员姓名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任期终止日期</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深圳林洋电子科技有限公司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南通林洋电气有限公司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江苏林洋新能源科技有限公司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林洋能源科技（上海）有限公司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深圳林洋电子科技有限公司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南通林洋电气有限公司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陆云海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沈凯平</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深圳林洋电子科技有限公司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陆寒熹</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深圳林洋电子科技有限公司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bl>
    <w:p>
      <w:pPr>
        <w:widowControl w:val="0"/>
        <w:spacing w:after="99" w:line="1" w:lineRule="exact"/>
      </w:pPr>
    </w:p>
    <w:p>
      <w:pPr>
        <w:pStyle w:val="Style12"/>
        <w:keepNext w:val="0"/>
        <w:keepLines w:val="0"/>
        <w:widowControl w:val="0"/>
        <w:shd w:val="clear" w:color="auto" w:fill="auto"/>
        <w:bidi w:val="0"/>
        <w:spacing w:before="0" w:after="140" w:line="271"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）报告期内，安徽永安电子有限公司、南京林洋电力科技有限公司、南通林洋电气有限公 司、江苏林洋新能源科技有限公司、林洋能源科技（上海）有限公司、均为公司全资子公司；武汉 奥统电气有限公司为公司控股子公司；江苏华源仪器仪表有限公司为合营公司。</w:t>
      </w:r>
    </w:p>
    <w:p>
      <w:pPr>
        <w:pStyle w:val="Style12"/>
        <w:keepNext w:val="0"/>
        <w:keepLines w:val="0"/>
        <w:widowControl w:val="0"/>
        <w:shd w:val="clear" w:color="auto" w:fill="auto"/>
        <w:bidi w:val="0"/>
        <w:spacing w:before="0" w:after="480" w:line="240" w:lineRule="auto"/>
        <w:ind w:left="0" w:right="0" w:firstLine="560"/>
        <w:jc w:val="left"/>
      </w:pPr>
      <w:bookmarkStart w:id="354" w:name="bookmark354"/>
      <w:r>
        <w:rPr>
          <w:rFonts w:ascii="Times New Roman" w:eastAsia="Times New Roman" w:hAnsi="Times New Roman" w:cs="Times New Roman"/>
          <w:color w:val="000000"/>
          <w:spacing w:val="0"/>
          <w:w w:val="100"/>
          <w:position w:val="0"/>
        </w:rPr>
        <w:t>（</w:t>
      </w:r>
      <w:bookmarkEnd w:id="354"/>
      <w:r>
        <w:rPr>
          <w:rFonts w:ascii="Times New Roman" w:eastAsia="Times New Roman" w:hAnsi="Times New Roman" w:cs="Times New Roman"/>
          <w:color w:val="000000"/>
          <w:spacing w:val="0"/>
          <w:w w:val="100"/>
          <w:position w:val="0"/>
        </w:rPr>
        <w:t>2</w:t>
      </w:r>
      <w:r>
        <w:rPr>
          <w:color w:val="000000"/>
          <w:spacing w:val="0"/>
          <w:w w:val="100"/>
          <w:position w:val="0"/>
        </w:rPr>
        <w:t>）深圳林洋电子科技有限公司于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日办理了工商注销手续。</w:t>
      </w:r>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rPr>
        <w:t>三、 董事、监事、高级管理人员报酬情况</w:t>
      </w:r>
    </w:p>
    <w:tbl>
      <w:tblPr>
        <w:tblOverlap w:val="never"/>
        <w:jc w:val="center"/>
        <w:tblLayout w:type="fixed"/>
      </w:tblPr>
      <w:tblGrid>
        <w:gridCol w:w="3134"/>
        <w:gridCol w:w="6187"/>
      </w:tblGrid>
      <w:tr>
        <w:trPr>
          <w:trHeight w:val="840"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董事、监事、高级管理人员报酬 的决策程序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根据《公司章程》、《股东大会议事规则》和《董事会薪酬与考核 委员会实施细则》的有关规定，本公司的董事、监事的报酬由公 司股东大会决定，高级管理人员的报酬由公司董事会决定。</w:t>
            </w:r>
          </w:p>
        </w:tc>
      </w:tr>
      <w:tr>
        <w:trPr>
          <w:trHeight w:val="1104"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董事、监事、高级管理人员报酬 确定依据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公司高级管理人员年度薪酬实行由基本年薪与绩效薪酬组成的激 励机制，通过考评实施。基本年薪根据公司生产经营规模，参照 市场工资价位和职工收入水平等因素确定，绩效薪酬根据岗位年 度指标当年度完成情况，由薪酬委员会考核后确定。</w:t>
            </w: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董事、监事和高级管理人员报酬 的应付报酬情况</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报告期内，在公司取酬的董事、监事、高级管理人员年度报酬应 付总额为</w:t>
            </w:r>
            <w:r>
              <w:rPr>
                <w:rFonts w:ascii="Times New Roman" w:eastAsia="Times New Roman" w:hAnsi="Times New Roman" w:cs="Times New Roman"/>
                <w:color w:val="000000"/>
                <w:spacing w:val="0"/>
                <w:w w:val="100"/>
                <w:position w:val="0"/>
              </w:rPr>
              <w:t>1050.78</w:t>
            </w:r>
            <w:r>
              <w:rPr>
                <w:color w:val="000000"/>
                <w:spacing w:val="0"/>
                <w:w w:val="100"/>
                <w:position w:val="0"/>
              </w:rPr>
              <w:t>万元。</w:t>
            </w:r>
          </w:p>
        </w:tc>
      </w:tr>
      <w:tr>
        <w:trPr>
          <w:trHeight w:val="298" w:hRule="exact"/>
        </w:trPr>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报告期末全体董事、监事和高级</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报告期末，在公司取酬的董事、监事、高级管理人员年度报酬实</w:t>
            </w:r>
          </w:p>
        </w:tc>
      </w:tr>
    </w:tbl>
    <w:p>
      <w:pPr>
        <w:spacing w:lineRule="exact" w:line="1"/>
        <w:rPr>
          <w:sz w:val="2"/>
          <w:szCs w:val="2"/>
        </w:rPr>
      </w:pPr>
      <w:r>
        <w:br w:type="page"/>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|管理人员实际获得的报酬合计|付总额为</w:t>
      </w:r>
      <w:r>
        <w:rPr>
          <w:rFonts w:ascii="Times New Roman" w:eastAsia="Times New Roman" w:hAnsi="Times New Roman" w:cs="Times New Roman"/>
          <w:color w:val="000000"/>
          <w:spacing w:val="0"/>
          <w:w w:val="100"/>
          <w:position w:val="0"/>
        </w:rPr>
        <w:t>1050.78</w:t>
      </w:r>
      <w:r>
        <w:rPr>
          <w:color w:val="000000"/>
          <w:spacing w:val="0"/>
          <w:w w:val="100"/>
          <w:position w:val="0"/>
        </w:rPr>
        <w:t>万元。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四、公司董事、监事、高级管理人员变动情况</w:t>
      </w:r>
    </w:p>
    <w:tbl>
      <w:tblPr>
        <w:tblOverlap w:val="never"/>
        <w:jc w:val="center"/>
        <w:tblLayout w:type="fixed"/>
      </w:tblPr>
      <w:tblGrid>
        <w:gridCol w:w="2290"/>
        <w:gridCol w:w="2371"/>
        <w:gridCol w:w="2184"/>
        <w:gridCol w:w="2477"/>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岑蓉蓉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陆寒熹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施卫兵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林少武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范啸川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五</w:t>
      </w:r>
      <w:bookmarkEnd w:id="357"/>
      <w:r>
        <w:rPr>
          <w:color w:val="000000"/>
          <w:spacing w:val="0"/>
          <w:w w:val="100"/>
          <w:position w:val="0"/>
        </w:rPr>
        <w:t>、公司核心技术团队或关键技术人员情况</w:t>
      </w:r>
      <w:bookmarkEnd w:id="355"/>
      <w:bookmarkEnd w:id="356"/>
      <w:bookmarkEnd w:id="358"/>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报告期内，公司核心技术团队或关键技术人员未发生变动。</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六、母公司和主要子公司的员工情况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5122"/>
        <w:gridCol w:w="420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278"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w:t>
            </w:r>
          </w:p>
        </w:tc>
      </w:tr>
    </w:tbl>
    <w:p>
      <w:pPr>
        <w:widowControl w:val="0"/>
        <w:spacing w:after="239" w:line="1" w:lineRule="exact"/>
      </w:pPr>
    </w:p>
    <w:p>
      <w:pPr>
        <w:pStyle w:val="Style29"/>
        <w:keepNext/>
        <w:keepLines/>
        <w:widowControl w:val="0"/>
        <w:shd w:val="clear" w:color="auto" w:fill="auto"/>
        <w:bidi w:val="0"/>
        <w:spacing w:before="0" w:after="120" w:line="272" w:lineRule="exact"/>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w:t>
      </w:r>
      <w:bookmarkEnd w:id="361"/>
      <w:r>
        <w:rPr>
          <w:color w:val="000000"/>
          <w:spacing w:val="0"/>
          <w:w w:val="100"/>
          <w:position w:val="0"/>
        </w:rPr>
        <w:t>二</w:t>
      </w:r>
      <w:r>
        <w:rPr>
          <w:color w:val="000000"/>
          <w:spacing w:val="0"/>
          <w:w w:val="100"/>
          <w:position w:val="0"/>
        </w:rPr>
        <w:t>）</w:t>
      </w:r>
      <w:r>
        <w:rPr>
          <w:color w:val="000000"/>
          <w:spacing w:val="0"/>
          <w:w w:val="100"/>
          <w:position w:val="0"/>
        </w:rPr>
        <w:t>薪酬政策</w:t>
      </w:r>
      <w:bookmarkEnd w:id="359"/>
      <w:bookmarkEnd w:id="360"/>
      <w:bookmarkEnd w:id="362"/>
    </w:p>
    <w:p>
      <w:pPr>
        <w:pStyle w:val="Style12"/>
        <w:keepNext w:val="0"/>
        <w:keepLines w:val="0"/>
        <w:widowControl w:val="0"/>
        <w:shd w:val="clear" w:color="auto" w:fill="auto"/>
        <w:bidi w:val="0"/>
        <w:spacing w:before="0" w:after="500" w:line="272" w:lineRule="exact"/>
        <w:ind w:left="0" w:right="0" w:firstLine="440"/>
        <w:jc w:val="both"/>
      </w:pPr>
      <w:r>
        <w:rPr>
          <w:color w:val="000000"/>
          <w:spacing w:val="0"/>
          <w:w w:val="100"/>
          <w:position w:val="0"/>
        </w:rPr>
        <w:t>公司高级管理人员年度薪酬实行由基本年薪与绩效薪酬组成的薪酬机制，通过考评实施。基本 年薪根据公司生产经营规模，参照市场工资价位和职工收入水平等因素确定，绩效薪酬根据岗位年 度指标当年度完成情况，由薪酬委员会考核后确定。普通员工依据岗位定酬，根据工作绩效、服务 年限、工作态度等方面的表现不同进行考核制定薪酬，对于关键核心岗位及公司发展急需的专业技 术人才、后备人员等采取薪酬谈判制，以保证公司既避免关键人才流失，又能吸引新的人才加入， 为公司的持续发展提供保障。公司根据国家规定为员工缴纳社会保险和住房公积金。</w:t>
      </w:r>
    </w:p>
    <w:p>
      <w:pPr>
        <w:pStyle w:val="Style12"/>
        <w:keepNext w:val="0"/>
        <w:keepLines w:val="0"/>
        <w:widowControl w:val="0"/>
        <w:shd w:val="clear" w:color="auto" w:fill="auto"/>
        <w:bidi w:val="0"/>
        <w:spacing w:before="0" w:after="240" w:line="240" w:lineRule="auto"/>
        <w:ind w:left="0" w:right="0" w:firstLine="0"/>
        <w:jc w:val="left"/>
      </w:pPr>
      <w:bookmarkStart w:id="363" w:name="bookmark363"/>
      <w:r>
        <w:rPr>
          <w:rFonts w:ascii="Times New Roman" w:eastAsia="Times New Roman" w:hAnsi="Times New Roman" w:cs="Times New Roman"/>
          <w:b/>
          <w:bCs/>
          <w:color w:val="000000"/>
          <w:spacing w:val="0"/>
          <w:w w:val="100"/>
          <w:position w:val="0"/>
        </w:rPr>
        <w:t>（</w:t>
      </w:r>
      <w:bookmarkEnd w:id="363"/>
      <w:r>
        <w:rPr>
          <w:b/>
          <w:bCs/>
          <w:color w:val="000000"/>
          <w:spacing w:val="0"/>
          <w:w w:val="100"/>
          <w:position w:val="0"/>
        </w:rPr>
        <w:t>三</w:t>
      </w:r>
      <w:r>
        <w:rPr>
          <w:b/>
          <w:bCs/>
          <w:color w:val="000000"/>
          <w:spacing w:val="0"/>
          <w:w w:val="100"/>
          <w:position w:val="0"/>
        </w:rPr>
        <w:t>）</w:t>
      </w:r>
      <w:r>
        <w:rPr>
          <w:b/>
          <w:bCs/>
          <w:color w:val="000000"/>
          <w:spacing w:val="0"/>
          <w:w w:val="100"/>
          <w:position w:val="0"/>
        </w:rPr>
        <w:t>培训计划</w:t>
      </w:r>
      <w:r>
        <w:br w:type="page"/>
      </w:r>
    </w:p>
    <w:p>
      <w:pPr>
        <w:pStyle w:val="Style12"/>
        <w:keepNext w:val="0"/>
        <w:keepLines w:val="0"/>
        <w:widowControl w:val="0"/>
        <w:shd w:val="clear" w:color="auto" w:fill="auto"/>
        <w:bidi w:val="0"/>
        <w:spacing w:before="0" w:after="120" w:line="274" w:lineRule="exact"/>
        <w:ind w:left="0" w:right="0" w:firstLine="480"/>
        <w:jc w:val="both"/>
      </w:pPr>
      <w:r>
        <w:rPr>
          <w:color w:val="000000"/>
          <w:spacing w:val="0"/>
          <w:w w:val="100"/>
          <w:position w:val="0"/>
        </w:rPr>
        <w:t>根据公司未来发展战略规划和</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年年度工作目标的要求，以适应市场形势变化的需求，坚 持“以人为本、科学管理”的工作理念，充分挖掘和发挥全员的工作能力和潜能，公司人力资源部 制定了 </w:t>
      </w:r>
      <w:r>
        <w:rPr>
          <w:rFonts w:ascii="Times New Roman" w:eastAsia="Times New Roman" w:hAnsi="Times New Roman" w:cs="Times New Roman"/>
          <w:color w:val="000000"/>
          <w:spacing w:val="0"/>
          <w:w w:val="100"/>
          <w:position w:val="0"/>
        </w:rPr>
        <w:t>2014</w:t>
      </w:r>
      <w:r>
        <w:rPr>
          <w:color w:val="000000"/>
          <w:spacing w:val="0"/>
          <w:w w:val="100"/>
          <w:position w:val="0"/>
        </w:rPr>
        <w:t>年度员工培训计划。公司通常采取内部培训与外部培训相结合的方式开展员工培训， 内部培训主要侧重于一线操作员工，通过内部讲师和外聘人员授课的形式，进行培训，提升员工的 岗位技能水平；外部培训主要侧重于管理、技术、销售等岗位人员，以提升业务能力，促进公司管 理水平和研发能力的不断提升。</w:t>
      </w:r>
    </w:p>
    <w:p>
      <w:pPr>
        <w:pStyle w:val="Style12"/>
        <w:keepNext w:val="0"/>
        <w:keepLines w:val="0"/>
        <w:widowControl w:val="0"/>
        <w:shd w:val="clear" w:color="auto" w:fill="auto"/>
        <w:bidi w:val="0"/>
        <w:spacing w:before="0" w:after="120" w:line="274" w:lineRule="exact"/>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年公司员工培训方面计划开展以下工作：</w:t>
      </w:r>
    </w:p>
    <w:p>
      <w:pPr>
        <w:pStyle w:val="Style12"/>
        <w:keepNext w:val="0"/>
        <w:keepLines w:val="0"/>
        <w:widowControl w:val="0"/>
        <w:shd w:val="clear" w:color="auto" w:fill="auto"/>
        <w:bidi w:val="0"/>
        <w:spacing w:before="0" w:after="120" w:line="271" w:lineRule="exact"/>
        <w:ind w:left="0" w:right="0" w:firstLine="480"/>
        <w:jc w:val="both"/>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 根据员工招聘情况，适时安排新入职员工岗前培训。岗前培训以面授和带班师傅演示方 式进行，使新入职员工不但可以知晓公司产品知识、规章制度、企业文化、安全知识、工艺知识等， 还可以快速掌握基本的业务操作能力；</w:t>
      </w:r>
    </w:p>
    <w:p>
      <w:pPr>
        <w:pStyle w:val="Style12"/>
        <w:keepNext w:val="0"/>
        <w:keepLines w:val="0"/>
        <w:widowControl w:val="0"/>
        <w:shd w:val="clear" w:color="auto" w:fill="auto"/>
        <w:tabs>
          <w:tab w:pos="919" w:val="left"/>
        </w:tabs>
        <w:bidi w:val="0"/>
        <w:spacing w:before="0" w:after="120" w:line="274" w:lineRule="exact"/>
        <w:ind w:left="0" w:right="0" w:firstLine="480"/>
        <w:jc w:val="both"/>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rPr>
        <w:t>2</w:t>
      </w:r>
      <w:r>
        <w:rPr>
          <w:color w:val="000000"/>
          <w:spacing w:val="0"/>
          <w:w w:val="100"/>
          <w:position w:val="0"/>
        </w:rPr>
        <w:t>）</w:t>
        <w:tab/>
        <w:t>开展管理者专业知识培训。通过内部讲师和外聘讲师结合对公司管理者进行系统培训。</w:t>
      </w:r>
    </w:p>
    <w:p>
      <w:pPr>
        <w:pStyle w:val="Style12"/>
        <w:keepNext w:val="0"/>
        <w:keepLines w:val="0"/>
        <w:widowControl w:val="0"/>
        <w:shd w:val="clear" w:color="auto" w:fill="auto"/>
        <w:tabs>
          <w:tab w:pos="966" w:val="left"/>
        </w:tabs>
        <w:bidi w:val="0"/>
        <w:spacing w:before="0" w:after="120" w:line="277" w:lineRule="exact"/>
        <w:ind w:left="0" w:right="0" w:firstLine="48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3</w:t>
      </w:r>
      <w:r>
        <w:rPr>
          <w:color w:val="000000"/>
          <w:spacing w:val="0"/>
          <w:w w:val="100"/>
          <w:position w:val="0"/>
        </w:rPr>
        <w:t>）</w:t>
        <w:tab/>
        <w:t>针对高级管理人员进行在职专业教育，进一步提高高级管理人员的学历水平和管理能力。 公司通过实时高效培训、考核，提升培训效果。稳步提升员工岗位工作能力，增强</w:t>
      </w:r>
      <w:r>
        <w:rPr>
          <w:rFonts w:ascii="Times New Roman" w:eastAsia="Times New Roman" w:hAnsi="Times New Roman" w:cs="Times New Roman"/>
          <w:color w:val="000000"/>
          <w:spacing w:val="0"/>
          <w:w w:val="100"/>
          <w:position w:val="0"/>
        </w:rPr>
        <w:t>"</w:t>
      </w:r>
      <w:r>
        <w:rPr>
          <w:color w:val="000000"/>
          <w:spacing w:val="0"/>
          <w:w w:val="100"/>
          <w:position w:val="0"/>
        </w:rPr>
        <w:t>爱岗敬业、真 诚奉献</w:t>
      </w:r>
      <w:r>
        <w:rPr>
          <w:rFonts w:ascii="Times New Roman" w:eastAsia="Times New Roman" w:hAnsi="Times New Roman" w:cs="Times New Roman"/>
          <w:color w:val="000000"/>
          <w:spacing w:val="0"/>
          <w:w w:val="100"/>
          <w:position w:val="0"/>
        </w:rPr>
        <w:t>"</w:t>
      </w:r>
      <w:r>
        <w:rPr>
          <w:color w:val="000000"/>
          <w:spacing w:val="0"/>
          <w:w w:val="100"/>
          <w:position w:val="0"/>
        </w:rPr>
        <w:t>的敬业意识，从而有效地发挥全员的团队作战能力，以实现优异的工作实绩和战略需求， 为公司不断实现新的发展跨越奠定基础。</w:t>
      </w:r>
    </w:p>
    <w:p>
      <w:pPr>
        <w:widowControl w:val="0"/>
        <w:spacing w:line="1" w:lineRule="exact"/>
      </w:pPr>
      <w:r>
        <mc:AlternateContent>
          <mc:Choice Requires="wps">
            <w:drawing>
              <wp:anchor distT="241300" distB="2075815" distL="0" distR="0" simplePos="0" relativeHeight="125829382" behindDoc="0" locked="0" layoutInCell="1" allowOverlap="1">
                <wp:simplePos x="0" y="0"/>
                <wp:positionH relativeFrom="page">
                  <wp:posOffset>929640</wp:posOffset>
                </wp:positionH>
                <wp:positionV relativeFrom="paragraph">
                  <wp:posOffset>241300</wp:posOffset>
                </wp:positionV>
                <wp:extent cx="1450975" cy="176530"/>
                <wp:wrapTopAndBottom/>
                <wp:docPr id="61" name="Shape 61"/>
                <a:graphic xmlns:a="http://schemas.openxmlformats.org/drawingml/2006/main">
                  <a:graphicData uri="http://schemas.microsoft.com/office/word/2010/wordprocessingShape">
                    <wps:wsp>
                      <wps:cNvSpPr txBox="1"/>
                      <wps:spPr>
                        <a:xfrm>
                          <a:ext cx="1450975" cy="1765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四</w:t>
                            </w:r>
                            <w:r>
                              <w:rPr>
                                <w:b/>
                                <w:bCs/>
                                <w:color w:val="000000"/>
                                <w:spacing w:val="0"/>
                                <w:w w:val="100"/>
                                <w:position w:val="0"/>
                              </w:rPr>
                              <w:t>）</w:t>
                            </w:r>
                            <w:r>
                              <w:rPr>
                                <w:b/>
                                <w:bCs/>
                                <w:color w:val="000000"/>
                                <w:spacing w:val="0"/>
                                <w:w w:val="100"/>
                                <w:position w:val="0"/>
                              </w:rPr>
                              <w:t>专业构成统计图:</w:t>
                            </w:r>
                          </w:p>
                        </w:txbxContent>
                      </wps:txbx>
                      <wps:bodyPr wrap="none" lIns="0" tIns="0" rIns="0" bIns="0">
                        <a:noAutoFit/>
                      </wps:bodyPr>
                    </wps:wsp>
                  </a:graphicData>
                </a:graphic>
              </wp:anchor>
            </w:drawing>
          </mc:Choice>
          <mc:Fallback>
            <w:pict>
              <v:shape id="_x0000_s1087" type="#_x0000_t202" style="position:absolute;margin-left:73.200000000000003pt;margin-top:19.pt;width:114.25pt;height:13.9pt;z-index:-125829371;mso-wrap-distance-left:0;mso-wrap-distance-top:19.pt;mso-wrap-distance-right:0;mso-wrap-distance-bottom:163.45000000000002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四</w:t>
                      </w:r>
                      <w:r>
                        <w:rPr>
                          <w:b/>
                          <w:bCs/>
                          <w:color w:val="000000"/>
                          <w:spacing w:val="0"/>
                          <w:w w:val="100"/>
                          <w:position w:val="0"/>
                        </w:rPr>
                        <w:t>）</w:t>
                      </w:r>
                      <w:r>
                        <w:rPr>
                          <w:b/>
                          <w:bCs/>
                          <w:color w:val="000000"/>
                          <w:spacing w:val="0"/>
                          <w:w w:val="100"/>
                          <w:position w:val="0"/>
                        </w:rPr>
                        <w:t>专业构成统计图:</w:t>
                      </w:r>
                    </w:p>
                  </w:txbxContent>
                </v:textbox>
                <w10:wrap type="topAndBottom" anchorx="page"/>
              </v:shape>
            </w:pict>
          </mc:Fallback>
        </mc:AlternateContent>
      </w:r>
      <w:r>
        <w:drawing>
          <wp:anchor distT="408940" distB="0" distL="0" distR="0" simplePos="0" relativeHeight="125829384" behindDoc="0" locked="0" layoutInCell="1" allowOverlap="1">
            <wp:simplePos x="0" y="0"/>
            <wp:positionH relativeFrom="page">
              <wp:posOffset>2191385</wp:posOffset>
            </wp:positionH>
            <wp:positionV relativeFrom="paragraph">
              <wp:posOffset>408940</wp:posOffset>
            </wp:positionV>
            <wp:extent cx="3218815" cy="2084705"/>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1"/>
                    <a:stretch/>
                  </pic:blipFill>
                  <pic:spPr>
                    <a:xfrm>
                      <a:ext cx="3218815" cy="2084705"/>
                    </a:xfrm>
                    <a:prstGeom prst="rect"/>
                  </pic:spPr>
                </pic:pic>
              </a:graphicData>
            </a:graphic>
          </wp:anchor>
        </w:drawing>
      </w:r>
      <w:r>
        <mc:AlternateContent>
          <mc:Choice Requires="wps">
            <w:drawing>
              <wp:anchor distT="512445" distB="143510" distL="0" distR="0" simplePos="0" relativeHeight="125829385" behindDoc="0" locked="0" layoutInCell="1" allowOverlap="1">
                <wp:simplePos x="0" y="0"/>
                <wp:positionH relativeFrom="page">
                  <wp:posOffset>2468880</wp:posOffset>
                </wp:positionH>
                <wp:positionV relativeFrom="paragraph">
                  <wp:posOffset>512445</wp:posOffset>
                </wp:positionV>
                <wp:extent cx="2673350" cy="1837690"/>
                <wp:wrapTopAndBottom/>
                <wp:docPr id="65" name="Shape 65"/>
                <a:graphic xmlns:a="http://schemas.openxmlformats.org/drawingml/2006/main">
                  <a:graphicData uri="http://schemas.microsoft.com/office/word/2010/wordprocessingShape">
                    <wps:wsp>
                      <wps:cNvSpPr txBox="1"/>
                      <wps:spPr>
                        <a:xfrm>
                          <a:ext cx="2673350" cy="1837690"/>
                        </a:xfrm>
                        <a:prstGeom prst="rect"/>
                        <a:noFill/>
                      </wps:spPr>
                      <wps:txbx>
                        <w:txbxContent>
                          <w:tbl>
                            <w:tblPr>
                              <w:tblOverlap w:val="never"/>
                              <w:jc w:val="left"/>
                              <w:tblLayout w:type="fixed"/>
                            </w:tblPr>
                            <w:tblGrid>
                              <w:gridCol w:w="1349"/>
                              <w:gridCol w:w="1296"/>
                              <w:gridCol w:w="1565"/>
                            </w:tblGrid>
                            <w:tr>
                              <w:trPr>
                                <w:tblHeader/>
                                <w:trHeight w:val="245" w:hRule="exact"/>
                              </w:trPr>
                              <w:tc>
                                <w:tcPr>
                                  <w:tcBorders/>
                                  <w:shd w:val="clear" w:color="auto" w:fill="D6F2DB"/>
                                  <w:vAlign w:val="bottom"/>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i/>
                                      <w:iCs/>
                                      <w:color w:val="3D3C51"/>
                                      <w:spacing w:val="0"/>
                                      <w:w w:val="100"/>
                                      <w:position w:val="0"/>
                                    </w:rPr>
                                    <w:t>2%</w:t>
                                  </w:r>
                                </w:p>
                                <w:p>
                                  <w:pPr>
                                    <w:pStyle w:val="Style26"/>
                                    <w:keepNext w:val="0"/>
                                    <w:keepLines w:val="0"/>
                                    <w:widowControl w:val="0"/>
                                    <w:shd w:val="clear" w:color="auto" w:fill="auto"/>
                                    <w:tabs>
                                      <w:tab w:pos="1072" w:val="left"/>
                                    </w:tabs>
                                    <w:bidi w:val="0"/>
                                    <w:spacing w:before="0" w:after="0" w:line="240" w:lineRule="auto"/>
                                    <w:ind w:left="0" w:right="0"/>
                                    <w:jc w:val="left"/>
                                    <w:rPr>
                                      <w:sz w:val="8"/>
                                      <w:szCs w:val="8"/>
                                    </w:rPr>
                                  </w:pPr>
                                  <w:r>
                                    <w:rPr>
                                      <w:rFonts w:ascii="Arial" w:eastAsia="Arial" w:hAnsi="Arial" w:cs="Arial"/>
                                      <w:color w:val="40141E"/>
                                      <w:spacing w:val="0"/>
                                      <w:w w:val="100"/>
                                      <w:position w:val="0"/>
                                      <w:sz w:val="8"/>
                                      <w:szCs w:val="8"/>
                                    </w:rPr>
                                    <w:t>[</w:t>
                                  </w:r>
                                  <w:r>
                                    <w:rPr>
                                      <w:rFonts w:ascii="Arial" w:eastAsia="Arial" w:hAnsi="Arial" w:cs="Arial"/>
                                      <w:color w:val="3D3C51"/>
                                      <w:spacing w:val="0"/>
                                      <w:w w:val="100"/>
                                      <w:position w:val="0"/>
                                      <w:sz w:val="8"/>
                                      <w:szCs w:val="8"/>
                                    </w:rPr>
                                    <w:t>&lt;1/</w:t>
                                    <w:tab/>
                                    <w:t>—</w:t>
                                  </w:r>
                                </w:p>
                              </w:tc>
                              <w:tc>
                                <w:tcPr>
                                  <w:tcBorders/>
                                  <w:shd w:val="clear" w:color="auto" w:fill="D6F2DB"/>
                                  <w:vAlign w:val="top"/>
                                </w:tcPr>
                                <w:p>
                                  <w:pPr>
                                    <w:widowControl w:val="0"/>
                                    <w:rPr>
                                      <w:sz w:val="10"/>
                                      <w:szCs w:val="10"/>
                                    </w:rPr>
                                  </w:pPr>
                                </w:p>
                              </w:tc>
                              <w:tc>
                                <w:tcPr>
                                  <w:tcBorders/>
                                  <w:shd w:val="clear" w:color="auto" w:fill="D6F2DB"/>
                                  <w:vAlign w:val="top"/>
                                </w:tcPr>
                                <w:p>
                                  <w:pPr>
                                    <w:widowControl w:val="0"/>
                                    <w:rPr>
                                      <w:sz w:val="10"/>
                                      <w:szCs w:val="10"/>
                                    </w:rPr>
                                  </w:pPr>
                                </w:p>
                              </w:tc>
                            </w:tr>
                            <w:tr>
                              <w:trPr>
                                <w:trHeight w:val="250" w:hRule="exact"/>
                              </w:trPr>
                              <w:tc>
                                <w:tcPr>
                                  <w:tcBorders/>
                                  <w:shd w:val="clear" w:color="auto" w:fill="D6F2DB"/>
                                  <w:vAlign w:val="top"/>
                                </w:tcPr>
                                <w:p>
                                  <w:pPr>
                                    <w:widowControl w:val="0"/>
                                    <w:rPr>
                                      <w:sz w:val="10"/>
                                      <w:szCs w:val="10"/>
                                    </w:rPr>
                                  </w:pPr>
                                </w:p>
                              </w:tc>
                              <w:tc>
                                <w:tcPr>
                                  <w:tcBorders/>
                                  <w:shd w:val="clear" w:color="auto" w:fill="D6F2DB"/>
                                  <w:vAlign w:val="top"/>
                                </w:tcPr>
                                <w:p>
                                  <w:pPr>
                                    <w:widowControl w:val="0"/>
                                    <w:rPr>
                                      <w:sz w:val="10"/>
                                      <w:szCs w:val="10"/>
                                    </w:rPr>
                                  </w:pPr>
                                </w:p>
                              </w:tc>
                              <w:tc>
                                <w:tcPr>
                                  <w:tcBorders/>
                                  <w:shd w:val="clear" w:color="auto" w:fill="D6F2DB"/>
                                  <w:vAlign w:val="top"/>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b/>
                                      <w:bCs/>
                                      <w:color w:val="34577F"/>
                                      <w:spacing w:val="0"/>
                                      <w:w w:val="100"/>
                                      <w:position w:val="0"/>
                                      <w:sz w:val="15"/>
                                      <w:szCs w:val="15"/>
                                    </w:rPr>
                                    <w:t>■生</w:t>
                                  </w:r>
                                  <w:r>
                                    <w:rPr>
                                      <w:b/>
                                      <w:bCs/>
                                      <w:color w:val="000000"/>
                                      <w:spacing w:val="0"/>
                                      <w:w w:val="100"/>
                                      <w:position w:val="0"/>
                                      <w:sz w:val="15"/>
                                      <w:szCs w:val="15"/>
                                    </w:rPr>
                                    <w:t>产人员</w:t>
                                  </w:r>
                                </w:p>
                              </w:tc>
                            </w:tr>
                            <w:tr>
                              <w:trPr>
                                <w:trHeight w:val="456" w:hRule="exact"/>
                              </w:trPr>
                              <w:tc>
                                <w:tcPr>
                                  <w:tcBorders/>
                                  <w:shd w:val="clear" w:color="auto" w:fill="89A54E"/>
                                  <w:vAlign w:val="top"/>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4573A7"/>
                                  <w:vAlign w:val="top"/>
                                </w:tcPr>
                                <w:p>
                                  <w:pPr>
                                    <w:widowControl w:val="0"/>
                                    <w:rPr>
                                      <w:sz w:val="10"/>
                                      <w:szCs w:val="10"/>
                                    </w:rPr>
                                  </w:pPr>
                                </w:p>
                              </w:tc>
                              <w:tc>
                                <w:tcPr>
                                  <w:tcBorders/>
                                  <w:shd w:val="clear" w:color="auto" w:fill="D6F2DB"/>
                                  <w:vAlign w:val="bottom"/>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b/>
                                      <w:bCs/>
                                      <w:color w:val="783130"/>
                                      <w:spacing w:val="0"/>
                                      <w:w w:val="100"/>
                                      <w:position w:val="0"/>
                                      <w:sz w:val="15"/>
                                      <w:szCs w:val="15"/>
                                    </w:rPr>
                                    <w:t>■销</w:t>
                                  </w:r>
                                  <w:r>
                                    <w:rPr>
                                      <w:b/>
                                      <w:bCs/>
                                      <w:color w:val="000000"/>
                                      <w:spacing w:val="0"/>
                                      <w:w w:val="100"/>
                                      <w:position w:val="0"/>
                                      <w:sz w:val="15"/>
                                      <w:szCs w:val="15"/>
                                    </w:rPr>
                                    <w:t>售人员</w:t>
                                  </w:r>
                                </w:p>
                              </w:tc>
                            </w:tr>
                            <w:tr>
                              <w:trPr>
                                <w:trHeight w:val="547" w:hRule="exact"/>
                              </w:trPr>
                              <w:tc>
                                <w:tcPr>
                                  <w:tcBorders/>
                                  <w:shd w:val="clear" w:color="auto" w:fill="89A54E"/>
                                  <w:vAlign w:val="top"/>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4573A7"/>
                                  <w:vAlign w:val="top"/>
                                </w:tcPr>
                                <w:p>
                                  <w:pPr>
                                    <w:widowControl w:val="0"/>
                                    <w:rPr>
                                      <w:sz w:val="10"/>
                                      <w:szCs w:val="10"/>
                                    </w:rPr>
                                  </w:pPr>
                                </w:p>
                              </w:tc>
                              <w:tc>
                                <w:tcPr>
                                  <w:tcBorders/>
                                  <w:shd w:val="clear" w:color="auto" w:fill="D6F2DB"/>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b/>
                                      <w:bCs/>
                                      <w:color w:val="627738"/>
                                      <w:spacing w:val="0"/>
                                      <w:w w:val="100"/>
                                      <w:position w:val="0"/>
                                      <w:sz w:val="15"/>
                                      <w:szCs w:val="15"/>
                                    </w:rPr>
                                    <w:t>■技</w:t>
                                  </w:r>
                                  <w:r>
                                    <w:rPr>
                                      <w:b/>
                                      <w:bCs/>
                                      <w:color w:val="000000"/>
                                      <w:spacing w:val="0"/>
                                      <w:w w:val="100"/>
                                      <w:position w:val="0"/>
                                      <w:sz w:val="15"/>
                                      <w:szCs w:val="15"/>
                                    </w:rPr>
                                    <w:t>术人员</w:t>
                                  </w:r>
                                </w:p>
                              </w:tc>
                            </w:tr>
                            <w:tr>
                              <w:trPr>
                                <w:trHeight w:val="499" w:hRule="exact"/>
                              </w:trPr>
                              <w:tc>
                                <w:tcPr>
                                  <w:tcBorders/>
                                  <w:shd w:val="clear" w:color="auto" w:fill="4573A7"/>
                                  <w:vAlign w:val="top"/>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40141E"/>
                                      <w:spacing w:val="0"/>
                                      <w:w w:val="100"/>
                                      <w:position w:val="0"/>
                                      <w:sz w:val="18"/>
                                      <w:szCs w:val="18"/>
                                    </w:rPr>
                                    <w:t>7%</w:t>
                                  </w:r>
                                </w:p>
                              </w:tc>
                              <w:tc>
                                <w:tcPr>
                                  <w:tcBorders/>
                                  <w:shd w:val="clear" w:color="auto" w:fill="4573A7"/>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shd w:val="clear" w:color="auto" w:fill="D6F2DB"/>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b/>
                                      <w:bCs/>
                                      <w:color w:val="71588F"/>
                                      <w:spacing w:val="0"/>
                                      <w:w w:val="100"/>
                                      <w:position w:val="0"/>
                                      <w:sz w:val="15"/>
                                      <w:szCs w:val="15"/>
                                    </w:rPr>
                                    <w:t>■</w:t>
                                  </w:r>
                                  <w:r>
                                    <w:rPr>
                                      <w:b/>
                                      <w:bCs/>
                                      <w:color w:val="000000"/>
                                      <w:spacing w:val="0"/>
                                      <w:w w:val="100"/>
                                      <w:position w:val="0"/>
                                      <w:sz w:val="15"/>
                                      <w:szCs w:val="15"/>
                                    </w:rPr>
                                    <w:t>财务■人员</w:t>
                                  </w:r>
                                </w:p>
                              </w:tc>
                            </w:tr>
                            <w:tr>
                              <w:trPr>
                                <w:trHeight w:val="427" w:hRule="exact"/>
                              </w:trPr>
                              <w:tc>
                                <w:tcPr>
                                  <w:tcBorders/>
                                  <w:shd w:val="clear" w:color="auto" w:fill="4573A7"/>
                                  <w:vAlign w:val="top"/>
                                </w:tcPr>
                                <w:p>
                                  <w:pPr>
                                    <w:widowControl w:val="0"/>
                                    <w:rPr>
                                      <w:sz w:val="10"/>
                                      <w:szCs w:val="10"/>
                                    </w:rPr>
                                  </w:pPr>
                                </w:p>
                              </w:tc>
                              <w:tc>
                                <w:tcPr>
                                  <w:tcBorders/>
                                  <w:shd w:val="clear" w:color="auto" w:fill="4573A7"/>
                                  <w:vAlign w:val="top"/>
                                </w:tcPr>
                                <w:p>
                                  <w:pPr>
                                    <w:widowControl w:val="0"/>
                                    <w:rPr>
                                      <w:sz w:val="10"/>
                                      <w:szCs w:val="10"/>
                                    </w:rPr>
                                  </w:pPr>
                                </w:p>
                              </w:tc>
                              <w:tc>
                                <w:tcPr>
                                  <w:tcBorders/>
                                  <w:shd w:val="clear" w:color="auto" w:fill="D6F2DB"/>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Arial Unicode MS" w:eastAsia="Arial Unicode MS" w:hAnsi="Arial Unicode MS" w:cs="Arial Unicode MS"/>
                                      <w:b/>
                                      <w:bCs/>
                                      <w:color w:val="4298AF"/>
                                      <w:spacing w:val="0"/>
                                      <w:w w:val="100"/>
                                      <w:position w:val="0"/>
                                      <w:sz w:val="13"/>
                                      <w:szCs w:val="13"/>
                                    </w:rPr>
                                    <w:t>・</w:t>
                                  </w:r>
                                  <w:r>
                                    <w:rPr>
                                      <w:b/>
                                      <w:bCs/>
                                      <w:color w:val="000000"/>
                                      <w:spacing w:val="0"/>
                                      <w:w w:val="100"/>
                                      <w:position w:val="0"/>
                                      <w:sz w:val="15"/>
                                      <w:szCs w:val="15"/>
                                    </w:rPr>
                                    <w:t>管理人员</w:t>
                                  </w:r>
                                </w:p>
                              </w:tc>
                            </w:tr>
                            <w:tr>
                              <w:trPr>
                                <w:trHeight w:val="470" w:hRule="exact"/>
                              </w:trPr>
                              <w:tc>
                                <w:tcPr>
                                  <w:tcBorders/>
                                  <w:shd w:val="clear" w:color="auto" w:fill="4573A7"/>
                                  <w:vAlign w:val="top"/>
                                </w:tcPr>
                                <w:p>
                                  <w:pPr>
                                    <w:widowControl w:val="0"/>
                                    <w:rPr>
                                      <w:sz w:val="10"/>
                                      <w:szCs w:val="10"/>
                                    </w:rPr>
                                  </w:pPr>
                                </w:p>
                              </w:tc>
                              <w:tc>
                                <w:tcPr>
                                  <w:tcBorders/>
                                  <w:shd w:val="clear" w:color="auto" w:fill="4573A7"/>
                                  <w:vAlign w:val="top"/>
                                </w:tcPr>
                                <w:p>
                                  <w:pPr>
                                    <w:widowControl w:val="0"/>
                                    <w:rPr>
                                      <w:sz w:val="10"/>
                                      <w:szCs w:val="10"/>
                                    </w:rPr>
                                  </w:pPr>
                                </w:p>
                              </w:tc>
                              <w:tc>
                                <w:tcPr>
                                  <w:tcBorders/>
                                  <w:shd w:val="clear" w:color="auto" w:fill="D6F2DB"/>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Arial Unicode MS" w:eastAsia="Arial Unicode MS" w:hAnsi="Arial Unicode MS" w:cs="Arial Unicode MS"/>
                                      <w:b/>
                                      <w:bCs/>
                                      <w:color w:val="DB843D"/>
                                      <w:spacing w:val="0"/>
                                      <w:w w:val="100"/>
                                      <w:position w:val="0"/>
                                      <w:sz w:val="13"/>
                                      <w:szCs w:val="13"/>
                                    </w:rPr>
                                    <w:t>・</w:t>
                                  </w:r>
                                  <w:r>
                                    <w:rPr>
                                      <w:b/>
                                      <w:bCs/>
                                      <w:color w:val="000000"/>
                                      <w:spacing w:val="0"/>
                                      <w:w w:val="100"/>
                                      <w:position w:val="0"/>
                                      <w:sz w:val="15"/>
                                      <w:szCs w:val="15"/>
                                    </w:rPr>
                                    <w:t>其他人员</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194.40000000000001pt;margin-top:40.350000000000001pt;width:210.5pt;height:144.70000000000002pt;z-index:-125829368;mso-wrap-distance-left:0;mso-wrap-distance-top:40.350000000000001pt;mso-wrap-distance-right:0;mso-wrap-distance-bottom:11.300000000000001pt;mso-position-horizontal-relative:page" filled="f" stroked="f">
                <v:textbox inset="0,0,0,0">
                  <w:txbxContent>
                    <w:tbl>
                      <w:tblPr>
                        <w:tblOverlap w:val="never"/>
                        <w:jc w:val="left"/>
                        <w:tblLayout w:type="fixed"/>
                      </w:tblPr>
                      <w:tblGrid>
                        <w:gridCol w:w="1349"/>
                        <w:gridCol w:w="1296"/>
                        <w:gridCol w:w="1565"/>
                      </w:tblGrid>
                      <w:tr>
                        <w:trPr>
                          <w:tblHeader/>
                          <w:trHeight w:val="245" w:hRule="exact"/>
                        </w:trPr>
                        <w:tc>
                          <w:tcPr>
                            <w:tcBorders/>
                            <w:shd w:val="clear" w:color="auto" w:fill="D6F2DB"/>
                            <w:vAlign w:val="bottom"/>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i/>
                                <w:iCs/>
                                <w:color w:val="3D3C51"/>
                                <w:spacing w:val="0"/>
                                <w:w w:val="100"/>
                                <w:position w:val="0"/>
                              </w:rPr>
                              <w:t>2%</w:t>
                            </w:r>
                          </w:p>
                          <w:p>
                            <w:pPr>
                              <w:pStyle w:val="Style26"/>
                              <w:keepNext w:val="0"/>
                              <w:keepLines w:val="0"/>
                              <w:widowControl w:val="0"/>
                              <w:shd w:val="clear" w:color="auto" w:fill="auto"/>
                              <w:tabs>
                                <w:tab w:pos="1072" w:val="left"/>
                              </w:tabs>
                              <w:bidi w:val="0"/>
                              <w:spacing w:before="0" w:after="0" w:line="240" w:lineRule="auto"/>
                              <w:ind w:left="0" w:right="0"/>
                              <w:jc w:val="left"/>
                              <w:rPr>
                                <w:sz w:val="8"/>
                                <w:szCs w:val="8"/>
                              </w:rPr>
                            </w:pPr>
                            <w:r>
                              <w:rPr>
                                <w:rFonts w:ascii="Arial" w:eastAsia="Arial" w:hAnsi="Arial" w:cs="Arial"/>
                                <w:color w:val="40141E"/>
                                <w:spacing w:val="0"/>
                                <w:w w:val="100"/>
                                <w:position w:val="0"/>
                                <w:sz w:val="8"/>
                                <w:szCs w:val="8"/>
                              </w:rPr>
                              <w:t>[</w:t>
                            </w:r>
                            <w:r>
                              <w:rPr>
                                <w:rFonts w:ascii="Arial" w:eastAsia="Arial" w:hAnsi="Arial" w:cs="Arial"/>
                                <w:color w:val="3D3C51"/>
                                <w:spacing w:val="0"/>
                                <w:w w:val="100"/>
                                <w:position w:val="0"/>
                                <w:sz w:val="8"/>
                                <w:szCs w:val="8"/>
                              </w:rPr>
                              <w:t>&lt;1/</w:t>
                              <w:tab/>
                              <w:t>—</w:t>
                            </w:r>
                          </w:p>
                        </w:tc>
                        <w:tc>
                          <w:tcPr>
                            <w:tcBorders/>
                            <w:shd w:val="clear" w:color="auto" w:fill="D6F2DB"/>
                            <w:vAlign w:val="top"/>
                          </w:tcPr>
                          <w:p>
                            <w:pPr>
                              <w:widowControl w:val="0"/>
                              <w:rPr>
                                <w:sz w:val="10"/>
                                <w:szCs w:val="10"/>
                              </w:rPr>
                            </w:pPr>
                          </w:p>
                        </w:tc>
                        <w:tc>
                          <w:tcPr>
                            <w:tcBorders/>
                            <w:shd w:val="clear" w:color="auto" w:fill="D6F2DB"/>
                            <w:vAlign w:val="top"/>
                          </w:tcPr>
                          <w:p>
                            <w:pPr>
                              <w:widowControl w:val="0"/>
                              <w:rPr>
                                <w:sz w:val="10"/>
                                <w:szCs w:val="10"/>
                              </w:rPr>
                            </w:pPr>
                          </w:p>
                        </w:tc>
                      </w:tr>
                      <w:tr>
                        <w:trPr>
                          <w:trHeight w:val="250" w:hRule="exact"/>
                        </w:trPr>
                        <w:tc>
                          <w:tcPr>
                            <w:tcBorders/>
                            <w:shd w:val="clear" w:color="auto" w:fill="D6F2DB"/>
                            <w:vAlign w:val="top"/>
                          </w:tcPr>
                          <w:p>
                            <w:pPr>
                              <w:widowControl w:val="0"/>
                              <w:rPr>
                                <w:sz w:val="10"/>
                                <w:szCs w:val="10"/>
                              </w:rPr>
                            </w:pPr>
                          </w:p>
                        </w:tc>
                        <w:tc>
                          <w:tcPr>
                            <w:tcBorders/>
                            <w:shd w:val="clear" w:color="auto" w:fill="D6F2DB"/>
                            <w:vAlign w:val="top"/>
                          </w:tcPr>
                          <w:p>
                            <w:pPr>
                              <w:widowControl w:val="0"/>
                              <w:rPr>
                                <w:sz w:val="10"/>
                                <w:szCs w:val="10"/>
                              </w:rPr>
                            </w:pPr>
                          </w:p>
                        </w:tc>
                        <w:tc>
                          <w:tcPr>
                            <w:tcBorders/>
                            <w:shd w:val="clear" w:color="auto" w:fill="D6F2DB"/>
                            <w:vAlign w:val="top"/>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b/>
                                <w:bCs/>
                                <w:color w:val="34577F"/>
                                <w:spacing w:val="0"/>
                                <w:w w:val="100"/>
                                <w:position w:val="0"/>
                                <w:sz w:val="15"/>
                                <w:szCs w:val="15"/>
                              </w:rPr>
                              <w:t>■生</w:t>
                            </w:r>
                            <w:r>
                              <w:rPr>
                                <w:b/>
                                <w:bCs/>
                                <w:color w:val="000000"/>
                                <w:spacing w:val="0"/>
                                <w:w w:val="100"/>
                                <w:position w:val="0"/>
                                <w:sz w:val="15"/>
                                <w:szCs w:val="15"/>
                              </w:rPr>
                              <w:t>产人员</w:t>
                            </w:r>
                          </w:p>
                        </w:tc>
                      </w:tr>
                      <w:tr>
                        <w:trPr>
                          <w:trHeight w:val="456" w:hRule="exact"/>
                        </w:trPr>
                        <w:tc>
                          <w:tcPr>
                            <w:tcBorders/>
                            <w:shd w:val="clear" w:color="auto" w:fill="89A54E"/>
                            <w:vAlign w:val="top"/>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4573A7"/>
                            <w:vAlign w:val="top"/>
                          </w:tcPr>
                          <w:p>
                            <w:pPr>
                              <w:widowControl w:val="0"/>
                              <w:rPr>
                                <w:sz w:val="10"/>
                                <w:szCs w:val="10"/>
                              </w:rPr>
                            </w:pPr>
                          </w:p>
                        </w:tc>
                        <w:tc>
                          <w:tcPr>
                            <w:tcBorders/>
                            <w:shd w:val="clear" w:color="auto" w:fill="D6F2DB"/>
                            <w:vAlign w:val="bottom"/>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b/>
                                <w:bCs/>
                                <w:color w:val="783130"/>
                                <w:spacing w:val="0"/>
                                <w:w w:val="100"/>
                                <w:position w:val="0"/>
                                <w:sz w:val="15"/>
                                <w:szCs w:val="15"/>
                              </w:rPr>
                              <w:t>■销</w:t>
                            </w:r>
                            <w:r>
                              <w:rPr>
                                <w:b/>
                                <w:bCs/>
                                <w:color w:val="000000"/>
                                <w:spacing w:val="0"/>
                                <w:w w:val="100"/>
                                <w:position w:val="0"/>
                                <w:sz w:val="15"/>
                                <w:szCs w:val="15"/>
                              </w:rPr>
                              <w:t>售人员</w:t>
                            </w:r>
                          </w:p>
                        </w:tc>
                      </w:tr>
                      <w:tr>
                        <w:trPr>
                          <w:trHeight w:val="547" w:hRule="exact"/>
                        </w:trPr>
                        <w:tc>
                          <w:tcPr>
                            <w:tcBorders/>
                            <w:shd w:val="clear" w:color="auto" w:fill="89A54E"/>
                            <w:vAlign w:val="top"/>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shd w:val="clear" w:color="auto" w:fill="4573A7"/>
                            <w:vAlign w:val="top"/>
                          </w:tcPr>
                          <w:p>
                            <w:pPr>
                              <w:widowControl w:val="0"/>
                              <w:rPr>
                                <w:sz w:val="10"/>
                                <w:szCs w:val="10"/>
                              </w:rPr>
                            </w:pPr>
                          </w:p>
                        </w:tc>
                        <w:tc>
                          <w:tcPr>
                            <w:tcBorders/>
                            <w:shd w:val="clear" w:color="auto" w:fill="D6F2DB"/>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b/>
                                <w:bCs/>
                                <w:color w:val="627738"/>
                                <w:spacing w:val="0"/>
                                <w:w w:val="100"/>
                                <w:position w:val="0"/>
                                <w:sz w:val="15"/>
                                <w:szCs w:val="15"/>
                              </w:rPr>
                              <w:t>■技</w:t>
                            </w:r>
                            <w:r>
                              <w:rPr>
                                <w:b/>
                                <w:bCs/>
                                <w:color w:val="000000"/>
                                <w:spacing w:val="0"/>
                                <w:w w:val="100"/>
                                <w:position w:val="0"/>
                                <w:sz w:val="15"/>
                                <w:szCs w:val="15"/>
                              </w:rPr>
                              <w:t>术人员</w:t>
                            </w:r>
                          </w:p>
                        </w:tc>
                      </w:tr>
                      <w:tr>
                        <w:trPr>
                          <w:trHeight w:val="499" w:hRule="exact"/>
                        </w:trPr>
                        <w:tc>
                          <w:tcPr>
                            <w:tcBorders/>
                            <w:shd w:val="clear" w:color="auto" w:fill="4573A7"/>
                            <w:vAlign w:val="top"/>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40141E"/>
                                <w:spacing w:val="0"/>
                                <w:w w:val="100"/>
                                <w:position w:val="0"/>
                                <w:sz w:val="18"/>
                                <w:szCs w:val="18"/>
                              </w:rPr>
                              <w:t>7%</w:t>
                            </w:r>
                          </w:p>
                        </w:tc>
                        <w:tc>
                          <w:tcPr>
                            <w:tcBorders/>
                            <w:shd w:val="clear" w:color="auto" w:fill="4573A7"/>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shd w:val="clear" w:color="auto" w:fill="D6F2DB"/>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b/>
                                <w:bCs/>
                                <w:color w:val="71588F"/>
                                <w:spacing w:val="0"/>
                                <w:w w:val="100"/>
                                <w:position w:val="0"/>
                                <w:sz w:val="15"/>
                                <w:szCs w:val="15"/>
                              </w:rPr>
                              <w:t>■</w:t>
                            </w:r>
                            <w:r>
                              <w:rPr>
                                <w:b/>
                                <w:bCs/>
                                <w:color w:val="000000"/>
                                <w:spacing w:val="0"/>
                                <w:w w:val="100"/>
                                <w:position w:val="0"/>
                                <w:sz w:val="15"/>
                                <w:szCs w:val="15"/>
                              </w:rPr>
                              <w:t>财务■人员</w:t>
                            </w:r>
                          </w:p>
                        </w:tc>
                      </w:tr>
                      <w:tr>
                        <w:trPr>
                          <w:trHeight w:val="427" w:hRule="exact"/>
                        </w:trPr>
                        <w:tc>
                          <w:tcPr>
                            <w:tcBorders/>
                            <w:shd w:val="clear" w:color="auto" w:fill="4573A7"/>
                            <w:vAlign w:val="top"/>
                          </w:tcPr>
                          <w:p>
                            <w:pPr>
                              <w:widowControl w:val="0"/>
                              <w:rPr>
                                <w:sz w:val="10"/>
                                <w:szCs w:val="10"/>
                              </w:rPr>
                            </w:pPr>
                          </w:p>
                        </w:tc>
                        <w:tc>
                          <w:tcPr>
                            <w:tcBorders/>
                            <w:shd w:val="clear" w:color="auto" w:fill="4573A7"/>
                            <w:vAlign w:val="top"/>
                          </w:tcPr>
                          <w:p>
                            <w:pPr>
                              <w:widowControl w:val="0"/>
                              <w:rPr>
                                <w:sz w:val="10"/>
                                <w:szCs w:val="10"/>
                              </w:rPr>
                            </w:pPr>
                          </w:p>
                        </w:tc>
                        <w:tc>
                          <w:tcPr>
                            <w:tcBorders/>
                            <w:shd w:val="clear" w:color="auto" w:fill="D6F2DB"/>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Arial Unicode MS" w:eastAsia="Arial Unicode MS" w:hAnsi="Arial Unicode MS" w:cs="Arial Unicode MS"/>
                                <w:b/>
                                <w:bCs/>
                                <w:color w:val="4298AF"/>
                                <w:spacing w:val="0"/>
                                <w:w w:val="100"/>
                                <w:position w:val="0"/>
                                <w:sz w:val="13"/>
                                <w:szCs w:val="13"/>
                              </w:rPr>
                              <w:t>・</w:t>
                            </w:r>
                            <w:r>
                              <w:rPr>
                                <w:b/>
                                <w:bCs/>
                                <w:color w:val="000000"/>
                                <w:spacing w:val="0"/>
                                <w:w w:val="100"/>
                                <w:position w:val="0"/>
                                <w:sz w:val="15"/>
                                <w:szCs w:val="15"/>
                              </w:rPr>
                              <w:t>管理人员</w:t>
                            </w:r>
                          </w:p>
                        </w:tc>
                      </w:tr>
                      <w:tr>
                        <w:trPr>
                          <w:trHeight w:val="470" w:hRule="exact"/>
                        </w:trPr>
                        <w:tc>
                          <w:tcPr>
                            <w:tcBorders/>
                            <w:shd w:val="clear" w:color="auto" w:fill="4573A7"/>
                            <w:vAlign w:val="top"/>
                          </w:tcPr>
                          <w:p>
                            <w:pPr>
                              <w:widowControl w:val="0"/>
                              <w:rPr>
                                <w:sz w:val="10"/>
                                <w:szCs w:val="10"/>
                              </w:rPr>
                            </w:pPr>
                          </w:p>
                        </w:tc>
                        <w:tc>
                          <w:tcPr>
                            <w:tcBorders/>
                            <w:shd w:val="clear" w:color="auto" w:fill="4573A7"/>
                            <w:vAlign w:val="top"/>
                          </w:tcPr>
                          <w:p>
                            <w:pPr>
                              <w:widowControl w:val="0"/>
                              <w:rPr>
                                <w:sz w:val="10"/>
                                <w:szCs w:val="10"/>
                              </w:rPr>
                            </w:pPr>
                          </w:p>
                        </w:tc>
                        <w:tc>
                          <w:tcPr>
                            <w:tcBorders/>
                            <w:shd w:val="clear" w:color="auto" w:fill="D6F2DB"/>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Arial Unicode MS" w:eastAsia="Arial Unicode MS" w:hAnsi="Arial Unicode MS" w:cs="Arial Unicode MS"/>
                                <w:b/>
                                <w:bCs/>
                                <w:color w:val="DB843D"/>
                                <w:spacing w:val="0"/>
                                <w:w w:val="100"/>
                                <w:position w:val="0"/>
                                <w:sz w:val="13"/>
                                <w:szCs w:val="13"/>
                              </w:rPr>
                              <w:t>・</w:t>
                            </w:r>
                            <w:r>
                              <w:rPr>
                                <w:b/>
                                <w:bCs/>
                                <w:color w:val="000000"/>
                                <w:spacing w:val="0"/>
                                <w:w w:val="100"/>
                                <w:position w:val="0"/>
                                <w:sz w:val="15"/>
                                <w:szCs w:val="15"/>
                              </w:rPr>
                              <w:t>其他人员</w:t>
                            </w:r>
                          </w:p>
                        </w:tc>
                      </w:tr>
                    </w:tbl>
                    <w:p>
                      <w:pPr>
                        <w:widowControl w:val="0"/>
                        <w:spacing w:line="1" w:lineRule="exact"/>
                      </w:pPr>
                    </w:p>
                  </w:txbxContent>
                </v:textbox>
                <w10:wrap type="topAndBottom" anchorx="page"/>
              </v:shape>
            </w:pict>
          </mc:Fallback>
        </mc:AlternateContent>
      </w:r>
    </w:p>
    <w:p>
      <w:pPr>
        <w:widowControl w:val="0"/>
        <w:spacing w:line="1" w:lineRule="exact"/>
      </w:pPr>
      <w:r>
        <mc:AlternateContent>
          <mc:Choice Requires="wps">
            <w:drawing>
              <wp:anchor distT="152400" distB="1536065" distL="0" distR="0" simplePos="0" relativeHeight="125829387" behindDoc="0" locked="0" layoutInCell="1" allowOverlap="1">
                <wp:simplePos x="0" y="0"/>
                <wp:positionH relativeFrom="page">
                  <wp:posOffset>929640</wp:posOffset>
                </wp:positionH>
                <wp:positionV relativeFrom="paragraph">
                  <wp:posOffset>152400</wp:posOffset>
                </wp:positionV>
                <wp:extent cx="1450975" cy="179705"/>
                <wp:wrapTopAndBottom/>
                <wp:docPr id="67" name="Shape 67"/>
                <a:graphic xmlns:a="http://schemas.openxmlformats.org/drawingml/2006/main">
                  <a:graphicData uri="http://schemas.microsoft.com/office/word/2010/wordprocessingShape">
                    <wps:wsp>
                      <wps:cNvSpPr txBox="1"/>
                      <wps:spPr>
                        <a:xfrm>
                          <a:ext cx="1450975" cy="1797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五</w:t>
                            </w:r>
                            <w:r>
                              <w:rPr>
                                <w:b/>
                                <w:bCs/>
                                <w:color w:val="000000"/>
                                <w:spacing w:val="0"/>
                                <w:w w:val="100"/>
                                <w:position w:val="0"/>
                              </w:rPr>
                              <w:t>）</w:t>
                            </w:r>
                            <w:r>
                              <w:rPr>
                                <w:b/>
                                <w:bCs/>
                                <w:color w:val="000000"/>
                                <w:spacing w:val="0"/>
                                <w:w w:val="100"/>
                                <w:position w:val="0"/>
                              </w:rPr>
                              <w:t>教育程度统计图:</w:t>
                            </w:r>
                          </w:p>
                        </w:txbxContent>
                      </wps:txbx>
                      <wps:bodyPr wrap="none" lIns="0" tIns="0" rIns="0" bIns="0">
                        <a:noAutoFit/>
                      </wps:bodyPr>
                    </wps:wsp>
                  </a:graphicData>
                </a:graphic>
              </wp:anchor>
            </w:drawing>
          </mc:Choice>
          <mc:Fallback>
            <w:pict>
              <v:shape id="_x0000_s1093" type="#_x0000_t202" style="position:absolute;margin-left:73.200000000000003pt;margin-top:12.pt;width:114.25pt;height:14.15pt;z-index:-125829366;mso-wrap-distance-left:0;mso-wrap-distance-top:12.pt;mso-wrap-distance-right:0;mso-wrap-distance-bottom:120.9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五</w:t>
                      </w:r>
                      <w:r>
                        <w:rPr>
                          <w:b/>
                          <w:bCs/>
                          <w:color w:val="000000"/>
                          <w:spacing w:val="0"/>
                          <w:w w:val="100"/>
                          <w:position w:val="0"/>
                        </w:rPr>
                        <w:t>）</w:t>
                      </w:r>
                      <w:r>
                        <w:rPr>
                          <w:b/>
                          <w:bCs/>
                          <w:color w:val="000000"/>
                          <w:spacing w:val="0"/>
                          <w:w w:val="100"/>
                          <w:position w:val="0"/>
                        </w:rPr>
                        <w:t>教育程度统计图:</w:t>
                      </w:r>
                    </w:p>
                  </w:txbxContent>
                </v:textbox>
                <w10:wrap type="topAndBottom" anchorx="page"/>
              </v:shape>
            </w:pict>
          </mc:Fallback>
        </mc:AlternateContent>
      </w:r>
      <w:r>
        <w:drawing>
          <wp:anchor distT="372110" distB="231140" distL="0" distR="0" simplePos="0" relativeHeight="125829389" behindDoc="0" locked="0" layoutInCell="1" allowOverlap="1">
            <wp:simplePos x="0" y="0"/>
            <wp:positionH relativeFrom="page">
              <wp:posOffset>2383790</wp:posOffset>
            </wp:positionH>
            <wp:positionV relativeFrom="paragraph">
              <wp:posOffset>372110</wp:posOffset>
            </wp:positionV>
            <wp:extent cx="1700530" cy="1268095"/>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3"/>
                    <a:stretch/>
                  </pic:blipFill>
                  <pic:spPr>
                    <a:xfrm>
                      <a:ext cx="1700530" cy="1268095"/>
                    </a:xfrm>
                    <a:prstGeom prst="rect"/>
                  </pic:spPr>
                </pic:pic>
              </a:graphicData>
            </a:graphic>
          </wp:anchor>
        </w:drawing>
      </w:r>
      <w:r>
        <mc:AlternateContent>
          <mc:Choice Requires="wps">
            <w:drawing>
              <wp:anchor distT="780415" distB="0" distL="0" distR="0" simplePos="0" relativeHeight="125829390" behindDoc="0" locked="0" layoutInCell="1" allowOverlap="1">
                <wp:simplePos x="0" y="0"/>
                <wp:positionH relativeFrom="page">
                  <wp:posOffset>4563110</wp:posOffset>
                </wp:positionH>
                <wp:positionV relativeFrom="paragraph">
                  <wp:posOffset>780415</wp:posOffset>
                </wp:positionV>
                <wp:extent cx="743585" cy="1088390"/>
                <wp:wrapTopAndBottom/>
                <wp:docPr id="71" name="Shape 71"/>
                <a:graphic xmlns:a="http://schemas.openxmlformats.org/drawingml/2006/main">
                  <a:graphicData uri="http://schemas.microsoft.com/office/word/2010/wordprocessingShape">
                    <wps:wsp>
                      <wps:cNvSpPr txBox="1"/>
                      <wps:spPr>
                        <a:xfrm>
                          <a:ext cx="743585" cy="1088390"/>
                        </a:xfrm>
                        <a:prstGeom prst="rect"/>
                        <a:noFill/>
                      </wps:spPr>
                      <wps:txbx>
                        <w:txbxContent>
                          <w:p>
                            <w:pPr>
                              <w:pStyle w:val="Style26"/>
                              <w:keepNext w:val="0"/>
                              <w:keepLines w:val="0"/>
                              <w:widowControl w:val="0"/>
                              <w:pBdr>
                                <w:top w:val="single" w:sz="0" w:space="0" w:color="D6F2DB"/>
                                <w:left w:val="single" w:sz="0" w:space="11" w:color="D6F2DB"/>
                                <w:bottom w:val="single" w:sz="0" w:space="0" w:color="D6F2DB"/>
                                <w:right w:val="single" w:sz="0" w:space="11" w:color="D6F2DB"/>
                              </w:pBdr>
                              <w:shd w:val="clear" w:color="auto" w:fill="D6F2DB"/>
                              <w:bidi w:val="0"/>
                              <w:spacing w:before="0" w:after="280" w:line="240" w:lineRule="auto"/>
                              <w:ind w:left="0" w:right="0" w:firstLine="0"/>
                              <w:jc w:val="left"/>
                              <w:rPr>
                                <w:sz w:val="15"/>
                                <w:szCs w:val="15"/>
                              </w:rPr>
                            </w:pPr>
                            <w:r>
                              <w:rPr>
                                <w:b/>
                                <w:bCs/>
                                <w:color w:val="3E466A"/>
                                <w:spacing w:val="0"/>
                                <w:w w:val="100"/>
                                <w:position w:val="0"/>
                                <w:sz w:val="15"/>
                                <w:szCs w:val="15"/>
                              </w:rPr>
                              <w:t>■硕士</w:t>
                            </w:r>
                            <w:r>
                              <w:rPr>
                                <w:b/>
                                <w:bCs/>
                                <w:color w:val="000000"/>
                                <w:spacing w:val="0"/>
                                <w:w w:val="100"/>
                                <w:position w:val="0"/>
                                <w:sz w:val="15"/>
                                <w:szCs w:val="15"/>
                              </w:rPr>
                              <w:t>按以上</w:t>
                            </w:r>
                          </w:p>
                          <w:p>
                            <w:pPr>
                              <w:pStyle w:val="Style26"/>
                              <w:keepNext w:val="0"/>
                              <w:keepLines w:val="0"/>
                              <w:widowControl w:val="0"/>
                              <w:pBdr>
                                <w:top w:val="single" w:sz="0" w:space="0" w:color="D6F2DB"/>
                                <w:left w:val="single" w:sz="0" w:space="11" w:color="D6F2DB"/>
                                <w:bottom w:val="single" w:sz="0" w:space="0" w:color="D6F2DB"/>
                                <w:right w:val="single" w:sz="0" w:space="11" w:color="D6F2DB"/>
                              </w:pBdr>
                              <w:shd w:val="clear" w:color="auto" w:fill="D6F2DB"/>
                              <w:bidi w:val="0"/>
                              <w:spacing w:before="0" w:after="280" w:line="240" w:lineRule="auto"/>
                              <w:ind w:left="0" w:right="0" w:firstLine="0"/>
                              <w:jc w:val="left"/>
                              <w:rPr>
                                <w:sz w:val="15"/>
                                <w:szCs w:val="15"/>
                              </w:rPr>
                            </w:pPr>
                            <w:r>
                              <w:rPr>
                                <w:b/>
                                <w:bCs/>
                                <w:color w:val="783130"/>
                                <w:spacing w:val="0"/>
                                <w:w w:val="100"/>
                                <w:position w:val="0"/>
                                <w:sz w:val="15"/>
                                <w:szCs w:val="15"/>
                              </w:rPr>
                              <w:t>■本科</w:t>
                            </w:r>
                          </w:p>
                          <w:p>
                            <w:pPr>
                              <w:pStyle w:val="Style26"/>
                              <w:keepNext w:val="0"/>
                              <w:keepLines w:val="0"/>
                              <w:widowControl w:val="0"/>
                              <w:pBdr>
                                <w:top w:val="single" w:sz="0" w:space="0" w:color="D6F2DB"/>
                                <w:left w:val="single" w:sz="0" w:space="11" w:color="D6F2DB"/>
                                <w:bottom w:val="single" w:sz="0" w:space="0" w:color="D6F2DB"/>
                                <w:right w:val="single" w:sz="0" w:space="11" w:color="D6F2DB"/>
                              </w:pBdr>
                              <w:shd w:val="clear" w:color="auto" w:fill="D6F2DB"/>
                              <w:bidi w:val="0"/>
                              <w:spacing w:before="0" w:after="280" w:line="240" w:lineRule="auto"/>
                              <w:ind w:left="0" w:right="0" w:firstLine="0"/>
                              <w:jc w:val="left"/>
                              <w:rPr>
                                <w:sz w:val="15"/>
                                <w:szCs w:val="15"/>
                              </w:rPr>
                            </w:pPr>
                            <w:r>
                              <w:rPr>
                                <w:b/>
                                <w:bCs/>
                                <w:color w:val="627738"/>
                                <w:spacing w:val="0"/>
                                <w:w w:val="100"/>
                                <w:position w:val="0"/>
                                <w:sz w:val="15"/>
                                <w:szCs w:val="15"/>
                              </w:rPr>
                              <w:t>■大专</w:t>
                            </w:r>
                          </w:p>
                          <w:p>
                            <w:pPr>
                              <w:pStyle w:val="Style26"/>
                              <w:keepNext w:val="0"/>
                              <w:keepLines w:val="0"/>
                              <w:widowControl w:val="0"/>
                              <w:pBdr>
                                <w:top w:val="single" w:sz="0" w:space="0" w:color="D6F2DB"/>
                                <w:left w:val="single" w:sz="0" w:space="11" w:color="D6F2DB"/>
                                <w:bottom w:val="single" w:sz="0" w:space="0" w:color="D6F2DB"/>
                                <w:right w:val="single" w:sz="0" w:space="11" w:color="D6F2DB"/>
                              </w:pBdr>
                              <w:shd w:val="clear" w:color="auto" w:fill="D6F2DB"/>
                              <w:bidi w:val="0"/>
                              <w:spacing w:before="0" w:after="280" w:line="240" w:lineRule="auto"/>
                              <w:ind w:left="0" w:right="0" w:firstLine="0"/>
                              <w:jc w:val="left"/>
                              <w:rPr>
                                <w:sz w:val="15"/>
                                <w:szCs w:val="15"/>
                              </w:rPr>
                            </w:pPr>
                            <w:r>
                              <w:rPr>
                                <w:b/>
                                <w:bCs/>
                                <w:color w:val="3E466A"/>
                                <w:spacing w:val="0"/>
                                <w:w w:val="100"/>
                                <w:position w:val="0"/>
                                <w:sz w:val="15"/>
                                <w:szCs w:val="15"/>
                              </w:rPr>
                              <w:t>■高中</w:t>
                            </w:r>
                            <w:r>
                              <w:rPr>
                                <w:b/>
                                <w:bCs/>
                                <w:color w:val="000000"/>
                                <w:spacing w:val="0"/>
                                <w:w w:val="100"/>
                                <w:position w:val="0"/>
                                <w:sz w:val="15"/>
                                <w:szCs w:val="15"/>
                              </w:rPr>
                              <w:t>授以下</w:t>
                            </w:r>
                          </w:p>
                        </w:txbxContent>
                      </wps:txbx>
                      <wps:bodyPr lIns="0" tIns="0" rIns="0" bIns="0">
                        <a:noAutoFit/>
                      </wps:bodyPr>
                    </wps:wsp>
                  </a:graphicData>
                </a:graphic>
              </wp:anchor>
            </w:drawing>
          </mc:Choice>
          <mc:Fallback>
            <w:pict>
              <v:shape id="_x0000_s1097" type="#_x0000_t202" style="position:absolute;margin-left:359.30000000000001pt;margin-top:61.450000000000003pt;width:58.550000000000004pt;height:85.700000000000003pt;z-index:-125829363;mso-wrap-distance-left:0;mso-wrap-distance-top:61.450000000000003pt;mso-wrap-distance-right:0;mso-position-horizontal-relative:page" filled="f" stroked="f">
                <v:textbox inset="0,0,0,0">
                  <w:txbxContent>
                    <w:p>
                      <w:pPr>
                        <w:pStyle w:val="Style26"/>
                        <w:keepNext w:val="0"/>
                        <w:keepLines w:val="0"/>
                        <w:widowControl w:val="0"/>
                        <w:pBdr>
                          <w:top w:val="single" w:sz="0" w:space="0" w:color="D6F2DB"/>
                          <w:left w:val="single" w:sz="0" w:space="11" w:color="D6F2DB"/>
                          <w:bottom w:val="single" w:sz="0" w:space="0" w:color="D6F2DB"/>
                          <w:right w:val="single" w:sz="0" w:space="11" w:color="D6F2DB"/>
                        </w:pBdr>
                        <w:shd w:val="clear" w:color="auto" w:fill="D6F2DB"/>
                        <w:bidi w:val="0"/>
                        <w:spacing w:before="0" w:after="280" w:line="240" w:lineRule="auto"/>
                        <w:ind w:left="0" w:right="0" w:firstLine="0"/>
                        <w:jc w:val="left"/>
                        <w:rPr>
                          <w:sz w:val="15"/>
                          <w:szCs w:val="15"/>
                        </w:rPr>
                      </w:pPr>
                      <w:r>
                        <w:rPr>
                          <w:b/>
                          <w:bCs/>
                          <w:color w:val="3E466A"/>
                          <w:spacing w:val="0"/>
                          <w:w w:val="100"/>
                          <w:position w:val="0"/>
                          <w:sz w:val="15"/>
                          <w:szCs w:val="15"/>
                        </w:rPr>
                        <w:t>■硕士</w:t>
                      </w:r>
                      <w:r>
                        <w:rPr>
                          <w:b/>
                          <w:bCs/>
                          <w:color w:val="000000"/>
                          <w:spacing w:val="0"/>
                          <w:w w:val="100"/>
                          <w:position w:val="0"/>
                          <w:sz w:val="15"/>
                          <w:szCs w:val="15"/>
                        </w:rPr>
                        <w:t>按以上</w:t>
                      </w:r>
                    </w:p>
                    <w:p>
                      <w:pPr>
                        <w:pStyle w:val="Style26"/>
                        <w:keepNext w:val="0"/>
                        <w:keepLines w:val="0"/>
                        <w:widowControl w:val="0"/>
                        <w:pBdr>
                          <w:top w:val="single" w:sz="0" w:space="0" w:color="D6F2DB"/>
                          <w:left w:val="single" w:sz="0" w:space="11" w:color="D6F2DB"/>
                          <w:bottom w:val="single" w:sz="0" w:space="0" w:color="D6F2DB"/>
                          <w:right w:val="single" w:sz="0" w:space="11" w:color="D6F2DB"/>
                        </w:pBdr>
                        <w:shd w:val="clear" w:color="auto" w:fill="D6F2DB"/>
                        <w:bidi w:val="0"/>
                        <w:spacing w:before="0" w:after="280" w:line="240" w:lineRule="auto"/>
                        <w:ind w:left="0" w:right="0" w:firstLine="0"/>
                        <w:jc w:val="left"/>
                        <w:rPr>
                          <w:sz w:val="15"/>
                          <w:szCs w:val="15"/>
                        </w:rPr>
                      </w:pPr>
                      <w:r>
                        <w:rPr>
                          <w:b/>
                          <w:bCs/>
                          <w:color w:val="783130"/>
                          <w:spacing w:val="0"/>
                          <w:w w:val="100"/>
                          <w:position w:val="0"/>
                          <w:sz w:val="15"/>
                          <w:szCs w:val="15"/>
                        </w:rPr>
                        <w:t>■本科</w:t>
                      </w:r>
                    </w:p>
                    <w:p>
                      <w:pPr>
                        <w:pStyle w:val="Style26"/>
                        <w:keepNext w:val="0"/>
                        <w:keepLines w:val="0"/>
                        <w:widowControl w:val="0"/>
                        <w:pBdr>
                          <w:top w:val="single" w:sz="0" w:space="0" w:color="D6F2DB"/>
                          <w:left w:val="single" w:sz="0" w:space="11" w:color="D6F2DB"/>
                          <w:bottom w:val="single" w:sz="0" w:space="0" w:color="D6F2DB"/>
                          <w:right w:val="single" w:sz="0" w:space="11" w:color="D6F2DB"/>
                        </w:pBdr>
                        <w:shd w:val="clear" w:color="auto" w:fill="D6F2DB"/>
                        <w:bidi w:val="0"/>
                        <w:spacing w:before="0" w:after="280" w:line="240" w:lineRule="auto"/>
                        <w:ind w:left="0" w:right="0" w:firstLine="0"/>
                        <w:jc w:val="left"/>
                        <w:rPr>
                          <w:sz w:val="15"/>
                          <w:szCs w:val="15"/>
                        </w:rPr>
                      </w:pPr>
                      <w:r>
                        <w:rPr>
                          <w:b/>
                          <w:bCs/>
                          <w:color w:val="627738"/>
                          <w:spacing w:val="0"/>
                          <w:w w:val="100"/>
                          <w:position w:val="0"/>
                          <w:sz w:val="15"/>
                          <w:szCs w:val="15"/>
                        </w:rPr>
                        <w:t>■大专</w:t>
                      </w:r>
                    </w:p>
                    <w:p>
                      <w:pPr>
                        <w:pStyle w:val="Style26"/>
                        <w:keepNext w:val="0"/>
                        <w:keepLines w:val="0"/>
                        <w:widowControl w:val="0"/>
                        <w:pBdr>
                          <w:top w:val="single" w:sz="0" w:space="0" w:color="D6F2DB"/>
                          <w:left w:val="single" w:sz="0" w:space="11" w:color="D6F2DB"/>
                          <w:bottom w:val="single" w:sz="0" w:space="0" w:color="D6F2DB"/>
                          <w:right w:val="single" w:sz="0" w:space="11" w:color="D6F2DB"/>
                        </w:pBdr>
                        <w:shd w:val="clear" w:color="auto" w:fill="D6F2DB"/>
                        <w:bidi w:val="0"/>
                        <w:spacing w:before="0" w:after="280" w:line="240" w:lineRule="auto"/>
                        <w:ind w:left="0" w:right="0" w:firstLine="0"/>
                        <w:jc w:val="left"/>
                        <w:rPr>
                          <w:sz w:val="15"/>
                          <w:szCs w:val="15"/>
                        </w:rPr>
                      </w:pPr>
                      <w:r>
                        <w:rPr>
                          <w:b/>
                          <w:bCs/>
                          <w:color w:val="3E466A"/>
                          <w:spacing w:val="0"/>
                          <w:w w:val="100"/>
                          <w:position w:val="0"/>
                          <w:sz w:val="15"/>
                          <w:szCs w:val="15"/>
                        </w:rPr>
                        <w:t>■高中</w:t>
                      </w:r>
                      <w:r>
                        <w:rPr>
                          <w:b/>
                          <w:bCs/>
                          <w:color w:val="000000"/>
                          <w:spacing w:val="0"/>
                          <w:w w:val="100"/>
                          <w:position w:val="0"/>
                          <w:sz w:val="15"/>
                          <w:szCs w:val="15"/>
                        </w:rPr>
                        <w:t>授以下</w:t>
                      </w:r>
                    </w:p>
                  </w:txbxContent>
                </v:textbox>
                <w10:wrap type="topAndBottom" anchorx="page"/>
              </v:shape>
            </w:pict>
          </mc:Fallback>
        </mc:AlternateContent>
      </w:r>
    </w:p>
    <w:p>
      <w:pPr>
        <w:widowControl w:val="0"/>
        <w:spacing w:line="1" w:lineRule="exact"/>
      </w:pPr>
      <w:r>
        <w:drawing>
          <wp:anchor distT="241300" distB="0" distL="0" distR="0" simplePos="0" relativeHeight="125829392" behindDoc="0" locked="0" layoutInCell="1" allowOverlap="1">
            <wp:simplePos x="0" y="0"/>
            <wp:positionH relativeFrom="page">
              <wp:posOffset>2383155</wp:posOffset>
            </wp:positionH>
            <wp:positionV relativeFrom="paragraph">
              <wp:posOffset>241300</wp:posOffset>
            </wp:positionV>
            <wp:extent cx="1700530" cy="103505"/>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35"/>
                    <a:stretch/>
                  </pic:blipFill>
                  <pic:spPr>
                    <a:xfrm>
                      <a:ext cx="1700530" cy="103505"/>
                    </a:xfrm>
                    <a:prstGeom prst="rect"/>
                  </pic:spPr>
                </pic:pic>
              </a:graphicData>
            </a:graphic>
          </wp:anchor>
        </w:drawing>
      </w:r>
    </w:p>
    <w:p>
      <w:pPr>
        <w:pStyle w:val="Style21"/>
        <w:keepNext/>
        <w:keepLines/>
        <w:widowControl w:val="0"/>
        <w:shd w:val="clear" w:color="auto" w:fill="auto"/>
        <w:bidi w:val="0"/>
        <w:spacing w:before="0" w:after="100" w:line="240" w:lineRule="auto"/>
        <w:ind w:left="0" w:right="0" w:firstLine="0"/>
        <w:jc w:val="center"/>
      </w:pPr>
      <w:bookmarkStart w:id="367" w:name="bookmark367"/>
      <w:bookmarkStart w:id="368" w:name="bookmark368"/>
      <w:bookmarkStart w:id="369" w:name="bookmark369"/>
      <w:r>
        <w:rPr>
          <w:color w:val="000000"/>
          <w:spacing w:val="0"/>
          <w:w w:val="100"/>
          <w:position w:val="0"/>
        </w:rPr>
        <w:t>第八节公司治理</w:t>
      </w:r>
      <w:bookmarkEnd w:id="367"/>
      <w:bookmarkEnd w:id="368"/>
      <w:bookmarkEnd w:id="369"/>
    </w:p>
    <w:p>
      <w:pPr>
        <w:pStyle w:val="Style29"/>
        <w:keepNext/>
        <w:keepLines/>
        <w:widowControl w:val="0"/>
        <w:shd w:val="clear" w:color="auto" w:fill="auto"/>
        <w:bidi w:val="0"/>
        <w:spacing w:before="0" w:after="100" w:line="274" w:lineRule="exact"/>
        <w:ind w:left="0" w:right="0" w:firstLine="0"/>
        <w:jc w:val="left"/>
      </w:pPr>
      <w:bookmarkStart w:id="370" w:name="bookmark370"/>
      <w:bookmarkStart w:id="371" w:name="bookmark371"/>
      <w:bookmarkStart w:id="372" w:name="bookmark372"/>
      <w:r>
        <w:rPr>
          <w:color w:val="000000"/>
          <w:spacing w:val="0"/>
          <w:w w:val="100"/>
          <w:position w:val="0"/>
        </w:rPr>
        <w:t>一、 公司治理及内幕知情人登记管理等相关情况说明</w:t>
      </w:r>
      <w:bookmarkEnd w:id="370"/>
      <w:bookmarkEnd w:id="371"/>
      <w:bookmarkEnd w:id="372"/>
    </w:p>
    <w:p>
      <w:pPr>
        <w:pStyle w:val="Style29"/>
        <w:keepNext/>
        <w:keepLines/>
        <w:widowControl w:val="0"/>
        <w:shd w:val="clear" w:color="auto" w:fill="auto"/>
        <w:bidi w:val="0"/>
        <w:spacing w:before="0" w:after="100" w:line="274" w:lineRule="exact"/>
        <w:ind w:left="0" w:right="0" w:firstLine="0"/>
        <w:jc w:val="left"/>
      </w:pPr>
      <w:bookmarkStart w:id="370" w:name="bookmark370"/>
      <w:bookmarkStart w:id="371" w:name="bookmark371"/>
      <w:bookmarkStart w:id="373" w:name="bookmark373"/>
      <w:r>
        <w:rPr>
          <w:color w:val="000000"/>
          <w:spacing w:val="0"/>
          <w:w w:val="100"/>
          <w:position w:val="0"/>
        </w:rPr>
        <w:t>（一）公司治理情况</w:t>
      </w:r>
      <w:bookmarkEnd w:id="370"/>
      <w:bookmarkEnd w:id="371"/>
      <w:bookmarkEnd w:id="373"/>
    </w:p>
    <w:p>
      <w:pPr>
        <w:pStyle w:val="Style12"/>
        <w:keepNext w:val="0"/>
        <w:keepLines w:val="0"/>
        <w:widowControl w:val="0"/>
        <w:shd w:val="clear" w:color="auto" w:fill="auto"/>
        <w:bidi w:val="0"/>
        <w:spacing w:before="0" w:line="273" w:lineRule="exact"/>
        <w:ind w:left="0" w:right="0" w:firstLine="480"/>
        <w:jc w:val="both"/>
      </w:pPr>
      <w:r>
        <w:rPr>
          <w:color w:val="000000"/>
          <w:spacing w:val="0"/>
          <w:w w:val="100"/>
          <w:position w:val="0"/>
        </w:rPr>
        <w:t>报告期内，公司按照《公司法》、《证券法》、《上市公司治理准则》、《上海证券交易所股票上市 规则》和中国证监会有关法律法规的要求，不断完善公司法人治理结构，加强信息披露，公司治理 和内控制度建设更加规范。上市后，公司按照相关要求制定并审核实施了《重大事项内部报告办法》、 《内幕信息知情人登记管理制度》、《信息披露管理办法》等</w:t>
      </w:r>
      <w:r>
        <w:rPr>
          <w:rFonts w:ascii="Times New Roman" w:eastAsia="Times New Roman" w:hAnsi="Times New Roman" w:cs="Times New Roman"/>
          <w:color w:val="000000"/>
          <w:spacing w:val="0"/>
          <w:w w:val="100"/>
          <w:position w:val="0"/>
        </w:rPr>
        <w:t>,</w:t>
      </w:r>
      <w:r>
        <w:rPr>
          <w:color w:val="000000"/>
          <w:spacing w:val="0"/>
          <w:w w:val="100"/>
          <w:position w:val="0"/>
        </w:rPr>
        <w:t>修订了《公司章程》。公司董事会认为， 按照中国证监会《上市公司治理准则》的文件要求，公司法人治理的实际状况与该文件的要求不存 在差异，本公司、公司董事会及全体董事、监事未被证监会、交易所及其他行政管理部门处罚。</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公司的治理情况具体如下：</w:t>
      </w:r>
    </w:p>
    <w:p>
      <w:pPr>
        <w:pStyle w:val="Style12"/>
        <w:keepNext w:val="0"/>
        <w:keepLines w:val="0"/>
        <w:widowControl w:val="0"/>
        <w:shd w:val="clear" w:color="auto" w:fill="auto"/>
        <w:tabs>
          <w:tab w:pos="463" w:val="left"/>
        </w:tabs>
        <w:bidi w:val="0"/>
        <w:spacing w:before="0" w:line="274" w:lineRule="exact"/>
        <w:ind w:left="0" w:right="0" w:firstLine="0"/>
        <w:jc w:val="left"/>
      </w:pPr>
      <w:bookmarkStart w:id="374" w:name="bookmark374"/>
      <w:r>
        <w:rPr>
          <w:b/>
          <w:bCs/>
          <w:color w:val="000000"/>
          <w:spacing w:val="0"/>
          <w:w w:val="100"/>
          <w:position w:val="0"/>
        </w:rPr>
        <w:t>（</w:t>
      </w:r>
      <w:bookmarkEnd w:id="37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股东和股东大会</w:t>
      </w:r>
    </w:p>
    <w:p>
      <w:pPr>
        <w:pStyle w:val="Style12"/>
        <w:keepNext w:val="0"/>
        <w:keepLines w:val="0"/>
        <w:widowControl w:val="0"/>
        <w:shd w:val="clear" w:color="auto" w:fill="auto"/>
        <w:bidi w:val="0"/>
        <w:spacing w:before="0" w:line="276" w:lineRule="exact"/>
        <w:ind w:left="0" w:right="0" w:firstLine="480"/>
        <w:jc w:val="left"/>
      </w:pPr>
      <w:r>
        <w:rPr>
          <w:color w:val="000000"/>
          <w:spacing w:val="0"/>
          <w:w w:val="100"/>
          <w:position w:val="0"/>
        </w:rPr>
        <w:t>公司能够严格按照相关法律法规、《公司章程》和《股东大会议事规则》的要求召集股东大会, 严格履行会议召开程序，平等对待全体股东，并能确保股东充分行使自己的权利，使其对重大事项 享有知情权和决策参与权。</w:t>
      </w:r>
    </w:p>
    <w:p>
      <w:pPr>
        <w:pStyle w:val="Style12"/>
        <w:keepNext w:val="0"/>
        <w:keepLines w:val="0"/>
        <w:widowControl w:val="0"/>
        <w:shd w:val="clear" w:color="auto" w:fill="auto"/>
        <w:tabs>
          <w:tab w:pos="463" w:val="left"/>
        </w:tabs>
        <w:bidi w:val="0"/>
        <w:spacing w:before="0" w:line="274" w:lineRule="exact"/>
        <w:ind w:left="0" w:right="0" w:firstLine="0"/>
        <w:jc w:val="left"/>
      </w:pPr>
      <w:bookmarkStart w:id="375" w:name="bookmark375"/>
      <w:r>
        <w:rPr>
          <w:b/>
          <w:bCs/>
          <w:color w:val="000000"/>
          <w:spacing w:val="0"/>
          <w:w w:val="100"/>
          <w:position w:val="0"/>
        </w:rPr>
        <w:t>（</w:t>
      </w:r>
      <w:bookmarkEnd w:id="37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控股股东和上市公司</w:t>
      </w:r>
    </w:p>
    <w:p>
      <w:pPr>
        <w:pStyle w:val="Style12"/>
        <w:keepNext w:val="0"/>
        <w:keepLines w:val="0"/>
        <w:widowControl w:val="0"/>
        <w:shd w:val="clear" w:color="auto" w:fill="auto"/>
        <w:bidi w:val="0"/>
        <w:spacing w:before="0" w:line="274" w:lineRule="exact"/>
        <w:ind w:left="0" w:right="0" w:firstLine="480"/>
        <w:jc w:val="both"/>
      </w:pPr>
      <w:r>
        <w:rPr>
          <w:color w:val="000000"/>
          <w:spacing w:val="0"/>
          <w:w w:val="100"/>
          <w:position w:val="0"/>
        </w:rPr>
        <w:t>为了规范控股股东的行为，公司制定了《关于防止大股东及关联方资金占用的专项制度》和《关 联交易制度》等一系列的制度。公司与控股股东在人员、资产、财务方面完全分开，机构与业务独 立。公司与控股股东的关联交易公平合理，符合市场定价原则，不存在控股股东占用公司资金的情 况。公司董事长兼总经理陆永华先生作为本公司的控股股东及实际控制人，能够严格按照有关规定 行使出资人的权利并履行相关义务，没有利用其控股地位损害公司利益。</w:t>
      </w:r>
    </w:p>
    <w:p>
      <w:pPr>
        <w:pStyle w:val="Style12"/>
        <w:keepNext w:val="0"/>
        <w:keepLines w:val="0"/>
        <w:widowControl w:val="0"/>
        <w:shd w:val="clear" w:color="auto" w:fill="auto"/>
        <w:tabs>
          <w:tab w:pos="463" w:val="left"/>
        </w:tabs>
        <w:bidi w:val="0"/>
        <w:spacing w:before="0" w:line="274" w:lineRule="exact"/>
        <w:ind w:left="0" w:right="0" w:firstLine="0"/>
        <w:jc w:val="left"/>
      </w:pPr>
      <w:bookmarkStart w:id="376" w:name="bookmark376"/>
      <w:r>
        <w:rPr>
          <w:b/>
          <w:bCs/>
          <w:color w:val="000000"/>
          <w:spacing w:val="0"/>
          <w:w w:val="100"/>
          <w:position w:val="0"/>
        </w:rPr>
        <w:t>（</w:t>
      </w:r>
      <w:bookmarkEnd w:id="37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董事和董事会</w:t>
      </w:r>
    </w:p>
    <w:p>
      <w:pPr>
        <w:pStyle w:val="Style12"/>
        <w:keepNext w:val="0"/>
        <w:keepLines w:val="0"/>
        <w:widowControl w:val="0"/>
        <w:shd w:val="clear" w:color="auto" w:fill="auto"/>
        <w:bidi w:val="0"/>
        <w:spacing w:before="0" w:line="274" w:lineRule="exact"/>
        <w:ind w:left="0" w:right="0" w:firstLine="48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名，董事会的人数、构成及选聘程序符合相关法 律法规、《公司章程》及《董事会议事规则》的规定。为进一步完善公司治理结构，公司董事会成 立了战略、提名、审计、薪酬与考核四个专业委员会，各委员会分工明确，运作正常，勤勉尽责地 为董事会的决策提供了科学和专业的意见。公司董事能以认真负责、勤勉诚信的态度出席董事会和 股东大会，切实履行各自的义务。独立董事能够严格按照公司《独立董事制度》独立履行职责，参 与公司的决策和监督，增强了董事会决策的科学性、客观性，提高了公司的治理水平。</w:t>
      </w:r>
    </w:p>
    <w:p>
      <w:pPr>
        <w:pStyle w:val="Style12"/>
        <w:keepNext w:val="0"/>
        <w:keepLines w:val="0"/>
        <w:widowControl w:val="0"/>
        <w:shd w:val="clear" w:color="auto" w:fill="auto"/>
        <w:tabs>
          <w:tab w:pos="463" w:val="left"/>
        </w:tabs>
        <w:bidi w:val="0"/>
        <w:spacing w:before="0" w:line="274" w:lineRule="exact"/>
        <w:ind w:left="0" w:right="0" w:firstLine="0"/>
        <w:jc w:val="left"/>
      </w:pPr>
      <w:bookmarkStart w:id="377" w:name="bookmark377"/>
      <w:r>
        <w:rPr>
          <w:b/>
          <w:bCs/>
          <w:color w:val="000000"/>
          <w:spacing w:val="0"/>
          <w:w w:val="100"/>
          <w:position w:val="0"/>
        </w:rPr>
        <w:t>（</w:t>
      </w:r>
      <w:bookmarkEnd w:id="37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监事和监事会</w:t>
      </w:r>
    </w:p>
    <w:p>
      <w:pPr>
        <w:pStyle w:val="Style12"/>
        <w:keepNext w:val="0"/>
        <w:keepLines w:val="0"/>
        <w:widowControl w:val="0"/>
        <w:shd w:val="clear" w:color="auto" w:fill="auto"/>
        <w:bidi w:val="0"/>
        <w:spacing w:before="0" w:line="274" w:lineRule="exact"/>
        <w:ind w:left="0" w:right="0" w:firstLine="4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名为职工代表监事，监事会的人数、构成及选聘程序均符 合相关法律法规、《公司章程》及《监事会议事规则》的规定。公司严格按照《公司章程》和《监 事会议事规则》的规定召集召开监事会，监事会的成员能够认真履行其职责，审议公司的定期报告， 列席公司股东大会和董事会，对董事、高级管理人员执行公司职务的行为进行监督，并发表意见， 维护了公司及股东的合法权益。</w:t>
      </w:r>
    </w:p>
    <w:p>
      <w:pPr>
        <w:pStyle w:val="Style12"/>
        <w:keepNext w:val="0"/>
        <w:keepLines w:val="0"/>
        <w:widowControl w:val="0"/>
        <w:shd w:val="clear" w:color="auto" w:fill="auto"/>
        <w:tabs>
          <w:tab w:pos="463" w:val="left"/>
        </w:tabs>
        <w:bidi w:val="0"/>
        <w:spacing w:before="0" w:line="274" w:lineRule="exact"/>
        <w:ind w:left="0" w:right="0" w:firstLine="0"/>
        <w:jc w:val="left"/>
      </w:pPr>
      <w:bookmarkStart w:id="378" w:name="bookmark378"/>
      <w:r>
        <w:rPr>
          <w:b/>
          <w:bCs/>
          <w:color w:val="000000"/>
          <w:spacing w:val="0"/>
          <w:w w:val="100"/>
          <w:position w:val="0"/>
        </w:rPr>
        <w:t>（</w:t>
      </w:r>
      <w:bookmarkEnd w:id="37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高级管理人员及经理层</w:t>
      </w:r>
    </w:p>
    <w:p>
      <w:pPr>
        <w:pStyle w:val="Style12"/>
        <w:keepNext w:val="0"/>
        <w:keepLines w:val="0"/>
        <w:widowControl w:val="0"/>
        <w:shd w:val="clear" w:color="auto" w:fill="auto"/>
        <w:bidi w:val="0"/>
        <w:spacing w:before="0" w:line="276" w:lineRule="exact"/>
        <w:ind w:left="0" w:right="0" w:firstLine="480"/>
        <w:jc w:val="both"/>
      </w:pPr>
      <w:r>
        <w:rPr>
          <w:color w:val="000000"/>
          <w:spacing w:val="0"/>
          <w:w w:val="100"/>
          <w:position w:val="0"/>
        </w:rPr>
        <w:t>公司的高级管理人员能够严格按照《公司章程》的要求，参与公司重大决策事项的讨论，审议 公司的定期报告，列席公司的董事会和股东大会。公司的经理层能够勤勉尽责，对公司日常生产经 营实施有效的管理和控制，保障了公司每年制定的年度经营目标的完成。</w:t>
      </w:r>
    </w:p>
    <w:p>
      <w:pPr>
        <w:pStyle w:val="Style12"/>
        <w:keepNext w:val="0"/>
        <w:keepLines w:val="0"/>
        <w:widowControl w:val="0"/>
        <w:shd w:val="clear" w:color="auto" w:fill="auto"/>
        <w:tabs>
          <w:tab w:pos="463" w:val="left"/>
        </w:tabs>
        <w:bidi w:val="0"/>
        <w:spacing w:before="0" w:line="274" w:lineRule="exact"/>
        <w:ind w:left="0" w:right="0" w:firstLine="0"/>
        <w:jc w:val="left"/>
      </w:pPr>
      <w:bookmarkStart w:id="379" w:name="bookmark379"/>
      <w:r>
        <w:rPr>
          <w:b/>
          <w:bCs/>
          <w:color w:val="000000"/>
          <w:spacing w:val="0"/>
          <w:w w:val="100"/>
          <w:position w:val="0"/>
        </w:rPr>
        <w:t>（</w:t>
      </w:r>
      <w:bookmarkEnd w:id="37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利益相关者</w:t>
      </w:r>
    </w:p>
    <w:p>
      <w:pPr>
        <w:pStyle w:val="Style12"/>
        <w:keepNext w:val="0"/>
        <w:keepLines w:val="0"/>
        <w:widowControl w:val="0"/>
        <w:shd w:val="clear" w:color="auto" w:fill="auto"/>
        <w:bidi w:val="0"/>
        <w:spacing w:before="0" w:line="274" w:lineRule="exact"/>
        <w:ind w:left="0" w:right="0" w:firstLine="480"/>
        <w:jc w:val="both"/>
      </w:pPr>
      <w:r>
        <w:rPr>
          <w:color w:val="000000"/>
          <w:spacing w:val="0"/>
          <w:w w:val="100"/>
          <w:position w:val="0"/>
        </w:rPr>
        <w:t xml:space="preserve">公司尊重和维护银行及其他债权人、员工、客户、消费者、社区等利益相关者的合法权益；公 </w:t>
      </w:r>
      <w:r>
        <w:rPr>
          <w:color w:val="000000"/>
          <w:spacing w:val="0"/>
          <w:w w:val="100"/>
          <w:position w:val="0"/>
        </w:rPr>
        <w:t>司重视社会责任，努力加强与利益相关者的沟通和交流，共同推进持续、健康地发展，积极承担社 会责任。</w:t>
      </w:r>
    </w:p>
    <w:p>
      <w:pPr>
        <w:pStyle w:val="Style12"/>
        <w:keepNext w:val="0"/>
        <w:keepLines w:val="0"/>
        <w:widowControl w:val="0"/>
        <w:shd w:val="clear" w:color="auto" w:fill="auto"/>
        <w:tabs>
          <w:tab w:pos="440" w:val="left"/>
        </w:tabs>
        <w:bidi w:val="0"/>
        <w:spacing w:before="0" w:line="273" w:lineRule="exact"/>
        <w:ind w:left="0" w:right="0" w:firstLine="0"/>
        <w:jc w:val="both"/>
      </w:pPr>
      <w:bookmarkStart w:id="380" w:name="bookmark380"/>
      <w:r>
        <w:rPr>
          <w:b/>
          <w:bCs/>
          <w:color w:val="000000"/>
          <w:spacing w:val="0"/>
          <w:w w:val="100"/>
          <w:position w:val="0"/>
        </w:rPr>
        <w:t>（</w:t>
      </w:r>
      <w:bookmarkEnd w:id="380"/>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绩效评价与激励约束机制</w:t>
      </w:r>
    </w:p>
    <w:p>
      <w:pPr>
        <w:pStyle w:val="Style12"/>
        <w:keepNext w:val="0"/>
        <w:keepLines w:val="0"/>
        <w:widowControl w:val="0"/>
        <w:shd w:val="clear" w:color="auto" w:fill="auto"/>
        <w:bidi w:val="0"/>
        <w:spacing w:before="0" w:line="274" w:lineRule="exact"/>
        <w:ind w:left="0" w:right="0" w:firstLine="480"/>
        <w:jc w:val="both"/>
      </w:pPr>
      <w:r>
        <w:rPr>
          <w:color w:val="000000"/>
          <w:spacing w:val="0"/>
          <w:w w:val="100"/>
          <w:position w:val="0"/>
        </w:rPr>
        <w:t>公司已初步建立董事、监事及高级管理人员的绩效评价标准与激励约束机制，公司经理人员的 聘任公开、透明、合规。每年年初，公司制定各部门和分子公司负责人经营考核目标，明确相关人 员、单位本年度的经营目标和考核指标，年终进行评价与考核，并以此对相关人员的业绩和绩效进 行考评和奖惩。</w:t>
      </w:r>
    </w:p>
    <w:p>
      <w:pPr>
        <w:pStyle w:val="Style12"/>
        <w:keepNext w:val="0"/>
        <w:keepLines w:val="0"/>
        <w:widowControl w:val="0"/>
        <w:shd w:val="clear" w:color="auto" w:fill="auto"/>
        <w:tabs>
          <w:tab w:pos="440" w:val="left"/>
        </w:tabs>
        <w:bidi w:val="0"/>
        <w:spacing w:before="0" w:line="273" w:lineRule="exact"/>
        <w:ind w:left="0" w:right="0" w:firstLine="0"/>
        <w:jc w:val="left"/>
      </w:pPr>
      <w:bookmarkStart w:id="381" w:name="bookmark381"/>
      <w:r>
        <w:rPr>
          <w:b/>
          <w:bCs/>
          <w:color w:val="000000"/>
          <w:spacing w:val="0"/>
          <w:w w:val="100"/>
          <w:position w:val="0"/>
        </w:rPr>
        <w:t>（</w:t>
      </w:r>
      <w:bookmarkEnd w:id="381"/>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信息披露与透明度</w:t>
      </w:r>
    </w:p>
    <w:p>
      <w:pPr>
        <w:pStyle w:val="Style12"/>
        <w:keepNext w:val="0"/>
        <w:keepLines w:val="0"/>
        <w:widowControl w:val="0"/>
        <w:shd w:val="clear" w:color="auto" w:fill="auto"/>
        <w:bidi w:val="0"/>
        <w:spacing w:before="0" w:line="273" w:lineRule="exact"/>
        <w:ind w:left="0" w:right="0" w:firstLine="480"/>
        <w:jc w:val="both"/>
      </w:pPr>
      <w:r>
        <w:rPr>
          <w:color w:val="000000"/>
          <w:spacing w:val="0"/>
          <w:w w:val="100"/>
          <w:position w:val="0"/>
        </w:rPr>
        <w:t>公司指定董事会秘书负责信息披露，公司证券部在公司董事会秘书的领导下开展信息披露工 作、接待股东来访和咨询。《中国证券报》、《上海证券报》《证券时报》《证券日报》为公司信息披 露的报纸，上海证券交易所网站为公司信息披露网站；公司的会议决议及相关重大事项能够按照法 律法规、《公司章程》和公司《信息披露管理办法》的规定真实、准确、完整地披露有关信息。公 司重大事项内幕信息能够按照公司《内幕信息知情人登记管理制度》并做好信息披露前的保密工作， 确保所有股东均能公平、公正地获得信息。</w:t>
      </w:r>
    </w:p>
    <w:p>
      <w:pPr>
        <w:pStyle w:val="Style12"/>
        <w:keepNext w:val="0"/>
        <w:keepLines w:val="0"/>
        <w:widowControl w:val="0"/>
        <w:shd w:val="clear" w:color="auto" w:fill="auto"/>
        <w:tabs>
          <w:tab w:pos="440" w:val="left"/>
        </w:tabs>
        <w:bidi w:val="0"/>
        <w:spacing w:before="0" w:line="273" w:lineRule="exact"/>
        <w:ind w:left="0" w:right="0" w:firstLine="0"/>
        <w:jc w:val="both"/>
      </w:pPr>
      <w:bookmarkStart w:id="382" w:name="bookmark382"/>
      <w:r>
        <w:rPr>
          <w:b/>
          <w:bCs/>
          <w:color w:val="000000"/>
          <w:spacing w:val="0"/>
          <w:w w:val="100"/>
          <w:position w:val="0"/>
        </w:rPr>
        <w:t>（</w:t>
      </w:r>
      <w:bookmarkEnd w:id="382"/>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投资者关系</w:t>
      </w:r>
    </w:p>
    <w:p>
      <w:pPr>
        <w:pStyle w:val="Style12"/>
        <w:keepNext w:val="0"/>
        <w:keepLines w:val="0"/>
        <w:widowControl w:val="0"/>
        <w:shd w:val="clear" w:color="auto" w:fill="auto"/>
        <w:bidi w:val="0"/>
        <w:spacing w:before="0" w:line="271" w:lineRule="exact"/>
        <w:ind w:left="0" w:right="0" w:firstLine="480"/>
        <w:jc w:val="both"/>
      </w:pPr>
      <w:r>
        <w:rPr>
          <w:color w:val="000000"/>
          <w:spacing w:val="0"/>
          <w:w w:val="100"/>
          <w:position w:val="0"/>
        </w:rPr>
        <w:t>公司按照《投资者关系管理制度》加强投资者关系管理工作，认真做好投资者来电的接听、答 复以及传真、电子信箱的接收和回复，增强了与投资者的沟通，加强了公司与投资者及潜在投资者 之间的联系，促进投资者对公司投资价值的全面、深入了解。</w:t>
      </w:r>
    </w:p>
    <w:p>
      <w:pPr>
        <w:pStyle w:val="Style12"/>
        <w:keepNext w:val="0"/>
        <w:keepLines w:val="0"/>
        <w:widowControl w:val="0"/>
        <w:shd w:val="clear" w:color="auto" w:fill="auto"/>
        <w:tabs>
          <w:tab w:pos="534" w:val="left"/>
        </w:tabs>
        <w:bidi w:val="0"/>
        <w:spacing w:before="0" w:line="273" w:lineRule="exact"/>
        <w:ind w:left="0" w:right="0" w:firstLine="0"/>
        <w:jc w:val="left"/>
      </w:pPr>
      <w:bookmarkStart w:id="383" w:name="bookmark383"/>
      <w:r>
        <w:rPr>
          <w:b/>
          <w:bCs/>
          <w:color w:val="000000"/>
          <w:spacing w:val="0"/>
          <w:w w:val="100"/>
          <w:position w:val="0"/>
        </w:rPr>
        <w:t>（</w:t>
      </w:r>
      <w:bookmarkEnd w:id="383"/>
      <w:r>
        <w:rPr>
          <w:rFonts w:ascii="Times New Roman" w:eastAsia="Times New Roman" w:hAnsi="Times New Roman" w:cs="Times New Roman"/>
          <w:b/>
          <w:bCs/>
          <w:color w:val="000000"/>
          <w:spacing w:val="0"/>
          <w:w w:val="100"/>
          <w:position w:val="0"/>
        </w:rPr>
        <w:t>10</w:t>
      </w:r>
      <w:r>
        <w:rPr>
          <w:b/>
          <w:bCs/>
          <w:color w:val="000000"/>
          <w:spacing w:val="0"/>
          <w:w w:val="100"/>
          <w:position w:val="0"/>
        </w:rPr>
        <w:t>）</w:t>
        <w:tab/>
        <w:t>报告期内公司治理专项活动情况</w:t>
      </w:r>
    </w:p>
    <w:p>
      <w:pPr>
        <w:pStyle w:val="Style12"/>
        <w:keepNext w:val="0"/>
        <w:keepLines w:val="0"/>
        <w:widowControl w:val="0"/>
        <w:shd w:val="clear" w:color="auto" w:fill="auto"/>
        <w:bidi w:val="0"/>
        <w:spacing w:before="0" w:line="273" w:lineRule="exact"/>
        <w:ind w:left="0" w:right="0" w:firstLine="480"/>
        <w:jc w:val="left"/>
      </w:pPr>
      <w:r>
        <w:rPr>
          <w:color w:val="000000"/>
          <w:spacing w:val="0"/>
          <w:w w:val="100"/>
          <w:position w:val="0"/>
        </w:rPr>
        <w:t>根据中国证券监督管理委员会（以下简称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证监公司字</w:t>
      </w:r>
      <w:r>
        <w:rPr>
          <w:rFonts w:ascii="Times New Roman" w:eastAsia="Times New Roman" w:hAnsi="Times New Roman" w:cs="Times New Roman"/>
          <w:color w:val="000000"/>
          <w:spacing w:val="0"/>
          <w:w w:val="100"/>
          <w:position w:val="0"/>
        </w:rPr>
        <w:t>[2007]28</w:t>
      </w:r>
      <w:r>
        <w:rPr>
          <w:color w:val="000000"/>
          <w:spacing w:val="0"/>
          <w:w w:val="100"/>
          <w:position w:val="0"/>
        </w:rPr>
        <w:t>号《关于开展加 强上市公司治理专项活动有关事项的通知》、中国证监会江苏监管局苏证监公司字</w:t>
      </w:r>
      <w:r>
        <w:rPr>
          <w:rFonts w:ascii="Times New Roman" w:eastAsia="Times New Roman" w:hAnsi="Times New Roman" w:cs="Times New Roman"/>
          <w:color w:val="000000"/>
          <w:spacing w:val="0"/>
          <w:w w:val="100"/>
          <w:position w:val="0"/>
        </w:rPr>
        <w:t>[2007]104</w:t>
      </w:r>
      <w:r>
        <w:rPr>
          <w:color w:val="000000"/>
          <w:spacing w:val="0"/>
          <w:w w:val="100"/>
          <w:position w:val="0"/>
        </w:rPr>
        <w:t>号《关 于开展上市公司治理专项活动相关工作的通知》和中国证监会江苏监管局苏证监公司字（</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201 </w:t>
      </w:r>
      <w:r>
        <w:rPr>
          <w:color w:val="000000"/>
          <w:spacing w:val="0"/>
          <w:w w:val="100"/>
          <w:position w:val="0"/>
        </w:rPr>
        <w:t>号《关于开展公司治理专项活动的通知》的相关要求，公司本着规范、务实的原则，严格对照《公 司法》、《证券法》、《上市公司治理准则》等有关法律、行政法规，以及《江苏林洋电子股份有限公 司章程》等内部规章制度的有关规定，结合公司实际情况进行了全面、认真的自查，针对自查发现 的问题，提出了整改计划。</w:t>
      </w:r>
    </w:p>
    <w:p>
      <w:pPr>
        <w:pStyle w:val="Style12"/>
        <w:keepNext w:val="0"/>
        <w:keepLines w:val="0"/>
        <w:widowControl w:val="0"/>
        <w:shd w:val="clear" w:color="auto" w:fill="auto"/>
        <w:bidi w:val="0"/>
        <w:spacing w:before="0" w:line="272" w:lineRule="exact"/>
        <w:ind w:left="0" w:right="0" w:firstLine="480"/>
        <w:jc w:val="left"/>
      </w:pPr>
      <w:r>
        <w:rPr>
          <w:color w:val="000000"/>
          <w:spacing w:val="0"/>
          <w:w w:val="100"/>
          <w:position w:val="0"/>
        </w:rPr>
        <w:t>报告期内，根据江苏证监局《关于开展上市公司内控专项检查的通知》（苏证监公司字【</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248</w:t>
      </w:r>
      <w:r>
        <w:rPr>
          <w:color w:val="000000"/>
          <w:spacing w:val="0"/>
          <w:w w:val="100"/>
          <w:position w:val="0"/>
        </w:rPr>
        <w:t>号）等文件的要求，江苏证监局于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月对我公司进行了现场检查，重点查阅了公司的 各项管理制度、公司上市以来的股东大会、董事会、监事会会议运作情况，并出具了《关于江苏林 洋电子股份有限公司治理专项检查的监管关注函》（苏证监函</w:t>
      </w:r>
      <w:r>
        <w:rPr>
          <w:rFonts w:ascii="Times New Roman" w:eastAsia="Times New Roman" w:hAnsi="Times New Roman" w:cs="Times New Roman"/>
          <w:color w:val="000000"/>
          <w:spacing w:val="0"/>
          <w:w w:val="100"/>
          <w:position w:val="0"/>
        </w:rPr>
        <w:t>[2014]11</w:t>
      </w:r>
      <w:r>
        <w:rPr>
          <w:color w:val="000000"/>
          <w:spacing w:val="0"/>
          <w:w w:val="100"/>
          <w:position w:val="0"/>
        </w:rPr>
        <w:t>号）。公司接到关注函后高度 重视，专门组织公司董事、监事、高级管理人员和相关责任人学习《公司法》、《证券法》、《上海证 券交易所股票上市规则》等法律法规，对现场检查发现的问题逐项进行认真的核查、分析和研究， 制订整改措施，形成整改报告，并经</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日召开的公司第二届董事会第九次会议审议通 过。</w:t>
      </w:r>
    </w:p>
    <w:p>
      <w:pPr>
        <w:pStyle w:val="Style12"/>
        <w:keepNext w:val="0"/>
        <w:keepLines w:val="0"/>
        <w:widowControl w:val="0"/>
        <w:shd w:val="clear" w:color="auto" w:fill="auto"/>
        <w:bidi w:val="0"/>
        <w:spacing w:before="0" w:line="273" w:lineRule="exact"/>
        <w:ind w:left="0" w:right="0" w:firstLine="0"/>
        <w:jc w:val="left"/>
      </w:pPr>
      <w:bookmarkStart w:id="384" w:name="bookmark384"/>
      <w:r>
        <w:rPr>
          <w:b/>
          <w:bCs/>
          <w:color w:val="000000"/>
          <w:spacing w:val="0"/>
          <w:w w:val="100"/>
          <w:position w:val="0"/>
        </w:rPr>
        <w:t>（</w:t>
      </w:r>
      <w:bookmarkEnd w:id="384"/>
      <w:r>
        <w:rPr>
          <w:b/>
          <w:bCs/>
          <w:color w:val="000000"/>
          <w:spacing w:val="0"/>
          <w:w w:val="100"/>
          <w:position w:val="0"/>
        </w:rPr>
        <w:t>二）内幕知情人登记管理情况</w:t>
      </w:r>
    </w:p>
    <w:p>
      <w:pPr>
        <w:pStyle w:val="Style12"/>
        <w:keepNext w:val="0"/>
        <w:keepLines w:val="0"/>
        <w:widowControl w:val="0"/>
        <w:shd w:val="clear" w:color="auto" w:fill="auto"/>
        <w:bidi w:val="0"/>
        <w:spacing w:before="0" w:line="275" w:lineRule="exact"/>
        <w:ind w:left="0" w:right="0" w:firstLine="480"/>
        <w:jc w:val="both"/>
      </w:pPr>
      <w:r>
        <w:rPr>
          <w:color w:val="000000"/>
          <w:spacing w:val="0"/>
          <w:w w:val="100"/>
          <w:position w:val="0"/>
        </w:rPr>
        <w:t>报告期内，公司严格执行内幕信息登记管理制度，严格规范信息传递流程，在定期报告披露期 间和临时公告披露期间，对未公开信息，公司证券部都会严格控制知情人范围并组织填写《内幕信 息知情人档案表》，如实、完整记录上述信息在公开前的所有内幕信息知情人名单，以及知情人知 悉内幕信息的时间等。</w:t>
      </w:r>
    </w:p>
    <w:p>
      <w:pPr>
        <w:pStyle w:val="Style12"/>
        <w:keepNext w:val="0"/>
        <w:keepLines w:val="0"/>
        <w:widowControl w:val="0"/>
        <w:shd w:val="clear" w:color="auto" w:fill="auto"/>
        <w:bidi w:val="0"/>
        <w:spacing w:before="0" w:line="276" w:lineRule="exact"/>
        <w:ind w:left="0" w:right="0" w:firstLine="480"/>
        <w:jc w:val="both"/>
        <w:sectPr>
          <w:headerReference w:type="default" r:id="rId37"/>
          <w:footerReference w:type="default" r:id="rId38"/>
          <w:footnotePr>
            <w:pos w:val="pageBottom"/>
            <w:numFmt w:val="decimal"/>
            <w:numRestart w:val="continuous"/>
          </w:footnotePr>
          <w:pgSz w:w="12240" w:h="15840"/>
          <w:pgMar w:top="1066" w:right="1560" w:bottom="1714" w:left="1353" w:header="0" w:footer="3" w:gutter="0"/>
          <w:cols w:space="720"/>
          <w:noEndnote/>
          <w:rtlGutter w:val="0"/>
          <w:docGrid w:linePitch="360"/>
        </w:sectPr>
      </w:pPr>
      <w:r>
        <w:rPr>
          <w:color w:val="000000"/>
          <w:spacing w:val="0"/>
          <w:w w:val="100"/>
          <w:position w:val="0"/>
        </w:rPr>
        <w:t>报告期内，公司董事、监事、高级管理人员及其他相关人员严格遵守内幕信息知情人登记管理 制度，未发现有内幕信息知情人利用内幕信息买卖公司股票的情况，未发生因内幕信息知情人涉嫌 内幕交易受到监管部门查处情况。</w:t>
      </w:r>
    </w:p>
    <w:p>
      <w:pPr>
        <w:pStyle w:val="Style23"/>
        <w:keepNext w:val="0"/>
        <w:keepLines w:val="0"/>
        <w:widowControl w:val="0"/>
        <w:shd w:val="clear" w:color="auto" w:fill="auto"/>
        <w:bidi w:val="0"/>
        <w:spacing w:before="0" w:after="0" w:line="240" w:lineRule="auto"/>
        <w:ind w:left="605" w:right="0" w:firstLine="0"/>
        <w:jc w:val="left"/>
      </w:pPr>
      <w:r>
        <w:rPr>
          <w:color w:val="000000"/>
          <w:spacing w:val="0"/>
          <w:w w:val="100"/>
          <w:position w:val="0"/>
        </w:rPr>
        <w:t>股东大会情况简介</w:t>
      </w:r>
    </w:p>
    <w:tbl>
      <w:tblPr>
        <w:tblOverlap w:val="never"/>
        <w:jc w:val="center"/>
        <w:tblLayout w:type="fixed"/>
      </w:tblPr>
      <w:tblGrid>
        <w:gridCol w:w="1546"/>
        <w:gridCol w:w="1061"/>
        <w:gridCol w:w="6600"/>
        <w:gridCol w:w="854"/>
        <w:gridCol w:w="1843"/>
        <w:gridCol w:w="1166"/>
      </w:tblGrid>
      <w:tr>
        <w:trPr>
          <w:trHeight w:val="840"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决议情 况</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4" w:lineRule="exact"/>
              <w:ind w:left="180" w:right="0" w:firstLine="0"/>
              <w:jc w:val="left"/>
            </w:pPr>
            <w:r>
              <w:rPr>
                <w:color w:val="000000"/>
                <w:spacing w:val="0"/>
                <w:w w:val="100"/>
                <w:position w:val="0"/>
              </w:rPr>
              <w:t>决议刊登的指定 网站的查询索引</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 的披露日</w:t>
            </w:r>
          </w:p>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 临时股东大会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《关于董事会换届选举的议案》、《关于监事会换届选举的议案》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全部审 议通过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上海证券交易所 网站</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r>
        <w:trPr>
          <w:trHeight w:val="24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年度董事会工作报告》、《公司</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年度监事会工作报告》、 《公司</w:t>
            </w:r>
            <w:r>
              <w:rPr>
                <w:rFonts w:ascii="Times New Roman" w:eastAsia="Times New Roman" w:hAnsi="Times New Roman" w:cs="Times New Roman"/>
                <w:color w:val="000000"/>
                <w:spacing w:val="0"/>
                <w:w w:val="100"/>
                <w:position w:val="0"/>
              </w:rPr>
              <w:t>2012</w:t>
            </w:r>
            <w:r>
              <w:rPr>
                <w:color w:val="000000"/>
                <w:spacing w:val="0"/>
                <w:w w:val="100"/>
                <w:position w:val="0"/>
              </w:rPr>
              <w:t>年度财务决算报告》、《公司</w:t>
            </w:r>
            <w:r>
              <w:rPr>
                <w:rFonts w:ascii="Times New Roman" w:eastAsia="Times New Roman" w:hAnsi="Times New Roman" w:cs="Times New Roman"/>
                <w:color w:val="000000"/>
                <w:spacing w:val="0"/>
                <w:w w:val="100"/>
                <w:position w:val="0"/>
              </w:rPr>
              <w:t>2012</w:t>
            </w:r>
            <w:r>
              <w:rPr>
                <w:color w:val="000000"/>
                <w:spacing w:val="0"/>
                <w:w w:val="100"/>
                <w:position w:val="0"/>
              </w:rPr>
              <w:t>年度报告及其摘要》、《公 司</w:t>
            </w:r>
            <w:r>
              <w:rPr>
                <w:rFonts w:ascii="Times New Roman" w:eastAsia="Times New Roman" w:hAnsi="Times New Roman" w:cs="Times New Roman"/>
                <w:color w:val="000000"/>
                <w:spacing w:val="0"/>
                <w:w w:val="100"/>
                <w:position w:val="0"/>
              </w:rPr>
              <w:t>2012</w:t>
            </w:r>
            <w:r>
              <w:rPr>
                <w:color w:val="000000"/>
                <w:spacing w:val="0"/>
                <w:w w:val="100"/>
                <w:position w:val="0"/>
              </w:rPr>
              <w:t>年年度利润分配的预案》、《关于部分募投项目完工并将节余募 集资金永久性补充流动资金的议案》、《公司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年度向银行申请综合 授信的议案》、《关于聘请立信会计师事务所（特殊普通合伙）为公司 </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年度财务报告审计机构的议案》、《关于公司</w:t>
            </w:r>
            <w:r>
              <w:rPr>
                <w:rFonts w:ascii="Times New Roman" w:eastAsia="Times New Roman" w:hAnsi="Times New Roman" w:cs="Times New Roman"/>
                <w:color w:val="000000"/>
                <w:spacing w:val="0"/>
                <w:w w:val="100"/>
                <w:position w:val="0"/>
              </w:rPr>
              <w:t>2013</w:t>
            </w:r>
            <w:r>
              <w:rPr>
                <w:color w:val="000000"/>
                <w:spacing w:val="0"/>
                <w:w w:val="100"/>
                <w:position w:val="0"/>
              </w:rPr>
              <w:t>年度预计日常关 联交易的议案》、《关于公司</w:t>
            </w:r>
            <w:r>
              <w:rPr>
                <w:rFonts w:ascii="Times New Roman" w:eastAsia="Times New Roman" w:hAnsi="Times New Roman" w:cs="Times New Roman"/>
                <w:color w:val="000000"/>
                <w:spacing w:val="0"/>
                <w:w w:val="100"/>
                <w:position w:val="0"/>
              </w:rPr>
              <w:t>2012</w:t>
            </w:r>
            <w:r>
              <w:rPr>
                <w:color w:val="000000"/>
                <w:spacing w:val="0"/>
                <w:w w:val="100"/>
                <w:position w:val="0"/>
              </w:rPr>
              <w:t>年度董事、监事和高级管理人员薪酬 的议案》、《关于公司使用自有闲置资金增加委托理财额度的议案》、《关 于修订公司</w:t>
            </w:r>
            <w:r>
              <w:rPr>
                <w:color w:val="000000"/>
                <w:spacing w:val="0"/>
                <w:w w:val="100"/>
                <w:position w:val="0"/>
              </w:rPr>
              <w:t>〈</w:t>
            </w:r>
            <w:r>
              <w:rPr>
                <w:color w:val="000000"/>
                <w:spacing w:val="0"/>
                <w:w w:val="100"/>
                <w:position w:val="0"/>
              </w:rPr>
              <w:t xml:space="preserve">对外担保管理制度 </w:t>
            </w:r>
            <w:r>
              <w:rPr>
                <w:rFonts w:ascii="Times New Roman" w:eastAsia="Times New Roman" w:hAnsi="Times New Roman" w:cs="Times New Roman"/>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全部审 议通过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上海证券交易所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57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 临时股东大会</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议案》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全部审 议通过</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上海证券交易所 网站</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bl>
    <w:p>
      <w:pPr>
        <w:widowControl w:val="0"/>
        <w:spacing w:after="119" w:line="1" w:lineRule="exact"/>
      </w:pPr>
    </w:p>
    <w:p>
      <w:pPr>
        <w:pStyle w:val="Style12"/>
        <w:keepNext w:val="0"/>
        <w:keepLines w:val="0"/>
        <w:widowControl w:val="0"/>
        <w:shd w:val="clear" w:color="auto" w:fill="auto"/>
        <w:bidi w:val="0"/>
        <w:spacing w:before="0" w:after="120" w:line="269"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日在公司多功能会议室召开。本次会议的股东和股东代表共</w:t>
      </w:r>
      <w:r>
        <w:rPr>
          <w:rFonts w:ascii="Times New Roman" w:eastAsia="Times New Roman" w:hAnsi="Times New Roman" w:cs="Times New Roman"/>
          <w:color w:val="000000"/>
          <w:spacing w:val="0"/>
          <w:w w:val="100"/>
          <w:position w:val="0"/>
        </w:rPr>
        <w:t>5</w:t>
      </w:r>
      <w:r>
        <w:rPr>
          <w:color w:val="000000"/>
          <w:spacing w:val="0"/>
          <w:w w:val="100"/>
          <w:position w:val="0"/>
        </w:rPr>
        <w:t>人，所持</w:t>
      </w:r>
      <w:r>
        <w:rPr>
          <w:rFonts w:ascii="Times New Roman" w:eastAsia="Times New Roman" w:hAnsi="Times New Roman" w:cs="Times New Roman"/>
          <w:color w:val="000000"/>
          <w:spacing w:val="0"/>
          <w:w w:val="100"/>
          <w:position w:val="0"/>
        </w:rPr>
        <w:t>（</w:t>
      </w:r>
      <w:r>
        <w:rPr>
          <w:color w:val="000000"/>
          <w:spacing w:val="0"/>
          <w:w w:val="100"/>
          <w:position w:val="0"/>
        </w:rPr>
        <w:t>或所代表</w:t>
      </w:r>
      <w:r>
        <w:rPr>
          <w:rFonts w:ascii="Times New Roman" w:eastAsia="Times New Roman" w:hAnsi="Times New Roman" w:cs="Times New Roman"/>
          <w:color w:val="000000"/>
          <w:spacing w:val="0"/>
          <w:w w:val="100"/>
          <w:position w:val="0"/>
        </w:rPr>
        <w:t>）</w:t>
      </w:r>
      <w:r>
        <w:rPr>
          <w:color w:val="000000"/>
          <w:spacing w:val="0"/>
          <w:w w:val="100"/>
          <w:position w:val="0"/>
        </w:rPr>
        <w:t>的股份 总数为</w:t>
      </w:r>
      <w:r>
        <w:rPr>
          <w:rFonts w:ascii="Times New Roman" w:eastAsia="Times New Roman" w:hAnsi="Times New Roman" w:cs="Times New Roman"/>
          <w:color w:val="000000"/>
          <w:spacing w:val="0"/>
          <w:w w:val="100"/>
          <w:position w:val="0"/>
        </w:rPr>
        <w:t>255,244,050</w:t>
      </w:r>
      <w:r>
        <w:rPr>
          <w:color w:val="000000"/>
          <w:spacing w:val="0"/>
          <w:w w:val="100"/>
          <w:position w:val="0"/>
        </w:rPr>
        <w:t>股，占公司总股份的</w:t>
      </w:r>
      <w:r>
        <w:rPr>
          <w:rFonts w:ascii="Times New Roman" w:eastAsia="Times New Roman" w:hAnsi="Times New Roman" w:cs="Times New Roman"/>
          <w:color w:val="000000"/>
          <w:spacing w:val="0"/>
          <w:w w:val="100"/>
          <w:position w:val="0"/>
        </w:rPr>
        <w:t>71.84%</w:t>
      </w:r>
      <w:r>
        <w:rPr>
          <w:color w:val="000000"/>
          <w:spacing w:val="0"/>
          <w:w w:val="100"/>
          <w:position w:val="0"/>
        </w:rPr>
        <w:t>。本次股东大会以记名投票方式，审议通过了两项议案。</w:t>
      </w:r>
    </w:p>
    <w:p>
      <w:pPr>
        <w:pStyle w:val="Style12"/>
        <w:keepNext w:val="0"/>
        <w:keepLines w:val="0"/>
        <w:widowControl w:val="0"/>
        <w:shd w:val="clear" w:color="auto" w:fill="auto"/>
        <w:bidi w:val="0"/>
        <w:spacing w:before="0" w:after="120" w:line="26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日在公司多功能会议室召开。本次会议的股东和股东代表共</w:t>
      </w:r>
      <w:r>
        <w:rPr>
          <w:rFonts w:ascii="Times New Roman" w:eastAsia="Times New Roman" w:hAnsi="Times New Roman" w:cs="Times New Roman"/>
          <w:color w:val="000000"/>
          <w:spacing w:val="0"/>
          <w:w w:val="100"/>
          <w:position w:val="0"/>
        </w:rPr>
        <w:t>7</w:t>
      </w:r>
      <w:r>
        <w:rPr>
          <w:color w:val="000000"/>
          <w:spacing w:val="0"/>
          <w:w w:val="100"/>
          <w:position w:val="0"/>
        </w:rPr>
        <w:t>人，所持</w:t>
      </w:r>
      <w:r>
        <w:rPr>
          <w:rFonts w:ascii="Times New Roman" w:eastAsia="Times New Roman" w:hAnsi="Times New Roman" w:cs="Times New Roman"/>
          <w:color w:val="000000"/>
          <w:spacing w:val="0"/>
          <w:w w:val="100"/>
          <w:position w:val="0"/>
        </w:rPr>
        <w:t>（</w:t>
      </w:r>
      <w:r>
        <w:rPr>
          <w:color w:val="000000"/>
          <w:spacing w:val="0"/>
          <w:w w:val="100"/>
          <w:position w:val="0"/>
        </w:rPr>
        <w:t>或所代表</w:t>
      </w:r>
      <w:r>
        <w:rPr>
          <w:rFonts w:ascii="Times New Roman" w:eastAsia="Times New Roman" w:hAnsi="Times New Roman" w:cs="Times New Roman"/>
          <w:color w:val="000000"/>
          <w:spacing w:val="0"/>
          <w:w w:val="100"/>
          <w:position w:val="0"/>
        </w:rPr>
        <w:t>）</w:t>
      </w:r>
      <w:r>
        <w:rPr>
          <w:color w:val="000000"/>
          <w:spacing w:val="0"/>
          <w:w w:val="100"/>
          <w:position w:val="0"/>
        </w:rPr>
        <w:t>的股份总数 为</w:t>
      </w:r>
      <w:r>
        <w:rPr>
          <w:rFonts w:ascii="Times New Roman" w:eastAsia="Times New Roman" w:hAnsi="Times New Roman" w:cs="Times New Roman"/>
          <w:color w:val="000000"/>
          <w:spacing w:val="0"/>
          <w:w w:val="100"/>
          <w:position w:val="0"/>
        </w:rPr>
        <w:t>252,228,329</w:t>
      </w:r>
      <w:r>
        <w:rPr>
          <w:color w:val="000000"/>
          <w:spacing w:val="0"/>
          <w:w w:val="100"/>
          <w:position w:val="0"/>
        </w:rPr>
        <w:t>股，占公司总股份的</w:t>
      </w:r>
      <w:r>
        <w:rPr>
          <w:rFonts w:ascii="Times New Roman" w:eastAsia="Times New Roman" w:hAnsi="Times New Roman" w:cs="Times New Roman"/>
          <w:color w:val="000000"/>
          <w:spacing w:val="0"/>
          <w:w w:val="100"/>
          <w:position w:val="0"/>
        </w:rPr>
        <w:t>70.99%</w:t>
      </w:r>
      <w:r>
        <w:rPr>
          <w:color w:val="000000"/>
          <w:spacing w:val="0"/>
          <w:w w:val="100"/>
          <w:position w:val="0"/>
        </w:rPr>
        <w:t>。本次股东大会以记名投票方式，审议通过了十二项议案。</w:t>
      </w:r>
    </w:p>
    <w:p>
      <w:pPr>
        <w:pStyle w:val="Style12"/>
        <w:keepNext w:val="0"/>
        <w:keepLines w:val="0"/>
        <w:widowControl w:val="0"/>
        <w:shd w:val="clear" w:color="auto" w:fill="auto"/>
        <w:bidi w:val="0"/>
        <w:spacing w:before="0" w:after="120" w:line="274" w:lineRule="exact"/>
        <w:ind w:left="0" w:right="0" w:firstLine="440"/>
        <w:jc w:val="both"/>
        <w:sectPr>
          <w:headerReference w:type="default" r:id="rId39"/>
          <w:footerReference w:type="default" r:id="rId40"/>
          <w:footnotePr>
            <w:pos w:val="pageBottom"/>
            <w:numFmt w:val="decimal"/>
            <w:numRestart w:val="continuous"/>
          </w:footnotePr>
          <w:pgSz w:w="15840" w:h="12240" w:orient="landscape"/>
          <w:pgMar w:top="1037" w:right="1680" w:bottom="1095" w:left="1042" w:header="0" w:footer="3" w:gutter="0"/>
          <w:cols w:space="720"/>
          <w:noEndnote/>
          <w:rtlGutter w:val="0"/>
          <w:docGrid w:linePitch="360"/>
        </w:sectPr>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日在公司多功能会议室召开。本次会议的股东和股东代表共</w:t>
      </w:r>
      <w:r>
        <w:rPr>
          <w:rFonts w:ascii="Times New Roman" w:eastAsia="Times New Roman" w:hAnsi="Times New Roman" w:cs="Times New Roman"/>
          <w:color w:val="000000"/>
          <w:spacing w:val="0"/>
          <w:w w:val="100"/>
          <w:position w:val="0"/>
        </w:rPr>
        <w:t>4</w:t>
      </w:r>
      <w:r>
        <w:rPr>
          <w:color w:val="000000"/>
          <w:spacing w:val="0"/>
          <w:w w:val="100"/>
          <w:position w:val="0"/>
        </w:rPr>
        <w:t>人，所持</w:t>
      </w:r>
      <w:r>
        <w:rPr>
          <w:rFonts w:ascii="Times New Roman" w:eastAsia="Times New Roman" w:hAnsi="Times New Roman" w:cs="Times New Roman"/>
          <w:color w:val="000000"/>
          <w:spacing w:val="0"/>
          <w:w w:val="100"/>
          <w:position w:val="0"/>
        </w:rPr>
        <w:t>（</w:t>
      </w:r>
      <w:r>
        <w:rPr>
          <w:color w:val="000000"/>
          <w:spacing w:val="0"/>
          <w:w w:val="100"/>
          <w:position w:val="0"/>
        </w:rPr>
        <w:t>或所代表</w:t>
      </w:r>
      <w:r>
        <w:rPr>
          <w:rFonts w:ascii="Times New Roman" w:eastAsia="Times New Roman" w:hAnsi="Times New Roman" w:cs="Times New Roman"/>
          <w:color w:val="000000"/>
          <w:spacing w:val="0"/>
          <w:w w:val="100"/>
          <w:position w:val="0"/>
        </w:rPr>
        <w:t>）</w:t>
      </w:r>
      <w:r>
        <w:rPr>
          <w:color w:val="000000"/>
          <w:spacing w:val="0"/>
          <w:w w:val="100"/>
          <w:position w:val="0"/>
        </w:rPr>
        <w:t>的股 份总数为</w:t>
      </w:r>
      <w:r>
        <w:rPr>
          <w:rFonts w:ascii="Times New Roman" w:eastAsia="Times New Roman" w:hAnsi="Times New Roman" w:cs="Times New Roman"/>
          <w:color w:val="000000"/>
          <w:spacing w:val="0"/>
          <w:w w:val="100"/>
          <w:position w:val="0"/>
        </w:rPr>
        <w:t>242,200,000</w:t>
      </w:r>
      <w:r>
        <w:rPr>
          <w:color w:val="000000"/>
          <w:spacing w:val="0"/>
          <w:w w:val="100"/>
          <w:position w:val="0"/>
        </w:rPr>
        <w:t>股，占公司总股份的</w:t>
      </w:r>
      <w:r>
        <w:rPr>
          <w:rFonts w:ascii="Times New Roman" w:eastAsia="Times New Roman" w:hAnsi="Times New Roman" w:cs="Times New Roman"/>
          <w:color w:val="000000"/>
          <w:spacing w:val="0"/>
          <w:w w:val="100"/>
          <w:position w:val="0"/>
        </w:rPr>
        <w:t>68.17%</w:t>
      </w:r>
      <w:r>
        <w:rPr>
          <w:color w:val="000000"/>
          <w:spacing w:val="0"/>
          <w:w w:val="100"/>
          <w:position w:val="0"/>
        </w:rPr>
        <w:t>。本次股东大会以记名投票方式，审议通过了一项议案。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三、董事履行职责情况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046"/>
        <w:gridCol w:w="1032"/>
        <w:gridCol w:w="1205"/>
        <w:gridCol w:w="859"/>
        <w:gridCol w:w="1032"/>
        <w:gridCol w:w="1032"/>
        <w:gridCol w:w="758"/>
        <w:gridCol w:w="1315"/>
        <w:gridCol w:w="1042"/>
      </w:tblGrid>
      <w:tr>
        <w:trPr>
          <w:trHeight w:val="835"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 东大会 情况</w:t>
            </w:r>
          </w:p>
        </w:tc>
      </w:tr>
      <w:tr>
        <w:trPr>
          <w:trHeight w:val="840"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委托出 席次数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1" w:lineRule="exact"/>
              <w:ind w:left="200" w:right="0" w:firstLine="0"/>
              <w:jc w:val="left"/>
            </w:pPr>
            <w:r>
              <w:rPr>
                <w:color w:val="000000"/>
                <w:spacing w:val="0"/>
                <w:w w:val="100"/>
                <w:position w:val="0"/>
              </w:rPr>
              <w:t>出席股 东大会 的次数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沈凯平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虞海娟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顾寅章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傅羽韬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r>
    </w:tbl>
    <w:p>
      <w:pPr>
        <w:widowControl w:val="0"/>
        <w:spacing w:after="239" w:line="1" w:lineRule="exact"/>
      </w:pP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8</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3</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40" w:right="0" w:firstLine="0"/>
              <w:jc w:val="left"/>
            </w:pPr>
            <w:r>
              <w:rPr>
                <w:rFonts w:ascii="Times New Roman" w:eastAsia="Times New Roman" w:hAnsi="Times New Roman" w:cs="Times New Roman"/>
                <w:color w:val="000000"/>
                <w:spacing w:val="0"/>
                <w:w w:val="100"/>
                <w:position w:val="0"/>
              </w:rPr>
              <w:t>5</w:t>
            </w:r>
          </w:p>
        </w:tc>
      </w:tr>
    </w:tbl>
    <w:p>
      <w:pPr>
        <w:widowControl w:val="0"/>
        <w:spacing w:after="239" w:line="1" w:lineRule="exact"/>
      </w:pPr>
    </w:p>
    <w:p>
      <w:pPr>
        <w:pStyle w:val="Style29"/>
        <w:keepNext/>
        <w:keepLines/>
        <w:widowControl w:val="0"/>
        <w:shd w:val="clear" w:color="auto" w:fill="auto"/>
        <w:bidi w:val="0"/>
        <w:spacing w:before="0" w:after="16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w:t>
      </w:r>
      <w:bookmarkEnd w:id="387"/>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bookmarkEnd w:id="385"/>
      <w:bookmarkEnd w:id="386"/>
      <w:bookmarkEnd w:id="388"/>
    </w:p>
    <w:p>
      <w:pPr>
        <w:pStyle w:val="Style1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报告期内，公司独立董事未对公司本年度的董事会议案及其他非董事会议案事项提出异议。</w:t>
      </w:r>
    </w:p>
    <w:p>
      <w:pPr>
        <w:pStyle w:val="Style29"/>
        <w:keepNext/>
        <w:keepLines/>
        <w:widowControl w:val="0"/>
        <w:shd w:val="clear" w:color="auto" w:fill="auto"/>
        <w:bidi w:val="0"/>
        <w:spacing w:before="0" w:after="60" w:line="272" w:lineRule="exact"/>
        <w:ind w:left="0" w:right="0" w:firstLine="0"/>
        <w:jc w:val="left"/>
      </w:pPr>
      <w:bookmarkStart w:id="389" w:name="bookmark389"/>
      <w:bookmarkStart w:id="390" w:name="bookmark390"/>
      <w:bookmarkStart w:id="391" w:name="bookmark391"/>
      <w:r>
        <w:rPr>
          <w:color w:val="000000"/>
          <w:spacing w:val="0"/>
          <w:w w:val="100"/>
          <w:position w:val="0"/>
        </w:rPr>
        <w:t>四、董事会下设专门委员会在报告期内履行职责时所提出的重要意见和建议</w:t>
      </w:r>
      <w:bookmarkEnd w:id="389"/>
      <w:bookmarkEnd w:id="390"/>
      <w:bookmarkEnd w:id="391"/>
    </w:p>
    <w:p>
      <w:pPr>
        <w:pStyle w:val="Style12"/>
        <w:keepNext w:val="0"/>
        <w:keepLines w:val="0"/>
        <w:widowControl w:val="0"/>
        <w:shd w:val="clear" w:color="auto" w:fill="auto"/>
        <w:bidi w:val="0"/>
        <w:spacing w:before="0" w:after="160" w:line="283" w:lineRule="exact"/>
        <w:ind w:left="0" w:right="0" w:firstLine="440"/>
        <w:jc w:val="left"/>
      </w:pPr>
      <w:r>
        <w:rPr>
          <w:color w:val="000000"/>
          <w:spacing w:val="0"/>
          <w:w w:val="100"/>
          <w:position w:val="0"/>
        </w:rPr>
        <w:t>报告期内，公司董事会各专门委员会按照各自工作细则的规定，以积极主动、认真负责、勤勉 诚信的态度忠实履行各自职责，为完善公司治理结构、促进公司发展起到了积极的作用。</w:t>
      </w:r>
    </w:p>
    <w:p>
      <w:pPr>
        <w:pStyle w:val="Style29"/>
        <w:keepNext/>
        <w:keepLines/>
        <w:widowControl w:val="0"/>
        <w:shd w:val="clear" w:color="auto" w:fill="auto"/>
        <w:tabs>
          <w:tab w:pos="336" w:val="left"/>
        </w:tabs>
        <w:bidi w:val="0"/>
        <w:spacing w:before="0" w:after="60" w:line="283"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w:t>
        <w:tab/>
        <w:t>董事会下设的审计委员会的履职情况</w:t>
      </w:r>
      <w:bookmarkEnd w:id="392"/>
      <w:bookmarkEnd w:id="393"/>
      <w:bookmarkEnd w:id="395"/>
    </w:p>
    <w:p>
      <w:pPr>
        <w:pStyle w:val="Style12"/>
        <w:keepNext w:val="0"/>
        <w:keepLines w:val="0"/>
        <w:widowControl w:val="0"/>
        <w:shd w:val="clear" w:color="auto" w:fill="auto"/>
        <w:bidi w:val="0"/>
        <w:spacing w:before="0" w:after="160" w:line="272" w:lineRule="exact"/>
        <w:ind w:left="0" w:right="0" w:firstLine="440"/>
        <w:jc w:val="both"/>
      </w:pPr>
      <w:r>
        <w:rPr>
          <w:color w:val="000000"/>
          <w:spacing w:val="0"/>
          <w:w w:val="100"/>
          <w:position w:val="0"/>
        </w:rPr>
        <w:t>公司审计委员会在年审会计师进场审计之前，对公司财务报表进行了审议并形成了书面意见。 在年审会计师进场开始审计工作后，审计委员会采取书面方式督促年审会计师按工作进度及时完成 年报审计工作。年审会计师出具初步审计意见后，审计委员会对公司财务报告又进行了认真审核并 形成书面意见，决定同意将经年审会计师正式审计的公司</w:t>
      </w:r>
      <w:r>
        <w:rPr>
          <w:rFonts w:ascii="Times New Roman" w:eastAsia="Times New Roman" w:hAnsi="Times New Roman" w:cs="Times New Roman"/>
          <w:color w:val="000000"/>
          <w:spacing w:val="0"/>
          <w:w w:val="100"/>
          <w:position w:val="0"/>
        </w:rPr>
        <w:t>2012</w:t>
      </w:r>
      <w:r>
        <w:rPr>
          <w:color w:val="000000"/>
          <w:spacing w:val="0"/>
          <w:w w:val="100"/>
          <w:position w:val="0"/>
        </w:rPr>
        <w:t>年度财务会计报表提交董事会审核。 审计委员会还对立信从事</w:t>
      </w:r>
      <w:r>
        <w:rPr>
          <w:rFonts w:ascii="Times New Roman" w:eastAsia="Times New Roman" w:hAnsi="Times New Roman" w:cs="Times New Roman"/>
          <w:color w:val="000000"/>
          <w:spacing w:val="0"/>
          <w:w w:val="100"/>
          <w:position w:val="0"/>
        </w:rPr>
        <w:t>2012</w:t>
      </w:r>
      <w:r>
        <w:rPr>
          <w:color w:val="000000"/>
          <w:spacing w:val="0"/>
          <w:w w:val="100"/>
          <w:position w:val="0"/>
        </w:rPr>
        <w:t>年公司审计所作的工作进行了总结，建议续聘立信为公司</w:t>
      </w:r>
      <w:r>
        <w:rPr>
          <w:rFonts w:ascii="Times New Roman" w:eastAsia="Times New Roman" w:hAnsi="Times New Roman" w:cs="Times New Roman"/>
          <w:color w:val="000000"/>
          <w:spacing w:val="0"/>
          <w:w w:val="100"/>
          <w:position w:val="0"/>
        </w:rPr>
        <w:t>2013</w:t>
      </w:r>
      <w:r>
        <w:rPr>
          <w:color w:val="000000"/>
          <w:spacing w:val="0"/>
          <w:w w:val="100"/>
          <w:position w:val="0"/>
        </w:rPr>
        <w:t>年度 的财务报告审计机构。此外，董事会审计委员会在审议日常关联交易时对关联交易的必要性和合理 性进行了认真审核，并与公司及年审会计师进行了充分沟通，实施了有效监督。</w:t>
      </w:r>
    </w:p>
    <w:p>
      <w:pPr>
        <w:pStyle w:val="Style29"/>
        <w:keepNext/>
        <w:keepLines/>
        <w:widowControl w:val="0"/>
        <w:shd w:val="clear" w:color="auto" w:fill="auto"/>
        <w:tabs>
          <w:tab w:pos="345" w:val="left"/>
        </w:tabs>
        <w:bidi w:val="0"/>
        <w:spacing w:before="0" w:after="60" w:line="283"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董事会下设的薪酬与考核委员会的履职情况</w:t>
      </w:r>
      <w:bookmarkEnd w:id="396"/>
      <w:bookmarkEnd w:id="397"/>
      <w:bookmarkEnd w:id="399"/>
    </w:p>
    <w:p>
      <w:pPr>
        <w:pStyle w:val="Style12"/>
        <w:keepNext w:val="0"/>
        <w:keepLines w:val="0"/>
        <w:widowControl w:val="0"/>
        <w:shd w:val="clear" w:color="auto" w:fill="auto"/>
        <w:bidi w:val="0"/>
        <w:spacing w:before="0" w:after="160" w:line="268" w:lineRule="exact"/>
        <w:ind w:left="0" w:right="0" w:firstLine="440"/>
        <w:jc w:val="left"/>
      </w:pPr>
      <w:r>
        <w:rPr>
          <w:color w:val="000000"/>
          <w:spacing w:val="0"/>
          <w:w w:val="100"/>
          <w:position w:val="0"/>
        </w:rPr>
        <w:t>薪酬与考核委员会对报告期内董事会确定的考核目标进行了评估考核。薪酬与考核委员会认真 审核后认为：</w:t>
      </w:r>
      <w:r>
        <w:rPr>
          <w:rFonts w:ascii="Times New Roman" w:eastAsia="Times New Roman" w:hAnsi="Times New Roman" w:cs="Times New Roman"/>
          <w:color w:val="000000"/>
          <w:spacing w:val="0"/>
          <w:w w:val="100"/>
          <w:position w:val="0"/>
        </w:rPr>
        <w:t>2013</w:t>
      </w:r>
      <w:r>
        <w:rPr>
          <w:color w:val="000000"/>
          <w:spacing w:val="0"/>
          <w:w w:val="100"/>
          <w:position w:val="0"/>
        </w:rPr>
        <w:t>年度公司对董事、高级管理人员支付的报酬、独立董事的年度津贴以及年度考核 奖励意见，符合公司有关薪酬政策及考核标准，未有违反公司薪酬管理制度的情况发生。报告期内， 董事会薪酬与考核委员会对</w:t>
      </w:r>
      <w:r>
        <w:rPr>
          <w:rFonts w:ascii="Times New Roman" w:eastAsia="Times New Roman" w:hAnsi="Times New Roman" w:cs="Times New Roman"/>
          <w:color w:val="000000"/>
          <w:spacing w:val="0"/>
          <w:w w:val="100"/>
          <w:position w:val="0"/>
        </w:rPr>
        <w:t>98</w:t>
      </w:r>
      <w:r>
        <w:rPr>
          <w:color w:val="000000"/>
          <w:spacing w:val="0"/>
          <w:w w:val="100"/>
          <w:position w:val="0"/>
        </w:rPr>
        <w:t>位股权激励对象的解锁资格进行审核，与年初绩效目标任务书考核 比较，除</w:t>
      </w:r>
      <w:r>
        <w:rPr>
          <w:rFonts w:ascii="Times New Roman" w:eastAsia="Times New Roman" w:hAnsi="Times New Roman" w:cs="Times New Roman"/>
          <w:color w:val="000000"/>
          <w:spacing w:val="0"/>
          <w:w w:val="100"/>
          <w:position w:val="0"/>
        </w:rPr>
        <w:t>2</w:t>
      </w:r>
      <w:r>
        <w:rPr>
          <w:color w:val="000000"/>
          <w:spacing w:val="0"/>
          <w:w w:val="100"/>
          <w:position w:val="0"/>
        </w:rPr>
        <w:t>位离职员工外其余</w:t>
      </w:r>
      <w:r>
        <w:rPr>
          <w:rFonts w:ascii="Times New Roman" w:eastAsia="Times New Roman" w:hAnsi="Times New Roman" w:cs="Times New Roman"/>
          <w:color w:val="000000"/>
          <w:spacing w:val="0"/>
          <w:w w:val="100"/>
          <w:position w:val="0"/>
        </w:rPr>
        <w:t>98</w:t>
      </w:r>
      <w:r>
        <w:rPr>
          <w:color w:val="000000"/>
          <w:spacing w:val="0"/>
          <w:w w:val="100"/>
          <w:position w:val="0"/>
        </w:rPr>
        <w:t>名激励对象均符合限制性股票地一批解锁资格。</w:t>
      </w:r>
    </w:p>
    <w:p>
      <w:pPr>
        <w:pStyle w:val="Style29"/>
        <w:keepNext/>
        <w:keepLines/>
        <w:widowControl w:val="0"/>
        <w:shd w:val="clear" w:color="auto" w:fill="auto"/>
        <w:tabs>
          <w:tab w:pos="345" w:val="left"/>
        </w:tabs>
        <w:bidi w:val="0"/>
        <w:spacing w:before="0" w:after="60" w:line="283"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董事会下设的战略委员会的履职情况</w:t>
      </w:r>
      <w:bookmarkEnd w:id="400"/>
      <w:bookmarkEnd w:id="401"/>
      <w:bookmarkEnd w:id="403"/>
    </w:p>
    <w:p>
      <w:pPr>
        <w:pStyle w:val="Style12"/>
        <w:keepNext w:val="0"/>
        <w:keepLines w:val="0"/>
        <w:widowControl w:val="0"/>
        <w:shd w:val="clear" w:color="auto" w:fill="auto"/>
        <w:bidi w:val="0"/>
        <w:spacing w:before="0" w:line="269" w:lineRule="exact"/>
        <w:ind w:left="0" w:right="0" w:firstLine="440"/>
        <w:jc w:val="both"/>
      </w:pPr>
      <w:r>
        <w:rPr>
          <w:color w:val="000000"/>
          <w:spacing w:val="0"/>
          <w:w w:val="100"/>
          <w:position w:val="0"/>
        </w:rPr>
        <w:t>报告期内，战略委员会按照《公司董事会战略委员会议事规则》等相关制度的规定，对公司战 略的制定、执行及重大投资项目进行了充分的调研和论证，与董事会及管理层认真分析了公司所处 的行业环境、技术发展状况和市场形势，对公司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年发展目标和公司的中长期发展战略进行了 </w:t>
      </w:r>
      <w:r>
        <w:rPr>
          <w:color w:val="000000"/>
          <w:spacing w:val="0"/>
          <w:w w:val="100"/>
          <w:position w:val="0"/>
        </w:rPr>
        <w:t>较为系统的规划研究，并对公司发展战略及实施提出了合理化建议。充分利用上海自贸区的优势在 上海外高桥投资设立了林洋能源科技（上海）有限公司，及时履行了战略委员会委员的职责。</w:t>
      </w:r>
    </w:p>
    <w:p>
      <w:pPr>
        <w:pStyle w:val="Style29"/>
        <w:keepNext/>
        <w:keepLines/>
        <w:widowControl w:val="0"/>
        <w:shd w:val="clear" w:color="auto" w:fill="auto"/>
        <w:bidi w:val="0"/>
        <w:spacing w:before="0" w:after="100" w:line="272" w:lineRule="exact"/>
        <w:ind w:left="0" w:right="0" w:firstLine="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、董事会下设的提名委员会的履职情况</w:t>
      </w:r>
      <w:bookmarkEnd w:id="404"/>
      <w:bookmarkEnd w:id="405"/>
      <w:bookmarkEnd w:id="407"/>
    </w:p>
    <w:p>
      <w:pPr>
        <w:pStyle w:val="Style12"/>
        <w:keepNext w:val="0"/>
        <w:keepLines w:val="0"/>
        <w:widowControl w:val="0"/>
        <w:shd w:val="clear" w:color="auto" w:fill="auto"/>
        <w:bidi w:val="0"/>
        <w:spacing w:before="0" w:after="460" w:line="272" w:lineRule="exact"/>
        <w:ind w:left="0" w:right="0" w:firstLine="480"/>
        <w:jc w:val="both"/>
      </w:pPr>
      <w:r>
        <w:rPr>
          <w:color w:val="000000"/>
          <w:spacing w:val="0"/>
          <w:w w:val="100"/>
          <w:position w:val="0"/>
        </w:rPr>
        <w:t xml:space="preserve">报告期内，董事会提名委员会按照《公司董事会提名委员会议事规则》等相关制度的规定，对 公司董事会和监事会换届选举工作中董事会和监事会成员候选人进行提名，在向公司推荐聘任高级 管理人员过程中，对候选管理人员的工作履历、行业背景及专业经验进行严格筛选，报告期内共向 董事会提名推荐了 </w:t>
      </w:r>
      <w:r>
        <w:rPr>
          <w:rFonts w:ascii="Times New Roman" w:eastAsia="Times New Roman" w:hAnsi="Times New Roman" w:cs="Times New Roman"/>
          <w:color w:val="000000"/>
          <w:spacing w:val="0"/>
          <w:w w:val="100"/>
          <w:position w:val="0"/>
        </w:rPr>
        <w:t>7</w:t>
      </w:r>
      <w:r>
        <w:rPr>
          <w:color w:val="000000"/>
          <w:spacing w:val="0"/>
          <w:w w:val="100"/>
          <w:position w:val="0"/>
        </w:rPr>
        <w:t>名董事会人员和</w:t>
      </w:r>
      <w:r>
        <w:rPr>
          <w:rFonts w:ascii="Times New Roman" w:eastAsia="Times New Roman" w:hAnsi="Times New Roman" w:cs="Times New Roman"/>
          <w:color w:val="000000"/>
          <w:spacing w:val="0"/>
          <w:w w:val="100"/>
          <w:position w:val="0"/>
        </w:rPr>
        <w:t>4</w:t>
      </w:r>
      <w:r>
        <w:rPr>
          <w:color w:val="000000"/>
          <w:spacing w:val="0"/>
          <w:w w:val="100"/>
          <w:position w:val="0"/>
        </w:rPr>
        <w:t>名新聘任的高级管理人员，充分履行了提名委员会委员的职 责，确保了公司的持续稳定发展。</w:t>
      </w:r>
    </w:p>
    <w:p>
      <w:pPr>
        <w:pStyle w:val="Style29"/>
        <w:keepNext/>
        <w:keepLines/>
        <w:widowControl w:val="0"/>
        <w:shd w:val="clear" w:color="auto" w:fill="auto"/>
        <w:tabs>
          <w:tab w:pos="631" w:val="left"/>
        </w:tabs>
        <w:bidi w:val="0"/>
        <w:spacing w:before="0" w:after="100" w:line="275" w:lineRule="exact"/>
        <w:ind w:left="0" w:right="0" w:firstLine="0"/>
        <w:jc w:val="both"/>
      </w:pPr>
      <w:bookmarkStart w:id="408" w:name="bookmark408"/>
      <w:bookmarkStart w:id="409" w:name="bookmark409"/>
      <w:bookmarkStart w:id="410" w:name="bookmark410"/>
      <w:bookmarkStart w:id="411" w:name="bookmark411"/>
      <w:r>
        <w:rPr>
          <w:color w:val="000000"/>
          <w:spacing w:val="0"/>
          <w:w w:val="100"/>
          <w:position w:val="0"/>
        </w:rPr>
        <w:t>五</w:t>
      </w:r>
      <w:bookmarkEnd w:id="410"/>
      <w:r>
        <w:rPr>
          <w:color w:val="000000"/>
          <w:spacing w:val="0"/>
          <w:w w:val="100"/>
          <w:position w:val="0"/>
        </w:rPr>
        <w:t>、</w:t>
        <w:tab/>
        <w:t>监事会发现公司存在风险的说明</w:t>
      </w:r>
      <w:bookmarkEnd w:id="408"/>
      <w:bookmarkEnd w:id="409"/>
      <w:bookmarkEnd w:id="411"/>
    </w:p>
    <w:p>
      <w:pPr>
        <w:pStyle w:val="Style12"/>
        <w:keepNext w:val="0"/>
        <w:keepLines w:val="0"/>
        <w:widowControl w:val="0"/>
        <w:shd w:val="clear" w:color="auto" w:fill="auto"/>
        <w:bidi w:val="0"/>
        <w:spacing w:before="0" w:after="240" w:line="275" w:lineRule="exact"/>
        <w:ind w:left="0" w:right="0" w:firstLine="480"/>
        <w:jc w:val="both"/>
      </w:pPr>
      <w:r>
        <w:rPr>
          <w:color w:val="000000"/>
          <w:spacing w:val="0"/>
          <w:w w:val="100"/>
          <w:position w:val="0"/>
        </w:rPr>
        <w:t>监事会对报告期内的监督事项无异议。</w:t>
      </w:r>
    </w:p>
    <w:p>
      <w:pPr>
        <w:pStyle w:val="Style29"/>
        <w:keepNext/>
        <w:keepLines/>
        <w:widowControl w:val="0"/>
        <w:shd w:val="clear" w:color="auto" w:fill="auto"/>
        <w:tabs>
          <w:tab w:pos="631" w:val="left"/>
        </w:tabs>
        <w:bidi w:val="0"/>
        <w:spacing w:before="0" w:after="100" w:line="275" w:lineRule="exact"/>
        <w:ind w:left="0" w:right="0" w:firstLine="0"/>
        <w:jc w:val="both"/>
      </w:pPr>
      <w:bookmarkStart w:id="412" w:name="bookmark412"/>
      <w:bookmarkStart w:id="413" w:name="bookmark413"/>
      <w:bookmarkStart w:id="414" w:name="bookmark414"/>
      <w:bookmarkStart w:id="415" w:name="bookmark415"/>
      <w:r>
        <w:rPr>
          <w:color w:val="000000"/>
          <w:spacing w:val="0"/>
          <w:w w:val="100"/>
          <w:position w:val="0"/>
        </w:rPr>
        <w:t>六</w:t>
      </w:r>
      <w:bookmarkEnd w:id="414"/>
      <w:r>
        <w:rPr>
          <w:color w:val="000000"/>
          <w:spacing w:val="0"/>
          <w:w w:val="100"/>
          <w:position w:val="0"/>
        </w:rPr>
        <w:t>、</w:t>
        <w:tab/>
        <w:t>报告期内对高级管理人员的考评机制，以及激励机制的建立、实施情况</w:t>
      </w:r>
      <w:bookmarkEnd w:id="412"/>
      <w:bookmarkEnd w:id="413"/>
      <w:bookmarkEnd w:id="415"/>
    </w:p>
    <w:p>
      <w:pPr>
        <w:pStyle w:val="Style12"/>
        <w:keepNext w:val="0"/>
        <w:keepLines w:val="0"/>
        <w:widowControl w:val="0"/>
        <w:shd w:val="clear" w:color="auto" w:fill="auto"/>
        <w:bidi w:val="0"/>
        <w:spacing w:before="0" w:line="278" w:lineRule="exact"/>
        <w:ind w:left="0" w:right="0" w:firstLine="480"/>
        <w:jc w:val="both"/>
      </w:pPr>
      <w:r>
        <w:rPr>
          <w:color w:val="000000"/>
          <w:spacing w:val="0"/>
          <w:w w:val="100"/>
          <w:position w:val="0"/>
        </w:rPr>
        <w:t>为了实现公司</w:t>
      </w:r>
      <w:r>
        <w:rPr>
          <w:rFonts w:ascii="Times New Roman" w:eastAsia="Times New Roman" w:hAnsi="Times New Roman" w:cs="Times New Roman"/>
          <w:color w:val="000000"/>
          <w:spacing w:val="0"/>
          <w:w w:val="100"/>
          <w:position w:val="0"/>
        </w:rPr>
        <w:t>2013</w:t>
      </w:r>
      <w:r>
        <w:rPr>
          <w:color w:val="000000"/>
          <w:spacing w:val="0"/>
          <w:w w:val="100"/>
          <w:position w:val="0"/>
        </w:rPr>
        <w:t>年经营目标，报告期内，公司已初步建立了高级管理人员的绩效考评机制, 通过年初绩效目标任务书对高级管理人员实施年度、季度、月度目标责任考核，依照公司全年经营 目标完成情况，结合年度个人考核评价结果，对高级管理人员进行了业绩考核并兑现年薪和绩效奖 励。</w:t>
      </w:r>
    </w:p>
    <w:p>
      <w:pPr>
        <w:pStyle w:val="Style12"/>
        <w:keepNext w:val="0"/>
        <w:keepLines w:val="0"/>
        <w:widowControl w:val="0"/>
        <w:shd w:val="clear" w:color="auto" w:fill="auto"/>
        <w:bidi w:val="0"/>
        <w:spacing w:before="0" w:line="272" w:lineRule="exact"/>
        <w:ind w:left="0" w:right="0" w:firstLine="480"/>
        <w:jc w:val="both"/>
        <w:sectPr>
          <w:headerReference w:type="default" r:id="rId41"/>
          <w:footerReference w:type="default" r:id="rId42"/>
          <w:footnotePr>
            <w:pos w:val="pageBottom"/>
            <w:numFmt w:val="decimal"/>
            <w:numRestart w:val="continuous"/>
          </w:footnotePr>
          <w:pgSz w:w="12240" w:h="15840"/>
          <w:pgMar w:top="1066" w:right="1552" w:bottom="1719" w:left="1362" w:header="0" w:footer="3" w:gutter="0"/>
          <w:cols w:space="720"/>
          <w:noEndnote/>
          <w:rtlGutter w:val="0"/>
          <w:docGrid w:linePitch="360"/>
        </w:sectPr>
      </w:pPr>
      <w:r>
        <w:rPr>
          <w:color w:val="000000"/>
          <w:spacing w:val="0"/>
          <w:w w:val="100"/>
          <w:position w:val="0"/>
        </w:rPr>
        <w:t>董事会下设薪酬与考核委员会，建立了相应的工作细则，为有效调动高管人员的积极性和创造 力，董事会薪酬与考核委员根据</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年第三次临时股东大会审议通过的《公司首期限制性股票激 励计划（草案）》和《公司首期限制性股票激励计划实施考核管理办法》的议案。报告期内，公司 薪酬与考核委员会对</w:t>
      </w:r>
      <w:r>
        <w:rPr>
          <w:rFonts w:ascii="Times New Roman" w:eastAsia="Times New Roman" w:hAnsi="Times New Roman" w:cs="Times New Roman"/>
          <w:color w:val="000000"/>
          <w:spacing w:val="0"/>
          <w:w w:val="100"/>
          <w:position w:val="0"/>
        </w:rPr>
        <w:t>2013</w:t>
      </w:r>
      <w:r>
        <w:rPr>
          <w:color w:val="000000"/>
          <w:spacing w:val="0"/>
          <w:w w:val="100"/>
          <w:position w:val="0"/>
        </w:rPr>
        <w:t>年公司第一批激励对象的绩效进行了考核，第一批激励对象全部满足解 锁的要求，通过高级管理人员个人绩效与公司目标向结合，充分调动了高管人员工作的积极性。</w:t>
      </w:r>
    </w:p>
    <w:p>
      <w:pPr>
        <w:pStyle w:val="Style21"/>
        <w:keepNext/>
        <w:keepLines/>
        <w:widowControl w:val="0"/>
        <w:shd w:val="clear" w:color="auto" w:fill="auto"/>
        <w:bidi w:val="0"/>
        <w:spacing w:before="0" w:after="280" w:line="240" w:lineRule="auto"/>
        <w:ind w:left="0" w:right="0" w:firstLine="0"/>
        <w:jc w:val="center"/>
      </w:pPr>
      <w:bookmarkStart w:id="416" w:name="bookmark416"/>
      <w:bookmarkStart w:id="417" w:name="bookmark417"/>
      <w:bookmarkStart w:id="418" w:name="bookmark418"/>
      <w:r>
        <w:rPr>
          <w:color w:val="000000"/>
          <w:spacing w:val="0"/>
          <w:w w:val="100"/>
          <w:position w:val="0"/>
        </w:rPr>
        <w:t>第九节内部控制</w:t>
      </w:r>
      <w:bookmarkEnd w:id="416"/>
      <w:bookmarkEnd w:id="417"/>
      <w:bookmarkEnd w:id="418"/>
    </w:p>
    <w:p>
      <w:pPr>
        <w:pStyle w:val="Style29"/>
        <w:keepNext/>
        <w:keepLines/>
        <w:widowControl w:val="0"/>
        <w:shd w:val="clear" w:color="auto" w:fill="auto"/>
        <w:tabs>
          <w:tab w:pos="643" w:val="left"/>
        </w:tabs>
        <w:bidi w:val="0"/>
        <w:spacing w:before="0" w:after="100" w:line="274"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一</w:t>
      </w:r>
      <w:bookmarkEnd w:id="421"/>
      <w:r>
        <w:rPr>
          <w:color w:val="000000"/>
          <w:spacing w:val="0"/>
          <w:w w:val="100"/>
          <w:position w:val="0"/>
        </w:rPr>
        <w:t>、</w:t>
        <w:tab/>
        <w:t>内部控制责任声明及内部控制制度建设情况</w:t>
      </w:r>
      <w:bookmarkEnd w:id="419"/>
      <w:bookmarkEnd w:id="420"/>
      <w:bookmarkEnd w:id="422"/>
    </w:p>
    <w:p>
      <w:pPr>
        <w:pStyle w:val="Style12"/>
        <w:keepNext w:val="0"/>
        <w:keepLines w:val="0"/>
        <w:widowControl w:val="0"/>
        <w:shd w:val="clear" w:color="auto" w:fill="auto"/>
        <w:bidi w:val="0"/>
        <w:spacing w:before="0" w:line="274" w:lineRule="exact"/>
        <w:ind w:left="0" w:right="0" w:firstLine="440"/>
        <w:jc w:val="both"/>
      </w:pPr>
      <w:r>
        <w:rPr>
          <w:color w:val="000000"/>
          <w:spacing w:val="0"/>
          <w:w w:val="100"/>
          <w:position w:val="0"/>
        </w:rPr>
        <w:t>公司董事会认为：公司通过建立健全和执行各项内部控制制度，不断完善内部控制机制，在风 险控制、业务控制、财务管理、信息沟通与披露管理等重要方面不存在重大缺陷，实际执行中不存 在重大偏差，能够保证公司经营管理合法合规、资产安全，能够保证公司财务报告及相关信息真实、 准确、完整，能够促进公司可持续发展。公司的内部控制在整体上是有效的。</w:t>
      </w:r>
    </w:p>
    <w:p>
      <w:pPr>
        <w:pStyle w:val="Style12"/>
        <w:keepNext w:val="0"/>
        <w:keepLines w:val="0"/>
        <w:widowControl w:val="0"/>
        <w:shd w:val="clear" w:color="auto" w:fill="auto"/>
        <w:bidi w:val="0"/>
        <w:spacing w:before="0" w:line="274" w:lineRule="exact"/>
        <w:ind w:left="0" w:right="0" w:firstLine="440"/>
        <w:jc w:val="both"/>
      </w:pPr>
      <w:r>
        <w:rPr>
          <w:color w:val="000000"/>
          <w:spacing w:val="0"/>
          <w:w w:val="100"/>
          <w:position w:val="0"/>
        </w:rPr>
        <w:t>为进一步加强和规范公司内部控制，根据《企业内部控制基本规范》（财会</w:t>
      </w:r>
      <w:r>
        <w:rPr>
          <w:rFonts w:ascii="Times New Roman" w:eastAsia="Times New Roman" w:hAnsi="Times New Roman" w:cs="Times New Roman"/>
          <w:color w:val="000000"/>
          <w:spacing w:val="0"/>
          <w:w w:val="100"/>
          <w:position w:val="0"/>
        </w:rPr>
        <w:t>[2008]7</w:t>
      </w:r>
      <w:r>
        <w:rPr>
          <w:color w:val="000000"/>
          <w:spacing w:val="0"/>
          <w:w w:val="100"/>
          <w:position w:val="0"/>
        </w:rPr>
        <w:t>号文）及《企 业内部控制配套指引》（财会</w:t>
      </w:r>
      <w:r>
        <w:rPr>
          <w:rFonts w:ascii="Times New Roman" w:eastAsia="Times New Roman" w:hAnsi="Times New Roman" w:cs="Times New Roman"/>
          <w:color w:val="000000"/>
          <w:spacing w:val="0"/>
          <w:w w:val="100"/>
          <w:position w:val="0"/>
        </w:rPr>
        <w:t>[2010]11</w:t>
      </w:r>
      <w:r>
        <w:rPr>
          <w:color w:val="000000"/>
          <w:spacing w:val="0"/>
          <w:w w:val="100"/>
          <w:position w:val="0"/>
        </w:rPr>
        <w:t>号文），提高公司经营管理水平和风险防范能力，促进公司战 略发展目标的实现和可持续发展，公司组织各部门开展内部控制规范对标工作，公司特聘请专业机 构提供内部控制咨询服务，将已有制度和相关规定逐项对照，发现不足，及时整改，优化了业务流 程和风险控制，并分别编制了公司的《内部控制管理手册》、《内部控制评价手册》。目前已建立了 较为完善、适用和有效的内部控制体系。</w:t>
      </w:r>
    </w:p>
    <w:p>
      <w:pPr>
        <w:pStyle w:val="Style1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公司已经根据基本规范、评价指引及其他相关法律法规的要求，对公司截至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日的内部控制设计与运行的有效性进行了自我评价。报告期内，公司对纳入评价范围的业务与事项 均已建立了内部控制，并得以有效执行，达到了公司内部控制的目标，不存在重大缺陷，并随着实 际情况的变化及时加以调整。未来期间，公司将根据主营业务的发展及生产经营状况，持续完善内 部控制规范体系，严格内部控制制度和流程的执行，强化内部控制监督检查、促进公司健康、可持 续发展。</w:t>
      </w:r>
    </w:p>
    <w:p>
      <w:pPr>
        <w:pStyle w:val="Style29"/>
        <w:keepNext/>
        <w:keepLines/>
        <w:widowControl w:val="0"/>
        <w:shd w:val="clear" w:color="auto" w:fill="auto"/>
        <w:tabs>
          <w:tab w:pos="643" w:val="left"/>
        </w:tabs>
        <w:bidi w:val="0"/>
        <w:spacing w:before="0" w:after="100" w:line="274" w:lineRule="exact"/>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二</w:t>
      </w:r>
      <w:bookmarkEnd w:id="425"/>
      <w:r>
        <w:rPr>
          <w:color w:val="000000"/>
          <w:spacing w:val="0"/>
          <w:w w:val="100"/>
          <w:position w:val="0"/>
        </w:rPr>
        <w:t>、</w:t>
        <w:tab/>
        <w:t>年度报告重大差错责任追究制度及相关执行情况说明</w:t>
      </w:r>
      <w:bookmarkEnd w:id="423"/>
      <w:bookmarkEnd w:id="424"/>
      <w:bookmarkEnd w:id="426"/>
    </w:p>
    <w:p>
      <w:pPr>
        <w:pStyle w:val="Style12"/>
        <w:keepNext w:val="0"/>
        <w:keepLines w:val="0"/>
        <w:widowControl w:val="0"/>
        <w:shd w:val="clear" w:color="auto" w:fill="auto"/>
        <w:bidi w:val="0"/>
        <w:spacing w:before="0" w:line="274" w:lineRule="exact"/>
        <w:ind w:left="0" w:right="0" w:firstLine="440"/>
        <w:jc w:val="both"/>
      </w:pPr>
      <w:r>
        <w:rPr>
          <w:color w:val="000000"/>
          <w:spacing w:val="0"/>
          <w:w w:val="100"/>
          <w:position w:val="0"/>
        </w:rPr>
        <w:t>公司建立了《信息披露事务管理制度》《重大信息内部报告制度》《内幕信息知情人登记管理制 度》等。根据相关规定，信息披露义务人或知情人因工作失职或违反制度规定，致使公司信息披露 工作出现失误或给公司带来损失的，应查明原因，依情节轻重追究当事人的责任。</w:t>
      </w:r>
    </w:p>
    <w:p>
      <w:pPr>
        <w:pStyle w:val="Style12"/>
        <w:keepNext w:val="0"/>
        <w:keepLines w:val="0"/>
        <w:widowControl w:val="0"/>
        <w:shd w:val="clear" w:color="auto" w:fill="auto"/>
        <w:bidi w:val="0"/>
        <w:spacing w:before="0" w:line="274" w:lineRule="exact"/>
        <w:ind w:left="0" w:right="0" w:firstLine="440"/>
        <w:jc w:val="both"/>
        <w:sectPr>
          <w:footnotePr>
            <w:pos w:val="pageBottom"/>
            <w:numFmt w:val="decimal"/>
            <w:numRestart w:val="continuous"/>
          </w:footnotePr>
          <w:pgSz w:w="12240" w:h="15840"/>
          <w:pgMar w:top="1373" w:right="1675" w:bottom="1373" w:left="1421" w:header="0" w:footer="3" w:gutter="0"/>
          <w:cols w:space="720"/>
          <w:noEndnote/>
          <w:rtlGutter w:val="0"/>
          <w:docGrid w:linePitch="360"/>
        </w:sectPr>
      </w:pPr>
      <w:r>
        <w:rPr>
          <w:color w:val="000000"/>
          <w:spacing w:val="0"/>
          <w:w w:val="100"/>
          <w:position w:val="0"/>
        </w:rPr>
        <w:t>报告期内，公司未出现年报信息披露重大差错。</w:t>
      </w:r>
    </w:p>
    <w:p>
      <w:pPr>
        <w:pStyle w:val="Style21"/>
        <w:keepNext/>
        <w:keepLines/>
        <w:widowControl w:val="0"/>
        <w:shd w:val="clear" w:color="auto" w:fill="auto"/>
        <w:bidi w:val="0"/>
        <w:spacing w:before="240" w:after="260" w:line="240" w:lineRule="auto"/>
        <w:ind w:left="0" w:right="0" w:firstLine="0"/>
        <w:jc w:val="center"/>
      </w:pPr>
      <w:bookmarkStart w:id="427" w:name="bookmark427"/>
      <w:bookmarkStart w:id="428" w:name="bookmark428"/>
      <w:bookmarkStart w:id="429" w:name="bookmark429"/>
      <w:r>
        <w:rPr>
          <w:color w:val="000000"/>
          <w:spacing w:val="0"/>
          <w:w w:val="100"/>
          <w:position w:val="0"/>
        </w:rPr>
        <w:t>第十节财务会计报告</w:t>
      </w:r>
      <w:bookmarkEnd w:id="427"/>
      <w:bookmarkEnd w:id="428"/>
      <w:bookmarkEnd w:id="429"/>
    </w:p>
    <w:p>
      <w:pPr>
        <w:pStyle w:val="Style12"/>
        <w:keepNext w:val="0"/>
        <w:keepLines w:val="0"/>
        <w:widowControl w:val="0"/>
        <w:shd w:val="clear" w:color="auto" w:fill="auto"/>
        <w:bidi w:val="0"/>
        <w:spacing w:before="0" w:after="260" w:line="278" w:lineRule="exact"/>
        <w:ind w:left="0" w:right="0" w:firstLine="480"/>
        <w:jc w:val="both"/>
      </w:pPr>
      <w:r>
        <w:rPr>
          <w:color w:val="000000"/>
          <w:spacing w:val="0"/>
          <w:w w:val="100"/>
          <w:position w:val="0"/>
        </w:rPr>
        <w:t>公司年度财务报告已经立信会计师事务所（特殊普通合伙）注册会计师严劫、张涛审计，并出 具了标准无保留意见的审计报告。</w:t>
      </w:r>
    </w:p>
    <w:p>
      <w:pPr>
        <w:pStyle w:val="Style12"/>
        <w:keepNext w:val="0"/>
        <w:keepLines w:val="0"/>
        <w:widowControl w:val="0"/>
        <w:shd w:val="clear" w:color="auto" w:fill="auto"/>
        <w:bidi w:val="0"/>
        <w:spacing w:before="0" w:after="40" w:line="278" w:lineRule="exact"/>
        <w:ind w:left="0" w:right="0" w:firstLine="0"/>
        <w:jc w:val="left"/>
      </w:pPr>
      <w:r>
        <w:rPr>
          <w:color w:val="000000"/>
          <w:spacing w:val="0"/>
          <w:w w:val="100"/>
          <w:position w:val="0"/>
        </w:rPr>
        <w:t>一、 审计报告</w:t>
      </w:r>
    </w:p>
    <w:p>
      <w:pPr>
        <w:pStyle w:val="Style15"/>
        <w:keepNext w:val="0"/>
        <w:keepLines w:val="0"/>
        <w:widowControl w:val="0"/>
        <w:shd w:val="clear" w:color="auto" w:fill="auto"/>
        <w:bidi w:val="0"/>
        <w:spacing w:before="0" w:after="380" w:line="240" w:lineRule="auto"/>
        <w:ind w:left="0" w:right="0" w:firstLine="0"/>
        <w:jc w:val="center"/>
        <w:rPr>
          <w:sz w:val="46"/>
          <w:szCs w:val="46"/>
        </w:rPr>
      </w:pPr>
      <w:r>
        <w:rPr>
          <w:color w:val="000000"/>
          <w:spacing w:val="0"/>
          <w:w w:val="100"/>
          <w:position w:val="0"/>
          <w:sz w:val="46"/>
          <w:szCs w:val="46"/>
        </w:rPr>
        <w:t>审计报告</w:t>
      </w:r>
    </w:p>
    <w:p>
      <w:pPr>
        <w:pStyle w:val="Style53"/>
        <w:keepNext w:val="0"/>
        <w:keepLines w:val="0"/>
        <w:widowControl w:val="0"/>
        <w:shd w:val="clear" w:color="auto" w:fill="auto"/>
        <w:bidi w:val="0"/>
        <w:spacing w:before="0" w:after="260" w:line="240" w:lineRule="auto"/>
        <w:ind w:left="0" w:right="140" w:firstLine="0"/>
        <w:jc w:val="right"/>
      </w:pPr>
      <w:r>
        <w:rPr>
          <w:rFonts w:ascii="SimSun" w:eastAsia="SimSun" w:hAnsi="SimSun" w:cs="SimSun"/>
          <w:color w:val="000000"/>
          <w:spacing w:val="0"/>
          <w:w w:val="100"/>
          <w:position w:val="0"/>
        </w:rPr>
        <w:t>信会师报字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112483</w:t>
      </w:r>
      <w:r>
        <w:rPr>
          <w:rFonts w:ascii="SimSun" w:eastAsia="SimSun" w:hAnsi="SimSun" w:cs="SimSun"/>
          <w:color w:val="000000"/>
          <w:spacing w:val="0"/>
          <w:w w:val="100"/>
          <w:position w:val="0"/>
        </w:rPr>
        <w:t>号</w:t>
      </w:r>
    </w:p>
    <w:p>
      <w:pPr>
        <w:pStyle w:val="Style88"/>
        <w:keepNext w:val="0"/>
        <w:keepLines w:val="0"/>
        <w:widowControl w:val="0"/>
        <w:shd w:val="clear" w:color="auto" w:fill="auto"/>
        <w:bidi w:val="0"/>
        <w:spacing w:before="0" w:after="320"/>
        <w:ind w:left="0" w:right="0" w:firstLine="0"/>
        <w:jc w:val="left"/>
      </w:pPr>
      <w:r>
        <w:rPr>
          <w:b/>
          <w:bCs/>
          <w:color w:val="000000"/>
          <w:spacing w:val="0"/>
          <w:w w:val="100"/>
          <w:position w:val="0"/>
        </w:rPr>
        <w:t>江苏林洋电子股份有限公司全体股东：</w:t>
      </w:r>
    </w:p>
    <w:p>
      <w:pPr>
        <w:pStyle w:val="Style88"/>
        <w:keepNext w:val="0"/>
        <w:keepLines w:val="0"/>
        <w:widowControl w:val="0"/>
        <w:shd w:val="clear" w:color="auto" w:fill="auto"/>
        <w:bidi w:val="0"/>
        <w:spacing w:before="0"/>
        <w:ind w:left="0" w:right="0"/>
        <w:jc w:val="both"/>
      </w:pPr>
      <w:r>
        <w:rPr>
          <w:color w:val="000000"/>
          <w:spacing w:val="0"/>
          <w:w w:val="100"/>
          <w:position w:val="0"/>
        </w:rPr>
        <w:t>我们审计了后附的江苏林洋电子股份有限公司（以下简称贵公司）财 务报表，包括</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日的资产负债表和合并资产负债表、</w:t>
      </w:r>
      <w:r>
        <w:rPr>
          <w:rFonts w:ascii="Times New Roman" w:eastAsia="Times New Roman" w:hAnsi="Times New Roman" w:cs="Times New Roman"/>
          <w:color w:val="000000"/>
          <w:spacing w:val="0"/>
          <w:w w:val="100"/>
          <w:position w:val="0"/>
          <w:sz w:val="28"/>
          <w:szCs w:val="28"/>
        </w:rPr>
        <w:t xml:space="preserve">2013 </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 xml:space="preserve">年度的现金流量表和合并现金流量表、 </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年度的所有者权益变动表和合并所有者权益变动表以及财务报表附 注。</w:t>
      </w:r>
    </w:p>
    <w:p>
      <w:pPr>
        <w:pStyle w:val="Style88"/>
        <w:keepNext w:val="0"/>
        <w:keepLines w:val="0"/>
        <w:widowControl w:val="0"/>
        <w:shd w:val="clear" w:color="auto" w:fill="auto"/>
        <w:tabs>
          <w:tab w:pos="1194" w:val="left"/>
        </w:tabs>
        <w:bidi w:val="0"/>
        <w:spacing w:before="0"/>
        <w:ind w:left="0" w:right="0"/>
        <w:jc w:val="both"/>
      </w:pPr>
      <w:bookmarkStart w:id="430" w:name="bookmark430"/>
      <w:r>
        <w:rPr>
          <w:b/>
          <w:bCs/>
          <w:color w:val="000000"/>
          <w:spacing w:val="0"/>
          <w:w w:val="100"/>
          <w:position w:val="0"/>
        </w:rPr>
        <w:t>一</w:t>
      </w:r>
      <w:bookmarkEnd w:id="430"/>
      <w:r>
        <w:rPr>
          <w:b/>
          <w:bCs/>
          <w:color w:val="000000"/>
          <w:spacing w:val="0"/>
          <w:w w:val="100"/>
          <w:position w:val="0"/>
        </w:rPr>
        <w:t>、</w:t>
        <w:tab/>
        <w:t>管理层对财务报表的责任</w:t>
      </w:r>
    </w:p>
    <w:p>
      <w:pPr>
        <w:pStyle w:val="Style88"/>
        <w:keepNext w:val="0"/>
        <w:keepLines w:val="0"/>
        <w:widowControl w:val="0"/>
        <w:shd w:val="clear" w:color="auto" w:fill="auto"/>
        <w:bidi w:val="0"/>
        <w:spacing w:before="0" w:line="381" w:lineRule="exact"/>
        <w:ind w:left="0" w:right="0"/>
        <w:jc w:val="both"/>
      </w:pPr>
      <w:r>
        <w:rPr>
          <w:color w:val="000000"/>
          <w:spacing w:val="0"/>
          <w:w w:val="100"/>
          <w:position w:val="0"/>
        </w:rPr>
        <w:t>编制和公允列报财务报表是贵公司管理层的责任。这种责任包括： （</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）按照企业会计准则的规定编制财务报表，并使其实现公允反映；（</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 设计、执行和维护必要的内部控制，以使财务报表不存在由于舞弊或错误 导致的重大错报。</w:t>
      </w:r>
    </w:p>
    <w:p>
      <w:pPr>
        <w:pStyle w:val="Style88"/>
        <w:keepNext w:val="0"/>
        <w:keepLines w:val="0"/>
        <w:widowControl w:val="0"/>
        <w:shd w:val="clear" w:color="auto" w:fill="auto"/>
        <w:tabs>
          <w:tab w:pos="1194" w:val="left"/>
        </w:tabs>
        <w:bidi w:val="0"/>
        <w:spacing w:before="0"/>
        <w:ind w:left="0" w:right="0"/>
        <w:jc w:val="both"/>
      </w:pPr>
      <w:bookmarkStart w:id="431" w:name="bookmark431"/>
      <w:r>
        <w:rPr>
          <w:b/>
          <w:bCs/>
          <w:color w:val="000000"/>
          <w:spacing w:val="0"/>
          <w:w w:val="100"/>
          <w:position w:val="0"/>
        </w:rPr>
        <w:t>二</w:t>
      </w:r>
      <w:bookmarkEnd w:id="431"/>
      <w:r>
        <w:rPr>
          <w:b/>
          <w:bCs/>
          <w:color w:val="000000"/>
          <w:spacing w:val="0"/>
          <w:w w:val="100"/>
          <w:position w:val="0"/>
        </w:rPr>
        <w:t>、</w:t>
        <w:tab/>
        <w:t>注册会计师的责任</w:t>
      </w:r>
    </w:p>
    <w:p>
      <w:pPr>
        <w:pStyle w:val="Style88"/>
        <w:keepNext w:val="0"/>
        <w:keepLines w:val="0"/>
        <w:widowControl w:val="0"/>
        <w:shd w:val="clear" w:color="auto" w:fill="auto"/>
        <w:bidi w:val="0"/>
        <w:spacing w:before="0"/>
        <w:ind w:left="0" w:right="0"/>
        <w:jc w:val="both"/>
      </w:pPr>
      <w:r>
        <w:rPr>
          <w:color w:val="000000"/>
          <w:spacing w:val="0"/>
          <w:w w:val="100"/>
          <w:position w:val="0"/>
        </w:rPr>
        <w:t>我们的责任是在执行审计工作的基础上对财务报表发表审计意见。我 们按照中国注册会计师审计准则的规定执行了审计工作。中国注册会计师 审计准则要求我们遵守中国注册会计师职业道德守则，计划和执行审计工 作以对财务报表是否不存在重大错报获取合理保证。</w:t>
      </w:r>
    </w:p>
    <w:p>
      <w:pPr>
        <w:pStyle w:val="Style88"/>
        <w:keepNext w:val="0"/>
        <w:keepLines w:val="0"/>
        <w:widowControl w:val="0"/>
        <w:shd w:val="clear" w:color="auto" w:fill="auto"/>
        <w:bidi w:val="0"/>
        <w:spacing w:before="0" w:after="400"/>
        <w:ind w:left="0" w:right="0"/>
        <w:jc w:val="both"/>
      </w:pPr>
      <w:r>
        <w:rPr>
          <w:color w:val="000000"/>
          <w:spacing w:val="0"/>
          <w:w w:val="100"/>
          <w:position w:val="0"/>
        </w:rPr>
        <w:t>审计工作涉及实施审计程序，以获取有关财务报表金额和披露的审计 证据。选择的审计程序取决于注册会计师的判断，包括对由于舞弊或错误 导致的财务报表重大错报风险的评估。在进行风险评估时，注册会计师考</w:t>
        <w:br w:type="page"/>
      </w:r>
      <w:r>
        <w:rPr>
          <w:color w:val="000000"/>
          <w:spacing w:val="0"/>
          <w:w w:val="100"/>
          <w:position w:val="0"/>
        </w:rPr>
        <w:t>虑与财务报表编制和公允列报相关的内部控制，以设计恰当的审计程序， 但目的并非对内部控制的有效性发表意见。审计工作还包括评价管理层选 用会计政策的恰当性和作出会计估计的合理性，以及评价财务报表的总体 列报。</w:t>
      </w:r>
    </w:p>
    <w:p>
      <w:pPr>
        <w:pStyle w:val="Style88"/>
        <w:keepNext w:val="0"/>
        <w:keepLines w:val="0"/>
        <w:widowControl w:val="0"/>
        <w:shd w:val="clear" w:color="auto" w:fill="auto"/>
        <w:bidi w:val="0"/>
        <w:spacing w:before="0" w:after="400" w:line="398" w:lineRule="exact"/>
        <w:ind w:left="0" w:right="0"/>
        <w:jc w:val="both"/>
      </w:pPr>
      <w:r>
        <w:rPr>
          <w:color w:val="000000"/>
          <w:spacing w:val="0"/>
          <w:w w:val="100"/>
          <w:position w:val="0"/>
        </w:rPr>
        <w:t>我们相信，我们获取的审计证据是充分、适当的，为发表审计意见提 供了基础。</w:t>
      </w:r>
    </w:p>
    <w:p>
      <w:pPr>
        <w:pStyle w:val="Style88"/>
        <w:keepNext w:val="0"/>
        <w:keepLines w:val="0"/>
        <w:widowControl w:val="0"/>
        <w:shd w:val="clear" w:color="auto" w:fill="auto"/>
        <w:bidi w:val="0"/>
        <w:spacing w:before="0" w:after="400" w:line="398" w:lineRule="exact"/>
        <w:ind w:left="0" w:right="0"/>
        <w:jc w:val="both"/>
      </w:pPr>
      <w:bookmarkStart w:id="432" w:name="bookmark432"/>
      <w:r>
        <w:rPr>
          <w:b/>
          <w:bCs/>
          <w:color w:val="000000"/>
          <w:spacing w:val="0"/>
          <w:w w:val="100"/>
          <w:position w:val="0"/>
        </w:rPr>
        <w:t>三</w:t>
      </w:r>
      <w:bookmarkEnd w:id="432"/>
      <w:r>
        <w:rPr>
          <w:b/>
          <w:bCs/>
          <w:color w:val="000000"/>
          <w:spacing w:val="0"/>
          <w:w w:val="100"/>
          <w:position w:val="0"/>
        </w:rPr>
        <w:t>、审计意见</w:t>
      </w:r>
    </w:p>
    <w:p>
      <w:pPr>
        <w:pStyle w:val="Style88"/>
        <w:keepNext w:val="0"/>
        <w:keepLines w:val="0"/>
        <w:widowControl w:val="0"/>
        <w:shd w:val="clear" w:color="auto" w:fill="auto"/>
        <w:bidi w:val="0"/>
        <w:spacing w:before="0" w:after="0" w:line="403" w:lineRule="exact"/>
        <w:ind w:left="0" w:right="0"/>
        <w:jc w:val="both"/>
      </w:pPr>
      <w:r>
        <w:rPr>
          <w:color w:val="000000"/>
          <w:spacing w:val="0"/>
          <w:w w:val="100"/>
          <w:position w:val="0"/>
        </w:rPr>
        <w:t>我们认为，贵公司财务报表在所有重大方面按照企业会计准则的规定 编制，公允反映了贵公司</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8"/>
          <w:szCs w:val="28"/>
        </w:rPr>
        <w:t>2013</w:t>
      </w:r>
      <w:r>
        <w:rPr>
          <w:color w:val="000000"/>
          <w:spacing w:val="0"/>
          <w:w w:val="100"/>
          <w:position w:val="0"/>
        </w:rPr>
        <w:t>年度的 经营成果和现金流量。</w:t>
      </w:r>
    </w:p>
    <w:p>
      <w:pPr>
        <w:widowControl w:val="0"/>
        <w:spacing w:line="1" w:lineRule="exact"/>
        <w:sectPr>
          <w:footnotePr>
            <w:pos w:val="pageBottom"/>
            <w:numFmt w:val="decimal"/>
            <w:numRestart w:val="continuous"/>
          </w:footnotePr>
          <w:pgSz w:w="12240" w:h="15840"/>
          <w:pgMar w:top="1128" w:right="1661" w:bottom="1718" w:left="1354" w:header="0" w:footer="3" w:gutter="0"/>
          <w:cols w:space="720"/>
          <w:noEndnote/>
          <w:rtlGutter w:val="0"/>
          <w:docGrid w:linePitch="360"/>
        </w:sectPr>
      </w:pPr>
      <w:r>
        <mc:AlternateContent>
          <mc:Choice Requires="wps">
            <w:drawing>
              <wp:anchor distT="723900" distB="0" distL="0" distR="0" simplePos="0" relativeHeight="125829393" behindDoc="0" locked="0" layoutInCell="1" allowOverlap="1">
                <wp:simplePos x="0" y="0"/>
                <wp:positionH relativeFrom="page">
                  <wp:posOffset>914400</wp:posOffset>
                </wp:positionH>
                <wp:positionV relativeFrom="paragraph">
                  <wp:posOffset>723900</wp:posOffset>
                </wp:positionV>
                <wp:extent cx="1454150" cy="469265"/>
                <wp:wrapTopAndBottom/>
                <wp:docPr id="90" name="Shape 90"/>
                <a:graphic xmlns:a="http://schemas.openxmlformats.org/drawingml/2006/main">
                  <a:graphicData uri="http://schemas.microsoft.com/office/word/2010/wordprocessingShape">
                    <wps:wsp>
                      <wps:cNvSpPr txBox="1"/>
                      <wps:spPr>
                        <a:xfrm>
                          <a:ext cx="1454150" cy="469265"/>
                        </a:xfrm>
                        <a:prstGeom prst="rect"/>
                        <a:noFill/>
                      </wps:spPr>
                      <wps:txbx>
                        <w:txbxContent>
                          <w:p>
                            <w:pPr>
                              <w:pStyle w:val="Style8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立信会计师事务所</w:t>
                            </w:r>
                          </w:p>
                          <w:p>
                            <w:pPr>
                              <w:pStyle w:val="Style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lIns="0" tIns="0" rIns="0" bIns="0">
                        <a:noAutoFit/>
                      </wps:bodyPr>
                    </wps:wsp>
                  </a:graphicData>
                </a:graphic>
              </wp:anchor>
            </w:drawing>
          </mc:Choice>
          <mc:Fallback>
            <w:pict>
              <v:shape id="_x0000_s1116" type="#_x0000_t202" style="position:absolute;margin-left:72.pt;margin-top:57.pt;width:114.5pt;height:36.950000000000003pt;z-index:-125829360;mso-wrap-distance-left:0;mso-wrap-distance-top:57.pt;mso-wrap-distance-right:0;mso-position-horizontal-relative:page" filled="f" stroked="f">
                <v:textbox inset="0,0,0,0">
                  <w:txbxContent>
                    <w:p>
                      <w:pPr>
                        <w:pStyle w:val="Style8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立信会计师事务所</w:t>
                      </w:r>
                    </w:p>
                    <w:p>
                      <w:pPr>
                        <w:pStyle w:val="Style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topAndBottom" anchorx="page"/>
              </v:shape>
            </w:pict>
          </mc:Fallback>
        </mc:AlternateContent>
      </w:r>
      <w:r>
        <mc:AlternateContent>
          <mc:Choice Requires="wps">
            <w:drawing>
              <wp:anchor distT="723900" distB="252730" distL="0" distR="0" simplePos="0" relativeHeight="125829395" behindDoc="0" locked="0" layoutInCell="1" allowOverlap="1">
                <wp:simplePos x="0" y="0"/>
                <wp:positionH relativeFrom="page">
                  <wp:posOffset>4011295</wp:posOffset>
                </wp:positionH>
                <wp:positionV relativeFrom="paragraph">
                  <wp:posOffset>723900</wp:posOffset>
                </wp:positionV>
                <wp:extent cx="1441450" cy="216535"/>
                <wp:wrapTopAndBottom/>
                <wp:docPr id="92" name="Shape 92"/>
                <a:graphic xmlns:a="http://schemas.openxmlformats.org/drawingml/2006/main">
                  <a:graphicData uri="http://schemas.microsoft.com/office/word/2010/wordprocessingShape">
                    <wps:wsp>
                      <wps:cNvSpPr txBox="1"/>
                      <wps:spPr>
                        <a:xfrm>
                          <a:ext cx="1441450" cy="21653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w:t>
                            </w:r>
                          </w:p>
                        </w:txbxContent>
                      </wps:txbx>
                      <wps:bodyPr wrap="none" lIns="0" tIns="0" rIns="0" bIns="0">
                        <a:noAutoFit/>
                      </wps:bodyPr>
                    </wps:wsp>
                  </a:graphicData>
                </a:graphic>
              </wp:anchor>
            </w:drawing>
          </mc:Choice>
          <mc:Fallback>
            <w:pict>
              <v:shape id="_x0000_s1118" type="#_x0000_t202" style="position:absolute;margin-left:315.85000000000002pt;margin-top:57.pt;width:113.5pt;height:17.050000000000001pt;z-index:-125829358;mso-wrap-distance-left:0;mso-wrap-distance-top:57.pt;mso-wrap-distance-right:0;mso-wrap-distance-bottom:19.900000000000002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8" w:right="0" w:bottom="1128" w:left="0" w:header="0" w:footer="3" w:gutter="0"/>
          <w:cols w:space="720"/>
          <w:noEndnote/>
          <w:rtlGutter w:val="0"/>
          <w:docGrid w:linePitch="360"/>
        </w:sectPr>
      </w:pPr>
    </w:p>
    <w:p>
      <w:pPr>
        <w:pStyle w:val="Style8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中国注册会计师:</w:t>
      </w:r>
    </w:p>
    <w:p>
      <w:pPr>
        <w:widowControl w:val="0"/>
        <w:spacing w:line="1" w:lineRule="exact"/>
        <w:sectPr>
          <w:footnotePr>
            <w:pos w:val="pageBottom"/>
            <w:numFmt w:val="decimal"/>
            <w:numRestart w:val="continuous"/>
          </w:footnotePr>
          <w:type w:val="continuous"/>
          <w:pgSz w:w="12240" w:h="15840"/>
          <w:pgMar w:top="1128" w:right="1733" w:bottom="1128" w:left="1378" w:header="0" w:footer="3" w:gutter="0"/>
          <w:cols w:space="720"/>
          <w:noEndnote/>
          <w:rtlGutter w:val="0"/>
          <w:docGrid w:linePitch="360"/>
        </w:sectPr>
      </w:pPr>
      <w:r>
        <mc:AlternateContent>
          <mc:Choice Requires="wps">
            <w:drawing>
              <wp:anchor distT="965200" distB="8890" distL="0" distR="0" simplePos="0" relativeHeight="125829397" behindDoc="0" locked="0" layoutInCell="1" allowOverlap="1">
                <wp:simplePos x="0" y="0"/>
                <wp:positionH relativeFrom="page">
                  <wp:posOffset>923290</wp:posOffset>
                </wp:positionH>
                <wp:positionV relativeFrom="paragraph">
                  <wp:posOffset>965200</wp:posOffset>
                </wp:positionV>
                <wp:extent cx="914400" cy="213360"/>
                <wp:wrapTopAndBottom/>
                <wp:docPr id="94" name="Shape 94"/>
                <a:graphic xmlns:a="http://schemas.openxmlformats.org/drawingml/2006/main">
                  <a:graphicData uri="http://schemas.microsoft.com/office/word/2010/wordprocessingShape">
                    <wps:wsp>
                      <wps:cNvSpPr txBox="1"/>
                      <wps:spPr>
                        <a:xfrm>
                          <a:ext cx="914400" cy="21336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120" type="#_x0000_t202" style="position:absolute;margin-left:72.700000000000003pt;margin-top:76.pt;width:72.pt;height:16.800000000000001pt;z-index:-125829356;mso-wrap-distance-left:0;mso-wrap-distance-top:76.pt;mso-wrap-distance-right:0;mso-wrap-distance-bottom:0.70000000000000007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type="topAndBottom" anchorx="page"/>
              </v:shape>
            </w:pict>
          </mc:Fallback>
        </mc:AlternateContent>
      </w:r>
      <w:r>
        <mc:AlternateContent>
          <mc:Choice Requires="wps">
            <w:drawing>
              <wp:anchor distT="965200" distB="0" distL="0" distR="0" simplePos="0" relativeHeight="125829399" behindDoc="0" locked="0" layoutInCell="1" allowOverlap="1">
                <wp:simplePos x="0" y="0"/>
                <wp:positionH relativeFrom="page">
                  <wp:posOffset>3681730</wp:posOffset>
                </wp:positionH>
                <wp:positionV relativeFrom="paragraph">
                  <wp:posOffset>965200</wp:posOffset>
                </wp:positionV>
                <wp:extent cx="1911350" cy="222250"/>
                <wp:wrapTopAndBottom/>
                <wp:docPr id="96" name="Shape 96"/>
                <a:graphic xmlns:a="http://schemas.openxmlformats.org/drawingml/2006/main">
                  <a:graphicData uri="http://schemas.microsoft.com/office/word/2010/wordprocessingShape">
                    <wps:wsp>
                      <wps:cNvSpPr txBox="1"/>
                      <wps:spPr>
                        <a:xfrm>
                          <a:ext cx="1911350" cy="22225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二。一四年四月二十日</w:t>
                            </w:r>
                          </w:p>
                        </w:txbxContent>
                      </wps:txbx>
                      <wps:bodyPr wrap="none" lIns="0" tIns="0" rIns="0" bIns="0">
                        <a:noAutoFit/>
                      </wps:bodyPr>
                    </wps:wsp>
                  </a:graphicData>
                </a:graphic>
              </wp:anchor>
            </w:drawing>
          </mc:Choice>
          <mc:Fallback>
            <w:pict>
              <v:shape id="_x0000_s1122" type="#_x0000_t202" style="position:absolute;margin-left:289.90000000000003pt;margin-top:76.pt;width:150.5pt;height:17.5pt;z-index:-125829354;mso-wrap-distance-left:0;mso-wrap-distance-top:76.pt;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二。一四年四月二十日</w:t>
                      </w:r>
                    </w:p>
                  </w:txbxContent>
                </v:textbox>
                <w10:wrap type="topAndBottom" anchorx="page"/>
              </v:shape>
            </w:pict>
          </mc:Fallback>
        </mc:AlternateContent>
      </w:r>
    </w:p>
    <w:p>
      <w:pPr>
        <w:pStyle w:val="Style29"/>
        <w:keepNext/>
        <w:keepLines/>
        <w:widowControl w:val="0"/>
        <w:shd w:val="clear" w:color="auto" w:fill="auto"/>
        <w:bidi w:val="0"/>
        <w:spacing w:before="0" w:after="280" w:line="240" w:lineRule="auto"/>
        <w:ind w:left="0" w:right="0" w:firstLine="0"/>
        <w:jc w:val="left"/>
      </w:pPr>
      <w:bookmarkStart w:id="433" w:name="bookmark433"/>
      <w:bookmarkStart w:id="434" w:name="bookmark434"/>
      <w:bookmarkStart w:id="435" w:name="bookmark435"/>
      <w:r>
        <w:rPr>
          <w:color w:val="000000"/>
          <w:spacing w:val="0"/>
          <w:w w:val="100"/>
          <w:position w:val="0"/>
        </w:rPr>
        <w:t>二、财务报表</w:t>
      </w:r>
      <w:bookmarkEnd w:id="433"/>
      <w:bookmarkEnd w:id="434"/>
      <w:bookmarkEnd w:id="435"/>
    </w:p>
    <w:p>
      <w:pPr>
        <w:pStyle w:val="Style29"/>
        <w:keepNext/>
        <w:keepLines/>
        <w:widowControl w:val="0"/>
        <w:shd w:val="clear" w:color="auto" w:fill="auto"/>
        <w:bidi w:val="0"/>
        <w:spacing w:before="0" w:after="0" w:line="240" w:lineRule="auto"/>
        <w:ind w:left="0" w:right="0" w:firstLine="0"/>
        <w:jc w:val="center"/>
      </w:pPr>
      <w:bookmarkStart w:id="433" w:name="bookmark433"/>
      <w:bookmarkStart w:id="434" w:name="bookmark434"/>
      <w:bookmarkStart w:id="436" w:name="bookmark436"/>
      <w:r>
        <w:rPr>
          <w:color w:val="000000"/>
          <w:spacing w:val="0"/>
          <w:w w:val="100"/>
          <w:position w:val="0"/>
        </w:rPr>
        <w:t>合并资产负债表</w:t>
      </w:r>
      <w:bookmarkEnd w:id="433"/>
      <w:bookmarkEnd w:id="434"/>
      <w:bookmarkEnd w:id="436"/>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江苏林洋电子股份有限公司</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235"/>
        <w:gridCol w:w="989"/>
        <w:gridCol w:w="2002"/>
        <w:gridCol w:w="2016"/>
      </w:tblGrid>
      <w:tr>
        <w:trPr>
          <w:trHeight w:val="259"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附注七</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年初余额</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1,383,172,774.91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1,318,295,889.09</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26,180,629.00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25,266,840.80</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709,181,553.57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716,173,192.61</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7,515,747.83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8,193,222.62</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15,383,149.65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15,496,309.15</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403,803,557.37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509,467,990.59</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12,427,778.64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2,737,665,190.97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2,792,893,444.86</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长期应收款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21,011,596.48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55,546,998.26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53,971,338.53</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350,624,497.96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338,806,466.04</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15,130,720.74</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（十二）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44,167,519.03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44,470,037.17</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商誉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（十三）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2,630,664.50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2,630,664.50</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10,933,596.88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2,767,880.73</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（十五）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10,718,170.77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8,416,566.87</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（十七）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27,611,721.84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10,256,497.06</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523,644,765.72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476,450,171.64</w:t>
            </w:r>
          </w:p>
        </w:tc>
      </w:tr>
      <w:tr>
        <w:trPr>
          <w:trHeight w:val="26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3,261,309,956.69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3,269,343,616.50</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37" w:name="bookmark437"/>
      <w:bookmarkStart w:id="438" w:name="bookmark438"/>
      <w:bookmarkStart w:id="439" w:name="bookmark439"/>
      <w:r>
        <w:rPr>
          <w:color w:val="000000"/>
          <w:spacing w:val="0"/>
          <w:w w:val="100"/>
          <w:position w:val="0"/>
        </w:rPr>
        <w:t>合并资产负债表（续）</w:t>
      </w:r>
      <w:bookmarkEnd w:id="437"/>
      <w:bookmarkEnd w:id="438"/>
      <w:bookmarkEnd w:id="439"/>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江苏林洋电子股份有限公司</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02"/>
        <w:gridCol w:w="1272"/>
        <w:gridCol w:w="1843"/>
        <w:gridCol w:w="1824"/>
      </w:tblGrid>
      <w:tr>
        <w:trPr>
          <w:trHeight w:val="235"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负债和所有者权益（或股东权益）</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附注七</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年初余额</w:t>
            </w: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（十八）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96,504,333.01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65,636,191.09</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（十九）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329,182,263.06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488,964,115.15</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58,328,074.00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189,726,395.22</w:t>
            </w:r>
          </w:p>
        </w:tc>
      </w:tr>
      <w:tr>
        <w:trPr>
          <w:trHeight w:val="2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80,944,607.44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91,869,061.41</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60,569,371.56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60,353,655.24</w:t>
            </w: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6,893,293.90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7,694,607.23</w:t>
            </w:r>
          </w:p>
        </w:tc>
      </w:tr>
      <w:tr>
        <w:trPr>
          <w:trHeight w:val="2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632,421,942.97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904,244,025.34</w:t>
            </w:r>
          </w:p>
        </w:tc>
      </w:tr>
      <w:tr>
        <w:trPr>
          <w:trHeight w:val="2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16,961,426.69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5,766,953.57</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16,961,426.69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5,766,953.57</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649,383,369.66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910,010,978.91</w:t>
            </w:r>
          </w:p>
        </w:tc>
      </w:tr>
      <w:tr>
        <w:trPr>
          <w:trHeight w:val="2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355,180,000.00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355,290,000.00</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1,389,808,469.99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1,383,269,469.99</w:t>
            </w:r>
          </w:p>
        </w:tc>
      </w:tr>
      <w:tr>
        <w:trPr>
          <w:trHeight w:val="2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98,871,013.48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63,740,951.96</w:t>
            </w:r>
          </w:p>
        </w:tc>
      </w:tr>
      <w:tr>
        <w:trPr>
          <w:trHeight w:val="2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765,247,664.15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553,214,454.22</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-958,624.76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13,546.32</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2,608,148,522.86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2,355,528,422.49</w:t>
            </w:r>
          </w:p>
        </w:tc>
      </w:tr>
      <w:tr>
        <w:trPr>
          <w:trHeight w:val="2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3,778,064.17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3,804,215.10</w:t>
            </w:r>
          </w:p>
        </w:tc>
      </w:tr>
      <w:tr>
        <w:trPr>
          <w:trHeight w:val="2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2,611,926,587.03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2,359,332,637.59</w:t>
            </w:r>
          </w:p>
        </w:tc>
      </w:tr>
      <w:tr>
        <w:trPr>
          <w:trHeight w:val="235"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3,261,309,956.69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3,269,343,616.50</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40" w:name="bookmark440"/>
      <w:bookmarkStart w:id="441" w:name="bookmark441"/>
      <w:bookmarkStart w:id="442" w:name="bookmark442"/>
      <w:r>
        <w:rPr>
          <w:color w:val="000000"/>
          <w:spacing w:val="0"/>
          <w:w w:val="100"/>
          <w:position w:val="0"/>
        </w:rPr>
        <w:t>母公司资产负债表</w:t>
      </w:r>
      <w:bookmarkEnd w:id="440"/>
      <w:bookmarkEnd w:id="441"/>
      <w:bookmarkEnd w:id="442"/>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江苏林洋电子股份有限公司</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235"/>
        <w:gridCol w:w="994"/>
        <w:gridCol w:w="1997"/>
        <w:gridCol w:w="2016"/>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附注十四</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年初余额</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1,172,240,659.45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1,014,071,556.51</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25,962,569.00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25,216,840.80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685,851,450.46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699,494,213.61</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4,449,005.92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7,615,629.24</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14,373,055.61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16,187,485.96</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370,212,497.94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480,369,794.37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2,453,089,238.38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2,442,955,520.49</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440,954,333.71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452,078,673.98</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270,651,036.24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257,008,433.96</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14,830,153.89</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19,078,622.74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18,857,546.56</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5,138,420.61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2,244,523.03</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8,710,861.76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8,000,344.26</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26,806,271.84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10,256,497.06</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771,739,546.90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763,276,172.74</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3,224,828,785.28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3,206,231,693.23</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43" w:name="bookmark443"/>
      <w:bookmarkStart w:id="444" w:name="bookmark444"/>
      <w:bookmarkStart w:id="445" w:name="bookmark445"/>
      <w:r>
        <w:rPr>
          <w:color w:val="000000"/>
          <w:spacing w:val="0"/>
          <w:w w:val="100"/>
          <w:position w:val="0"/>
        </w:rPr>
        <w:t>母公司资产负债表（续）</w:t>
      </w:r>
      <w:bookmarkEnd w:id="443"/>
      <w:bookmarkEnd w:id="444"/>
      <w:bookmarkEnd w:id="445"/>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江苏林洋电子股份有限公司</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235"/>
        <w:gridCol w:w="989"/>
        <w:gridCol w:w="2002"/>
        <w:gridCol w:w="2016"/>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负债和所有者权益（或股东权益）</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附注十四</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年初余额</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113,404,333.01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65,636,191.09</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335,273,550.13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458,936,749.30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54,805,212.54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189,121,444.31</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76,789,734.45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88,563,333.02</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58,244,234.87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58,986,003.67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5,492,466.85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6,293,390.03</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644,009,531.85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867,537,111.42</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14,513,510.02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5,766,953.57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14,513,510.02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5,766,953.57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658,523,041.87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873,304,064.99</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355,180,000.00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355,290,000.00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1,390,920,814.37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1,384,381,814.37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98,871,013.48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63,740,951.96</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721,333,915.56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529,514,861.91</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2,566,305,743.41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2,332,927,628.24</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3,224,828,785.28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3,206,231,693.23</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46" w:name="bookmark446"/>
      <w:bookmarkStart w:id="447" w:name="bookmark447"/>
      <w:bookmarkStart w:id="448" w:name="bookmark448"/>
      <w:r>
        <w:rPr>
          <w:color w:val="000000"/>
          <w:spacing w:val="0"/>
          <w:w w:val="100"/>
          <w:position w:val="0"/>
        </w:rPr>
        <w:t>合并利润表</w:t>
      </w:r>
      <w:bookmarkEnd w:id="446"/>
      <w:bookmarkEnd w:id="447"/>
      <w:bookmarkEnd w:id="448"/>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229"/>
        <w:gridCol w:w="1133"/>
        <w:gridCol w:w="1560"/>
        <w:gridCol w:w="1646"/>
      </w:tblGrid>
      <w:tr>
        <w:trPr>
          <w:trHeight w:val="259"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附注七</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本期金额</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上期金额</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1,991,449,619.56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1,913,748,512.18</w:t>
            </w: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其中：营业收入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（二十九）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1,991,449,619.56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1,913,748,512.18</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1,569,843,009.74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1,596,328,526.48</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（二十九）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1,253,815,683.83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1,251,846,848.91</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13,236,659.09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13,131,640.79</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118,747,084.91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142,801,291.71</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（三十二）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198,004,501.73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191,388,777.58</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（三十三）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-28,260,991.77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-28,728,463.14</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（三十五）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14,300,071.95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25,888,430.63</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加：公允价值变动收益（损失以号填列）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投资收益（损失以号填列）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13,470,303.58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10,036,854.85</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1,575,659.73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4,133,350.32</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435,076,913.40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327,456,840.55</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加：营业外收入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（三十六）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6,422,457.71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30,519,103.12</w:t>
            </w: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减：营业外支出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（三十七）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2,082,090.03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2,088,516.41</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272,696.54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1,001,470.77</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439,417,281.08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355,887,427.26</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（三十八）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67,880,987.52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54,594,819.19</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371,536,293.56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301,292,608.07</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371,514,771.45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302,597,941.80</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-1,305,333.73</w:t>
            </w:r>
          </w:p>
        </w:tc>
      </w:tr>
      <w:tr>
        <w:trPr>
          <w:trHeight w:val="25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0.86</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0.86</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-972,171.08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13,546.32</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370,564,122.48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301,306,154.39</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370,542,600.37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302,611,488.12</w:t>
            </w:r>
          </w:p>
        </w:tc>
      </w:tr>
      <w:tr>
        <w:trPr>
          <w:trHeight w:val="26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21,522.11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-1,305,333.73</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49" w:name="bookmark449"/>
      <w:bookmarkStart w:id="450" w:name="bookmark450"/>
      <w:bookmarkStart w:id="451" w:name="bookmark451"/>
      <w:r>
        <w:rPr>
          <w:color w:val="000000"/>
          <w:spacing w:val="0"/>
          <w:w w:val="100"/>
          <w:position w:val="0"/>
        </w:rPr>
        <w:t>母公司利润表</w:t>
      </w:r>
      <w:bookmarkEnd w:id="449"/>
      <w:bookmarkEnd w:id="450"/>
      <w:bookmarkEnd w:id="451"/>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tbl>
      <w:tblPr>
        <w:tblOverlap w:val="never"/>
        <w:jc w:val="center"/>
        <w:tblLayout w:type="fixed"/>
      </w:tblPr>
      <w:tblGrid>
        <w:gridCol w:w="4286"/>
        <w:gridCol w:w="1123"/>
        <w:gridCol w:w="1738"/>
        <w:gridCol w:w="1819"/>
      </w:tblGrid>
      <w:tr>
        <w:trPr>
          <w:trHeight w:val="269" w:hRule="exact"/>
        </w:trPr>
        <w:tc>
          <w:tcPr>
            <w:gridSpan w:val="4"/>
            <w:tcBorders>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461"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附注十四</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本期金额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上期金额</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1,924,824,698.67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1,872,705,296.24</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1,230,899,882.81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1,254,745,719.01</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11,177,986.40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12,438,581.32</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108,137,655.77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134,831,985.74</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171,421,503.43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157,537,649.59</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-22,260,541.29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-23,628,270.99</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13,764,244.29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23,877,632.16</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一</w:t>
            </w:r>
            <w:r>
              <w:rPr>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投资收益（损失以号填列）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32,103.35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8,115,076.00</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1,575,659.73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4,133,350.32</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二、营业利润（亏损以填列）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411,716,070.61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321,017,075.41</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4,139,336.21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23,480,235.52</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1,835,301.79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1,820,209.44</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236,056.90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796,518.92</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三、利润总额（亏损总额以号填列）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414,020,105.03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342,677,101.49</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62,719,489.86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51,875,832.51</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四、净利润（净亏损以号填列）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351,300,615.17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290,801,268.98</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351,300,615.17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290,801,268.98</w:t>
            </w:r>
          </w:p>
        </w:tc>
      </w:tr>
      <w:tr>
        <w:trPr>
          <w:trHeight w:val="269" w:hRule="exact"/>
        </w:trPr>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法定代表人：陆永华主管会计工作负责人：虞海娟会计机</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，构负责人：王艳</w:t>
            </w:r>
          </w:p>
        </w:tc>
      </w:tr>
    </w:tbl>
    <w:p>
      <w:pPr>
        <w:spacing w:lineRule="exact" w:line="1"/>
        <w:rPr>
          <w:sz w:val="2"/>
          <w:szCs w:val="2"/>
        </w:rPr>
      </w:pPr>
      <w:r>
        <w:br w:type="page"/>
      </w:r>
    </w:p>
    <w:p>
      <w:pPr>
        <w:pStyle w:val="Style29"/>
        <w:keepNext/>
        <w:keepLines/>
        <w:widowControl w:val="0"/>
        <w:shd w:val="clear" w:color="auto" w:fill="auto"/>
        <w:bidi w:val="0"/>
        <w:spacing w:before="0" w:after="0" w:line="240" w:lineRule="auto"/>
        <w:ind w:left="0" w:right="0" w:firstLine="0"/>
        <w:jc w:val="center"/>
      </w:pPr>
      <w:bookmarkStart w:id="452" w:name="bookmark452"/>
      <w:bookmarkStart w:id="453" w:name="bookmark453"/>
      <w:bookmarkStart w:id="454" w:name="bookmark454"/>
      <w:r>
        <w:rPr>
          <w:color w:val="000000"/>
          <w:spacing w:val="0"/>
          <w:w w:val="100"/>
          <w:position w:val="0"/>
        </w:rPr>
        <w:t>合并现金流量表</w:t>
      </w:r>
      <w:bookmarkEnd w:id="452"/>
      <w:bookmarkEnd w:id="453"/>
      <w:bookmarkEnd w:id="454"/>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224"/>
        <w:gridCol w:w="994"/>
        <w:gridCol w:w="1896"/>
        <w:gridCol w:w="2050"/>
      </w:tblGrid>
      <w:tr>
        <w:trPr>
          <w:trHeight w:val="197"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附注七</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1,900,962,175.56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2,064,573,067.87</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7,110,301.87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7,797,321.56</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收到其他与经营活动有关的现金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54,596,720.78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63,195,979.10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1,962,669,198.21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2,135,566,368.53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1,140,764,046.66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1,406,386,945.66</w:t>
            </w:r>
          </w:p>
        </w:tc>
      </w:tr>
      <w:tr>
        <w:trPr>
          <w:trHeight w:val="19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250,307,350.42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226,002,308.40</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182,027,183.65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197,888,444.70</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支付其他与经营活动有关的现金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144,108,546.91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147,136,857.65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1,717,207,127.64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1,977,414,556.41</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245,462,070.57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158,151,812.12</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735,000,000.00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11,894,643.85</w:t>
            </w: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3,153,666.80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both"/>
              <w:rPr>
                <w:sz w:val="15"/>
                <w:szCs w:val="15"/>
              </w:rPr>
            </w:pPr>
            <w:r>
              <w:rPr>
                <w:rFonts w:ascii="Times New Roman" w:eastAsia="Times New Roman" w:hAnsi="Times New Roman" w:cs="Times New Roman"/>
                <w:color w:val="000000"/>
                <w:spacing w:val="0"/>
                <w:w w:val="100"/>
                <w:position w:val="0"/>
                <w:sz w:val="15"/>
                <w:szCs w:val="15"/>
              </w:rPr>
              <w:t>160,070.73</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both"/>
              <w:rPr>
                <w:sz w:val="15"/>
                <w:szCs w:val="15"/>
              </w:rPr>
            </w:pPr>
            <w:r>
              <w:rPr>
                <w:rFonts w:ascii="Times New Roman" w:eastAsia="Times New Roman" w:hAnsi="Times New Roman" w:cs="Times New Roman"/>
                <w:color w:val="000000"/>
                <w:spacing w:val="0"/>
                <w:w w:val="100"/>
                <w:position w:val="0"/>
                <w:sz w:val="15"/>
                <w:szCs w:val="15"/>
              </w:rPr>
              <w:t>449,726.73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750,048,310.65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both"/>
              <w:rPr>
                <w:sz w:val="15"/>
                <w:szCs w:val="15"/>
              </w:rPr>
            </w:pPr>
            <w:r>
              <w:rPr>
                <w:rFonts w:ascii="Times New Roman" w:eastAsia="Times New Roman" w:hAnsi="Times New Roman" w:cs="Times New Roman"/>
                <w:color w:val="000000"/>
                <w:spacing w:val="0"/>
                <w:w w:val="100"/>
                <w:position w:val="0"/>
                <w:sz w:val="15"/>
                <w:szCs w:val="15"/>
              </w:rPr>
              <w:t>609,797.46</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80,561,718.79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89,371,309.55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715,000,000.00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200,000,000.00</w:t>
            </w:r>
          </w:p>
        </w:tc>
      </w:tr>
      <w:tr>
        <w:trPr>
          <w:trHeight w:val="19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795,561,718.79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289,371,309.55</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-45,513,408.14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-288,761,512.09</w:t>
            </w:r>
          </w:p>
        </w:tc>
      </w:tr>
      <w:tr>
        <w:trPr>
          <w:trHeight w:val="19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40,386,600.00</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40,386,600.00</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124,351,500.00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58,995,431.41</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both"/>
              <w:rPr>
                <w:sz w:val="15"/>
                <w:szCs w:val="15"/>
              </w:rPr>
            </w:pPr>
            <w:r>
              <w:rPr>
                <w:rFonts w:ascii="Times New Roman" w:eastAsia="Times New Roman" w:hAnsi="Times New Roman" w:cs="Times New Roman"/>
                <w:color w:val="000000"/>
                <w:spacing w:val="0"/>
                <w:w w:val="100"/>
                <w:position w:val="0"/>
                <w:sz w:val="15"/>
                <w:szCs w:val="15"/>
              </w:rPr>
              <w:t>995,431.41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支付其他与筹资活动有关的现金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618,725.37</w:t>
            </w: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124,970,225.37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58,995,431.41</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-124,970,225.37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-18,608,831.41</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-1,357,979.29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-55,029.75</w:t>
            </w:r>
          </w:p>
        </w:tc>
      </w:tr>
      <w:tr>
        <w:trPr>
          <w:trHeight w:val="19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73,620,457.77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-149,273,561.13</w:t>
            </w:r>
          </w:p>
        </w:tc>
      </w:tr>
      <w:tr>
        <w:trPr>
          <w:trHeight w:val="19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1,282,362,569.61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1,431,636,130.74</w:t>
            </w:r>
          </w:p>
        </w:tc>
      </w:tr>
      <w:tr>
        <w:trPr>
          <w:trHeight w:val="20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1,355,983,027.38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1,282,362,569.61</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母公司现金流量表</w:t>
      </w:r>
      <w:bookmarkEnd w:id="455"/>
      <w:bookmarkEnd w:id="456"/>
      <w:bookmarkEnd w:id="457"/>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5213"/>
        <w:gridCol w:w="2107"/>
        <w:gridCol w:w="2117"/>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1,876,717,927.88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2,028,058,438.14</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3,136,380.51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3,960,607.93</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46,239,595.12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54,701,022.88</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1,926,093,903.51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2,086,720,068.95</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1,103,468,466.14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1,372,772,782.00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支付给职工以及为职工支付的现金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220,280,004.26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186,796,782.53</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165,419,584.44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181,018,506.56</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125,841,479.79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134,544,569.68</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1,615,009,534.63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1,875,132,640.77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311,084,368.88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211,587,428.18</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取得投资收益所收到的现金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11,050,484.95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3,981,725.68</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处置固定资产、无形资产和其他长期资产收回的现金净额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3,066,308.61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35,746.62</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105,958.67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689,222,752.23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5,017,472.30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53,323,927.18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64,321,519.97</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356,223,400.00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708,323,927.18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420,544,919.97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-19,101,174.95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-415,527,447.67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40,386,600.00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40,386,600.00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124,351,500.00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570,900.00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124,922,400.00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-124,922,400.00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-17,613,400.00</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11,628.46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-54,534.35</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167,072,422.39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-221,607,953.84</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978,138,237.03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1,199,746,190.87</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1,145,210,659.42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978,138,237.03</w:t>
            </w:r>
          </w:p>
        </w:tc>
      </w:tr>
    </w:tbl>
    <w:p>
      <w:pPr>
        <w:pStyle w:val="Style12"/>
        <w:keepNext w:val="0"/>
        <w:keepLines w:val="0"/>
        <w:widowControl w:val="0"/>
        <w:shd w:val="clear" w:color="auto" w:fill="auto"/>
        <w:bidi w:val="0"/>
        <w:spacing w:before="0" w:after="0" w:line="240" w:lineRule="auto"/>
        <w:ind w:left="0" w:right="0" w:firstLine="280"/>
        <w:jc w:val="left"/>
        <w:sectPr>
          <w:footnotePr>
            <w:pos w:val="pageBottom"/>
            <w:numFmt w:val="decimal"/>
            <w:numRestart w:val="continuous"/>
          </w:footnotePr>
          <w:pgSz w:w="12240" w:h="15840"/>
          <w:pgMar w:top="1066" w:right="1599" w:bottom="1959" w:left="1205" w:header="0" w:footer="3" w:gutter="0"/>
          <w:cols w:space="720"/>
          <w:noEndnote/>
          <w:rtlGutter w:val="0"/>
          <w:docGrid w:linePitch="360"/>
        </w:sectPr>
      </w:pPr>
      <w:r>
        <w:rPr>
          <w:color w:val="000000"/>
          <w:spacing w:val="0"/>
          <w:w w:val="100"/>
          <w:position w:val="0"/>
        </w:rPr>
        <w:t>法定代表人：陆永华主管会计工作负责人：虞海娟会计机构负责人：王艳</w:t>
      </w:r>
    </w:p>
    <w:p>
      <w:pPr>
        <w:pStyle w:val="Style29"/>
        <w:keepNext/>
        <w:keepLines/>
        <w:widowControl w:val="0"/>
        <w:shd w:val="clear" w:color="auto" w:fill="auto"/>
        <w:bidi w:val="0"/>
        <w:spacing w:before="0" w:after="0" w:line="240" w:lineRule="auto"/>
        <w:ind w:left="0" w:right="0" w:firstLine="0"/>
        <w:jc w:val="center"/>
      </w:pPr>
      <w:bookmarkStart w:id="458" w:name="bookmark458"/>
      <w:bookmarkStart w:id="459" w:name="bookmark459"/>
      <w:bookmarkStart w:id="460" w:name="bookmark460"/>
      <w:r>
        <w:rPr>
          <w:color w:val="000000"/>
          <w:spacing w:val="0"/>
          <w:w w:val="100"/>
          <w:position w:val="0"/>
        </w:rPr>
        <w:t>合并所有者权益变动表</w:t>
      </w:r>
      <w:bookmarkEnd w:id="458"/>
      <w:bookmarkEnd w:id="459"/>
      <w:bookmarkEnd w:id="460"/>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2"/>
        <w:keepNext w:val="0"/>
        <w:keepLines w:val="0"/>
        <w:widowControl w:val="0"/>
        <w:shd w:val="clear" w:color="auto" w:fill="auto"/>
        <w:bidi w:val="0"/>
        <w:spacing w:before="0" w:after="0" w:line="240" w:lineRule="auto"/>
        <w:ind w:left="1172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62"/>
        <w:gridCol w:w="1368"/>
        <w:gridCol w:w="1363"/>
        <w:gridCol w:w="902"/>
        <w:gridCol w:w="883"/>
        <w:gridCol w:w="1195"/>
        <w:gridCol w:w="1138"/>
        <w:gridCol w:w="1416"/>
        <w:gridCol w:w="994"/>
        <w:gridCol w:w="1133"/>
        <w:gridCol w:w="1426"/>
      </w:tblGrid>
      <w:tr>
        <w:trPr>
          <w:trHeight w:val="240"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0"/>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r>
      <w:tr>
        <w:trPr>
          <w:trHeight w:val="240" w:hRule="exact"/>
        </w:trPr>
        <w:tc>
          <w:tcPr>
            <w:vMerge/>
            <w:tcBorders>
              <w:left w:val="single" w:sz="4"/>
            </w:tcBorders>
            <w:shd w:val="clear" w:color="auto" w:fill="BFBFBF"/>
            <w:vAlign w:val="center"/>
          </w:tcPr>
          <w:p>
            <w:pPr/>
          </w:p>
        </w:tc>
        <w:tc>
          <w:tcPr>
            <w:gridSpan w:val="8"/>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少数股东权益</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所有者权益合计</w:t>
            </w:r>
          </w:p>
        </w:tc>
      </w:tr>
      <w:tr>
        <w:trPr>
          <w:trHeight w:val="235"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或股本</w:t>
            </w:r>
            <w:r>
              <w:rPr>
                <w:color w:val="000000"/>
                <w:spacing w:val="0"/>
                <w:w w:val="100"/>
                <w:position w:val="0"/>
                <w:sz w:val="15"/>
                <w:szCs w:val="15"/>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减:库存股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盈余公积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一般风险准备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未分配利润</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其他</w:t>
            </w: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355,290,000.00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1,383,269,469.99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63,740,951.96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553,214,454.22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13,546.32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3,804,215.10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2,359,332,637.59</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355,290,000.00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1,383,269,469.99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63,740,951.96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553,214,454.22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13,546.32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3,804,215.10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2,359,332,637.59</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三、本期增减变动金额（减少以号填列）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6,539,000.00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35,130,061.52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212,033,209.93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-972,171.08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-26,150.93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252,593,949.44</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371,514,771.45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21,522.11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371,536,293.56</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-972,171.08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-972,171.08</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371,514,771.45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-972,171.08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21,522.11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370,564,122.48</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（三）所有者投入和减少资本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6,539,000.00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6,429,000.00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.所有者投入资本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-460,900.00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-570,900.00</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6,999,900.00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6,999,900.00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35,130,061.52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-159,481,561.52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-124,351,500.00</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35,130,061.52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-35,130,061.52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-124,351,500.00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-124,351,500.00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-47,673.04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-47,673.04</w:t>
            </w:r>
          </w:p>
        </w:tc>
      </w:tr>
      <w:tr>
        <w:trPr>
          <w:trHeight w:val="2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355,180,000.00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1,389,808,469.99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98,871,013.48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765,247,664.15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-958,624.76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3,778,064.17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2,611,926,587.03</w:t>
            </w:r>
          </w:p>
        </w:tc>
      </w:tr>
    </w:tbl>
    <w:p>
      <w:pPr>
        <w:pStyle w:val="Style1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61" w:name="bookmark461"/>
      <w:bookmarkStart w:id="462" w:name="bookmark462"/>
      <w:bookmarkStart w:id="463" w:name="bookmark463"/>
      <w:r>
        <w:rPr>
          <w:color w:val="000000"/>
          <w:spacing w:val="0"/>
          <w:w w:val="100"/>
          <w:position w:val="0"/>
        </w:rPr>
        <w:t>合并所有者权益变动表（续）</w:t>
      </w:r>
      <w:bookmarkEnd w:id="461"/>
      <w:bookmarkEnd w:id="462"/>
      <w:bookmarkEnd w:id="463"/>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2"/>
        <w:keepNext w:val="0"/>
        <w:keepLines w:val="0"/>
        <w:widowControl w:val="0"/>
        <w:shd w:val="clear" w:color="auto" w:fill="auto"/>
        <w:bidi w:val="0"/>
        <w:spacing w:before="0" w:after="0" w:line="240" w:lineRule="auto"/>
        <w:ind w:left="1170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034"/>
        <w:gridCol w:w="1378"/>
        <w:gridCol w:w="1368"/>
        <w:gridCol w:w="994"/>
        <w:gridCol w:w="850"/>
        <w:gridCol w:w="1090"/>
        <w:gridCol w:w="1157"/>
        <w:gridCol w:w="1157"/>
        <w:gridCol w:w="989"/>
        <w:gridCol w:w="1138"/>
        <w:gridCol w:w="1570"/>
      </w:tblGrid>
      <w:tr>
        <w:trPr>
          <w:trHeight w:val="240"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0"/>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上年同期金额</w:t>
            </w:r>
          </w:p>
        </w:tc>
      </w:tr>
      <w:tr>
        <w:trPr>
          <w:trHeight w:val="240" w:hRule="exact"/>
        </w:trPr>
        <w:tc>
          <w:tcPr>
            <w:vMerge/>
            <w:tcBorders>
              <w:left w:val="single" w:sz="4"/>
            </w:tcBorders>
            <w:shd w:val="clear" w:color="auto" w:fill="BFBFBF"/>
            <w:vAlign w:val="center"/>
          </w:tcPr>
          <w:p>
            <w:pPr/>
          </w:p>
        </w:tc>
        <w:tc>
          <w:tcPr>
            <w:gridSpan w:val="8"/>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少数股东权益</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所有者权益合计</w:t>
            </w:r>
          </w:p>
        </w:tc>
      </w:tr>
      <w:tr>
        <w:trPr>
          <w:trHeight w:val="235"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或股本</w:t>
            </w:r>
            <w:r>
              <w:rPr>
                <w:color w:val="000000"/>
                <w:spacing w:val="0"/>
                <w:w w:val="100"/>
                <w:position w:val="0"/>
                <w:sz w:val="15"/>
                <w:szCs w:val="15"/>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资本公积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减：库存股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一般风险准备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未分配利润</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其他</w:t>
            </w: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290,000,000.00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1,403,942,269.99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34,660,825.06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337,696,639.32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2,554,166.62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2,068,853,900.99</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290,000,000.00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1,403,942,269.99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34,660,825.06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337,696,639.32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2,554,166.62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2,068,853,900.99</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三、本期增减变动金额（减少以号填列）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65,290,000.00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-20,672,800.00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29,080,126.90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215,517,814.90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13,546.32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1,250,048.48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290,478,736.60</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302,597,941.80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-1,305,333.73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301,292,608.07</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13,546.32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13,546.32</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302,597,941.80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13,546.32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-1,305,333.73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301,306,154.39</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（三）所有者投入和减少资本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37,327,200.00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3,550,813.62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48,168,013.62</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.所有者投入资本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33,096,600.00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40,386,600.00</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4,230,600.00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4,230,600.00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3,550,813.62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3,550,813.62</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29,080,126.90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-87,080,126.90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-995,431.41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-58,995,431.41</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29,080,126.90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-29,080,126.90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 xml:space="preserve">3 </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-995,431.41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-58,995,431.41</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（五）所有者权益内部结转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.资本公积转增资本（或股本）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355,290,000.00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1,383,269,469.99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63,740,951.96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553,214,454.22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13,546.32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3,804,215.10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2,359,332,637.59</w:t>
            </w:r>
          </w:p>
        </w:tc>
      </w:tr>
    </w:tbl>
    <w:p>
      <w:pPr>
        <w:pStyle w:val="Style1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64" w:name="bookmark464"/>
      <w:bookmarkStart w:id="465" w:name="bookmark465"/>
      <w:bookmarkStart w:id="466" w:name="bookmark466"/>
      <w:r>
        <w:rPr>
          <w:color w:val="000000"/>
          <w:spacing w:val="0"/>
          <w:w w:val="100"/>
          <w:position w:val="0"/>
        </w:rPr>
        <w:t>母公司所有者权益变动表</w:t>
      </w:r>
      <w:bookmarkEnd w:id="464"/>
      <w:bookmarkEnd w:id="465"/>
      <w:bookmarkEnd w:id="466"/>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2"/>
        <w:keepNext w:val="0"/>
        <w:keepLines w:val="0"/>
        <w:widowControl w:val="0"/>
        <w:shd w:val="clear" w:color="auto" w:fill="auto"/>
        <w:bidi w:val="0"/>
        <w:spacing w:before="0" w:after="0" w:line="240" w:lineRule="auto"/>
        <w:ind w:left="1170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533"/>
        <w:gridCol w:w="1450"/>
        <w:gridCol w:w="1430"/>
        <w:gridCol w:w="898"/>
        <w:gridCol w:w="1262"/>
        <w:gridCol w:w="1258"/>
        <w:gridCol w:w="1262"/>
        <w:gridCol w:w="1440"/>
        <w:gridCol w:w="1627"/>
      </w:tblGrid>
      <w:tr>
        <w:trPr>
          <w:trHeight w:val="240"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8"/>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r>
      <w:tr>
        <w:trPr>
          <w:trHeight w:val="240"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或股本</w:t>
            </w:r>
            <w:r>
              <w:rPr>
                <w:color w:val="000000"/>
                <w:spacing w:val="0"/>
                <w:w w:val="100"/>
                <w:position w:val="0"/>
                <w:sz w:val="15"/>
                <w:szCs w:val="15"/>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资本公积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一般风险准备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未分配利润</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所有者权益合计</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355,290,000.00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1,384,381,814.37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63,740,951.96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529,514,861.91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2,332,927,628.24</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355,290,000.00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1,384,381,814.37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63,740,951.96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529,514,861.91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2,332,927,628.24</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三、本期增减变动金额（减少以号填列）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6,539,000.00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35,130,061.52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191,819,053.65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233,378,115.17</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351,300,615.17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351,300,615.17</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351,300,615.17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351,300,615.17</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（三）所有者投入和减少资本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6,539,000.00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6,429,000.00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.所有者投入资本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-460,900.00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-570,900.00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6,999,900.00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6,999,900.00</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35,130,061.52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-159,481,561.52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-124,351,500.00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35,130,061.52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-35,130,061.52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-124,351,500.00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-124,351,500.00</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355,180,000.00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1,390,920,814.37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98,871,013.48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721,333,915.56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2,566,305,743.41</w:t>
            </w:r>
          </w:p>
        </w:tc>
      </w:tr>
    </w:tbl>
    <w:p>
      <w:pPr>
        <w:pStyle w:val="Style1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法定代表人：陆永华主管会计工作负责人：虞海娟会计机构负责人：王艳</w:t>
      </w:r>
      <w:r>
        <w:br w:type="page"/>
      </w:r>
    </w:p>
    <w:p>
      <w:pPr>
        <w:pStyle w:val="Style29"/>
        <w:keepNext/>
        <w:keepLines/>
        <w:widowControl w:val="0"/>
        <w:shd w:val="clear" w:color="auto" w:fill="auto"/>
        <w:bidi w:val="0"/>
        <w:spacing w:before="0" w:after="0" w:line="240" w:lineRule="auto"/>
        <w:ind w:left="0" w:right="0" w:firstLine="0"/>
        <w:jc w:val="center"/>
      </w:pPr>
      <w:bookmarkStart w:id="467" w:name="bookmark467"/>
      <w:bookmarkStart w:id="468" w:name="bookmark468"/>
      <w:bookmarkStart w:id="469" w:name="bookmark469"/>
      <w:r>
        <w:rPr>
          <w:color w:val="000000"/>
          <w:spacing w:val="0"/>
          <w:w w:val="100"/>
          <w:position w:val="0"/>
        </w:rPr>
        <w:t>母公司所有者权益变动表（续）</w:t>
      </w:r>
      <w:bookmarkEnd w:id="467"/>
      <w:bookmarkEnd w:id="468"/>
      <w:bookmarkEnd w:id="469"/>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2"/>
        <w:keepNext w:val="0"/>
        <w:keepLines w:val="0"/>
        <w:widowControl w:val="0"/>
        <w:shd w:val="clear" w:color="auto" w:fill="auto"/>
        <w:bidi w:val="0"/>
        <w:spacing w:before="0" w:after="0" w:line="240" w:lineRule="auto"/>
        <w:ind w:left="1170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533"/>
        <w:gridCol w:w="1450"/>
        <w:gridCol w:w="1430"/>
        <w:gridCol w:w="898"/>
        <w:gridCol w:w="1022"/>
        <w:gridCol w:w="1277"/>
        <w:gridCol w:w="1277"/>
        <w:gridCol w:w="1416"/>
        <w:gridCol w:w="1570"/>
      </w:tblGrid>
      <w:tr>
        <w:trPr>
          <w:trHeight w:val="240"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8"/>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上年同期金额</w:t>
            </w:r>
          </w:p>
        </w:tc>
      </w:tr>
      <w:tr>
        <w:trPr>
          <w:trHeight w:val="240"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4"/>
                <w:szCs w:val="14"/>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或股本</w:t>
            </w:r>
            <w:r>
              <w:rPr>
                <w:color w:val="000000"/>
                <w:spacing w:val="0"/>
                <w:w w:val="100"/>
                <w:position w:val="0"/>
                <w:sz w:val="15"/>
                <w:szCs w:val="15"/>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资本公积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盈余公积</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一般风险准备</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未分配利润</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所有者权益合计</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290,000,000.00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1,405,054,614.37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34,660,825.06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325,793,719.83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2,055,509,159.26</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290,000,000.00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1,405,054,614.37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34,660,825.06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325,793,719.83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2,055,509,159.26</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三、本期增减变动金额（减少以号填列）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65,290,000.00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-20,672,800.00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29,080,126.90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203,721,142.08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277,418,468.98</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290,801,268.98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290,801,268.98</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290,801,268.98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290,801,268.98</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（三）所有者投入和减少资本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37,327,200.00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44,617,200.00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.所有者投入资本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7,290,000.00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33,096,600.00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40,386,600.00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4,230,600.00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4,230,600.00</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29,080,126.90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-87,080,126.90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-58,000,000.00</w:t>
            </w: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29,080,126.90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-29,080,126.90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-58,000,000.00</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（五）所有者权益内部结转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.资本公积转增资本（或股本）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355,290,000.00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1,384,381,814.37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63,740,951.96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529,514,861.91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2,332,927,628.24</w:t>
            </w:r>
          </w:p>
        </w:tc>
      </w:tr>
    </w:tbl>
    <w:p>
      <w:pPr>
        <w:pStyle w:val="Style12"/>
        <w:keepNext w:val="0"/>
        <w:keepLines w:val="0"/>
        <w:widowControl w:val="0"/>
        <w:shd w:val="clear" w:color="auto" w:fill="auto"/>
        <w:bidi w:val="0"/>
        <w:spacing w:before="0" w:after="0" w:line="240" w:lineRule="auto"/>
        <w:ind w:left="0" w:right="0" w:firstLine="520"/>
        <w:jc w:val="left"/>
        <w:sectPr>
          <w:headerReference w:type="default" r:id="rId43"/>
          <w:footerReference w:type="default" r:id="rId44"/>
          <w:footnotePr>
            <w:pos w:val="pageBottom"/>
            <w:numFmt w:val="decimal"/>
            <w:numRestart w:val="continuous"/>
          </w:footnotePr>
          <w:pgSz w:w="15840" w:h="12240" w:orient="landscape"/>
          <w:pgMar w:top="1066" w:right="501" w:bottom="2760" w:left="459" w:header="0" w:footer="3" w:gutter="0"/>
          <w:cols w:space="720"/>
          <w:noEndnote/>
          <w:rtlGutter w:val="0"/>
          <w:docGrid w:linePitch="360"/>
        </w:sectPr>
      </w:pPr>
      <w:r>
        <w:rPr>
          <w:color w:val="000000"/>
          <w:spacing w:val="0"/>
          <w:w w:val="100"/>
          <w:position w:val="0"/>
        </w:rPr>
        <w:t>法定代表人：陆永华主管会计工作负责人：虞海娟会计机构负责人：王艳</w:t>
      </w:r>
    </w:p>
    <w:p>
      <w:pPr>
        <w:pStyle w:val="Style29"/>
        <w:keepNext/>
        <w:keepLines/>
        <w:widowControl w:val="0"/>
        <w:shd w:val="clear" w:color="auto" w:fill="auto"/>
        <w:bidi w:val="0"/>
        <w:spacing w:before="0" w:after="100" w:line="274" w:lineRule="exact"/>
        <w:ind w:left="0" w:right="0" w:firstLine="0"/>
        <w:jc w:val="both"/>
      </w:pPr>
      <w:bookmarkStart w:id="470" w:name="bookmark470"/>
      <w:bookmarkStart w:id="471" w:name="bookmark471"/>
      <w:bookmarkStart w:id="472" w:name="bookmark472"/>
      <w:bookmarkStart w:id="473" w:name="bookmark473"/>
      <w:r>
        <w:rPr>
          <w:color w:val="000000"/>
          <w:spacing w:val="0"/>
          <w:w w:val="100"/>
          <w:position w:val="0"/>
        </w:rPr>
        <w:t>三</w:t>
      </w:r>
      <w:bookmarkEnd w:id="472"/>
      <w:r>
        <w:rPr>
          <w:color w:val="000000"/>
          <w:spacing w:val="0"/>
          <w:w w:val="100"/>
          <w:position w:val="0"/>
        </w:rPr>
        <w:t>、公司基本情况</w:t>
      </w:r>
      <w:bookmarkEnd w:id="470"/>
      <w:bookmarkEnd w:id="471"/>
      <w:bookmarkEnd w:id="473"/>
    </w:p>
    <w:p>
      <w:pPr>
        <w:pStyle w:val="Style12"/>
        <w:keepNext w:val="0"/>
        <w:keepLines w:val="0"/>
        <w:widowControl w:val="0"/>
        <w:shd w:val="clear" w:color="auto" w:fill="auto"/>
        <w:bidi w:val="0"/>
        <w:spacing w:before="0" w:line="270" w:lineRule="exact"/>
        <w:ind w:left="0" w:right="0" w:firstLine="0"/>
        <w:jc w:val="both"/>
      </w:pPr>
      <w:r>
        <w:rPr>
          <w:color w:val="000000"/>
          <w:spacing w:val="0"/>
          <w:w w:val="100"/>
          <w:position w:val="0"/>
        </w:rPr>
        <w:t>江苏林洋电子股份有限公司（以下简称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系由启东市华虹电子有限公司、南通华 强投资有限公司、虞海娟和徐斌作为发起人共同出资组建的股份有限公司，公司于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日领取了注册号为</w:t>
      </w:r>
      <w:r>
        <w:rPr>
          <w:rFonts w:ascii="Times New Roman" w:eastAsia="Times New Roman" w:hAnsi="Times New Roman" w:cs="Times New Roman"/>
          <w:color w:val="000000"/>
          <w:spacing w:val="0"/>
          <w:w w:val="100"/>
          <w:position w:val="0"/>
        </w:rPr>
        <w:t>320681400001718</w:t>
      </w:r>
      <w:r>
        <w:rPr>
          <w:color w:val="000000"/>
          <w:spacing w:val="0"/>
          <w:w w:val="100"/>
          <w:position w:val="0"/>
        </w:rPr>
        <w:t>的企业法人营业执照，设立时注册资本为人民币</w:t>
      </w:r>
      <w:r>
        <w:rPr>
          <w:rFonts w:ascii="Times New Roman" w:eastAsia="Times New Roman" w:hAnsi="Times New Roman" w:cs="Times New Roman"/>
          <w:color w:val="000000"/>
          <w:spacing w:val="0"/>
          <w:w w:val="100"/>
          <w:position w:val="0"/>
        </w:rPr>
        <w:t>20,000.00</w:t>
      </w:r>
      <w:r>
        <w:rPr>
          <w:color w:val="000000"/>
          <w:spacing w:val="0"/>
          <w:w w:val="100"/>
          <w:position w:val="0"/>
        </w:rPr>
        <w:t>万 元，股本为人民币</w:t>
      </w:r>
      <w:r>
        <w:rPr>
          <w:rFonts w:ascii="Times New Roman" w:eastAsia="Times New Roman" w:hAnsi="Times New Roman" w:cs="Times New Roman"/>
          <w:color w:val="000000"/>
          <w:spacing w:val="0"/>
          <w:w w:val="100"/>
          <w:position w:val="0"/>
        </w:rPr>
        <w:t>20,000.00</w:t>
      </w:r>
      <w:r>
        <w:rPr>
          <w:color w:val="000000"/>
          <w:spacing w:val="0"/>
          <w:w w:val="100"/>
          <w:position w:val="0"/>
        </w:rPr>
        <w:t>万元。</w:t>
      </w:r>
    </w:p>
    <w:p>
      <w:pPr>
        <w:pStyle w:val="Style12"/>
        <w:keepNext w:val="0"/>
        <w:keepLines w:val="0"/>
        <w:widowControl w:val="0"/>
        <w:shd w:val="clear" w:color="auto" w:fill="auto"/>
        <w:bidi w:val="0"/>
        <w:spacing w:before="0" w:line="275"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日，公司股东大会作出如下决议：同意公司注册资本由人民币</w:t>
      </w:r>
      <w:r>
        <w:rPr>
          <w:rFonts w:ascii="Times New Roman" w:eastAsia="Times New Roman" w:hAnsi="Times New Roman" w:cs="Times New Roman"/>
          <w:color w:val="000000"/>
          <w:spacing w:val="0"/>
          <w:w w:val="100"/>
          <w:position w:val="0"/>
        </w:rPr>
        <w:t>20,000.00</w:t>
      </w:r>
      <w:r>
        <w:rPr>
          <w:color w:val="000000"/>
          <w:spacing w:val="0"/>
          <w:w w:val="100"/>
          <w:position w:val="0"/>
        </w:rPr>
        <w:t>万元增加到 人民币</w:t>
      </w:r>
      <w:r>
        <w:rPr>
          <w:rFonts w:ascii="Times New Roman" w:eastAsia="Times New Roman" w:hAnsi="Times New Roman" w:cs="Times New Roman"/>
          <w:color w:val="000000"/>
          <w:spacing w:val="0"/>
          <w:w w:val="100"/>
          <w:position w:val="0"/>
        </w:rPr>
        <w:t>21,200.00</w:t>
      </w:r>
      <w:r>
        <w:rPr>
          <w:color w:val="000000"/>
          <w:spacing w:val="0"/>
          <w:w w:val="100"/>
          <w:position w:val="0"/>
        </w:rPr>
        <w:t>万元，增加注册资本人民币</w:t>
      </w:r>
      <w:r>
        <w:rPr>
          <w:rFonts w:ascii="Times New Roman" w:eastAsia="Times New Roman" w:hAnsi="Times New Roman" w:cs="Times New Roman"/>
          <w:color w:val="000000"/>
          <w:spacing w:val="0"/>
          <w:w w:val="100"/>
          <w:position w:val="0"/>
        </w:rPr>
        <w:t>1,200.00</w:t>
      </w:r>
      <w:r>
        <w:rPr>
          <w:color w:val="000000"/>
          <w:spacing w:val="0"/>
          <w:w w:val="100"/>
          <w:position w:val="0"/>
        </w:rPr>
        <w:t>万元，由公司股东南通华强投资有限公司全 部认缴。公司于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日办理了工商变更登记手续，取得了换发的《企业法人营业执照》。 变更后注册资本为人民币</w:t>
      </w:r>
      <w:r>
        <w:rPr>
          <w:rFonts w:ascii="Times New Roman" w:eastAsia="Times New Roman" w:hAnsi="Times New Roman" w:cs="Times New Roman"/>
          <w:color w:val="000000"/>
          <w:spacing w:val="0"/>
          <w:w w:val="100"/>
          <w:position w:val="0"/>
        </w:rPr>
        <w:t>21,200.00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21,200.00</w:t>
      </w:r>
      <w:r>
        <w:rPr>
          <w:color w:val="000000"/>
          <w:spacing w:val="0"/>
          <w:w w:val="100"/>
          <w:position w:val="0"/>
        </w:rPr>
        <w:t>万元。</w:t>
      </w:r>
    </w:p>
    <w:p>
      <w:pPr>
        <w:pStyle w:val="Style12"/>
        <w:keepNext w:val="0"/>
        <w:keepLines w:val="0"/>
        <w:widowControl w:val="0"/>
        <w:shd w:val="clear" w:color="auto" w:fill="auto"/>
        <w:bidi w:val="0"/>
        <w:spacing w:before="0" w:line="274" w:lineRule="exact"/>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日，公司股东大会作出如下决议，同意公司注册资本由人民币</w:t>
      </w:r>
      <w:r>
        <w:rPr>
          <w:rFonts w:ascii="Times New Roman" w:eastAsia="Times New Roman" w:hAnsi="Times New Roman" w:cs="Times New Roman"/>
          <w:color w:val="000000"/>
          <w:spacing w:val="0"/>
          <w:w w:val="100"/>
          <w:position w:val="0"/>
        </w:rPr>
        <w:t>21,200.00</w:t>
      </w:r>
      <w:r>
        <w:rPr>
          <w:color w:val="000000"/>
          <w:spacing w:val="0"/>
          <w:w w:val="100"/>
          <w:position w:val="0"/>
        </w:rPr>
        <w:t>万元增加到 人民币</w:t>
      </w:r>
      <w:r>
        <w:rPr>
          <w:rFonts w:ascii="Times New Roman" w:eastAsia="Times New Roman" w:hAnsi="Times New Roman" w:cs="Times New Roman"/>
          <w:color w:val="000000"/>
          <w:spacing w:val="0"/>
          <w:w w:val="100"/>
          <w:position w:val="0"/>
        </w:rPr>
        <w:t>21,500.00</w:t>
      </w:r>
      <w:r>
        <w:rPr>
          <w:color w:val="000000"/>
          <w:spacing w:val="0"/>
          <w:w w:val="100"/>
          <w:position w:val="0"/>
        </w:rPr>
        <w:t>万元，增加注册资本人民币</w:t>
      </w:r>
      <w:r>
        <w:rPr>
          <w:rFonts w:ascii="Times New Roman" w:eastAsia="Times New Roman" w:hAnsi="Times New Roman" w:cs="Times New Roman"/>
          <w:color w:val="000000"/>
          <w:spacing w:val="0"/>
          <w:w w:val="100"/>
          <w:position w:val="0"/>
        </w:rPr>
        <w:t>300.00</w:t>
      </w:r>
      <w:r>
        <w:rPr>
          <w:color w:val="000000"/>
          <w:spacing w:val="0"/>
          <w:w w:val="100"/>
          <w:position w:val="0"/>
        </w:rPr>
        <w:t>万元，由广发信德投资管理有限公司全部认缴。 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日办理了工商变更登记手续，取得了换发的《企业法人营业执照》。变更后 的注册资本为人民币</w:t>
      </w:r>
      <w:r>
        <w:rPr>
          <w:rFonts w:ascii="Times New Roman" w:eastAsia="Times New Roman" w:hAnsi="Times New Roman" w:cs="Times New Roman"/>
          <w:color w:val="000000"/>
          <w:spacing w:val="0"/>
          <w:w w:val="100"/>
          <w:position w:val="0"/>
        </w:rPr>
        <w:t>21,500.00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21,500.00</w:t>
      </w:r>
      <w:r>
        <w:rPr>
          <w:color w:val="000000"/>
          <w:spacing w:val="0"/>
          <w:w w:val="100"/>
          <w:position w:val="0"/>
        </w:rPr>
        <w:t>万元。</w:t>
      </w:r>
    </w:p>
    <w:p>
      <w:pPr>
        <w:pStyle w:val="Style12"/>
        <w:keepNext w:val="0"/>
        <w:keepLines w:val="0"/>
        <w:widowControl w:val="0"/>
        <w:shd w:val="clear" w:color="auto" w:fill="auto"/>
        <w:bidi w:val="0"/>
        <w:spacing w:before="0" w:after="0" w:line="280"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日经中国证券监督管理委员会 《关于核准江苏林洋电子股份有限公司首次公开发行股票的批复》（证监许可</w:t>
      </w:r>
      <w:r>
        <w:rPr>
          <w:rFonts w:ascii="Times New Roman" w:eastAsia="Times New Roman" w:hAnsi="Times New Roman" w:cs="Times New Roman"/>
          <w:color w:val="000000"/>
          <w:spacing w:val="0"/>
          <w:w w:val="100"/>
          <w:position w:val="0"/>
        </w:rPr>
        <w:t>[2011]633</w:t>
      </w:r>
      <w:r>
        <w:rPr>
          <w:color w:val="000000"/>
          <w:spacing w:val="0"/>
          <w:w w:val="100"/>
          <w:position w:val="0"/>
        </w:rPr>
        <w:t>号文）核准,</w:t>
      </w:r>
    </w:p>
    <w:p>
      <w:pPr>
        <w:pStyle w:val="Style12"/>
        <w:keepNext w:val="0"/>
        <w:keepLines w:val="0"/>
        <w:widowControl w:val="0"/>
        <w:shd w:val="clear" w:color="auto" w:fill="auto"/>
        <w:bidi w:val="0"/>
        <w:spacing w:before="0" w:line="280" w:lineRule="exact"/>
        <w:ind w:left="0" w:right="0" w:firstLine="0"/>
        <w:jc w:val="both"/>
      </w:pPr>
      <w:r>
        <w:rPr>
          <w:color w:val="000000"/>
          <w:spacing w:val="0"/>
          <w:w w:val="100"/>
          <w:position w:val="0"/>
        </w:rPr>
        <w:t>首次向社会公开发行新股</w:t>
      </w:r>
      <w:r>
        <w:rPr>
          <w:rFonts w:ascii="Times New Roman" w:eastAsia="Times New Roman" w:hAnsi="Times New Roman" w:cs="Times New Roman"/>
          <w:color w:val="000000"/>
          <w:spacing w:val="0"/>
          <w:w w:val="100"/>
          <w:position w:val="0"/>
        </w:rPr>
        <w:t>7,500.00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rPr>
        <w:t>7,500.00</w:t>
      </w:r>
      <w:r>
        <w:rPr>
          <w:color w:val="000000"/>
          <w:spacing w:val="0"/>
          <w:w w:val="100"/>
          <w:position w:val="0"/>
        </w:rPr>
        <w:t>万元， 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日起在上海证券交易所上市交易。上市后，公司注册资本增至人民币</w:t>
      </w:r>
      <w:r>
        <w:rPr>
          <w:rFonts w:ascii="Times New Roman" w:eastAsia="Times New Roman" w:hAnsi="Times New Roman" w:cs="Times New Roman"/>
          <w:color w:val="000000"/>
          <w:spacing w:val="0"/>
          <w:w w:val="100"/>
          <w:position w:val="0"/>
        </w:rPr>
        <w:t xml:space="preserve">29,000.00 </w:t>
      </w:r>
      <w:r>
        <w:rPr>
          <w:color w:val="000000"/>
          <w:spacing w:val="0"/>
          <w:w w:val="100"/>
          <w:position w:val="0"/>
        </w:rPr>
        <w:t>万元，所属行业为电工仪器仪表行业。</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29,000.00</w:t>
      </w:r>
      <w:r>
        <w:rPr>
          <w:color w:val="000000"/>
          <w:spacing w:val="0"/>
          <w:w w:val="100"/>
          <w:position w:val="0"/>
        </w:rPr>
        <w:t>万股为基数， 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2</w:t>
      </w:r>
      <w:r>
        <w:rPr>
          <w:color w:val="000000"/>
          <w:spacing w:val="0"/>
          <w:w w:val="100"/>
          <w:position w:val="0"/>
        </w:rPr>
        <w:t>股，共计转增</w:t>
      </w:r>
      <w:r>
        <w:rPr>
          <w:rFonts w:ascii="Times New Roman" w:eastAsia="Times New Roman" w:hAnsi="Times New Roman" w:cs="Times New Roman"/>
          <w:color w:val="000000"/>
          <w:spacing w:val="0"/>
          <w:w w:val="100"/>
          <w:position w:val="0"/>
        </w:rPr>
        <w:t>5,800.00</w:t>
      </w:r>
      <w:r>
        <w:rPr>
          <w:color w:val="000000"/>
          <w:spacing w:val="0"/>
          <w:w w:val="100"/>
          <w:position w:val="0"/>
        </w:rPr>
        <w:t>万股，并于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月实施。转增后，注册 资本增至人民币</w:t>
      </w:r>
      <w:r>
        <w:rPr>
          <w:rFonts w:ascii="Times New Roman" w:eastAsia="Times New Roman" w:hAnsi="Times New Roman" w:cs="Times New Roman"/>
          <w:color w:val="000000"/>
          <w:spacing w:val="0"/>
          <w:w w:val="100"/>
          <w:position w:val="0"/>
        </w:rPr>
        <w:t>34,800.00</w:t>
      </w:r>
      <w:r>
        <w:rPr>
          <w:color w:val="000000"/>
          <w:spacing w:val="0"/>
          <w:w w:val="100"/>
          <w:position w:val="0"/>
        </w:rPr>
        <w:t>万元。</w:t>
      </w:r>
    </w:p>
    <w:p>
      <w:pPr>
        <w:pStyle w:val="Style12"/>
        <w:keepNext w:val="0"/>
        <w:keepLines w:val="0"/>
        <w:widowControl w:val="0"/>
        <w:shd w:val="clear" w:color="auto" w:fill="auto"/>
        <w:bidi w:val="0"/>
        <w:spacing w:before="0" w:line="270"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年第三次临时股东大会审议通过的《关于</w:t>
      </w:r>
      <w:r>
        <w:rPr>
          <w:color w:val="000000"/>
          <w:spacing w:val="0"/>
          <w:w w:val="100"/>
          <w:position w:val="0"/>
        </w:rPr>
        <w:t>〈</w:t>
      </w:r>
      <w:r>
        <w:rPr>
          <w:color w:val="000000"/>
          <w:spacing w:val="0"/>
          <w:w w:val="100"/>
          <w:position w:val="0"/>
        </w:rPr>
        <w:t>江苏林洋电子股份有限公司首期限制性 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及其摘要的议案》和修改后的章程规定，本公司拟向沈凯平等</w:t>
      </w:r>
      <w:r>
        <w:rPr>
          <w:rFonts w:ascii="Times New Roman" w:eastAsia="Times New Roman" w:hAnsi="Times New Roman" w:cs="Times New Roman"/>
          <w:color w:val="000000"/>
          <w:spacing w:val="0"/>
          <w:w w:val="100"/>
          <w:position w:val="0"/>
        </w:rPr>
        <w:t>100</w:t>
      </w:r>
      <w:r>
        <w:rPr>
          <w:color w:val="000000"/>
          <w:spacing w:val="0"/>
          <w:w w:val="100"/>
          <w:position w:val="0"/>
        </w:rPr>
        <w:t>名自然 人定向发行股票</w:t>
      </w:r>
      <w:r>
        <w:rPr>
          <w:rFonts w:ascii="Times New Roman" w:eastAsia="Times New Roman" w:hAnsi="Times New Roman" w:cs="Times New Roman"/>
          <w:color w:val="000000"/>
          <w:spacing w:val="0"/>
          <w:w w:val="100"/>
          <w:position w:val="0"/>
        </w:rPr>
        <w:t>729</w:t>
      </w:r>
      <w:r>
        <w:rPr>
          <w:color w:val="000000"/>
          <w:spacing w:val="0"/>
          <w:w w:val="100"/>
          <w:position w:val="0"/>
        </w:rPr>
        <w:t>万股，每股面值</w:t>
      </w:r>
      <w:r>
        <w:rPr>
          <w:rFonts w:ascii="Times New Roman" w:eastAsia="Times New Roman" w:hAnsi="Times New Roman" w:cs="Times New Roman"/>
          <w:color w:val="000000"/>
          <w:spacing w:val="0"/>
          <w:w w:val="100"/>
          <w:position w:val="0"/>
        </w:rPr>
        <w:t>1.00</w:t>
      </w:r>
      <w:r>
        <w:rPr>
          <w:color w:val="000000"/>
          <w:spacing w:val="0"/>
          <w:w w:val="100"/>
          <w:position w:val="0"/>
        </w:rPr>
        <w:t>元，各自然人均以现金认购发行的股票。截至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日，本公司本次定向增发实际发行股票</w:t>
      </w:r>
      <w:r>
        <w:rPr>
          <w:rFonts w:ascii="Times New Roman" w:eastAsia="Times New Roman" w:hAnsi="Times New Roman" w:cs="Times New Roman"/>
          <w:color w:val="000000"/>
          <w:spacing w:val="0"/>
          <w:w w:val="100"/>
          <w:position w:val="0"/>
        </w:rPr>
        <w:t>729</w:t>
      </w:r>
      <w:r>
        <w:rPr>
          <w:color w:val="000000"/>
          <w:spacing w:val="0"/>
          <w:w w:val="100"/>
          <w:position w:val="0"/>
        </w:rPr>
        <w:t>万股，变更后的股本为</w:t>
      </w:r>
      <w:r>
        <w:rPr>
          <w:rFonts w:ascii="Times New Roman" w:eastAsia="Times New Roman" w:hAnsi="Times New Roman" w:cs="Times New Roman"/>
          <w:color w:val="000000"/>
          <w:spacing w:val="0"/>
          <w:w w:val="100"/>
          <w:position w:val="0"/>
        </w:rPr>
        <w:t>35,529.00</w:t>
      </w:r>
      <w:r>
        <w:rPr>
          <w:color w:val="000000"/>
          <w:spacing w:val="0"/>
          <w:w w:val="100"/>
          <w:position w:val="0"/>
        </w:rPr>
        <w:t>万元。</w:t>
      </w:r>
    </w:p>
    <w:p>
      <w:pPr>
        <w:pStyle w:val="Style12"/>
        <w:keepNext w:val="0"/>
        <w:keepLines w:val="0"/>
        <w:widowControl w:val="0"/>
        <w:shd w:val="clear" w:color="auto" w:fill="auto"/>
        <w:bidi w:val="0"/>
        <w:spacing w:before="0" w:line="270"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2013</w:t>
      </w:r>
      <w:r>
        <w:rPr>
          <w:color w:val="000000"/>
          <w:spacing w:val="0"/>
          <w:w w:val="100"/>
          <w:position w:val="0"/>
        </w:rPr>
        <w:t>年第二届董事会第六次会议审议并通过的《关于回购注销部分激励对象已获授但 尚未解锁的限制性股票的议案》以及修改后的章程规定，本公司将回购注销原激励对象黄祖斌和张 俊已获授的全部限制性股票</w:t>
      </w:r>
      <w:r>
        <w:rPr>
          <w:rFonts w:ascii="Times New Roman" w:eastAsia="Times New Roman" w:hAnsi="Times New Roman" w:cs="Times New Roman"/>
          <w:color w:val="000000"/>
          <w:spacing w:val="0"/>
          <w:w w:val="100"/>
          <w:position w:val="0"/>
        </w:rPr>
        <w:t>11</w:t>
      </w:r>
      <w:r>
        <w:rPr>
          <w:color w:val="000000"/>
          <w:spacing w:val="0"/>
          <w:w w:val="100"/>
          <w:position w:val="0"/>
        </w:rPr>
        <w:t>万股，该部分股票注销完成后，公司注册资本由</w:t>
      </w:r>
      <w:r>
        <w:rPr>
          <w:rFonts w:ascii="Times New Roman" w:eastAsia="Times New Roman" w:hAnsi="Times New Roman" w:cs="Times New Roman"/>
          <w:color w:val="000000"/>
          <w:spacing w:val="0"/>
          <w:w w:val="100"/>
          <w:position w:val="0"/>
        </w:rPr>
        <w:t>35,529.00</w:t>
      </w:r>
      <w:r>
        <w:rPr>
          <w:color w:val="000000"/>
          <w:spacing w:val="0"/>
          <w:w w:val="100"/>
          <w:position w:val="0"/>
        </w:rPr>
        <w:t>万元减 少至</w:t>
      </w:r>
      <w:r>
        <w:rPr>
          <w:rFonts w:ascii="Times New Roman" w:eastAsia="Times New Roman" w:hAnsi="Times New Roman" w:cs="Times New Roman"/>
          <w:color w:val="000000"/>
          <w:spacing w:val="0"/>
          <w:w w:val="100"/>
          <w:position w:val="0"/>
        </w:rPr>
        <w:t>35,518.00</w:t>
      </w:r>
      <w:r>
        <w:rPr>
          <w:color w:val="000000"/>
          <w:spacing w:val="0"/>
          <w:w w:val="100"/>
          <w:position w:val="0"/>
        </w:rPr>
        <w:t>万元。</w:t>
      </w:r>
    </w:p>
    <w:p>
      <w:pPr>
        <w:pStyle w:val="Style12"/>
        <w:keepNext w:val="0"/>
        <w:keepLines w:val="0"/>
        <w:widowControl w:val="0"/>
        <w:shd w:val="clear" w:color="auto" w:fill="auto"/>
        <w:bidi w:val="0"/>
        <w:spacing w:before="0" w:line="28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35,518.00</w:t>
      </w:r>
      <w:r>
        <w:rPr>
          <w:color w:val="000000"/>
          <w:spacing w:val="0"/>
          <w:w w:val="100"/>
          <w:position w:val="0"/>
        </w:rPr>
        <w:t>万股，公司注册资本为</w:t>
      </w:r>
      <w:r>
        <w:rPr>
          <w:rFonts w:ascii="Times New Roman" w:eastAsia="Times New Roman" w:hAnsi="Times New Roman" w:cs="Times New Roman"/>
          <w:color w:val="000000"/>
          <w:spacing w:val="0"/>
          <w:w w:val="100"/>
          <w:position w:val="0"/>
        </w:rPr>
        <w:t>35,518.00</w:t>
      </w:r>
      <w:r>
        <w:rPr>
          <w:color w:val="000000"/>
          <w:spacing w:val="0"/>
          <w:w w:val="100"/>
          <w:position w:val="0"/>
        </w:rPr>
        <w:t>万 /元。</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公司注册地址及办公地：江苏省启东经济开发区林洋路</w:t>
      </w:r>
      <w:r>
        <w:rPr>
          <w:rFonts w:ascii="Times New Roman" w:eastAsia="Times New Roman" w:hAnsi="Times New Roman" w:cs="Times New Roman"/>
          <w:color w:val="000000"/>
          <w:spacing w:val="0"/>
          <w:w w:val="100"/>
          <w:position w:val="0"/>
        </w:rPr>
        <w:t>666</w:t>
      </w:r>
      <w:r>
        <w:rPr>
          <w:color w:val="000000"/>
          <w:spacing w:val="0"/>
          <w:w w:val="100"/>
          <w:position w:val="0"/>
        </w:rPr>
        <w:t>号。经营范围：仪器仪表、电子设备、 电力电气设备、自动化设备、集成电路、光伏设备、照明器具、光电元器件、</w:t>
      </w:r>
      <w:r>
        <w:rPr>
          <w:rFonts w:ascii="Times New Roman" w:eastAsia="Times New Roman" w:hAnsi="Times New Roman" w:cs="Times New Roman"/>
          <w:color w:val="000000"/>
          <w:spacing w:val="0"/>
          <w:w w:val="100"/>
          <w:position w:val="0"/>
        </w:rPr>
        <w:t>LED</w:t>
      </w:r>
      <w:r>
        <w:rPr>
          <w:color w:val="000000"/>
          <w:spacing w:val="0"/>
          <w:w w:val="100"/>
          <w:position w:val="0"/>
        </w:rPr>
        <w:t>驱动电源、智能 照明控制系统、计算机软硬件及系统产品研发、制造、销售；智能电网系统集成；电力电气工程、 建筑物照明设备、光伏电气设备、路牌、路标、广告牌的安装、施工；新能源、节能环保相关产品 及零配件的研发、设计、制造、销售、安装；国际货运代理；自营和代理各类商品及技术的进出口 业务（国家限定公司经营或禁止进出口的商品及技术除外）。</w:t>
      </w:r>
    </w:p>
    <w:p>
      <w:pPr>
        <w:pStyle w:val="Style12"/>
        <w:keepNext w:val="0"/>
        <w:keepLines w:val="0"/>
        <w:widowControl w:val="0"/>
        <w:shd w:val="clear" w:color="auto" w:fill="auto"/>
        <w:bidi w:val="0"/>
        <w:spacing w:before="0" w:after="520" w:line="274" w:lineRule="exact"/>
        <w:ind w:left="0" w:right="0" w:firstLine="0"/>
        <w:jc w:val="both"/>
      </w:pPr>
      <w:r>
        <w:rPr>
          <w:color w:val="000000"/>
          <w:spacing w:val="0"/>
          <w:w w:val="100"/>
          <w:position w:val="0"/>
        </w:rPr>
        <w:t>公司目前处于生产经营期。</w:t>
      </w:r>
    </w:p>
    <w:p>
      <w:pPr>
        <w:pStyle w:val="Style29"/>
        <w:keepNext/>
        <w:keepLines/>
        <w:widowControl w:val="0"/>
        <w:shd w:val="clear" w:color="auto" w:fill="auto"/>
        <w:bidi w:val="0"/>
        <w:spacing w:before="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rPr>
        <w:t>四</w:t>
      </w:r>
      <w:bookmarkEnd w:id="476"/>
      <w:r>
        <w:rPr>
          <w:color w:val="000000"/>
          <w:spacing w:val="0"/>
          <w:w w:val="100"/>
          <w:position w:val="0"/>
        </w:rPr>
        <w:t>、公司主要会计政策、会计估计和前期差错：</w:t>
      </w:r>
      <w:bookmarkEnd w:id="474"/>
      <w:bookmarkEnd w:id="475"/>
      <w:bookmarkEnd w:id="477"/>
    </w:p>
    <w:p>
      <w:pPr>
        <w:pStyle w:val="Style29"/>
        <w:keepNext/>
        <w:keepLines/>
        <w:widowControl w:val="0"/>
        <w:shd w:val="clear" w:color="auto" w:fill="auto"/>
        <w:bidi w:val="0"/>
        <w:spacing w:before="0" w:after="100" w:line="240" w:lineRule="auto"/>
        <w:ind w:left="0" w:right="0" w:firstLine="0"/>
        <w:jc w:val="both"/>
      </w:pPr>
      <w:bookmarkStart w:id="474" w:name="bookmark474"/>
      <w:bookmarkStart w:id="475" w:name="bookmark475"/>
      <w:bookmarkStart w:id="478" w:name="bookmark478"/>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财务报表的编制基础：</w:t>
      </w:r>
      <w:bookmarkEnd w:id="474"/>
      <w:bookmarkEnd w:id="475"/>
      <w:bookmarkEnd w:id="478"/>
    </w:p>
    <w:p>
      <w:pPr>
        <w:pStyle w:val="Style12"/>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日颁布的《企 </w:t>
      </w:r>
      <w:r>
        <w:rPr>
          <w:color w:val="000000"/>
          <w:spacing w:val="0"/>
          <w:w w:val="100"/>
          <w:position w:val="0"/>
        </w:rPr>
        <w:t>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 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 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29"/>
        <w:keepNext/>
        <w:keepLines/>
        <w:widowControl w:val="0"/>
        <w:shd w:val="clear" w:color="auto" w:fill="auto"/>
        <w:tabs>
          <w:tab w:pos="519" w:val="left"/>
        </w:tabs>
        <w:bidi w:val="0"/>
        <w:spacing w:before="0" w:after="100"/>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w:t>
      </w:r>
      <w:bookmarkEnd w:id="48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bookmarkEnd w:id="479"/>
      <w:bookmarkEnd w:id="480"/>
      <w:bookmarkEnd w:id="482"/>
    </w:p>
    <w:p>
      <w:pPr>
        <w:pStyle w:val="Style1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公司所编制的财务报表符合企业会计准则的要求，真实、完整地反映了报告期公司的财务状况、经 营成果、现金流量等有关信息。</w:t>
      </w:r>
    </w:p>
    <w:p>
      <w:pPr>
        <w:pStyle w:val="Style29"/>
        <w:keepNext/>
        <w:keepLines/>
        <w:widowControl w:val="0"/>
        <w:shd w:val="clear" w:color="auto" w:fill="auto"/>
        <w:tabs>
          <w:tab w:pos="519" w:val="left"/>
        </w:tabs>
        <w:bidi w:val="0"/>
        <w:spacing w:before="0" w:after="0"/>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w:t>
      </w:r>
      <w:bookmarkEnd w:id="48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bookmarkEnd w:id="483"/>
      <w:bookmarkEnd w:id="484"/>
      <w:bookmarkEnd w:id="486"/>
    </w:p>
    <w:p>
      <w:pPr>
        <w:pStyle w:val="Style12"/>
        <w:keepNext w:val="0"/>
        <w:keepLines w:val="0"/>
        <w:widowControl w:val="0"/>
        <w:shd w:val="clear" w:color="auto" w:fill="auto"/>
        <w:bidi w:val="0"/>
        <w:spacing w:before="0" w:after="240" w:line="273" w:lineRule="exact"/>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9"/>
        <w:keepNext/>
        <w:keepLines/>
        <w:widowControl w:val="0"/>
        <w:shd w:val="clear" w:color="auto" w:fill="auto"/>
        <w:tabs>
          <w:tab w:pos="519" w:val="left"/>
        </w:tabs>
        <w:bidi w:val="0"/>
        <w:spacing w:before="0" w:after="100"/>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w:t>
      </w:r>
      <w:bookmarkEnd w:id="489"/>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bookmarkEnd w:id="487"/>
      <w:bookmarkEnd w:id="488"/>
      <w:bookmarkEnd w:id="490"/>
    </w:p>
    <w:p>
      <w:pPr>
        <w:pStyle w:val="Style12"/>
        <w:keepNext w:val="0"/>
        <w:keepLines w:val="0"/>
        <w:widowControl w:val="0"/>
        <w:shd w:val="clear" w:color="auto" w:fill="auto"/>
        <w:bidi w:val="0"/>
        <w:spacing w:before="0" w:line="273" w:lineRule="exact"/>
        <w:ind w:left="0" w:right="0" w:firstLine="0"/>
        <w:jc w:val="both"/>
      </w:pPr>
      <w:r>
        <w:rPr>
          <w:color w:val="000000"/>
          <w:spacing w:val="0"/>
          <w:w w:val="100"/>
          <w:position w:val="0"/>
        </w:rPr>
        <w:t>采用人民币为记账本位币。</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境外经营对其所从事的活动是否拥有很强的自主性。如果境外经营所从事的活动是视同企业经营活 动的延伸，构成企业经营活动的组成部分，该境外经营应当选择与企业记账本位币相同的货币作为 记账本位币，如果境外经营所从事的活动拥有极大的自主性，境外经营不能选择与企业记账本位币 相同的货币作为记账本位币。</w:t>
      </w:r>
    </w:p>
    <w:p>
      <w:pPr>
        <w:pStyle w:val="Style12"/>
        <w:keepNext w:val="0"/>
        <w:keepLines w:val="0"/>
        <w:widowControl w:val="0"/>
        <w:shd w:val="clear" w:color="auto" w:fill="auto"/>
        <w:bidi w:val="0"/>
        <w:spacing w:before="0" w:line="271" w:lineRule="exact"/>
        <w:ind w:left="0" w:right="0" w:firstLine="0"/>
        <w:jc w:val="both"/>
      </w:pPr>
      <w:r>
        <w:rPr>
          <w:color w:val="000000"/>
          <w:spacing w:val="0"/>
          <w:w w:val="100"/>
          <w:position w:val="0"/>
        </w:rPr>
        <w:t>境外经营活动中与企业的交易是否在境外经营活动中占有较大比重。如果境外经营与企业的交易在 境外经营活动中所占的比例较高，境外经营应当选择与企业记账本位币相同的货币作为记账本位 币，反之，应选择其他货币。</w:t>
      </w:r>
    </w:p>
    <w:p>
      <w:pPr>
        <w:pStyle w:val="Style12"/>
        <w:keepNext w:val="0"/>
        <w:keepLines w:val="0"/>
        <w:widowControl w:val="0"/>
        <w:shd w:val="clear" w:color="auto" w:fill="auto"/>
        <w:bidi w:val="0"/>
        <w:spacing w:before="0" w:after="240" w:line="273" w:lineRule="exact"/>
        <w:ind w:left="0" w:right="0" w:firstLine="0"/>
        <w:jc w:val="both"/>
      </w:pPr>
      <w:r>
        <w:rPr>
          <w:color w:val="000000"/>
          <w:spacing w:val="0"/>
          <w:w w:val="100"/>
          <w:position w:val="0"/>
        </w:rPr>
        <w:t>境外经营活动产生的现金流量是否直接影响企业的现金流量、是否可以随时汇回。如果境外经营活 动产生的现金流量直接影响企业的现金流量，并可随时汇回，境外经营应当选择与企业记账本位币 相同的货币作为记账本位币，反之，应选择其他货币。境外经营活动产生的现金流量是否足以偿 还其现有债务和可预期的债务。在企业不提供资金的情况下，如果境外经营活动产生的现金流量难 以偿还其现有债务和正常情况下可预期的债务，境外经营应当选择与企业记账本位币相同的货币作 为记账本位币，反之，应选择其他货币。</w:t>
      </w:r>
    </w:p>
    <w:p>
      <w:pPr>
        <w:pStyle w:val="Style29"/>
        <w:keepNext/>
        <w:keepLines/>
        <w:widowControl w:val="0"/>
        <w:shd w:val="clear" w:color="auto" w:fill="auto"/>
        <w:tabs>
          <w:tab w:pos="519" w:val="left"/>
        </w:tabs>
        <w:bidi w:val="0"/>
        <w:spacing w:before="0" w:after="0"/>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w:t>
      </w:r>
      <w:bookmarkEnd w:id="493"/>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bookmarkEnd w:id="491"/>
      <w:bookmarkEnd w:id="492"/>
      <w:bookmarkEnd w:id="494"/>
    </w:p>
    <w:p>
      <w:pPr>
        <w:pStyle w:val="Style29"/>
        <w:keepNext/>
        <w:keepLines/>
        <w:widowControl w:val="0"/>
        <w:shd w:val="clear" w:color="auto" w:fill="auto"/>
        <w:tabs>
          <w:tab w:pos="506" w:val="left"/>
        </w:tabs>
        <w:bidi w:val="0"/>
        <w:spacing w:before="0" w:after="100"/>
        <w:ind w:left="0" w:right="0" w:firstLine="0"/>
        <w:jc w:val="both"/>
      </w:pPr>
      <w:bookmarkStart w:id="491" w:name="bookmark491"/>
      <w:bookmarkStart w:id="492" w:name="bookmark492"/>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w:t>
        <w:tab/>
        <w:t>同一控制下企业合并</w:t>
      </w:r>
      <w:bookmarkEnd w:id="491"/>
      <w:bookmarkEnd w:id="492"/>
      <w:bookmarkEnd w:id="496"/>
    </w:p>
    <w:p>
      <w:pPr>
        <w:pStyle w:val="Style12"/>
        <w:keepNext w:val="0"/>
        <w:keepLines w:val="0"/>
        <w:widowControl w:val="0"/>
        <w:shd w:val="clear" w:color="auto" w:fill="auto"/>
        <w:bidi w:val="0"/>
        <w:spacing w:before="0" w:line="271" w:lineRule="exact"/>
        <w:ind w:left="0" w:right="0" w:firstLine="0"/>
        <w:jc w:val="both"/>
      </w:pPr>
      <w:r>
        <w:rPr>
          <w:color w:val="000000"/>
          <w:spacing w:val="0"/>
          <w:w w:val="100"/>
          <w:position w:val="0"/>
        </w:rPr>
        <w:t>本公司在企业合并中取得的资产和负债，按照合并日在被合并方的账面价值计量。被合并各方采用 的会计政策与本公司不一致的，本公司在合并日按照本公司会计政策进行调整，在此基础上按照调 整后的账面价值确认。</w:t>
      </w:r>
    </w:p>
    <w:p>
      <w:pPr>
        <w:pStyle w:val="Style12"/>
        <w:keepNext w:val="0"/>
        <w:keepLines w:val="0"/>
        <w:widowControl w:val="0"/>
        <w:shd w:val="clear" w:color="auto" w:fill="auto"/>
        <w:bidi w:val="0"/>
        <w:spacing w:before="0" w:line="264" w:lineRule="exact"/>
        <w:ind w:left="0" w:right="0" w:firstLine="0"/>
        <w:jc w:val="both"/>
      </w:pPr>
      <w:r>
        <w:rPr>
          <w:color w:val="000000"/>
          <w:spacing w:val="0"/>
          <w:w w:val="100"/>
          <w:position w:val="0"/>
        </w:rPr>
        <w:t>在合并中取得的净资产账面价值与支付的合并对价账面价值（或发行股份面值总额）的差额，调整 资本公积中的股本溢价，资本公积中的股本溢价不足冲减的，调整留存收益。</w:t>
      </w:r>
    </w:p>
    <w:p>
      <w:pPr>
        <w:pStyle w:val="Style12"/>
        <w:keepNext w:val="0"/>
        <w:keepLines w:val="0"/>
        <w:widowControl w:val="0"/>
        <w:shd w:val="clear" w:color="auto" w:fill="auto"/>
        <w:bidi w:val="0"/>
        <w:spacing w:before="0" w:line="269" w:lineRule="exact"/>
        <w:ind w:left="0" w:right="0" w:firstLine="0"/>
        <w:jc w:val="both"/>
      </w:pPr>
      <w:r>
        <w:rPr>
          <w:color w:val="000000"/>
          <w:spacing w:val="0"/>
          <w:w w:val="100"/>
          <w:position w:val="0"/>
        </w:rPr>
        <w:t>本公司为进行企业合并而发生的各项直接相关费用，包括为进行企业合并而支付的审计费用、评估 费用、法律服务费等，于发生时计入当期损益。</w:t>
      </w:r>
    </w:p>
    <w:p>
      <w:pPr>
        <w:pStyle w:val="Style12"/>
        <w:keepNext w:val="0"/>
        <w:keepLines w:val="0"/>
        <w:widowControl w:val="0"/>
        <w:shd w:val="clear" w:color="auto" w:fill="auto"/>
        <w:bidi w:val="0"/>
        <w:spacing w:before="0" w:after="240" w:line="278" w:lineRule="exact"/>
        <w:ind w:left="0" w:right="0" w:firstLine="0"/>
        <w:jc w:val="both"/>
      </w:pPr>
      <w:r>
        <w:rPr>
          <w:color w:val="000000"/>
          <w:spacing w:val="0"/>
          <w:w w:val="100"/>
          <w:position w:val="0"/>
        </w:rPr>
        <w:t>企业合并中发行权益性证券发生的手续费、佣金等，抵减权益性证券溢价收入，溢价收入不足冲减 的，冲减留存收益。</w:t>
      </w:r>
    </w:p>
    <w:p>
      <w:pPr>
        <w:pStyle w:val="Style29"/>
        <w:keepNext/>
        <w:keepLines/>
        <w:widowControl w:val="0"/>
        <w:shd w:val="clear" w:color="auto" w:fill="auto"/>
        <w:tabs>
          <w:tab w:pos="506" w:val="left"/>
        </w:tabs>
        <w:bidi w:val="0"/>
        <w:spacing w:before="0" w:after="100"/>
        <w:ind w:left="0" w:right="0" w:firstLine="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t>非同一控制下的企业合并</w:t>
      </w:r>
      <w:bookmarkEnd w:id="497"/>
      <w:bookmarkEnd w:id="498"/>
      <w:bookmarkEnd w:id="500"/>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本公司在购买日对作为企业合并对价付出的资产、发生或承担的负债按照公允价值计量。公允价值 与其账面价值的差额，计入当期损益。</w:t>
      </w:r>
    </w:p>
    <w:p>
      <w:pPr>
        <w:pStyle w:val="Style12"/>
        <w:keepNext w:val="0"/>
        <w:keepLines w:val="0"/>
        <w:widowControl w:val="0"/>
        <w:shd w:val="clear" w:color="auto" w:fill="auto"/>
        <w:bidi w:val="0"/>
        <w:spacing w:before="0" w:line="269" w:lineRule="exact"/>
        <w:ind w:left="0" w:right="0" w:firstLine="0"/>
        <w:jc w:val="both"/>
      </w:pPr>
      <w:r>
        <w:rPr>
          <w:color w:val="000000"/>
          <w:spacing w:val="0"/>
          <w:w w:val="100"/>
          <w:position w:val="0"/>
        </w:rPr>
        <w:t>本公司在购买日对合并成本进行分配，确认所取得的被购买方各项可辨认资产、负债及或有负债的 公允价值。</w:t>
      </w:r>
    </w:p>
    <w:p>
      <w:pPr>
        <w:pStyle w:val="Style12"/>
        <w:keepNext w:val="0"/>
        <w:keepLines w:val="0"/>
        <w:widowControl w:val="0"/>
        <w:shd w:val="clear" w:color="auto" w:fill="auto"/>
        <w:bidi w:val="0"/>
        <w:spacing w:before="0" w:line="283" w:lineRule="exact"/>
        <w:ind w:left="0" w:right="0" w:firstLine="0"/>
        <w:jc w:val="both"/>
      </w:pPr>
      <w:r>
        <w:rPr>
          <w:color w:val="000000"/>
          <w:spacing w:val="0"/>
          <w:w w:val="100"/>
          <w:position w:val="0"/>
        </w:rPr>
        <w:t>本公司对合并成本大于合并中取得的被购买方可辨认净资产公允价值份额的差额，确认为商誉；合 并成本小于合并中取得的被购买方可辨认净资产公允价值份额的差额，经复核后，计入当期损益。</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企业合并中取得的被购买方除无形资产外的其他各项资产（不仅限于被购买方原已确认的资产）， 其所带来的经济利益很可能流入本公司且公允价值能够可靠计量的，单独确认并按公允价值计量； 公允价值能够可靠计量的无形资产，单独确认为无形资产并按公允价值计量；取得的被购买方除或 有负债以外的其他各项负债，履行有关义务很可能导致经济利益流出本公司且公允价值能够可靠计 量的，单独确认并按照公允价值计量；取得的被购买方或有负债，其公允价值能可靠计量的，单独 确认为负债并按照公允价值计量。</w:t>
      </w:r>
    </w:p>
    <w:p>
      <w:pPr>
        <w:pStyle w:val="Style12"/>
        <w:keepNext w:val="0"/>
        <w:keepLines w:val="0"/>
        <w:widowControl w:val="0"/>
        <w:shd w:val="clear" w:color="auto" w:fill="auto"/>
        <w:bidi w:val="0"/>
        <w:spacing w:before="0" w:line="275" w:lineRule="exact"/>
        <w:ind w:left="0" w:right="0" w:firstLine="0"/>
        <w:jc w:val="both"/>
      </w:pPr>
      <w:r>
        <w:rPr>
          <w:color w:val="000000"/>
          <w:spacing w:val="0"/>
          <w:w w:val="100"/>
          <w:position w:val="0"/>
        </w:rPr>
        <w:t>本公司在企业合并中取得的被购买方的可抵扣暂时性差异，在购买日不符合递延所得税资产确认条 件的，不予以确认。购买日后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 存在，预期被购买方在购买日可抵扣暂时性差异带来的经济利益能够实现的，确认相关的递延所得 税资产，同时减少商誉，商誉不足冲减的，差额部分确认为当期损益；除上述情况以外，确认与企 业合并相关的递延所得税资产，计入当期损益。</w:t>
      </w:r>
    </w:p>
    <w:p>
      <w:pPr>
        <w:pStyle w:val="Style12"/>
        <w:keepNext w:val="0"/>
        <w:keepLines w:val="0"/>
        <w:widowControl w:val="0"/>
        <w:shd w:val="clear" w:color="auto" w:fill="auto"/>
        <w:bidi w:val="0"/>
        <w:spacing w:before="0" w:after="280" w:line="274" w:lineRule="exact"/>
        <w:ind w:left="0" w:right="0" w:firstLine="0"/>
        <w:jc w:val="both"/>
      </w:pPr>
      <w:r>
        <w:rPr>
          <w:color w:val="000000"/>
          <w:spacing w:val="0"/>
          <w:w w:val="100"/>
          <w:position w:val="0"/>
        </w:rPr>
        <w:t>非同一控制下企业合并，购买方为企业合并发生的审计、法律服务、评估咨询等中介费用以及其他 相关管理费用，应当于发生时计入当期损益；购买方作为合并对价发行的权益性证券或债务性证券 的交易费用，应当计入权益性证券或债务性证券的初始确认金额。</w:t>
      </w:r>
    </w:p>
    <w:p>
      <w:pPr>
        <w:pStyle w:val="Style29"/>
        <w:keepNext/>
        <w:keepLines/>
        <w:widowControl w:val="0"/>
        <w:shd w:val="clear" w:color="auto" w:fill="auto"/>
        <w:bidi w:val="0"/>
        <w:spacing w:before="0" w:after="0" w:line="286"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w:t>
      </w:r>
      <w:bookmarkEnd w:id="503"/>
      <w:r>
        <w:rPr>
          <w:color w:val="000000"/>
          <w:spacing w:val="0"/>
          <w:w w:val="100"/>
          <w:position w:val="0"/>
        </w:rPr>
        <w:t>六</w:t>
      </w:r>
      <w:r>
        <w:rPr>
          <w:color w:val="000000"/>
          <w:spacing w:val="0"/>
          <w:w w:val="100"/>
          <w:position w:val="0"/>
        </w:rPr>
        <w:t>）</w:t>
      </w:r>
      <w:r>
        <w:rPr>
          <w:color w:val="000000"/>
          <w:spacing w:val="0"/>
          <w:w w:val="100"/>
          <w:position w:val="0"/>
        </w:rPr>
        <w:t>合并财务报表的编制方法：</w:t>
      </w:r>
      <w:bookmarkEnd w:id="501"/>
      <w:bookmarkEnd w:id="502"/>
      <w:bookmarkEnd w:id="504"/>
    </w:p>
    <w:p>
      <w:pPr>
        <w:pStyle w:val="Style29"/>
        <w:keepNext/>
        <w:keepLines/>
        <w:widowControl w:val="0"/>
        <w:shd w:val="clear" w:color="auto" w:fill="auto"/>
        <w:tabs>
          <w:tab w:pos="398" w:val="left"/>
        </w:tabs>
        <w:bidi w:val="0"/>
        <w:spacing w:before="0" w:after="0" w:line="286" w:lineRule="auto"/>
        <w:ind w:left="0" w:right="0" w:firstLine="0"/>
        <w:jc w:val="both"/>
      </w:pPr>
      <w:bookmarkStart w:id="501" w:name="bookmark501"/>
      <w:bookmarkStart w:id="502" w:name="bookmark502"/>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合并范围</w:t>
      </w:r>
      <w:bookmarkEnd w:id="501"/>
      <w:bookmarkEnd w:id="502"/>
      <w:bookmarkEnd w:id="506"/>
    </w:p>
    <w:p>
      <w:pPr>
        <w:pStyle w:val="Style12"/>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本公司合并财务报表的合并范围以控制为基础确定，所有子公司均纳入合并财务报表。</w:t>
      </w:r>
    </w:p>
    <w:p>
      <w:pPr>
        <w:pStyle w:val="Style29"/>
        <w:keepNext/>
        <w:keepLines/>
        <w:widowControl w:val="0"/>
        <w:shd w:val="clear" w:color="auto" w:fill="auto"/>
        <w:tabs>
          <w:tab w:pos="398" w:val="left"/>
        </w:tabs>
        <w:bidi w:val="0"/>
        <w:spacing w:before="0" w:after="100" w:line="286" w:lineRule="auto"/>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合并程序</w:t>
      </w:r>
      <w:bookmarkEnd w:id="507"/>
      <w:bookmarkEnd w:id="508"/>
      <w:bookmarkEnd w:id="510"/>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所有纳入合并财务报表合并范围的子公司所采用的会计政策、会计期间与本公司一致，如子公司采 用的会计政策、会计期间与本公司不一致的，在编制合并财务报表时，按本公司的会计政策、会计 期间进行必要的调整。对于非同一控制下企业合并取得的子公司，以购买日可辨认净资产公允价值 为基础对其财务报表进行调整。合并财务报表以本公司及子公司的财务报表为基础，根据其他有关 资料，按照权益法调整对子公司的长期股权投资后，由本公司编制。</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合并财务报表时抵销本公司与各子公司、各子公司相互之间发生的内部交易对合并资产负债表、合 并利润表、合并现金流量表、合并所有者权益变动表的影响。</w:t>
      </w:r>
    </w:p>
    <w:p>
      <w:pPr>
        <w:pStyle w:val="Style12"/>
        <w:keepNext w:val="0"/>
        <w:keepLines w:val="0"/>
        <w:widowControl w:val="0"/>
        <w:shd w:val="clear" w:color="auto" w:fill="auto"/>
        <w:bidi w:val="0"/>
        <w:spacing w:before="0" w:line="276" w:lineRule="exact"/>
        <w:ind w:left="0" w:right="0" w:firstLine="0"/>
        <w:jc w:val="both"/>
      </w:pPr>
      <w:r>
        <w:rPr>
          <w:color w:val="000000"/>
          <w:spacing w:val="0"/>
          <w:w w:val="100"/>
          <w:position w:val="0"/>
        </w:rPr>
        <w:t>子公司少数股东应占的权益和损益分别在合并资产负债表中所有者权益项目下和合并利润表中净 利润项目下单独列示。子公司少数股东分担的当期亏损超过了少数股东在该子公司期初所有者权益 中所享有份额而形成的余额，冲减少数股东权益。</w:t>
      </w:r>
    </w:p>
    <w:p>
      <w:pPr>
        <w:pStyle w:val="Style12"/>
        <w:keepNext w:val="0"/>
        <w:keepLines w:val="0"/>
        <w:widowControl w:val="0"/>
        <w:shd w:val="clear" w:color="auto" w:fill="auto"/>
        <w:bidi w:val="0"/>
        <w:spacing w:before="0" w:line="274" w:lineRule="exact"/>
        <w:ind w:left="0" w:right="0" w:firstLine="0"/>
        <w:jc w:val="both"/>
      </w:pPr>
      <w:bookmarkStart w:id="511" w:name="bookmark511"/>
      <w:r>
        <w:rPr>
          <w:b/>
          <w:bCs/>
          <w:color w:val="000000"/>
          <w:spacing w:val="0"/>
          <w:w w:val="100"/>
          <w:position w:val="0"/>
        </w:rPr>
        <w:t>（</w:t>
      </w:r>
      <w:bookmarkEnd w:id="511"/>
      <w:r>
        <w:rPr>
          <w:rFonts w:ascii="Times New Roman" w:eastAsia="Times New Roman" w:hAnsi="Times New Roman" w:cs="Times New Roman"/>
          <w:b/>
          <w:bCs/>
          <w:color w:val="000000"/>
          <w:spacing w:val="0"/>
          <w:w w:val="100"/>
          <w:position w:val="0"/>
        </w:rPr>
        <w:t>1</w:t>
      </w:r>
      <w:r>
        <w:rPr>
          <w:b/>
          <w:bCs/>
          <w:color w:val="000000"/>
          <w:spacing w:val="0"/>
          <w:w w:val="100"/>
          <w:position w:val="0"/>
        </w:rPr>
        <w:t>）增加子公司</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在报告期内，若因同一控制下企业合并增加子公司的，则调整合并资产负债表的期初数；将子公司 合并当期期初至报告期末的收入、费用、利润纳入合并利润表；将子公司合并当期期初至报告期末 的现金流量纳入合并现金流量表，同时对比较报表的相关项目进行调整，视同合并后的报告主体在 以前期间一直存在。</w:t>
      </w:r>
    </w:p>
    <w:p>
      <w:pPr>
        <w:pStyle w:val="Style12"/>
        <w:keepNext w:val="0"/>
        <w:keepLines w:val="0"/>
        <w:widowControl w:val="0"/>
        <w:shd w:val="clear" w:color="auto" w:fill="auto"/>
        <w:bidi w:val="0"/>
        <w:spacing w:before="0" w:after="120" w:line="274" w:lineRule="exact"/>
        <w:ind w:left="0" w:right="0" w:firstLine="0"/>
        <w:jc w:val="both"/>
      </w:pPr>
      <w:r>
        <w:rPr>
          <w:color w:val="000000"/>
          <w:spacing w:val="0"/>
          <w:w w:val="100"/>
          <w:position w:val="0"/>
        </w:rPr>
        <w:t xml:space="preserve">在报告期内，若因非同一控制下企业合并增加子公司的，则不调整合并资产负债表期初数；将子公 司自购买日至报告期末的收入、费用、利润纳入合并利润表；该子公司自购买日至报告期末的现金 流量纳入合并现金流量表。通过多次交易分步实现非同一控制下企业合并时，对于购买日之前持有 的被购买方的股权，本公司按照该股权在购买日的公允价值进行重新计量，公允价值与其账面价值 </w:t>
      </w:r>
      <w:r>
        <w:rPr>
          <w:color w:val="000000"/>
          <w:spacing w:val="0"/>
          <w:w w:val="100"/>
          <w:position w:val="0"/>
        </w:rPr>
        <w:t>的差额计入当期投资收益。购买日之前持有的被购买方的股权涉及其他综合收益的，与其相关的其 他综合收益转为购买日所属当期投资收益。</w:t>
      </w:r>
    </w:p>
    <w:p>
      <w:pPr>
        <w:pStyle w:val="Style12"/>
        <w:keepNext w:val="0"/>
        <w:keepLines w:val="0"/>
        <w:widowControl w:val="0"/>
        <w:shd w:val="clear" w:color="auto" w:fill="auto"/>
        <w:tabs>
          <w:tab w:pos="488" w:val="left"/>
        </w:tabs>
        <w:bidi w:val="0"/>
        <w:spacing w:before="0" w:after="120" w:line="272" w:lineRule="exact"/>
        <w:ind w:left="0" w:right="0" w:firstLine="0"/>
        <w:jc w:val="both"/>
      </w:pPr>
      <w:bookmarkStart w:id="512" w:name="bookmark512"/>
      <w:r>
        <w:rPr>
          <w:b/>
          <w:bCs/>
          <w:color w:val="000000"/>
          <w:spacing w:val="0"/>
          <w:w w:val="100"/>
          <w:position w:val="0"/>
        </w:rPr>
        <w:t>（</w:t>
      </w:r>
      <w:bookmarkEnd w:id="51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处置子公司</w:t>
      </w:r>
    </w:p>
    <w:p>
      <w:pPr>
        <w:pStyle w:val="Style12"/>
        <w:keepNext w:val="0"/>
        <w:keepLines w:val="0"/>
        <w:widowControl w:val="0"/>
        <w:numPr>
          <w:ilvl w:val="0"/>
          <w:numId w:val="13"/>
        </w:numPr>
        <w:shd w:val="clear" w:color="auto" w:fill="auto"/>
        <w:tabs>
          <w:tab w:pos="402" w:val="left"/>
        </w:tabs>
        <w:bidi w:val="0"/>
        <w:spacing w:before="0" w:after="120" w:line="272" w:lineRule="exact"/>
        <w:ind w:left="0" w:right="0" w:firstLine="0"/>
        <w:jc w:val="both"/>
      </w:pPr>
      <w:bookmarkStart w:id="513" w:name="bookmark513"/>
      <w:bookmarkEnd w:id="513"/>
      <w:r>
        <w:rPr>
          <w:b/>
          <w:bCs/>
          <w:color w:val="000000"/>
          <w:spacing w:val="0"/>
          <w:w w:val="100"/>
          <w:position w:val="0"/>
        </w:rPr>
        <w:t>一般处理方法</w:t>
      </w:r>
    </w:p>
    <w:p>
      <w:pPr>
        <w:pStyle w:val="Style12"/>
        <w:keepNext w:val="0"/>
        <w:keepLines w:val="0"/>
        <w:widowControl w:val="0"/>
        <w:shd w:val="clear" w:color="auto" w:fill="auto"/>
        <w:bidi w:val="0"/>
        <w:spacing w:before="0" w:after="120" w:line="272" w:lineRule="exact"/>
        <w:ind w:left="0" w:right="0" w:firstLine="0"/>
        <w:jc w:val="both"/>
      </w:pPr>
      <w:r>
        <w:rPr>
          <w:color w:val="000000"/>
          <w:spacing w:val="0"/>
          <w:w w:val="100"/>
          <w:position w:val="0"/>
        </w:rPr>
        <w:t>在报告期内，本公司处置子公司，则该子公司期初至处置日的收入、费用、利润纳入合并利润表； 该子公司期初至处置日的现金流量纳入合并现金流量表。因处置部分股权投资或其他原因丧失了对 原有子公司控制权时，对于处置后的剩余股权投资，本公司按照其在丧失控制权日的公允价值进行 重新计量。处置股权取得的对价与剩余股权公允价值之和，减去按原持股比例计算应享有原有子公 司自购买日开始持续计算的净资产的份额之间的差额，计入丧失控制权当期的投资收益。与原有子 公司股权投资相关的其他综合收益，在丧失控制权时转为当期投资收益。</w:t>
      </w:r>
    </w:p>
    <w:p>
      <w:pPr>
        <w:pStyle w:val="Style12"/>
        <w:keepNext w:val="0"/>
        <w:keepLines w:val="0"/>
        <w:widowControl w:val="0"/>
        <w:numPr>
          <w:ilvl w:val="0"/>
          <w:numId w:val="13"/>
        </w:numPr>
        <w:shd w:val="clear" w:color="auto" w:fill="auto"/>
        <w:tabs>
          <w:tab w:pos="402" w:val="left"/>
        </w:tabs>
        <w:bidi w:val="0"/>
        <w:spacing w:before="0" w:after="120" w:line="272" w:lineRule="exact"/>
        <w:ind w:left="0" w:right="0" w:firstLine="0"/>
        <w:jc w:val="both"/>
      </w:pPr>
      <w:bookmarkStart w:id="514" w:name="bookmark514"/>
      <w:bookmarkEnd w:id="514"/>
      <w:r>
        <w:rPr>
          <w:b/>
          <w:bCs/>
          <w:color w:val="000000"/>
          <w:spacing w:val="0"/>
          <w:w w:val="100"/>
          <w:position w:val="0"/>
        </w:rPr>
        <w:t>分步处置子公司</w:t>
      </w:r>
    </w:p>
    <w:p>
      <w:pPr>
        <w:pStyle w:val="Style12"/>
        <w:keepNext w:val="0"/>
        <w:keepLines w:val="0"/>
        <w:widowControl w:val="0"/>
        <w:shd w:val="clear" w:color="auto" w:fill="auto"/>
        <w:bidi w:val="0"/>
        <w:spacing w:before="0" w:after="120" w:line="271" w:lineRule="exact"/>
        <w:ind w:left="0" w:right="0" w:firstLine="0"/>
        <w:jc w:val="both"/>
      </w:pPr>
      <w:r>
        <w:rPr>
          <w:color w:val="000000"/>
          <w:spacing w:val="0"/>
          <w:w w:val="100"/>
          <w:position w:val="0"/>
        </w:rPr>
        <w:t>通过多次交易分步处置对子公司股权投资直至丧失控制权的，处置对子公司股权投资的各项交易的 条款、条件以及经济影响符合以下一种或多种情况，通常表明应将多次交易事项作为一揽子交易进 行会计处理：</w:t>
      </w:r>
    </w:p>
    <w:p>
      <w:pPr>
        <w:pStyle w:val="Style12"/>
        <w:keepNext w:val="0"/>
        <w:keepLines w:val="0"/>
        <w:widowControl w:val="0"/>
        <w:numPr>
          <w:ilvl w:val="0"/>
          <w:numId w:val="15"/>
        </w:numPr>
        <w:shd w:val="clear" w:color="auto" w:fill="auto"/>
        <w:tabs>
          <w:tab w:pos="388" w:val="left"/>
        </w:tabs>
        <w:bidi w:val="0"/>
        <w:spacing w:before="0" w:after="0" w:line="272" w:lineRule="exact"/>
        <w:ind w:left="0" w:right="0" w:firstLine="0"/>
        <w:jc w:val="left"/>
      </w:pPr>
      <w:bookmarkStart w:id="515" w:name="bookmark515"/>
      <w:bookmarkEnd w:id="515"/>
      <w:r>
        <w:rPr>
          <w:color w:val="000000"/>
          <w:spacing w:val="0"/>
          <w:w w:val="100"/>
          <w:position w:val="0"/>
        </w:rPr>
        <w:t>这些交易是同时或者在考虑了彼此影响的情况下订立的；</w:t>
      </w:r>
    </w:p>
    <w:p>
      <w:pPr>
        <w:pStyle w:val="Style12"/>
        <w:keepNext w:val="0"/>
        <w:keepLines w:val="0"/>
        <w:widowControl w:val="0"/>
        <w:numPr>
          <w:ilvl w:val="0"/>
          <w:numId w:val="15"/>
        </w:numPr>
        <w:shd w:val="clear" w:color="auto" w:fill="auto"/>
        <w:tabs>
          <w:tab w:pos="421" w:val="left"/>
        </w:tabs>
        <w:bidi w:val="0"/>
        <w:spacing w:before="0" w:after="0" w:line="272" w:lineRule="exact"/>
        <w:ind w:left="0" w:right="0" w:firstLine="0"/>
        <w:jc w:val="both"/>
      </w:pPr>
      <w:bookmarkStart w:id="516" w:name="bookmark516"/>
      <w:bookmarkEnd w:id="516"/>
      <w:r>
        <w:rPr>
          <w:color w:val="000000"/>
          <w:spacing w:val="0"/>
          <w:w w:val="100"/>
          <w:position w:val="0"/>
        </w:rPr>
        <w:t>这些交易整体才能达成一项完整的商业结果；</w:t>
      </w:r>
    </w:p>
    <w:p>
      <w:pPr>
        <w:pStyle w:val="Style12"/>
        <w:keepNext w:val="0"/>
        <w:keepLines w:val="0"/>
        <w:widowControl w:val="0"/>
        <w:numPr>
          <w:ilvl w:val="0"/>
          <w:numId w:val="15"/>
        </w:numPr>
        <w:shd w:val="clear" w:color="auto" w:fill="auto"/>
        <w:tabs>
          <w:tab w:pos="454" w:val="left"/>
        </w:tabs>
        <w:bidi w:val="0"/>
        <w:spacing w:before="0" w:after="0" w:line="272" w:lineRule="exact"/>
        <w:ind w:left="0" w:right="0" w:firstLine="0"/>
        <w:jc w:val="left"/>
      </w:pPr>
      <w:bookmarkStart w:id="517" w:name="bookmark517"/>
      <w:bookmarkEnd w:id="517"/>
      <w:r>
        <w:rPr>
          <w:color w:val="000000"/>
          <w:spacing w:val="0"/>
          <w:w w:val="100"/>
          <w:position w:val="0"/>
        </w:rPr>
        <w:t>一项交易的发生取决于其他至少一项交易的发生；</w:t>
      </w:r>
    </w:p>
    <w:p>
      <w:pPr>
        <w:pStyle w:val="Style12"/>
        <w:keepNext w:val="0"/>
        <w:keepLines w:val="0"/>
        <w:widowControl w:val="0"/>
        <w:numPr>
          <w:ilvl w:val="0"/>
          <w:numId w:val="15"/>
        </w:numPr>
        <w:shd w:val="clear" w:color="auto" w:fill="auto"/>
        <w:tabs>
          <w:tab w:pos="454" w:val="left"/>
        </w:tabs>
        <w:bidi w:val="0"/>
        <w:spacing w:before="0" w:after="120" w:line="272" w:lineRule="exact"/>
        <w:ind w:left="0" w:right="0" w:firstLine="0"/>
        <w:jc w:val="left"/>
      </w:pPr>
      <w:bookmarkStart w:id="518" w:name="bookmark518"/>
      <w:bookmarkEnd w:id="518"/>
      <w:r>
        <w:rPr>
          <w:color w:val="000000"/>
          <w:spacing w:val="0"/>
          <w:w w:val="100"/>
          <w:position w:val="0"/>
        </w:rPr>
        <w:t>一项交易单独看是不经济的，但是和其他交易一并考虑时是经济的。</w:t>
      </w:r>
    </w:p>
    <w:p>
      <w:pPr>
        <w:pStyle w:val="Style12"/>
        <w:keepNext w:val="0"/>
        <w:keepLines w:val="0"/>
        <w:widowControl w:val="0"/>
        <w:shd w:val="clear" w:color="auto" w:fill="auto"/>
        <w:bidi w:val="0"/>
        <w:spacing w:before="0" w:after="120" w:line="278" w:lineRule="exact"/>
        <w:ind w:left="0" w:right="0" w:firstLine="0"/>
        <w:jc w:val="both"/>
      </w:pPr>
      <w:r>
        <w:rPr>
          <w:color w:val="000000"/>
          <w:spacing w:val="0"/>
          <w:w w:val="100"/>
          <w:position w:val="0"/>
        </w:rPr>
        <w:t>处置对子公司股权投资直至丧失控制权的各项交易属于一揽子交易的，本公司将各项交易作为一项 处置子公司并丧失控制权的交易进行会计处理；但是，在丧失控制权之前每一次处置价款与处置投 资对应的享有该子公司净资产份额的差额，在合并财务报表中确认为其他综合收益，在丧失控制权 时一并转入丧失控制权当期的损益。</w:t>
      </w:r>
    </w:p>
    <w:p>
      <w:pPr>
        <w:pStyle w:val="Style12"/>
        <w:keepNext w:val="0"/>
        <w:keepLines w:val="0"/>
        <w:widowControl w:val="0"/>
        <w:shd w:val="clear" w:color="auto" w:fill="auto"/>
        <w:bidi w:val="0"/>
        <w:spacing w:before="0" w:after="120" w:line="266" w:lineRule="exact"/>
        <w:ind w:left="0" w:right="0" w:firstLine="0"/>
        <w:jc w:val="both"/>
      </w:pPr>
      <w:r>
        <w:rPr>
          <w:color w:val="000000"/>
          <w:spacing w:val="0"/>
          <w:w w:val="100"/>
          <w:position w:val="0"/>
        </w:rPr>
        <w:t>处置对子公司股权投资直至丧失控制权的各项交易不属于一揽子交易的，在丧失控制权之前，按附 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进行会计处理；在丧失控 制权时，按处置子公司附注二（六）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，①</w:t>
      </w:r>
      <w:r>
        <w:rPr>
          <w:rFonts w:ascii="Times New Roman" w:eastAsia="Times New Roman" w:hAnsi="Times New Roman" w:cs="Times New Roman"/>
          <w:color w:val="000000"/>
          <w:spacing w:val="0"/>
          <w:w w:val="100"/>
          <w:position w:val="0"/>
        </w:rPr>
        <w:t>"</w:t>
      </w:r>
      <w:r>
        <w:rPr>
          <w:color w:val="000000"/>
          <w:spacing w:val="0"/>
          <w:w w:val="100"/>
          <w:position w:val="0"/>
        </w:rPr>
        <w:t>一般处理方法</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12"/>
        <w:keepNext w:val="0"/>
        <w:keepLines w:val="0"/>
        <w:widowControl w:val="0"/>
        <w:shd w:val="clear" w:color="auto" w:fill="auto"/>
        <w:tabs>
          <w:tab w:pos="488" w:val="left"/>
        </w:tabs>
        <w:bidi w:val="0"/>
        <w:spacing w:before="0" w:after="0" w:line="274" w:lineRule="exact"/>
        <w:ind w:left="0" w:right="0" w:firstLine="0"/>
        <w:jc w:val="both"/>
      </w:pPr>
      <w:bookmarkStart w:id="519" w:name="bookmark519"/>
      <w:r>
        <w:rPr>
          <w:b/>
          <w:bCs/>
          <w:color w:val="000000"/>
          <w:spacing w:val="0"/>
          <w:w w:val="100"/>
          <w:position w:val="0"/>
        </w:rPr>
        <w:t>（</w:t>
      </w:r>
      <w:bookmarkEnd w:id="51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购买子公司少数股权</w:t>
      </w:r>
    </w:p>
    <w:p>
      <w:pPr>
        <w:pStyle w:val="Style12"/>
        <w:keepNext w:val="0"/>
        <w:keepLines w:val="0"/>
        <w:widowControl w:val="0"/>
        <w:shd w:val="clear" w:color="auto" w:fill="auto"/>
        <w:bidi w:val="0"/>
        <w:spacing w:before="0" w:after="120" w:line="274" w:lineRule="exact"/>
        <w:ind w:left="0" w:right="0" w:firstLine="0"/>
        <w:jc w:val="both"/>
      </w:pPr>
      <w:r>
        <w:rPr>
          <w:color w:val="000000"/>
          <w:spacing w:val="0"/>
          <w:w w:val="100"/>
          <w:position w:val="0"/>
        </w:rPr>
        <w:t>本公司因购买少数股权新取得的长期股权投资与按照新增持股比例计算应享有子公司自购买日（或 合并日）开始持续计算的可辨认净资产份额之间的差额，调整合并资产负债表中的资本公积中的股 本溢价，资本公积中的股本溢价不足冲减的，调整留存收益。</w:t>
      </w:r>
    </w:p>
    <w:p>
      <w:pPr>
        <w:pStyle w:val="Style12"/>
        <w:keepNext w:val="0"/>
        <w:keepLines w:val="0"/>
        <w:widowControl w:val="0"/>
        <w:shd w:val="clear" w:color="auto" w:fill="auto"/>
        <w:tabs>
          <w:tab w:pos="488" w:val="left"/>
        </w:tabs>
        <w:bidi w:val="0"/>
        <w:spacing w:before="0" w:after="120" w:line="272" w:lineRule="exact"/>
        <w:ind w:left="0" w:right="0" w:firstLine="0"/>
        <w:jc w:val="both"/>
      </w:pPr>
      <w:bookmarkStart w:id="520" w:name="bookmark520"/>
      <w:r>
        <w:rPr>
          <w:b/>
          <w:bCs/>
          <w:color w:val="000000"/>
          <w:spacing w:val="0"/>
          <w:w w:val="100"/>
          <w:position w:val="0"/>
        </w:rPr>
        <w:t>（</w:t>
      </w:r>
      <w:bookmarkEnd w:id="52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不丧失控制权的情况下部分处置对子公司的股权投资</w:t>
      </w:r>
    </w:p>
    <w:p>
      <w:pPr>
        <w:pStyle w:val="Style12"/>
        <w:keepNext w:val="0"/>
        <w:keepLines w:val="0"/>
        <w:widowControl w:val="0"/>
        <w:shd w:val="clear" w:color="auto" w:fill="auto"/>
        <w:bidi w:val="0"/>
        <w:spacing w:before="0" w:after="120" w:line="271" w:lineRule="exact"/>
        <w:ind w:left="0" w:right="0" w:firstLine="0"/>
        <w:jc w:val="both"/>
      </w:pPr>
      <w:r>
        <w:rPr>
          <w:color w:val="000000"/>
          <w:spacing w:val="0"/>
          <w:w w:val="100"/>
          <w:position w:val="0"/>
        </w:rPr>
        <w:t>在不丧失控制权的情况下因部分处置对子公司的股权投资而取得的处置价款与处置长期股权投资 相对应享有子公司净资产份额的差额，调整合并资产负债表中的资本公积中的股本溢价，资本公积 中的股本溢价不足冲减的，调整留存收益。</w:t>
      </w:r>
    </w:p>
    <w:p>
      <w:pPr>
        <w:pStyle w:val="Style12"/>
        <w:keepNext w:val="0"/>
        <w:keepLines w:val="0"/>
        <w:widowControl w:val="0"/>
        <w:shd w:val="clear" w:color="auto" w:fill="auto"/>
        <w:tabs>
          <w:tab w:pos="531" w:val="left"/>
        </w:tabs>
        <w:bidi w:val="0"/>
        <w:spacing w:before="0" w:after="120" w:line="272" w:lineRule="exact"/>
        <w:ind w:left="0" w:right="0" w:firstLine="0"/>
        <w:jc w:val="both"/>
      </w:pPr>
      <w:bookmarkStart w:id="521" w:name="bookmark521"/>
      <w:r>
        <w:rPr>
          <w:rFonts w:ascii="Times New Roman" w:eastAsia="Times New Roman" w:hAnsi="Times New Roman" w:cs="Times New Roman"/>
          <w:b/>
          <w:bCs/>
          <w:color w:val="000000"/>
          <w:spacing w:val="0"/>
          <w:w w:val="100"/>
          <w:position w:val="0"/>
        </w:rPr>
        <w:t>（</w:t>
      </w:r>
      <w:bookmarkEnd w:id="521"/>
      <w:r>
        <w:rPr>
          <w:b/>
          <w:bCs/>
          <w:color w:val="000000"/>
          <w:spacing w:val="0"/>
          <w:w w:val="100"/>
          <w:position w:val="0"/>
        </w:rPr>
        <w:t>七</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现金及现金等价物的确定标准：</w:t>
      </w:r>
    </w:p>
    <w:p>
      <w:pPr>
        <w:pStyle w:val="Style12"/>
        <w:keepNext w:val="0"/>
        <w:keepLines w:val="0"/>
        <w:widowControl w:val="0"/>
        <w:shd w:val="clear" w:color="auto" w:fill="auto"/>
        <w:bidi w:val="0"/>
        <w:spacing w:before="0" w:after="120" w:line="271" w:lineRule="exact"/>
        <w:ind w:left="0" w:right="0" w:firstLine="0"/>
        <w:jc w:val="both"/>
      </w:pPr>
      <w:r>
        <w:rPr>
          <w:color w:val="000000"/>
          <w:spacing w:val="0"/>
          <w:w w:val="100"/>
          <w:position w:val="0"/>
        </w:rPr>
        <w:t>在编制现金流量表时，将本公司库存现金以及可以随时用于支付的存款确认为现金。将同时具备期 限短（从购买日起三个月内到期）、流动性强、易于转换为已知现金、价值变动风险很小四个条件 的投资，确定为现金等价物。</w:t>
      </w:r>
    </w:p>
    <w:p>
      <w:pPr>
        <w:pStyle w:val="Style12"/>
        <w:keepNext w:val="0"/>
        <w:keepLines w:val="0"/>
        <w:widowControl w:val="0"/>
        <w:shd w:val="clear" w:color="auto" w:fill="auto"/>
        <w:tabs>
          <w:tab w:pos="531" w:val="left"/>
        </w:tabs>
        <w:bidi w:val="0"/>
        <w:spacing w:before="0" w:after="120" w:line="272" w:lineRule="exact"/>
        <w:ind w:left="0" w:right="0" w:firstLine="0"/>
        <w:jc w:val="both"/>
      </w:pPr>
      <w:bookmarkStart w:id="522" w:name="bookmark522"/>
      <w:r>
        <w:rPr>
          <w:rFonts w:ascii="Times New Roman" w:eastAsia="Times New Roman" w:hAnsi="Times New Roman" w:cs="Times New Roman"/>
          <w:b/>
          <w:bCs/>
          <w:color w:val="000000"/>
          <w:spacing w:val="0"/>
          <w:w w:val="100"/>
          <w:position w:val="0"/>
        </w:rPr>
        <w:t>（</w:t>
      </w:r>
      <w:bookmarkEnd w:id="522"/>
      <w:r>
        <w:rPr>
          <w:b/>
          <w:bCs/>
          <w:color w:val="000000"/>
          <w:spacing w:val="0"/>
          <w:w w:val="100"/>
          <w:position w:val="0"/>
        </w:rPr>
        <w:t>八</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外币业务和外币报表折算：</w:t>
      </w:r>
    </w:p>
    <w:p>
      <w:pPr>
        <w:pStyle w:val="Style12"/>
        <w:keepNext w:val="0"/>
        <w:keepLines w:val="0"/>
        <w:widowControl w:val="0"/>
        <w:shd w:val="clear" w:color="auto" w:fill="auto"/>
        <w:bidi w:val="0"/>
        <w:spacing w:before="0" w:after="0" w:line="272" w:lineRule="exact"/>
        <w:ind w:left="0" w:right="0" w:firstLine="0"/>
        <w:jc w:val="both"/>
      </w:pPr>
      <w:bookmarkStart w:id="523" w:name="bookmark523"/>
      <w:r>
        <w:rPr>
          <w:rFonts w:ascii="Times New Roman" w:eastAsia="Times New Roman" w:hAnsi="Times New Roman" w:cs="Times New Roman"/>
          <w:b/>
          <w:bCs/>
          <w:color w:val="000000"/>
          <w:spacing w:val="0"/>
          <w:w w:val="100"/>
          <w:position w:val="0"/>
        </w:rPr>
        <w:t>1</w:t>
      </w:r>
      <w:bookmarkEnd w:id="523"/>
      <w:r>
        <w:rPr>
          <w:b/>
          <w:bCs/>
          <w:color w:val="000000"/>
          <w:spacing w:val="0"/>
          <w:w w:val="100"/>
          <w:position w:val="0"/>
        </w:rPr>
        <w:t>、外币业务</w:t>
      </w:r>
    </w:p>
    <w:p>
      <w:pPr>
        <w:pStyle w:val="Style12"/>
        <w:keepNext w:val="0"/>
        <w:keepLines w:val="0"/>
        <w:widowControl w:val="0"/>
        <w:shd w:val="clear" w:color="auto" w:fill="auto"/>
        <w:bidi w:val="0"/>
        <w:spacing w:before="0" w:line="272" w:lineRule="exact"/>
        <w:ind w:left="0" w:right="0" w:firstLine="0"/>
        <w:jc w:val="both"/>
      </w:pPr>
      <w:r>
        <w:rPr>
          <w:color w:val="000000"/>
          <w:spacing w:val="0"/>
          <w:w w:val="100"/>
          <w:position w:val="0"/>
        </w:rPr>
        <w:t xml:space="preserve">外币业务采用交易发生日的即期汇率作为折算汇率将外币金额折合成人民币记账。 </w:t>
      </w:r>
      <w:r>
        <w:rPr>
          <w:color w:val="000000"/>
          <w:spacing w:val="0"/>
          <w:w w:val="100"/>
          <w:position w:val="0"/>
        </w:rPr>
        <w:t>外币货币性项目余额按资产负债表日即期汇率折算，由此产生的汇兑差额，除属于与购建符合资本 化条件的资产相关的外币专门借款产生的汇兑差额按照借款费用资本化的原则处理外，均计入当期 损益。以历史成本计量的外币非货币性项目，仍采用交易发生日的即期汇率折算，不改变其记账本 位币金额。以公允价值计量的外币非货币性项目，采用公允价值确定日的即期汇率折算，由此产生 的汇兑差额计入当期损益或资本公积。</w:t>
      </w:r>
    </w:p>
    <w:p>
      <w:pPr>
        <w:pStyle w:val="Style29"/>
        <w:keepNext/>
        <w:keepLines/>
        <w:widowControl w:val="0"/>
        <w:shd w:val="clear" w:color="auto" w:fill="auto"/>
        <w:bidi w:val="0"/>
        <w:spacing w:before="0" w:after="0" w:line="270" w:lineRule="exact"/>
        <w:ind w:left="0" w:right="0" w:firstLine="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、外币财务报表的折算</w:t>
      </w:r>
      <w:bookmarkEnd w:id="524"/>
      <w:bookmarkEnd w:id="525"/>
      <w:bookmarkEnd w:id="527"/>
    </w:p>
    <w:p>
      <w:pPr>
        <w:pStyle w:val="Style12"/>
        <w:keepNext w:val="0"/>
        <w:keepLines w:val="0"/>
        <w:widowControl w:val="0"/>
        <w:shd w:val="clear" w:color="auto" w:fill="auto"/>
        <w:bidi w:val="0"/>
        <w:spacing w:before="0" w:line="270"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 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 日的即期汇率折算。按照上述折算产生的外币财务报表折算差额，在资产负债表所有者权益项目下 单独列示。</w:t>
      </w:r>
    </w:p>
    <w:p>
      <w:pPr>
        <w:pStyle w:val="Style12"/>
        <w:keepNext w:val="0"/>
        <w:keepLines w:val="0"/>
        <w:widowControl w:val="0"/>
        <w:shd w:val="clear" w:color="auto" w:fill="auto"/>
        <w:bidi w:val="0"/>
        <w:spacing w:before="0" w:line="276" w:lineRule="exact"/>
        <w:ind w:left="0" w:right="0" w:firstLine="0"/>
        <w:jc w:val="both"/>
      </w:pPr>
      <w:r>
        <w:rPr>
          <w:color w:val="000000"/>
          <w:spacing w:val="0"/>
          <w:w w:val="100"/>
          <w:position w:val="0"/>
        </w:rPr>
        <w:t>处置境外经营时，将资产负债表中所有者权益项目下列示的、与该境外经营相关的外币财务报表折 算差额，自所有者权益项目转入处置当期损益；部分处置境外经营的，按处置的比例计算处置部分 的外币财务报表折算差额，转入处置当期损益。</w:t>
      </w:r>
    </w:p>
    <w:p>
      <w:pPr>
        <w:pStyle w:val="Style12"/>
        <w:keepNext w:val="0"/>
        <w:keepLines w:val="0"/>
        <w:widowControl w:val="0"/>
        <w:shd w:val="clear" w:color="auto" w:fill="auto"/>
        <w:bidi w:val="0"/>
        <w:spacing w:before="0" w:line="274" w:lineRule="exact"/>
        <w:ind w:left="0" w:right="0" w:firstLine="0"/>
        <w:jc w:val="both"/>
      </w:pPr>
      <w:bookmarkStart w:id="528" w:name="bookmark528"/>
      <w:r>
        <w:rPr>
          <w:rFonts w:ascii="Times New Roman" w:eastAsia="Times New Roman" w:hAnsi="Times New Roman" w:cs="Times New Roman"/>
          <w:b/>
          <w:bCs/>
          <w:color w:val="000000"/>
          <w:spacing w:val="0"/>
          <w:w w:val="100"/>
          <w:position w:val="0"/>
        </w:rPr>
        <w:t>（</w:t>
      </w:r>
      <w:bookmarkEnd w:id="528"/>
      <w:r>
        <w:rPr>
          <w:b/>
          <w:bCs/>
          <w:color w:val="000000"/>
          <w:spacing w:val="0"/>
          <w:w w:val="100"/>
          <w:position w:val="0"/>
        </w:rPr>
        <w:t>九</w:t>
      </w:r>
      <w:r>
        <w:rPr>
          <w:b/>
          <w:bCs/>
          <w:color w:val="000000"/>
          <w:spacing w:val="0"/>
          <w:w w:val="100"/>
          <w:position w:val="0"/>
        </w:rPr>
        <w:t>）</w:t>
      </w:r>
      <w:r>
        <w:rPr>
          <w:b/>
          <w:bCs/>
          <w:color w:val="000000"/>
          <w:spacing w:val="0"/>
          <w:w w:val="100"/>
          <w:position w:val="0"/>
        </w:rPr>
        <w:t>金融工具：</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金融工具包括金融资产、金融负债和权益工具。</w:t>
      </w:r>
    </w:p>
    <w:p>
      <w:pPr>
        <w:pStyle w:val="Style29"/>
        <w:keepNext/>
        <w:keepLines/>
        <w:widowControl w:val="0"/>
        <w:shd w:val="clear" w:color="auto" w:fill="auto"/>
        <w:tabs>
          <w:tab w:pos="413" w:val="left"/>
        </w:tabs>
        <w:bidi w:val="0"/>
        <w:spacing w:before="0" w:after="100" w:line="274" w:lineRule="exact"/>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w:t>
        <w:tab/>
        <w:t>金融工具的分类</w:t>
      </w:r>
      <w:bookmarkEnd w:id="529"/>
      <w:bookmarkEnd w:id="530"/>
      <w:bookmarkEnd w:id="532"/>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管理层按照取得持有金融资产和承担金融负债的目的，将其划分为：以公允价值计量且其变动计入 当期损益的金融资产或金融负债，包括交易性金融资产或金融负债；持有至到期投资；应收款项； 可供出售金融资产；其他金融负债等。</w:t>
      </w:r>
    </w:p>
    <w:p>
      <w:pPr>
        <w:pStyle w:val="Style29"/>
        <w:keepNext/>
        <w:keepLines/>
        <w:widowControl w:val="0"/>
        <w:shd w:val="clear" w:color="auto" w:fill="auto"/>
        <w:tabs>
          <w:tab w:pos="413" w:val="left"/>
        </w:tabs>
        <w:bidi w:val="0"/>
        <w:spacing w:before="0" w:after="100" w:line="274" w:lineRule="exact"/>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w:t>
        <w:tab/>
        <w:t>金融工具的确认依据和计量方法</w:t>
      </w:r>
      <w:bookmarkEnd w:id="533"/>
      <w:bookmarkEnd w:id="534"/>
      <w:bookmarkEnd w:id="536"/>
    </w:p>
    <w:p>
      <w:pPr>
        <w:pStyle w:val="Style29"/>
        <w:keepNext/>
        <w:keepLines/>
        <w:widowControl w:val="0"/>
        <w:shd w:val="clear" w:color="auto" w:fill="auto"/>
        <w:tabs>
          <w:tab w:pos="488" w:val="left"/>
        </w:tabs>
        <w:bidi w:val="0"/>
        <w:spacing w:before="0" w:after="100" w:line="274" w:lineRule="exact"/>
        <w:ind w:left="0" w:right="0" w:firstLine="0"/>
        <w:jc w:val="both"/>
      </w:pPr>
      <w:bookmarkStart w:id="533" w:name="bookmark533"/>
      <w:bookmarkStart w:id="534" w:name="bookmark534"/>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bookmarkEnd w:id="533"/>
      <w:bookmarkEnd w:id="534"/>
      <w:bookmarkEnd w:id="538"/>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取得时以公允价值（扣除已宣告但尚未发放的现金股利或已到付息期但尚未领取的债券利息）作为 初始确认金额，相关的交易费用计入当期损益。</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持有期间将取得的利息或现金股利确认为投资收益，期末将公允价值变动计入当期损益。</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处置时，其公允价值与初始入账金额之间的差额确认为投资收益，同时调整公允价值变动损益。</w:t>
      </w:r>
    </w:p>
    <w:p>
      <w:pPr>
        <w:pStyle w:val="Style12"/>
        <w:keepNext w:val="0"/>
        <w:keepLines w:val="0"/>
        <w:widowControl w:val="0"/>
        <w:shd w:val="clear" w:color="auto" w:fill="auto"/>
        <w:tabs>
          <w:tab w:pos="488" w:val="left"/>
        </w:tabs>
        <w:bidi w:val="0"/>
        <w:spacing w:before="0" w:line="274" w:lineRule="exact"/>
        <w:ind w:left="0" w:right="0" w:firstLine="0"/>
        <w:jc w:val="both"/>
      </w:pPr>
      <w:bookmarkStart w:id="539" w:name="bookmark539"/>
      <w:r>
        <w:rPr>
          <w:b/>
          <w:bCs/>
          <w:color w:val="000000"/>
          <w:spacing w:val="0"/>
          <w:w w:val="100"/>
          <w:position w:val="0"/>
        </w:rPr>
        <w:t>（</w:t>
      </w:r>
      <w:bookmarkEnd w:id="53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持有至到期投资</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取得时按公允价值（扣除已到付息期但尚未领取的债券利息）和相关交易费用之和作为初始确认金 额。</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持有期间按照摊余成本和实际利率计算确认利息收入，计入投资收益。实际利率在取得时确定，在 该预期存续期间或适用的更短期间内保持不变。</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处置时，将所取得价款与该投资账面价值之间的差额计入投资收益。</w:t>
      </w:r>
    </w:p>
    <w:p>
      <w:pPr>
        <w:pStyle w:val="Style12"/>
        <w:keepNext w:val="0"/>
        <w:keepLines w:val="0"/>
        <w:widowControl w:val="0"/>
        <w:shd w:val="clear" w:color="auto" w:fill="auto"/>
        <w:tabs>
          <w:tab w:pos="488" w:val="left"/>
        </w:tabs>
        <w:bidi w:val="0"/>
        <w:spacing w:before="0" w:line="274" w:lineRule="exact"/>
        <w:ind w:left="0" w:right="0" w:firstLine="0"/>
        <w:jc w:val="both"/>
      </w:pPr>
      <w:bookmarkStart w:id="540" w:name="bookmark540"/>
      <w:r>
        <w:rPr>
          <w:b/>
          <w:bCs/>
          <w:color w:val="000000"/>
          <w:spacing w:val="0"/>
          <w:w w:val="100"/>
          <w:position w:val="0"/>
        </w:rPr>
        <w:t>（</w:t>
      </w:r>
      <w:bookmarkEnd w:id="54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应收款项</w:t>
      </w:r>
    </w:p>
    <w:p>
      <w:pPr>
        <w:pStyle w:val="Style12"/>
        <w:keepNext w:val="0"/>
        <w:keepLines w:val="0"/>
        <w:widowControl w:val="0"/>
        <w:shd w:val="clear" w:color="auto" w:fill="auto"/>
        <w:bidi w:val="0"/>
        <w:spacing w:before="0" w:line="276" w:lineRule="exact"/>
        <w:ind w:left="0" w:right="0" w:firstLine="0"/>
        <w:jc w:val="both"/>
      </w:pPr>
      <w:r>
        <w:rPr>
          <w:color w:val="000000"/>
          <w:spacing w:val="0"/>
          <w:w w:val="100"/>
          <w:position w:val="0"/>
        </w:rPr>
        <w:t>公司对外销售商品或提供劳务形成的应收债权，以及公司持有的其他企业的不包括在活跃市场上有 报价的债务工具的债权，包括应收账款、其他应收款、应收票据、预付账款、长期应收款等，以向 购货方应收的合同或协议价款作为初始确认金额；具有融资性质的，按其现值进行初始确认。</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收回或处置时，将取得的价款与该应收款项账面价值之间的差额计入当期损益。</w:t>
      </w:r>
    </w:p>
    <w:p>
      <w:pPr>
        <w:pStyle w:val="Style12"/>
        <w:keepNext w:val="0"/>
        <w:keepLines w:val="0"/>
        <w:widowControl w:val="0"/>
        <w:shd w:val="clear" w:color="auto" w:fill="auto"/>
        <w:tabs>
          <w:tab w:pos="488" w:val="left"/>
        </w:tabs>
        <w:bidi w:val="0"/>
        <w:spacing w:before="0" w:line="274" w:lineRule="exact"/>
        <w:ind w:left="0" w:right="0" w:firstLine="0"/>
        <w:jc w:val="both"/>
      </w:pPr>
      <w:bookmarkStart w:id="541" w:name="bookmark541"/>
      <w:r>
        <w:rPr>
          <w:b/>
          <w:bCs/>
          <w:color w:val="000000"/>
          <w:spacing w:val="0"/>
          <w:w w:val="100"/>
          <w:position w:val="0"/>
        </w:rPr>
        <w:t>（</w:t>
      </w:r>
      <w:bookmarkEnd w:id="54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可供出售金融资产</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取得时按公允价值（扣除已宣告但尚未发放的现金股利或已到付息期但尚未领取的债券利息）和相 关交易费用之和作为初始确认金额。</w:t>
      </w:r>
    </w:p>
    <w:p>
      <w:pPr>
        <w:pStyle w:val="Style12"/>
        <w:keepNext w:val="0"/>
        <w:keepLines w:val="0"/>
        <w:widowControl w:val="0"/>
        <w:shd w:val="clear" w:color="auto" w:fill="auto"/>
        <w:bidi w:val="0"/>
        <w:spacing w:before="0" w:after="120" w:line="259" w:lineRule="exact"/>
        <w:ind w:left="0" w:right="0" w:firstLine="0"/>
        <w:jc w:val="both"/>
      </w:pPr>
      <w:r>
        <w:rPr>
          <w:color w:val="000000"/>
          <w:spacing w:val="0"/>
          <w:w w:val="100"/>
          <w:position w:val="0"/>
        </w:rPr>
        <w:t>持有期间将取得的利息或现金股利确认为投资收益。期末以公允价值计量且将公允价值变动计入资 本公积（其他资本公积）。</w:t>
      </w:r>
    </w:p>
    <w:p>
      <w:pPr>
        <w:pStyle w:val="Style12"/>
        <w:keepNext w:val="0"/>
        <w:keepLines w:val="0"/>
        <w:widowControl w:val="0"/>
        <w:shd w:val="clear" w:color="auto" w:fill="auto"/>
        <w:bidi w:val="0"/>
        <w:spacing w:before="0" w:after="120" w:line="274" w:lineRule="exact"/>
        <w:ind w:left="0" w:right="0" w:firstLine="0"/>
        <w:jc w:val="both"/>
      </w:pPr>
      <w:r>
        <w:rPr>
          <w:color w:val="000000"/>
          <w:spacing w:val="0"/>
          <w:w w:val="100"/>
          <w:position w:val="0"/>
        </w:rPr>
        <w:t>处置时，将取得的价款与该金融资产账面价值之间的差额，计入投资损益；同时，将原直接计入所 有者权益的公允价值变动累计额对应处置部分的金额转出，计入投资损益。</w:t>
      </w:r>
    </w:p>
    <w:p>
      <w:pPr>
        <w:pStyle w:val="Style29"/>
        <w:keepNext/>
        <w:keepLines/>
        <w:widowControl w:val="0"/>
        <w:shd w:val="clear" w:color="auto" w:fill="auto"/>
        <w:bidi w:val="0"/>
        <w:spacing w:before="0" w:after="120" w:line="266" w:lineRule="exact"/>
        <w:ind w:left="0" w:right="0" w:firstLine="0"/>
        <w:jc w:val="both"/>
      </w:pPr>
      <w:bookmarkStart w:id="542" w:name="bookmark542"/>
      <w:bookmarkStart w:id="543" w:name="bookmark543"/>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5</w:t>
      </w:r>
      <w:r>
        <w:rPr>
          <w:color w:val="000000"/>
          <w:spacing w:val="0"/>
          <w:w w:val="100"/>
          <w:position w:val="0"/>
        </w:rPr>
        <w:t>）其他金融负债</w:t>
      </w:r>
      <w:bookmarkEnd w:id="542"/>
      <w:bookmarkEnd w:id="543"/>
      <w:bookmarkEnd w:id="545"/>
    </w:p>
    <w:p>
      <w:pPr>
        <w:pStyle w:val="Style12"/>
        <w:keepNext w:val="0"/>
        <w:keepLines w:val="0"/>
        <w:widowControl w:val="0"/>
        <w:shd w:val="clear" w:color="auto" w:fill="auto"/>
        <w:bidi w:val="0"/>
        <w:spacing w:before="0" w:after="480" w:line="266"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29"/>
        <w:keepNext/>
        <w:keepLines/>
        <w:widowControl w:val="0"/>
        <w:shd w:val="clear" w:color="auto" w:fill="auto"/>
        <w:bidi w:val="0"/>
        <w:spacing w:before="0" w:after="120" w:line="274" w:lineRule="exact"/>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、金融资产转移的确认依据和计量方法</w:t>
      </w:r>
      <w:bookmarkEnd w:id="546"/>
      <w:bookmarkEnd w:id="547"/>
      <w:bookmarkEnd w:id="549"/>
    </w:p>
    <w:p>
      <w:pPr>
        <w:pStyle w:val="Style12"/>
        <w:keepNext w:val="0"/>
        <w:keepLines w:val="0"/>
        <w:widowControl w:val="0"/>
        <w:shd w:val="clear" w:color="auto" w:fill="auto"/>
        <w:bidi w:val="0"/>
        <w:spacing w:before="0" w:after="120" w:line="274" w:lineRule="exact"/>
        <w:ind w:left="0" w:right="0" w:firstLine="0"/>
        <w:jc w:val="both"/>
      </w:pPr>
      <w:r>
        <w:rPr>
          <w:color w:val="000000"/>
          <w:spacing w:val="0"/>
          <w:w w:val="100"/>
          <w:position w:val="0"/>
        </w:rPr>
        <w:t>公司发生金融资产转移时，如已将金融资产所有权上几乎所有的风险和报酬转移给转入方，则终止 确认该金融资产；如保留了金融资产所有权上几乎所有的风险和报酬的，则不终止确认该金融资产。 在判断金融资产转移是否满足上述金融资产终止确认条件时，采用实质重于形式的原则。公司将金 融资产转移区分为金融资产整体转移和部分转移。金融资产整体转移满足终止确认条件的，将下列 两项金额的差额计入当期损益：</w:t>
      </w:r>
    </w:p>
    <w:p>
      <w:pPr>
        <w:pStyle w:val="Style12"/>
        <w:keepNext w:val="0"/>
        <w:keepLines w:val="0"/>
        <w:widowControl w:val="0"/>
        <w:shd w:val="clear" w:color="auto" w:fill="auto"/>
        <w:tabs>
          <w:tab w:pos="488" w:val="left"/>
        </w:tabs>
        <w:bidi w:val="0"/>
        <w:spacing w:before="0" w:after="0" w:line="269" w:lineRule="exact"/>
        <w:ind w:left="0" w:right="0" w:firstLine="0"/>
        <w:jc w:val="both"/>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2"/>
        <w:keepNext w:val="0"/>
        <w:keepLines w:val="0"/>
        <w:widowControl w:val="0"/>
        <w:shd w:val="clear" w:color="auto" w:fill="auto"/>
        <w:tabs>
          <w:tab w:pos="598" w:val="left"/>
        </w:tabs>
        <w:bidi w:val="0"/>
        <w:spacing w:before="0" w:after="120" w:line="269" w:lineRule="exact"/>
        <w:ind w:left="0" w:right="0" w:firstLine="0"/>
        <w:jc w:val="both"/>
      </w:pPr>
      <w:bookmarkStart w:id="551" w:name="bookmark551"/>
      <w:r>
        <w:rPr>
          <w:color w:val="000000"/>
          <w:spacing w:val="0"/>
          <w:w w:val="100"/>
          <w:position w:val="0"/>
        </w:rPr>
        <w:t>（</w:t>
      </w:r>
      <w:bookmarkEnd w:id="551"/>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 产为可供出售金融资产的情形）之和。</w:t>
      </w:r>
    </w:p>
    <w:p>
      <w:pPr>
        <w:pStyle w:val="Style12"/>
        <w:keepNext w:val="0"/>
        <w:keepLines w:val="0"/>
        <w:widowControl w:val="0"/>
        <w:shd w:val="clear" w:color="auto" w:fill="auto"/>
        <w:bidi w:val="0"/>
        <w:spacing w:before="0" w:after="120" w:line="274" w:lineRule="exact"/>
        <w:ind w:left="0" w:right="0" w:firstLine="0"/>
        <w:jc w:val="both"/>
      </w:pPr>
      <w:r>
        <w:rPr>
          <w:color w:val="000000"/>
          <w:spacing w:val="0"/>
          <w:w w:val="100"/>
          <w:position w:val="0"/>
        </w:rPr>
        <w:t>金融资产部分转移满足终止确认条件的，将所转移金融资产整体的账面价值，在终止确认部分和未 终止确认部分之间，按照各自的相对公允价值进行分摊，并将下列两项金额的差额计入当期损益：</w:t>
      </w:r>
    </w:p>
    <w:p>
      <w:pPr>
        <w:pStyle w:val="Style12"/>
        <w:keepNext w:val="0"/>
        <w:keepLines w:val="0"/>
        <w:widowControl w:val="0"/>
        <w:shd w:val="clear" w:color="auto" w:fill="auto"/>
        <w:tabs>
          <w:tab w:pos="488" w:val="left"/>
        </w:tabs>
        <w:bidi w:val="0"/>
        <w:spacing w:before="0" w:after="0" w:line="274" w:lineRule="exact"/>
        <w:ind w:left="0" w:right="0" w:firstLine="0"/>
        <w:jc w:val="both"/>
      </w:pPr>
      <w:bookmarkStart w:id="552" w:name="bookmark552"/>
      <w:r>
        <w:rPr>
          <w:color w:val="000000"/>
          <w:spacing w:val="0"/>
          <w:w w:val="100"/>
          <w:position w:val="0"/>
        </w:rPr>
        <w:t>（</w:t>
      </w:r>
      <w:bookmarkEnd w:id="552"/>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2"/>
        <w:keepNext w:val="0"/>
        <w:keepLines w:val="0"/>
        <w:widowControl w:val="0"/>
        <w:shd w:val="clear" w:color="auto" w:fill="auto"/>
        <w:tabs>
          <w:tab w:pos="584" w:val="left"/>
        </w:tabs>
        <w:bidi w:val="0"/>
        <w:spacing w:before="0" w:after="400" w:line="283" w:lineRule="exact"/>
        <w:ind w:left="0" w:right="0" w:firstLine="0"/>
        <w:jc w:val="both"/>
      </w:pPr>
      <w:bookmarkStart w:id="553" w:name="bookmark553"/>
      <w:r>
        <w:rPr>
          <w:color w:val="000000"/>
          <w:spacing w:val="0"/>
          <w:w w:val="100"/>
          <w:position w:val="0"/>
        </w:rPr>
        <w:t>（</w:t>
      </w:r>
      <w:bookmarkEnd w:id="553"/>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 的金额（涉及转移的金融资产为可供出售金融资产的情形）之和。</w:t>
      </w:r>
    </w:p>
    <w:p>
      <w:pPr>
        <w:pStyle w:val="Style12"/>
        <w:keepNext w:val="0"/>
        <w:keepLines w:val="0"/>
        <w:widowControl w:val="0"/>
        <w:shd w:val="clear" w:color="auto" w:fill="auto"/>
        <w:bidi w:val="0"/>
        <w:spacing w:before="0" w:after="360" w:line="240" w:lineRule="auto"/>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29"/>
        <w:keepNext/>
        <w:keepLines/>
        <w:widowControl w:val="0"/>
        <w:shd w:val="clear" w:color="auto" w:fill="auto"/>
        <w:bidi w:val="0"/>
        <w:spacing w:before="0" w:after="120" w:line="274" w:lineRule="exact"/>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4</w:t>
      </w:r>
      <w:bookmarkEnd w:id="556"/>
      <w:r>
        <w:rPr>
          <w:color w:val="000000"/>
          <w:spacing w:val="0"/>
          <w:w w:val="100"/>
          <w:position w:val="0"/>
        </w:rPr>
        <w:t>、金融负债终止确认条件</w:t>
      </w:r>
      <w:bookmarkEnd w:id="554"/>
      <w:bookmarkEnd w:id="555"/>
      <w:bookmarkEnd w:id="557"/>
    </w:p>
    <w:p>
      <w:pPr>
        <w:pStyle w:val="Style12"/>
        <w:keepNext w:val="0"/>
        <w:keepLines w:val="0"/>
        <w:widowControl w:val="0"/>
        <w:shd w:val="clear" w:color="auto" w:fill="auto"/>
        <w:bidi w:val="0"/>
        <w:spacing w:before="0" w:after="120" w:line="274" w:lineRule="exact"/>
        <w:ind w:left="0" w:right="0" w:firstLine="0"/>
        <w:jc w:val="both"/>
      </w:pPr>
      <w:r>
        <w:rPr>
          <w:color w:val="000000"/>
          <w:spacing w:val="0"/>
          <w:w w:val="100"/>
          <w:position w:val="0"/>
        </w:rPr>
        <w:t>金融负债的现时义务全部或部分已经解除的，则终止确认该金融负债或其一部分；本公司若与债权 人签定协议，以承担新金融负债方式替换现存金融负债，且新金融负债与现存金融负债的合同条款 实质上不同的，则终止确认现存金融负债，并同时确认新金融负债。</w:t>
      </w:r>
    </w:p>
    <w:p>
      <w:pPr>
        <w:pStyle w:val="Style12"/>
        <w:keepNext w:val="0"/>
        <w:keepLines w:val="0"/>
        <w:widowControl w:val="0"/>
        <w:shd w:val="clear" w:color="auto" w:fill="auto"/>
        <w:bidi w:val="0"/>
        <w:spacing w:before="0" w:after="120" w:line="274" w:lineRule="exact"/>
        <w:ind w:left="0" w:right="0" w:firstLine="0"/>
        <w:jc w:val="both"/>
      </w:pPr>
      <w:r>
        <w:rPr>
          <w:color w:val="000000"/>
          <w:spacing w:val="0"/>
          <w:w w:val="100"/>
          <w:position w:val="0"/>
        </w:rPr>
        <w:t>对现存金融负债全部或部分合同条款作出实质性修改的，则终止确认现存金融负债或其一部分，同 时将修改条款后的金融负债确认为一项新金融负债。</w:t>
      </w:r>
    </w:p>
    <w:p>
      <w:pPr>
        <w:pStyle w:val="Style12"/>
        <w:keepNext w:val="0"/>
        <w:keepLines w:val="0"/>
        <w:widowControl w:val="0"/>
        <w:shd w:val="clear" w:color="auto" w:fill="auto"/>
        <w:bidi w:val="0"/>
        <w:spacing w:before="0" w:after="120" w:line="274" w:lineRule="exact"/>
        <w:ind w:left="0" w:right="0" w:firstLine="0"/>
        <w:jc w:val="both"/>
      </w:pPr>
      <w:r>
        <w:rPr>
          <w:color w:val="000000"/>
          <w:spacing w:val="0"/>
          <w:w w:val="100"/>
          <w:position w:val="0"/>
        </w:rPr>
        <w:t>金融负债全部或部分终止确认时，终止确认的金融负债账面价值与支付对价（包括转出的非现金资 产或承担的新金融负债）之间的差额，计入当期损益。</w:t>
      </w:r>
    </w:p>
    <w:p>
      <w:pPr>
        <w:pStyle w:val="Style12"/>
        <w:keepNext w:val="0"/>
        <w:keepLines w:val="0"/>
        <w:widowControl w:val="0"/>
        <w:shd w:val="clear" w:color="auto" w:fill="auto"/>
        <w:bidi w:val="0"/>
        <w:spacing w:before="0" w:after="480" w:line="276" w:lineRule="exact"/>
        <w:ind w:left="0" w:right="0" w:firstLine="0"/>
        <w:jc w:val="both"/>
      </w:pPr>
      <w:r>
        <w:rPr>
          <w:color w:val="000000"/>
          <w:spacing w:val="0"/>
          <w:w w:val="100"/>
          <w:position w:val="0"/>
        </w:rPr>
        <w:t>本公司若回购部分金融负债的，在回购日按照继续确认部分与终止确认部分的相对公允价值，将该 金融负债整体的账面价值进行分配。分配给终止确认部分的账面价值与支付的对价（包括转出的非 现金资产或承担的新金融负债）之间的差额，计入当期损益。</w:t>
      </w:r>
    </w:p>
    <w:p>
      <w:pPr>
        <w:pStyle w:val="Style29"/>
        <w:keepNext/>
        <w:keepLines/>
        <w:widowControl w:val="0"/>
        <w:shd w:val="clear" w:color="auto" w:fill="auto"/>
        <w:bidi w:val="0"/>
        <w:spacing w:before="0" w:after="120" w:line="24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5</w:t>
      </w:r>
      <w:bookmarkEnd w:id="560"/>
      <w:r>
        <w:rPr>
          <w:color w:val="000000"/>
          <w:spacing w:val="0"/>
          <w:w w:val="100"/>
          <w:position w:val="0"/>
        </w:rPr>
        <w:t>、金融资产和金融负债公允价值的确定方法</w:t>
      </w:r>
      <w:bookmarkEnd w:id="558"/>
      <w:bookmarkEnd w:id="559"/>
      <w:bookmarkEnd w:id="561"/>
    </w:p>
    <w:p>
      <w:pPr>
        <w:pStyle w:val="Style1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本公司采用公允价值计量的金融资产和金融负债全部直接参考活跃市场中的报价。</w:t>
      </w:r>
    </w:p>
    <w:p>
      <w:pPr>
        <w:pStyle w:val="Style29"/>
        <w:keepNext/>
        <w:keepLines/>
        <w:widowControl w:val="0"/>
        <w:shd w:val="clear" w:color="auto" w:fill="auto"/>
        <w:bidi w:val="0"/>
        <w:spacing w:before="0" w:after="10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6</w:t>
      </w:r>
      <w:bookmarkEnd w:id="564"/>
      <w:r>
        <w:rPr>
          <w:color w:val="000000"/>
          <w:spacing w:val="0"/>
          <w:w w:val="100"/>
          <w:position w:val="0"/>
        </w:rPr>
        <w:t>、金融资产（不含应收款项）减值准备计提</w:t>
      </w:r>
      <w:bookmarkEnd w:id="562"/>
      <w:bookmarkEnd w:id="563"/>
      <w:bookmarkEnd w:id="565"/>
      <w:r>
        <w:rPr>
          <w:color w:val="000000"/>
          <w:spacing w:val="0"/>
          <w:w w:val="100"/>
          <w:position w:val="0"/>
        </w:rPr>
        <w:t xml:space="preserve"> </w:t>
      </w:r>
      <w:r>
        <w:rPr>
          <w:rStyle w:val="CharStyle13"/>
          <w:b w:val="0"/>
          <w:bCs w:val="0"/>
        </w:rPr>
        <w:t>除以公允价值计量且其变动计入当期损益的金融资产外，本公司于资产负债表日对金融资产的账面 价值进行检查，如果有客观证据表明某项金融资产发生减值的，计提减值准备。</w:t>
      </w:r>
    </w:p>
    <w:p>
      <w:pPr>
        <w:pStyle w:val="Style12"/>
        <w:keepNext w:val="0"/>
        <w:keepLines w:val="0"/>
        <w:widowControl w:val="0"/>
        <w:shd w:val="clear" w:color="auto" w:fill="auto"/>
        <w:tabs>
          <w:tab w:pos="488" w:val="left"/>
        </w:tabs>
        <w:bidi w:val="0"/>
        <w:spacing w:before="0" w:line="274" w:lineRule="exact"/>
        <w:ind w:left="0" w:right="0" w:firstLine="0"/>
        <w:jc w:val="left"/>
      </w:pPr>
      <w:bookmarkStart w:id="566" w:name="bookmark566"/>
      <w:r>
        <w:rPr>
          <w:b/>
          <w:bCs/>
          <w:color w:val="000000"/>
          <w:spacing w:val="0"/>
          <w:w w:val="100"/>
          <w:position w:val="0"/>
        </w:rPr>
        <w:t>（</w:t>
      </w:r>
      <w:bookmarkEnd w:id="56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可供出售金融资产的减值准备：</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期末如果可供出售金融资产的公允价值发生严重下降，或在综合考虑各种相关因素后，预期这种下 降趋势属于非暂时性的，就认定其已发生减值，将原直接计入所有者权益的公允价值下降形成的累 计损失一并转出，确认减值损失。</w:t>
      </w:r>
    </w:p>
    <w:p>
      <w:pPr>
        <w:pStyle w:val="Style12"/>
        <w:keepNext w:val="0"/>
        <w:keepLines w:val="0"/>
        <w:widowControl w:val="0"/>
        <w:shd w:val="clear" w:color="auto" w:fill="auto"/>
        <w:bidi w:val="0"/>
        <w:spacing w:before="0" w:line="278" w:lineRule="exact"/>
        <w:ind w:left="0" w:right="0" w:firstLine="0"/>
        <w:jc w:val="left"/>
      </w:pPr>
      <w:r>
        <w:rPr>
          <w:color w:val="000000"/>
          <w:spacing w:val="0"/>
          <w:w w:val="100"/>
          <w:position w:val="0"/>
        </w:rPr>
        <w:t>对于已确认减值损失的可供出售债务工具，在随后的会计期间公允价值已上升且客观上与确认原减 值损失确认后发生的事项有关的，原确认的减值损失予以转回，计入当期损益。</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可供出售权益工具投资发生的减值损失，不得通过损益转回。</w:t>
      </w:r>
    </w:p>
    <w:p>
      <w:pPr>
        <w:pStyle w:val="Style12"/>
        <w:keepNext w:val="0"/>
        <w:keepLines w:val="0"/>
        <w:widowControl w:val="0"/>
        <w:shd w:val="clear" w:color="auto" w:fill="auto"/>
        <w:tabs>
          <w:tab w:pos="488" w:val="left"/>
        </w:tabs>
        <w:bidi w:val="0"/>
        <w:spacing w:before="0" w:line="274" w:lineRule="exact"/>
        <w:ind w:left="0" w:right="0" w:firstLine="0"/>
        <w:jc w:val="left"/>
      </w:pPr>
      <w:bookmarkStart w:id="567" w:name="bookmark567"/>
      <w:r>
        <w:rPr>
          <w:b/>
          <w:bCs/>
          <w:color w:val="000000"/>
          <w:spacing w:val="0"/>
          <w:w w:val="100"/>
          <w:position w:val="0"/>
        </w:rPr>
        <w:t>（</w:t>
      </w:r>
      <w:bookmarkEnd w:id="56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持有至到期投资的减值准备：</w:t>
      </w:r>
    </w:p>
    <w:p>
      <w:pPr>
        <w:pStyle w:val="Style12"/>
        <w:keepNext w:val="0"/>
        <w:keepLines w:val="0"/>
        <w:widowControl w:val="0"/>
        <w:shd w:val="clear" w:color="auto" w:fill="auto"/>
        <w:bidi w:val="0"/>
        <w:spacing w:before="0" w:after="480" w:line="274" w:lineRule="exact"/>
        <w:ind w:left="0" w:right="0" w:firstLine="0"/>
        <w:jc w:val="left"/>
      </w:pPr>
      <w:r>
        <w:rPr>
          <w:color w:val="000000"/>
          <w:spacing w:val="0"/>
          <w:w w:val="100"/>
          <w:position w:val="0"/>
        </w:rPr>
        <w:t>持有至到期投资减值损失的计量比照应收款项减值损失计量方法处理。</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应收款项：</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、单项金额重大并单项计提坏账准备的应收款项: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单项金额占应收款项余额</w:t>
            </w:r>
            <w:r>
              <w:rPr>
                <w:rFonts w:ascii="Times New Roman" w:eastAsia="Times New Roman" w:hAnsi="Times New Roman" w:cs="Times New Roman"/>
                <w:color w:val="000000"/>
                <w:spacing w:val="0"/>
                <w:w w:val="100"/>
                <w:position w:val="0"/>
              </w:rPr>
              <w:t>10%</w:t>
            </w:r>
            <w:r>
              <w:rPr>
                <w:color w:val="000000"/>
                <w:spacing w:val="0"/>
                <w:w w:val="100"/>
                <w:position w:val="0"/>
              </w:rPr>
              <w:t>以上。</w:t>
            </w:r>
          </w:p>
        </w:tc>
      </w:tr>
      <w:tr>
        <w:trPr>
          <w:trHeight w:val="1387"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单独进行减值测试，如有客观证据表明其已发生 减值，按预计未来现金流量现值低于其账面价值 的差额计提坏账准备，计入当期损益。单独测试 未发生减值的应收款项，将其归入相应组合计提 坏账准备。</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、按组合计提坏账准备应收款项:</w:t>
      </w:r>
    </w:p>
    <w:tbl>
      <w:tblPr>
        <w:tblOverlap w:val="never"/>
        <w:jc w:val="center"/>
        <w:tblLayout w:type="fixed"/>
      </w:tblPr>
      <w:tblGrid>
        <w:gridCol w:w="4661"/>
        <w:gridCol w:w="4661"/>
      </w:tblGrid>
      <w:tr>
        <w:trPr>
          <w:trHeight w:val="29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以应收款项的账龄为信用风险特征划分组合</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29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组合名称</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组合中，采用账龄分析法计提坏账准备的:</w:t>
      </w:r>
    </w:p>
    <w:tbl>
      <w:tblPr>
        <w:tblOverlap w:val="never"/>
        <w:jc w:val="center"/>
        <w:tblLayout w:type="fixed"/>
      </w:tblPr>
      <w:tblGrid>
        <w:gridCol w:w="2362"/>
        <w:gridCol w:w="3475"/>
        <w:gridCol w:w="3485"/>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应收账款计提比例说明</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其他应收款计提比例说明</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bl>
    <w:p>
      <w:pPr>
        <w:widowControl w:val="0"/>
        <w:spacing w:after="479" w:line="1" w:lineRule="exact"/>
      </w:pPr>
    </w:p>
    <w:p>
      <w:pPr>
        <w:pStyle w:val="Style23"/>
        <w:keepNext w:val="0"/>
        <w:keepLines w:val="0"/>
        <w:widowControl w:val="0"/>
        <w:shd w:val="clear" w:color="auto" w:fill="auto"/>
        <w:tabs>
          <w:tab w:pos="49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单项金额虽不重大但单项计提坏账准备的应收账款:</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账龄时间较长且存在客观证据表明发生了减值。</w:t>
            </w:r>
          </w:p>
        </w:tc>
      </w:tr>
      <w:tr>
        <w:trPr>
          <w:trHeight w:val="571"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根据预计未来现金流量现值低于其账面价值的差 额，确认减值损失，计提坏账准备。</w:t>
            </w:r>
          </w:p>
        </w:tc>
      </w:tr>
    </w:tbl>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、其他说明</w:t>
      </w:r>
    </w:p>
    <w:p>
      <w:pPr>
        <w:pStyle w:val="Style1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除应收账款和其他应收款外的应收款项，如有客观证据表明其发生了减值的，根据其未来现金流量 现值低于其账面价值的差额，确认减值损失，单独计提坏账准备。如经测试未发现减值的，则不提 坏账准备。</w:t>
      </w:r>
    </w:p>
    <w:p>
      <w:pPr>
        <w:pStyle w:val="Style29"/>
        <w:keepNext/>
        <w:keepLines/>
        <w:widowControl w:val="0"/>
        <w:shd w:val="clear" w:color="auto" w:fill="auto"/>
        <w:bidi w:val="0"/>
        <w:spacing w:before="0" w:after="0" w:line="274" w:lineRule="exact"/>
        <w:ind w:left="0" w:right="0" w:firstLine="0"/>
        <w:jc w:val="both"/>
      </w:pPr>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存货：</w:t>
      </w:r>
      <w:bookmarkEnd w:id="568"/>
      <w:bookmarkEnd w:id="569"/>
      <w:bookmarkEnd w:id="570"/>
    </w:p>
    <w:p>
      <w:pPr>
        <w:pStyle w:val="Style29"/>
        <w:keepNext/>
        <w:keepLines/>
        <w:widowControl w:val="0"/>
        <w:shd w:val="clear" w:color="auto" w:fill="auto"/>
        <w:tabs>
          <w:tab w:pos="368" w:val="left"/>
        </w:tabs>
        <w:bidi w:val="0"/>
        <w:spacing w:before="0" w:after="0" w:line="274" w:lineRule="exact"/>
        <w:ind w:left="0" w:right="0" w:firstLine="0"/>
        <w:jc w:val="both"/>
      </w:pPr>
      <w:bookmarkStart w:id="568" w:name="bookmark568"/>
      <w:bookmarkStart w:id="569" w:name="bookmark569"/>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w:t>
        <w:tab/>
        <w:t>存货的分类</w:t>
      </w:r>
      <w:bookmarkEnd w:id="568"/>
      <w:bookmarkEnd w:id="569"/>
      <w:bookmarkEnd w:id="572"/>
    </w:p>
    <w:p>
      <w:pPr>
        <w:pStyle w:val="Style1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存货分类为：原材料、周转材料、库存商品、在产品、委托加工物资、自制半成品、工程施工等。</w:t>
      </w:r>
    </w:p>
    <w:p>
      <w:pPr>
        <w:pStyle w:val="Style29"/>
        <w:keepNext/>
        <w:keepLines/>
        <w:widowControl w:val="0"/>
        <w:shd w:val="clear" w:color="auto" w:fill="auto"/>
        <w:tabs>
          <w:tab w:pos="378" w:val="left"/>
        </w:tabs>
        <w:bidi w:val="0"/>
        <w:spacing w:before="0" w:after="0" w:line="274" w:lineRule="exact"/>
        <w:ind w:left="0" w:right="0" w:firstLine="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发出存货的计价方法</w:t>
      </w:r>
      <w:bookmarkEnd w:id="573"/>
      <w:bookmarkEnd w:id="574"/>
      <w:bookmarkEnd w:id="576"/>
    </w:p>
    <w:p>
      <w:pPr>
        <w:pStyle w:val="Style1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w:t>
      </w:r>
    </w:p>
    <w:p>
      <w:pPr>
        <w:pStyle w:val="Style1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原材料发出时按移动加权平均法；库存商品中电能表和用电信息管理系统及终端发出时按照合同批 次进行个别认定，其他库存商品发出时按移动加权平均法计价。</w:t>
      </w:r>
    </w:p>
    <w:p>
      <w:pPr>
        <w:pStyle w:val="Style29"/>
        <w:keepNext/>
        <w:keepLines/>
        <w:widowControl w:val="0"/>
        <w:shd w:val="clear" w:color="auto" w:fill="auto"/>
        <w:tabs>
          <w:tab w:pos="378" w:val="left"/>
        </w:tabs>
        <w:bidi w:val="0"/>
        <w:spacing w:before="0" w:after="100" w:line="274" w:lineRule="exact"/>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存货可变现净值的确定依据及存货跌价准备的计提方法</w:t>
      </w:r>
      <w:bookmarkEnd w:id="577"/>
      <w:bookmarkEnd w:id="578"/>
      <w:bookmarkEnd w:id="580"/>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期末对存货进行全面清查后，按存货的成本与可变现净值孰低提取或调整存货跌价准备。</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产成品、库存商品和用于出售的材料等直接用于出售的商品存货，在正常生产经营过程中，以该存 货的估计售价减去估计的销售费用和相关税费后的金额，确定其可变现净值；需要经过加工的材料 存货，在正常生产经营过程中，以所生产的产成品的估计售价减去至完工时估计将要发生的成本、 估计的销售费用和相关税费后的金额，确定其可变现净值；为执行销售合同或者劳务合同而持有的 存货，其可变现净值以合同价格为基础计算，若持有存货的数量多于销售合同订购数量的，超出部 分的存货的可变现净值以一般销售价格为基础计算。</w:t>
      </w:r>
    </w:p>
    <w:p>
      <w:pPr>
        <w:pStyle w:val="Style12"/>
        <w:keepNext w:val="0"/>
        <w:keepLines w:val="0"/>
        <w:widowControl w:val="0"/>
        <w:shd w:val="clear" w:color="auto" w:fill="auto"/>
        <w:bidi w:val="0"/>
        <w:spacing w:before="0" w:line="271" w:lineRule="exact"/>
        <w:ind w:left="0" w:right="0" w:firstLine="0"/>
        <w:jc w:val="both"/>
      </w:pPr>
      <w:r>
        <w:rPr>
          <w:color w:val="000000"/>
          <w:spacing w:val="0"/>
          <w:w w:val="100"/>
          <w:position w:val="0"/>
        </w:rPr>
        <w:t>期末按照单个存货项目计提存货跌价准备；但对于数量繁多、单价较低的存货，按照存货类别计提 存货跌价准备；与在同一地区生产和销售的产品系列相关、具有相同或类似最终用途或目的，且难 以与其他项目分开计量的存货，则合并计提存货跌价准备。</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以前减记存货价值的影响因素已经消失的，减记的金额予以恢复，并在原已计提的存货跌价准备金 额内转回，转回的金额计入当期损益。</w:t>
      </w:r>
    </w:p>
    <w:p>
      <w:pPr>
        <w:pStyle w:val="Style12"/>
        <w:keepNext w:val="0"/>
        <w:keepLines w:val="0"/>
        <w:widowControl w:val="0"/>
        <w:shd w:val="clear" w:color="auto" w:fill="auto"/>
        <w:bidi w:val="0"/>
        <w:spacing w:before="0" w:line="269" w:lineRule="exact"/>
        <w:ind w:left="0" w:right="0" w:firstLine="0"/>
        <w:jc w:val="both"/>
      </w:pPr>
      <w:r>
        <w:rPr>
          <w:color w:val="000000"/>
          <w:spacing w:val="0"/>
          <w:w w:val="100"/>
          <w:position w:val="0"/>
        </w:rPr>
        <w:t>除有明确证据表明资产负债表日市场价格异常外，存货项目的可变现净值以资产负债表日市场价格 为基础确定。</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资产负债表日市场价格异常的判断依据为：</w:t>
      </w:r>
    </w:p>
    <w:p>
      <w:pPr>
        <w:pStyle w:val="Style12"/>
        <w:keepNext w:val="0"/>
        <w:keepLines w:val="0"/>
        <w:widowControl w:val="0"/>
        <w:shd w:val="clear" w:color="auto" w:fill="auto"/>
        <w:bidi w:val="0"/>
        <w:spacing w:before="0" w:after="500" w:line="274" w:lineRule="exact"/>
        <w:ind w:left="0" w:right="0" w:firstLine="0"/>
        <w:jc w:val="both"/>
      </w:pPr>
      <w:r>
        <w:rPr>
          <w:color w:val="000000"/>
          <w:spacing w:val="0"/>
          <w:w w:val="100"/>
          <w:position w:val="0"/>
        </w:rPr>
        <w:t>本期期末存货项目的可变现净值以资产负债表日市场价格为基础确定。</w:t>
      </w:r>
    </w:p>
    <w:p>
      <w:pPr>
        <w:pStyle w:val="Style29"/>
        <w:keepNext/>
        <w:keepLines/>
        <w:widowControl w:val="0"/>
        <w:shd w:val="clear" w:color="auto" w:fill="auto"/>
        <w:tabs>
          <w:tab w:pos="378" w:val="left"/>
        </w:tabs>
        <w:bidi w:val="0"/>
        <w:spacing w:before="0" w:after="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存货的盘存制度</w:t>
      </w:r>
      <w:bookmarkEnd w:id="581"/>
      <w:bookmarkEnd w:id="582"/>
      <w:bookmarkEnd w:id="584"/>
    </w:p>
    <w:p>
      <w:pPr>
        <w:pStyle w:val="Style12"/>
        <w:keepNext w:val="0"/>
        <w:keepLines w:val="0"/>
        <w:widowControl w:val="0"/>
        <w:shd w:val="clear" w:color="auto" w:fill="auto"/>
        <w:bidi w:val="0"/>
        <w:spacing w:before="0" w:after="260" w:line="240" w:lineRule="auto"/>
        <w:ind w:left="0" w:right="0" w:firstLine="0"/>
        <w:jc w:val="both"/>
      </w:pPr>
      <w:r>
        <w:rPr>
          <w:color w:val="000000"/>
          <w:spacing w:val="0"/>
          <w:w w:val="100"/>
          <w:position w:val="0"/>
        </w:rPr>
        <w:t>永续盘存制</w:t>
      </w:r>
    </w:p>
    <w:p>
      <w:pPr>
        <w:pStyle w:val="Style29"/>
        <w:keepNext/>
        <w:keepLines/>
        <w:widowControl w:val="0"/>
        <w:shd w:val="clear" w:color="auto" w:fill="auto"/>
        <w:tabs>
          <w:tab w:pos="378" w:val="left"/>
        </w:tabs>
        <w:bidi w:val="0"/>
        <w:spacing w:before="0" w:after="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5</w:t>
      </w:r>
      <w:bookmarkEnd w:id="587"/>
      <w:r>
        <w:rPr>
          <w:color w:val="000000"/>
          <w:spacing w:val="0"/>
          <w:w w:val="100"/>
          <w:position w:val="0"/>
        </w:rPr>
        <w:t>、</w:t>
        <w:tab/>
        <w:t>低值易耗品和包装物的摊销方法</w:t>
      </w:r>
      <w:bookmarkEnd w:id="585"/>
      <w:bookmarkEnd w:id="586"/>
      <w:bookmarkEnd w:id="588"/>
    </w:p>
    <w:p>
      <w:pPr>
        <w:pStyle w:val="Style29"/>
        <w:keepNext/>
        <w:keepLines/>
        <w:widowControl w:val="0"/>
        <w:shd w:val="clear" w:color="auto" w:fill="auto"/>
        <w:bidi w:val="0"/>
        <w:spacing w:before="0" w:after="0" w:line="240" w:lineRule="auto"/>
        <w:ind w:left="0" w:right="0" w:firstLine="0"/>
        <w:jc w:val="left"/>
      </w:pPr>
      <w:bookmarkStart w:id="585" w:name="bookmark585"/>
      <w:bookmarkStart w:id="586" w:name="bookmark586"/>
      <w:bookmarkStart w:id="589" w:name="bookmark589"/>
      <w:r>
        <w:rPr>
          <w:color w:val="000000"/>
          <w:spacing w:val="0"/>
          <w:w w:val="100"/>
          <w:position w:val="0"/>
        </w:rPr>
        <w:t>⑴低值易耗品</w:t>
      </w:r>
      <w:bookmarkEnd w:id="585"/>
      <w:bookmarkEnd w:id="586"/>
      <w:bookmarkEnd w:id="589"/>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一次摊销法</w:t>
      </w:r>
    </w:p>
    <w:p>
      <w:pPr>
        <w:pStyle w:val="Style29"/>
        <w:keepNext/>
        <w:keepLines/>
        <w:widowControl w:val="0"/>
        <w:shd w:val="clear" w:color="auto" w:fill="auto"/>
        <w:bidi w:val="0"/>
        <w:spacing w:before="0" w:after="0" w:line="240" w:lineRule="auto"/>
        <w:ind w:left="0" w:right="0" w:firstLine="0"/>
        <w:jc w:val="left"/>
      </w:pPr>
      <w:bookmarkStart w:id="590" w:name="bookmark590"/>
      <w:bookmarkStart w:id="591" w:name="bookmark591"/>
      <w:bookmarkStart w:id="592" w:name="bookmark592"/>
      <w:r>
        <w:rPr>
          <w:color w:val="000000"/>
          <w:spacing w:val="0"/>
          <w:w w:val="100"/>
          <w:position w:val="0"/>
        </w:rPr>
        <w:t>⑵包装物</w:t>
      </w:r>
      <w:bookmarkEnd w:id="590"/>
      <w:bookmarkEnd w:id="591"/>
      <w:bookmarkEnd w:id="592"/>
    </w:p>
    <w:p>
      <w:pPr>
        <w:pStyle w:val="Style12"/>
        <w:keepNext w:val="0"/>
        <w:keepLines w:val="0"/>
        <w:widowControl w:val="0"/>
        <w:shd w:val="clear" w:color="auto" w:fill="auto"/>
        <w:bidi w:val="0"/>
        <w:spacing w:before="0" w:after="260" w:line="240" w:lineRule="auto"/>
        <w:ind w:left="0" w:right="0" w:firstLine="0"/>
        <w:jc w:val="both"/>
      </w:pPr>
      <w:r>
        <w:rPr>
          <w:color w:val="000000"/>
          <w:spacing w:val="0"/>
          <w:w w:val="100"/>
          <w:position w:val="0"/>
        </w:rPr>
        <w:t>一次摊销法</w:t>
      </w: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十二</w:t>
      </w:r>
      <w:r>
        <w:rPr>
          <w:b/>
          <w:bCs/>
          <w:color w:val="000000"/>
          <w:spacing w:val="0"/>
          <w:w w:val="100"/>
          <w:position w:val="0"/>
        </w:rPr>
        <w:t>）</w:t>
      </w:r>
      <w:r>
        <w:rPr>
          <w:b/>
          <w:bCs/>
          <w:color w:val="000000"/>
          <w:spacing w:val="0"/>
          <w:w w:val="100"/>
          <w:position w:val="0"/>
        </w:rPr>
        <w:t>长期股权投资：</w:t>
      </w:r>
    </w:p>
    <w:p>
      <w:pPr>
        <w:pStyle w:val="Style12"/>
        <w:keepNext w:val="0"/>
        <w:keepLines w:val="0"/>
        <w:widowControl w:val="0"/>
        <w:shd w:val="clear" w:color="auto" w:fill="auto"/>
        <w:bidi w:val="0"/>
        <w:spacing w:before="0" w:after="0" w:line="240" w:lineRule="auto"/>
        <w:ind w:left="0" w:right="0" w:firstLine="0"/>
        <w:jc w:val="left"/>
      </w:pPr>
      <w:bookmarkStart w:id="593" w:name="bookmark593"/>
      <w:r>
        <w:rPr>
          <w:rFonts w:ascii="Times New Roman" w:eastAsia="Times New Roman" w:hAnsi="Times New Roman" w:cs="Times New Roman"/>
          <w:b/>
          <w:bCs/>
          <w:color w:val="000000"/>
          <w:spacing w:val="0"/>
          <w:w w:val="100"/>
          <w:position w:val="0"/>
        </w:rPr>
        <w:t>1</w:t>
      </w:r>
      <w:bookmarkEnd w:id="593"/>
      <w:r>
        <w:rPr>
          <w:b/>
          <w:bCs/>
          <w:color w:val="000000"/>
          <w:spacing w:val="0"/>
          <w:w w:val="100"/>
          <w:position w:val="0"/>
        </w:rPr>
        <w:t>、投资成本确定</w:t>
      </w:r>
    </w:p>
    <w:p>
      <w:pPr>
        <w:pStyle w:val="Style12"/>
        <w:keepNext w:val="0"/>
        <w:keepLines w:val="0"/>
        <w:widowControl w:val="0"/>
        <w:shd w:val="clear" w:color="auto" w:fill="auto"/>
        <w:bidi w:val="0"/>
        <w:spacing w:before="0" w:line="240" w:lineRule="auto"/>
        <w:ind w:left="0" w:right="0" w:firstLine="0"/>
        <w:jc w:val="left"/>
      </w:pPr>
      <w:bookmarkStart w:id="594" w:name="bookmark594"/>
      <w:r>
        <w:rPr>
          <w:b/>
          <w:bCs/>
          <w:color w:val="000000"/>
          <w:spacing w:val="0"/>
          <w:w w:val="100"/>
          <w:position w:val="0"/>
        </w:rPr>
        <w:t>（</w:t>
      </w:r>
      <w:bookmarkEnd w:id="594"/>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）企业合并形成的长期股权投资 </w:t>
      </w:r>
      <w:r>
        <w:rPr>
          <w:color w:val="000000"/>
          <w:spacing w:val="0"/>
          <w:w w:val="100"/>
          <w:position w:val="0"/>
        </w:rPr>
        <w:t>同一控制下的企业合并：公司以支付现金、转让非现金资产或承担债务方式以及以发行权益性证券 作为合并对价的，在合并日按照取得被合并方所有者权益账面价值的份额作为长期股权投资的初始 投资成本。长期股权投资初始投资成本与支付合并对价之间的差额，调整资本公积中的股本溢价； 资本公积中的股本溢价不足冲减的，调整留存收益。合并发生的各项直接相关费用，包括为进行合 并而支付的审计费用、评估费用、法律服务费用等，于发生时计入当期损益。</w:t>
      </w:r>
    </w:p>
    <w:p>
      <w:pPr>
        <w:pStyle w:val="Style12"/>
        <w:keepNext w:val="0"/>
        <w:keepLines w:val="0"/>
        <w:widowControl w:val="0"/>
        <w:shd w:val="clear" w:color="auto" w:fill="auto"/>
        <w:bidi w:val="0"/>
        <w:spacing w:before="0" w:after="240" w:line="273" w:lineRule="exact"/>
        <w:ind w:left="0" w:right="0" w:firstLine="0"/>
        <w:jc w:val="both"/>
      </w:pPr>
      <w:r>
        <w:rPr>
          <w:color w:val="000000"/>
          <w:spacing w:val="0"/>
          <w:w w:val="100"/>
          <w:position w:val="0"/>
        </w:rPr>
        <w:t>非同一控制下的企业合并：公司按照购买日确定的合并成本作为长期股权投资的初始投资成本。合 并成本为购买日购买方为取得对被购买方的控制权而付出的资产、发生或承担的负债以及发行的权 益性证券的公允价值。购买方为企业合并而发生的审计、法律服务、评估咨询等中介费用以及其他 相关管理费用于发生时计入当期损益；购买方作为合并对价发行的权益性证券或债务性证券的交易 费用，计入权益性证券或债务性证券的初始确认金额。通过多次交易分步实现的非同一控制下企业 合并，以购买日之前所持被购买方的股权投资的账面价值与购买日新增投资成本之和，作为该项投 资的初始投资成本。本公司将合并协议约定的或有对价作为企业合并转移对价的一部分，按照其在 购买日的公允价值计入企业合并成本。</w:t>
      </w:r>
    </w:p>
    <w:p>
      <w:pPr>
        <w:pStyle w:val="Style29"/>
        <w:keepNext/>
        <w:keepLines/>
        <w:widowControl w:val="0"/>
        <w:shd w:val="clear" w:color="auto" w:fill="auto"/>
        <w:bidi w:val="0"/>
        <w:spacing w:before="0" w:after="100" w:line="273" w:lineRule="exact"/>
        <w:ind w:left="0" w:right="0" w:firstLine="0"/>
        <w:jc w:val="both"/>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bookmarkEnd w:id="595"/>
      <w:bookmarkEnd w:id="596"/>
      <w:bookmarkEnd w:id="598"/>
    </w:p>
    <w:p>
      <w:pPr>
        <w:pStyle w:val="Style12"/>
        <w:keepNext w:val="0"/>
        <w:keepLines w:val="0"/>
        <w:widowControl w:val="0"/>
        <w:shd w:val="clear" w:color="auto" w:fill="auto"/>
        <w:bidi w:val="0"/>
        <w:spacing w:before="0" w:line="273"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12"/>
        <w:keepNext w:val="0"/>
        <w:keepLines w:val="0"/>
        <w:widowControl w:val="0"/>
        <w:shd w:val="clear" w:color="auto" w:fill="auto"/>
        <w:bidi w:val="0"/>
        <w:spacing w:before="0" w:line="273"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投资者投入的长期股权投资，按照投资合同或协议约定的价值（扣除已宣告但尚未发放的现金股利 或利润）作为初始投资成本，但合同或协议约定价值不公允的除外。</w:t>
      </w:r>
    </w:p>
    <w:p>
      <w:pPr>
        <w:pStyle w:val="Style12"/>
        <w:keepNext w:val="0"/>
        <w:keepLines w:val="0"/>
        <w:widowControl w:val="0"/>
        <w:shd w:val="clear" w:color="auto" w:fill="auto"/>
        <w:bidi w:val="0"/>
        <w:spacing w:before="0" w:line="270" w:lineRule="exact"/>
        <w:ind w:left="0" w:right="0" w:firstLine="0"/>
        <w:jc w:val="both"/>
      </w:pPr>
      <w:r>
        <w:rPr>
          <w:color w:val="000000"/>
          <w:spacing w:val="0"/>
          <w:w w:val="100"/>
          <w:position w:val="0"/>
        </w:rPr>
        <w:t>在非货币性资产交换具备商业实质和换入资产或换出资产的公允价值能够可靠计量的前提下，非货 币性资产交换换入的长期股权投资以换出资产的公允价值为基础确定其初始投资成本，除非有确凿 证据表明换入资产的公允价值更加可靠；不满足上述前提的非货币性资产交换，以换出资产的账面 价值和应支付的相关税费作为换入长期股权投资的初始投资成本。</w:t>
      </w:r>
    </w:p>
    <w:p>
      <w:pPr>
        <w:pStyle w:val="Style12"/>
        <w:keepNext w:val="0"/>
        <w:keepLines w:val="0"/>
        <w:widowControl w:val="0"/>
        <w:shd w:val="clear" w:color="auto" w:fill="auto"/>
        <w:bidi w:val="0"/>
        <w:spacing w:before="0" w:after="240" w:line="273" w:lineRule="exact"/>
        <w:ind w:left="0" w:right="0" w:firstLine="0"/>
        <w:jc w:val="both"/>
      </w:pPr>
      <w:r>
        <w:rPr>
          <w:color w:val="000000"/>
          <w:spacing w:val="0"/>
          <w:w w:val="100"/>
          <w:position w:val="0"/>
        </w:rPr>
        <w:t>通过债务重组取得的长期股权投资，其初始投资成本按照公允价值为基础确定。</w:t>
      </w:r>
    </w:p>
    <w:p>
      <w:pPr>
        <w:pStyle w:val="Style29"/>
        <w:keepNext/>
        <w:keepLines/>
        <w:widowControl w:val="0"/>
        <w:shd w:val="clear" w:color="auto" w:fill="auto"/>
        <w:bidi w:val="0"/>
        <w:spacing w:before="0" w:after="0" w:line="273" w:lineRule="exact"/>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、后续计量及损益确认方法</w:t>
      </w:r>
      <w:bookmarkEnd w:id="599"/>
      <w:bookmarkEnd w:id="600"/>
      <w:bookmarkEnd w:id="602"/>
    </w:p>
    <w:p>
      <w:pPr>
        <w:pStyle w:val="Style29"/>
        <w:keepNext/>
        <w:keepLines/>
        <w:widowControl w:val="0"/>
        <w:shd w:val="clear" w:color="auto" w:fill="auto"/>
        <w:tabs>
          <w:tab w:pos="454" w:val="left"/>
        </w:tabs>
        <w:bidi w:val="0"/>
        <w:spacing w:before="0" w:after="100" w:line="273" w:lineRule="exact"/>
        <w:ind w:left="0" w:right="0" w:firstLine="0"/>
        <w:jc w:val="both"/>
      </w:pPr>
      <w:bookmarkStart w:id="599" w:name="bookmark599"/>
      <w:bookmarkStart w:id="600" w:name="bookmark600"/>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1</w:t>
      </w:r>
      <w:r>
        <w:rPr>
          <w:color w:val="000000"/>
          <w:spacing w:val="0"/>
          <w:w w:val="100"/>
          <w:position w:val="0"/>
        </w:rPr>
        <w:t>）</w:t>
        <w:tab/>
        <w:t>后续计量</w:t>
      </w:r>
      <w:bookmarkEnd w:id="599"/>
      <w:bookmarkEnd w:id="600"/>
      <w:bookmarkEnd w:id="604"/>
    </w:p>
    <w:p>
      <w:pPr>
        <w:pStyle w:val="Style12"/>
        <w:keepNext w:val="0"/>
        <w:keepLines w:val="0"/>
        <w:widowControl w:val="0"/>
        <w:shd w:val="clear" w:color="auto" w:fill="auto"/>
        <w:bidi w:val="0"/>
        <w:spacing w:before="0" w:line="273" w:lineRule="exact"/>
        <w:ind w:left="0" w:right="0" w:firstLine="0"/>
        <w:jc w:val="both"/>
      </w:pPr>
      <w:r>
        <w:rPr>
          <w:color w:val="000000"/>
          <w:spacing w:val="0"/>
          <w:w w:val="100"/>
          <w:position w:val="0"/>
        </w:rPr>
        <w:t>公司对子公司的长期股权投资，采用成本法核算，编制合并财务报表时按照权益法进行调整。</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对被投资单位不具有共同控制或重大影响，并且在活跃市场中没有报价、公允价值不能可靠计量的 长期股权投资，采用成本法核算。</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对被投资单位具有共同控制或重大影响的长期股权投资，采用权益法核算。初始投资成本大于投资 时应享有被投资单位可辨认净资产公允价值份额的差额，不调整长期股权投资的初始投资成本；初 始投资成本小于投资时应享有被投资单位可辨认净资产公允价值份额的差额，计入当期损益。</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被投资单位除净损益以外所有者权益其他变动的处理：对于被投资单位除净损益以外所有者权益的 其他变动，在持股比例不变的情况下，公司按照持股比例计算应享有或承担的部分，调整长期股权 投资的账面价值，同时增加或减少资本公积（其他资本公积）。</w:t>
      </w:r>
    </w:p>
    <w:p>
      <w:pPr>
        <w:pStyle w:val="Style12"/>
        <w:keepNext w:val="0"/>
        <w:keepLines w:val="0"/>
        <w:widowControl w:val="0"/>
        <w:shd w:val="clear" w:color="auto" w:fill="auto"/>
        <w:tabs>
          <w:tab w:pos="454" w:val="left"/>
        </w:tabs>
        <w:bidi w:val="0"/>
        <w:spacing w:before="0" w:line="273" w:lineRule="exact"/>
        <w:ind w:left="0" w:right="0" w:firstLine="0"/>
        <w:jc w:val="both"/>
      </w:pPr>
      <w:bookmarkStart w:id="605" w:name="bookmark605"/>
      <w:r>
        <w:rPr>
          <w:b/>
          <w:bCs/>
          <w:color w:val="000000"/>
          <w:spacing w:val="0"/>
          <w:w w:val="100"/>
          <w:position w:val="0"/>
        </w:rPr>
        <w:t>（</w:t>
      </w:r>
      <w:bookmarkEnd w:id="60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损益确认</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成本法下，除取得投资时实际支付的价款或对价中包含的已宣告但尚未发放的现金股利或利润外， 公司按照享有被投资单位宣告发放的现金股利或利润确认投资收益。</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 xml:space="preserve">权益法下，在被投资单位账面净利润的基础上考虑：被投资单位与本公司采用的会计政策及会计期 间不一致，按本公司的会计政策及会计期间对被投资单位财务报表进行调整；以取得投资时被投资 单位固定资产、无形资产的公允价值为基础计提的折旧额或摊销额以及有关资产减值准备金额等对 </w:t>
      </w:r>
      <w:r>
        <w:rPr>
          <w:color w:val="000000"/>
          <w:spacing w:val="0"/>
          <w:w w:val="100"/>
          <w:position w:val="0"/>
        </w:rPr>
        <w:t>被投资单位净利润的影响；对本公司与联营企业及合营企业之间发生的未实现内部交易予以抵销等 事项的适当调整后，确认应享有或应负担被投资单位的净利润或净亏损。</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在公司确认应分担被投资单位发生的亏损时，按照以下顺序进行处理：首先，冲减长期股权投资的 账面价值。其次，长期股权投资的账面价值不足以冲减的，以其他实质上构成对被投资单位净投资 的长期权益账面价值为限继续确认投资损失，冲减长期应收项目等的账面价值。最后，经过上述处 理，按照投资合同或协议约定企业仍承担额外义务的，按预计承担的义务确认预计负债，计入当期 投资损失。被投资单位以后期间实现盈利的，公司在扣除未确认的亏损分担额后，按与上述相反的 顺序处理，减记已确认预计负债的账面余额、恢复其他实质上构成对被投资单位净投资的长期权益 及长期股权投资的账面价值，同时确认投资收益。</w:t>
      </w:r>
    </w:p>
    <w:p>
      <w:pPr>
        <w:pStyle w:val="Style12"/>
        <w:keepNext w:val="0"/>
        <w:keepLines w:val="0"/>
        <w:widowControl w:val="0"/>
        <w:shd w:val="clear" w:color="auto" w:fill="auto"/>
        <w:bidi w:val="0"/>
        <w:spacing w:before="0" w:after="0" w:line="278" w:lineRule="exact"/>
        <w:ind w:left="0" w:right="0" w:firstLine="0"/>
        <w:jc w:val="both"/>
      </w:pPr>
      <w:r>
        <w:rPr>
          <w:color w:val="000000"/>
          <w:spacing w:val="0"/>
          <w:w w:val="100"/>
          <w:position w:val="0"/>
        </w:rPr>
        <w:t>在持有投资期间，被投资单位能够提供合并财务报表的，应当以合并财务报表中的净利润和其他权 益变动为基础进行核算。</w:t>
      </w:r>
    </w:p>
    <w:p>
      <w:pPr>
        <w:pStyle w:val="Style12"/>
        <w:keepNext w:val="0"/>
        <w:keepLines w:val="0"/>
        <w:widowControl w:val="0"/>
        <w:shd w:val="clear" w:color="auto" w:fill="auto"/>
        <w:bidi w:val="0"/>
        <w:spacing w:before="0" w:line="278" w:lineRule="exact"/>
        <w:ind w:left="0" w:right="0" w:firstLine="0"/>
        <w:jc w:val="both"/>
      </w:pPr>
      <w:bookmarkStart w:id="606" w:name="bookmark606"/>
      <w:r>
        <w:rPr>
          <w:b/>
          <w:bCs/>
          <w:color w:val="000000"/>
          <w:spacing w:val="0"/>
          <w:w w:val="100"/>
          <w:position w:val="0"/>
        </w:rPr>
        <w:t>（</w:t>
      </w:r>
      <w:bookmarkEnd w:id="606"/>
      <w:r>
        <w:rPr>
          <w:rFonts w:ascii="Times New Roman" w:eastAsia="Times New Roman" w:hAnsi="Times New Roman" w:cs="Times New Roman"/>
          <w:b/>
          <w:bCs/>
          <w:color w:val="000000"/>
          <w:spacing w:val="0"/>
          <w:w w:val="100"/>
          <w:position w:val="0"/>
        </w:rPr>
        <w:t>3</w:t>
      </w:r>
      <w:r>
        <w:rPr>
          <w:b/>
          <w:bCs/>
          <w:color w:val="000000"/>
          <w:spacing w:val="0"/>
          <w:w w:val="100"/>
          <w:position w:val="0"/>
        </w:rPr>
        <w:t>）长期股权投资的处置</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处置长期股权投资，其账面价值与实际取得价款的差额，计入当期损益。采用权益法核算的长期股 权投资，因被投资单位除净损益以外所有者权益的其他变动而计入所有者权益的，处置该项投资时 将原计入所有者权益的部分按相应比例转入当期损益。</w:t>
      </w:r>
    </w:p>
    <w:p>
      <w:pPr>
        <w:pStyle w:val="Style12"/>
        <w:keepNext w:val="0"/>
        <w:keepLines w:val="0"/>
        <w:widowControl w:val="0"/>
        <w:shd w:val="clear" w:color="auto" w:fill="auto"/>
        <w:bidi w:val="0"/>
        <w:spacing w:before="0" w:after="240" w:line="273" w:lineRule="exact"/>
        <w:ind w:left="0" w:right="0" w:firstLine="0"/>
        <w:jc w:val="both"/>
      </w:pPr>
      <w:r>
        <w:rPr>
          <w:color w:val="000000"/>
          <w:spacing w:val="0"/>
          <w:w w:val="100"/>
          <w:position w:val="0"/>
        </w:rPr>
        <w:t>因处置部分股权投资或其他原因丧失了对原有子公司控制权的，对于剩余股权，按其账面价值确认 为长期股权投资或其他相关金融资产。处置后的剩余股权能够对原有子公司实施共同控制或重大影 响的，首先按处置或收回投资的比例结转应终止确认的长期股权投资成本。在此基础上，比较剩余 的长期股权投资成本与按照剩余持股比例计算原投资时应享有被投资单位可辨认净资产公允价值 的份额，属于投资作价中体现的商誉部分，不调整长期股权投资的账面价值；属于投资成本小于原 投资时应享有被投资单位可辨认净资产公允价值份额的，在调整长期股权投资成本的同时调整留存 收益。对于原取得投资后至因处置投资导致转变为权益法核算之间被投资单位实现净损益中应享有 的份额，一方面调整长期股权投资的账面价值，同时对于原取得投资时至处置投资当期期初被投资 单位实现的净损益（扣除已发放及已宣告发放的现金股利和利润）中应享有的份额，调整留存收益， 对于处置投资当期期初至处置投资之日被投资单位实现的净损益中享有的份额，调整当期损益；其 他原因导致被投资单位所有者权益变动中应享有的份额，在调整长期股权投资账面价值的同时，计 入资本公积（其他资本公积）。</w:t>
      </w:r>
    </w:p>
    <w:p>
      <w:pPr>
        <w:pStyle w:val="Style29"/>
        <w:keepNext/>
        <w:keepLines/>
        <w:widowControl w:val="0"/>
        <w:shd w:val="clear" w:color="auto" w:fill="auto"/>
        <w:tabs>
          <w:tab w:pos="318" w:val="left"/>
        </w:tabs>
        <w:bidi w:val="0"/>
        <w:spacing w:before="0" w:after="100" w:line="274" w:lineRule="exact"/>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3</w:t>
      </w:r>
      <w:bookmarkEnd w:id="609"/>
      <w:r>
        <w:rPr>
          <w:color w:val="000000"/>
          <w:spacing w:val="0"/>
          <w:w w:val="100"/>
          <w:position w:val="0"/>
        </w:rPr>
        <w:t>、</w:t>
        <w:tab/>
        <w:t>确定对被投资单位具有共同控制、重大影响的依据</w:t>
      </w:r>
      <w:bookmarkEnd w:id="607"/>
      <w:bookmarkEnd w:id="608"/>
      <w:bookmarkEnd w:id="610"/>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共同控制，是指按照合同约定对某项经济活动所共有的控制，仅在与该项经济活动相关的重要财务 和经营决策需要分享控制权的投资方一致同意时存在。投资企业与其他方对被投资单位实施共同控 制的，被投资单位为其合营企业。</w:t>
      </w:r>
    </w:p>
    <w:p>
      <w:pPr>
        <w:pStyle w:val="Style12"/>
        <w:keepNext w:val="0"/>
        <w:keepLines w:val="0"/>
        <w:widowControl w:val="0"/>
        <w:shd w:val="clear" w:color="auto" w:fill="auto"/>
        <w:bidi w:val="0"/>
        <w:spacing w:before="0" w:after="240" w:line="264" w:lineRule="exact"/>
        <w:ind w:left="0" w:right="0" w:firstLine="0"/>
        <w:jc w:val="both"/>
      </w:pPr>
      <w:r>
        <w:rPr>
          <w:color w:val="000000"/>
          <w:spacing w:val="0"/>
          <w:w w:val="100"/>
          <w:position w:val="0"/>
        </w:rPr>
        <w:t>重大影响，是指对一个企业的财务和经营决策有参与决策的权力，但并不能够控制或者与其他方一 起共同控制这些政策的制定。投资企业能够对被投资单位施加重大影响的，被投资单位为其联营企 业。</w:t>
      </w:r>
    </w:p>
    <w:p>
      <w:pPr>
        <w:pStyle w:val="Style29"/>
        <w:keepNext/>
        <w:keepLines/>
        <w:widowControl w:val="0"/>
        <w:shd w:val="clear" w:color="auto" w:fill="auto"/>
        <w:tabs>
          <w:tab w:pos="318" w:val="left"/>
        </w:tabs>
        <w:bidi w:val="0"/>
        <w:spacing w:before="0" w:after="100" w:line="274" w:lineRule="exact"/>
        <w:ind w:left="0" w:right="0" w:firstLine="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4</w:t>
      </w:r>
      <w:bookmarkEnd w:id="613"/>
      <w:r>
        <w:rPr>
          <w:color w:val="000000"/>
          <w:spacing w:val="0"/>
          <w:w w:val="100"/>
          <w:position w:val="0"/>
        </w:rPr>
        <w:t>、</w:t>
        <w:tab/>
        <w:t>减值测试方法及减值准备计提方法</w:t>
      </w:r>
      <w:bookmarkEnd w:id="611"/>
      <w:bookmarkEnd w:id="612"/>
      <w:bookmarkEnd w:id="614"/>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重大影响以下的、在活跃市场中没有报价、公允价值不能可靠计量的长期股权投资，其减值损失是 根据其账面价值与按类似金融资产当时市场收益率对未来现金流量折现确定的现值之间的差额进 行确定。</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长期股权投资减值损失一经确认，不再转回。</w:t>
      </w:r>
    </w:p>
    <w:p>
      <w:pPr>
        <w:pStyle w:val="Style29"/>
        <w:keepNext/>
        <w:keepLines/>
        <w:widowControl w:val="0"/>
        <w:shd w:val="clear" w:color="auto" w:fill="auto"/>
        <w:bidi w:val="0"/>
        <w:spacing w:before="0" w:after="100" w:line="274" w:lineRule="exact"/>
        <w:ind w:left="0" w:right="0" w:firstLine="0"/>
        <w:jc w:val="left"/>
      </w:pPr>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投资性房地产：</w:t>
      </w:r>
      <w:bookmarkEnd w:id="615"/>
      <w:bookmarkEnd w:id="616"/>
      <w:bookmarkEnd w:id="617"/>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 建筑物以及正在建造或开发过程中将来用于出租的建筑物）。</w:t>
      </w:r>
    </w:p>
    <w:p>
      <w:pPr>
        <w:pStyle w:val="Style12"/>
        <w:keepNext w:val="0"/>
        <w:keepLines w:val="0"/>
        <w:widowControl w:val="0"/>
        <w:shd w:val="clear" w:color="auto" w:fill="auto"/>
        <w:bidi w:val="0"/>
        <w:spacing w:before="0" w:line="259" w:lineRule="exact"/>
        <w:ind w:left="0" w:right="0" w:firstLine="0"/>
        <w:jc w:val="left"/>
      </w:pPr>
      <w:r>
        <w:rPr>
          <w:color w:val="000000"/>
          <w:spacing w:val="0"/>
          <w:w w:val="100"/>
          <w:position w:val="0"/>
        </w:rPr>
        <w:t>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公司对存在减值迹象的，估计其可收回金额，可收回金额低于其账面价值的，确认相应的减值损失。</w:t>
      </w:r>
    </w:p>
    <w:p>
      <w:pPr>
        <w:pStyle w:val="Style1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投资性房地产减值损失一经确认，不再转回。</w:t>
      </w:r>
    </w:p>
    <w:p>
      <w:pPr>
        <w:pStyle w:val="Style29"/>
        <w:keepNext/>
        <w:keepLines/>
        <w:widowControl w:val="0"/>
        <w:shd w:val="clear" w:color="auto" w:fill="auto"/>
        <w:bidi w:val="0"/>
        <w:spacing w:before="0" w:after="0" w:line="274" w:lineRule="exact"/>
        <w:ind w:left="0" w:right="0" w:firstLine="0"/>
        <w:jc w:val="left"/>
      </w:pPr>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固定资产：</w:t>
      </w:r>
      <w:bookmarkEnd w:id="618"/>
      <w:bookmarkEnd w:id="619"/>
      <w:bookmarkEnd w:id="620"/>
    </w:p>
    <w:p>
      <w:pPr>
        <w:pStyle w:val="Style29"/>
        <w:keepNext/>
        <w:keepLines/>
        <w:widowControl w:val="0"/>
        <w:shd w:val="clear" w:color="auto" w:fill="auto"/>
        <w:bidi w:val="0"/>
        <w:spacing w:before="0" w:after="100" w:line="274" w:lineRule="exact"/>
        <w:ind w:left="0" w:right="0" w:firstLine="0"/>
        <w:jc w:val="left"/>
      </w:pPr>
      <w:bookmarkStart w:id="618" w:name="bookmark618"/>
      <w:bookmarkStart w:id="619" w:name="bookmark619"/>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、固定资产确认条件、计价和折旧方法：</w:t>
      </w:r>
      <w:bookmarkEnd w:id="618"/>
      <w:bookmarkEnd w:id="619"/>
      <w:bookmarkEnd w:id="622"/>
    </w:p>
    <w:p>
      <w:pPr>
        <w:pStyle w:val="Style12"/>
        <w:keepNext w:val="0"/>
        <w:keepLines w:val="0"/>
        <w:widowControl w:val="0"/>
        <w:shd w:val="clear" w:color="auto" w:fill="auto"/>
        <w:bidi w:val="0"/>
        <w:spacing w:before="0" w:line="278" w:lineRule="exact"/>
        <w:ind w:left="0" w:right="0" w:firstLine="0"/>
        <w:jc w:val="left"/>
      </w:pPr>
      <w:r>
        <w:rPr>
          <w:color w:val="000000"/>
          <w:spacing w:val="0"/>
          <w:w w:val="100"/>
          <w:position w:val="0"/>
        </w:rPr>
        <w:t>固定资产是指为生产商品、提供劳务、出租或经营管理而持有的，使用年限超过一年，单位价值较 高的有形资产。</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固定资产以取得时的实际成本入账，并从其达到预定可使用状态的次月起，采用直线法</w:t>
      </w:r>
      <w:r>
        <w:rPr>
          <w:rFonts w:ascii="Times New Roman" w:eastAsia="Times New Roman" w:hAnsi="Times New Roman" w:cs="Times New Roman"/>
          <w:color w:val="000000"/>
          <w:spacing w:val="0"/>
          <w:w w:val="100"/>
          <w:position w:val="0"/>
        </w:rPr>
        <w:t>（</w:t>
      </w:r>
      <w:r>
        <w:rPr>
          <w:color w:val="000000"/>
          <w:spacing w:val="0"/>
          <w:w w:val="100"/>
          <w:position w:val="0"/>
        </w:rPr>
        <w:t>年限平均法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提取折旧。</w:t>
      </w:r>
    </w:p>
    <w:p>
      <w:pPr>
        <w:pStyle w:val="Style1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固定资产在同时满足下列条件时予以确认：</w:t>
      </w:r>
    </w:p>
    <w:p>
      <w:pPr>
        <w:pStyle w:val="Style12"/>
        <w:keepNext w:val="0"/>
        <w:keepLines w:val="0"/>
        <w:widowControl w:val="0"/>
        <w:shd w:val="clear" w:color="auto" w:fill="auto"/>
        <w:tabs>
          <w:tab w:pos="488" w:val="left"/>
        </w:tabs>
        <w:bidi w:val="0"/>
        <w:spacing w:before="0" w:after="0" w:line="274" w:lineRule="exact"/>
        <w:ind w:left="0" w:right="0" w:firstLine="0"/>
        <w:jc w:val="left"/>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12"/>
        <w:keepNext w:val="0"/>
        <w:keepLines w:val="0"/>
        <w:widowControl w:val="0"/>
        <w:shd w:val="clear" w:color="auto" w:fill="auto"/>
        <w:tabs>
          <w:tab w:pos="488" w:val="left"/>
        </w:tabs>
        <w:bidi w:val="0"/>
        <w:spacing w:before="0" w:after="260" w:line="274" w:lineRule="exact"/>
        <w:ind w:left="0" w:right="0" w:firstLine="0"/>
        <w:jc w:val="left"/>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2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、各类固定资产的折旧方法：</w:t>
      </w: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各类固定资产折旧年限和年折旧率如下:</w:t>
      </w:r>
    </w:p>
    <w:tbl>
      <w:tblPr>
        <w:tblOverlap w:val="never"/>
        <w:jc w:val="center"/>
        <w:tblLayout w:type="fixed"/>
      </w:tblPr>
      <w:tblGrid>
        <w:gridCol w:w="1906"/>
        <w:gridCol w:w="2563"/>
        <w:gridCol w:w="2376"/>
        <w:gridCol w:w="2477"/>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20"/>
                <w:szCs w:val="20"/>
              </w:rPr>
              <w:t>残值率</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20"/>
                <w:szCs w:val="20"/>
              </w:rPr>
              <w:t>年折旧率</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5"/>
                <w:szCs w:val="15"/>
              </w:rPr>
              <w:t>）</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18-22.5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3.6-18</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18-30</w:t>
            </w:r>
          </w:p>
        </w:tc>
      </w:tr>
    </w:tbl>
    <w:p>
      <w:pPr>
        <w:widowControl w:val="0"/>
        <w:spacing w:after="99" w:line="1" w:lineRule="exact"/>
      </w:pPr>
    </w:p>
    <w:p>
      <w:pPr>
        <w:pStyle w:val="Style12"/>
        <w:keepNext w:val="0"/>
        <w:keepLines w:val="0"/>
        <w:widowControl w:val="0"/>
        <w:shd w:val="clear" w:color="auto" w:fill="auto"/>
        <w:bidi w:val="0"/>
        <w:spacing w:before="0" w:line="271" w:lineRule="exact"/>
        <w:ind w:left="0" w:right="0" w:firstLine="0"/>
        <w:jc w:val="left"/>
      </w:pPr>
      <w:r>
        <w:rPr>
          <w:color w:val="000000"/>
          <w:spacing w:val="0"/>
          <w:w w:val="100"/>
          <w:position w:val="0"/>
        </w:rPr>
        <w:t>固定资产折旧采用年限平均法分类计提，根据固定资产类别、预计使用寿命和预计净残值率确定折 旧率。如固定资产各组成部分的使用寿命不同或者以不同方式为企业提供经济利益，则选择不同折 旧率或折旧方法，分别计提折旧。</w:t>
      </w:r>
    </w:p>
    <w:p>
      <w:pPr>
        <w:pStyle w:val="Style1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融资租赁方式租入的固定资产，能合理确定租赁期届满时将会取得租赁资产所有权的，在租赁资产 尚可使用年限内计提折旧；无法合理确定租赁期届满时能够取得租赁资产所有权的，在租赁期与租 赁资产尚可使用年限两者中较短的期间内计提折旧。</w:t>
      </w:r>
    </w:p>
    <w:p>
      <w:pPr>
        <w:pStyle w:val="Style29"/>
        <w:keepNext/>
        <w:keepLines/>
        <w:widowControl w:val="0"/>
        <w:shd w:val="clear" w:color="auto" w:fill="auto"/>
        <w:bidi w:val="0"/>
        <w:spacing w:before="0" w:after="100" w:line="288"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、固定资产的减值测试方法、减值准备计提方法</w:t>
      </w:r>
      <w:bookmarkEnd w:id="625"/>
      <w:bookmarkEnd w:id="626"/>
      <w:bookmarkEnd w:id="628"/>
    </w:p>
    <w:p>
      <w:pPr>
        <w:pStyle w:val="Style12"/>
        <w:keepNext w:val="0"/>
        <w:keepLines w:val="0"/>
        <w:widowControl w:val="0"/>
        <w:shd w:val="clear" w:color="auto" w:fill="auto"/>
        <w:bidi w:val="0"/>
        <w:spacing w:before="0" w:line="276" w:lineRule="exact"/>
        <w:ind w:left="0" w:right="0" w:firstLine="0"/>
        <w:jc w:val="left"/>
      </w:pPr>
      <w:r>
        <w:rPr>
          <w:color w:val="000000"/>
          <w:spacing w:val="0"/>
          <w:w w:val="100"/>
          <w:position w:val="0"/>
        </w:rPr>
        <w:t>公司在每期末判断固定资产是否存在可能发生减值的迹象。</w:t>
      </w:r>
    </w:p>
    <w:p>
      <w:pPr>
        <w:pStyle w:val="Style12"/>
        <w:keepNext w:val="0"/>
        <w:keepLines w:val="0"/>
        <w:widowControl w:val="0"/>
        <w:shd w:val="clear" w:color="auto" w:fill="auto"/>
        <w:bidi w:val="0"/>
        <w:spacing w:before="0" w:line="278" w:lineRule="exact"/>
        <w:ind w:left="0" w:right="0" w:firstLine="0"/>
        <w:jc w:val="left"/>
      </w:pPr>
      <w:r>
        <w:rPr>
          <w:color w:val="000000"/>
          <w:spacing w:val="0"/>
          <w:w w:val="100"/>
          <w:position w:val="0"/>
        </w:rPr>
        <w:t>固定资产存在减值迹象的，估计其可收回金额。可收回金额根据固定资产的公允价值减去处置费用 后的净额与固定资产预计未来现金流量的现值两者之间较高者确定。</w:t>
      </w:r>
    </w:p>
    <w:p>
      <w:pPr>
        <w:pStyle w:val="Style12"/>
        <w:keepNext w:val="0"/>
        <w:keepLines w:val="0"/>
        <w:widowControl w:val="0"/>
        <w:shd w:val="clear" w:color="auto" w:fill="auto"/>
        <w:bidi w:val="0"/>
        <w:spacing w:before="0" w:line="278" w:lineRule="exact"/>
        <w:ind w:left="0" w:right="0" w:firstLine="0"/>
        <w:jc w:val="left"/>
      </w:pPr>
      <w:r>
        <w:rPr>
          <w:color w:val="000000"/>
          <w:spacing w:val="0"/>
          <w:w w:val="100"/>
          <w:position w:val="0"/>
        </w:rPr>
        <w:t>当固定资产的可收回金额低于其账面价值的，将固定资产的账面价值减记至可收回金额，减记的金 额确认为固定资产减值损失，计入当期损益，同时计提相应的固定资产减值准备。</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固定资产减值损失确认后，减值固定资产的折旧在未来期间作相应调整，以使该固定资产在剩余使 用寿命内，系统地分摊调整后的固定资产账面价值（扣除预计净残值）。</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固定资产的减值损失一经确认，在以后会计期间不再转回。</w:t>
      </w:r>
    </w:p>
    <w:p>
      <w:pPr>
        <w:pStyle w:val="Style12"/>
        <w:keepNext w:val="0"/>
        <w:keepLines w:val="0"/>
        <w:widowControl w:val="0"/>
        <w:shd w:val="clear" w:color="auto" w:fill="auto"/>
        <w:bidi w:val="0"/>
        <w:spacing w:before="0" w:after="240" w:line="276" w:lineRule="exact"/>
        <w:ind w:left="0" w:right="0" w:firstLine="0"/>
        <w:jc w:val="left"/>
      </w:pPr>
      <w:r>
        <w:rPr>
          <w:color w:val="000000"/>
          <w:spacing w:val="0"/>
          <w:w w:val="100"/>
          <w:position w:val="0"/>
        </w:rPr>
        <w:t>有迹象表明一项固定资产可能发生减值的，企业以单项固定资产为基础估计其可收回金额。企业难 以对单项固定资产的可收回金额进行估计的，以该固定资产所属的资产组为基础确定资产组的可收 回金额。</w:t>
      </w:r>
    </w:p>
    <w:p>
      <w:pPr>
        <w:pStyle w:val="Style29"/>
        <w:keepNext/>
        <w:keepLines/>
        <w:widowControl w:val="0"/>
        <w:shd w:val="clear" w:color="auto" w:fill="auto"/>
        <w:bidi w:val="0"/>
        <w:spacing w:before="0" w:after="0" w:line="274" w:lineRule="exact"/>
        <w:ind w:left="0" w:right="0" w:firstLine="0"/>
        <w:jc w:val="left"/>
      </w:pPr>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在建工程：</w:t>
      </w:r>
      <w:bookmarkEnd w:id="629"/>
      <w:bookmarkEnd w:id="630"/>
      <w:bookmarkEnd w:id="631"/>
    </w:p>
    <w:p>
      <w:pPr>
        <w:pStyle w:val="Style29"/>
        <w:keepNext/>
        <w:keepLines/>
        <w:widowControl w:val="0"/>
        <w:shd w:val="clear" w:color="auto" w:fill="auto"/>
        <w:tabs>
          <w:tab w:pos="428" w:val="left"/>
        </w:tabs>
        <w:bidi w:val="0"/>
        <w:spacing w:before="0" w:after="100" w:line="274" w:lineRule="exact"/>
        <w:ind w:left="0" w:right="0" w:firstLine="0"/>
        <w:jc w:val="left"/>
      </w:pPr>
      <w:bookmarkStart w:id="629" w:name="bookmark629"/>
      <w:bookmarkStart w:id="630" w:name="bookmark630"/>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在建工程的类别</w:t>
      </w:r>
      <w:bookmarkEnd w:id="629"/>
      <w:bookmarkEnd w:id="630"/>
      <w:bookmarkEnd w:id="633"/>
    </w:p>
    <w:p>
      <w:pPr>
        <w:pStyle w:val="Style1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在建工程以立项项目分类核算。</w:t>
      </w:r>
    </w:p>
    <w:p>
      <w:pPr>
        <w:pStyle w:val="Style29"/>
        <w:keepNext/>
        <w:keepLines/>
        <w:widowControl w:val="0"/>
        <w:shd w:val="clear" w:color="auto" w:fill="auto"/>
        <w:tabs>
          <w:tab w:pos="428" w:val="left"/>
        </w:tabs>
        <w:bidi w:val="0"/>
        <w:spacing w:before="0" w:after="100" w:line="274" w:lineRule="exact"/>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在建工程结转为固定资产的标准和时点</w:t>
      </w:r>
      <w:bookmarkEnd w:id="634"/>
      <w:bookmarkEnd w:id="635"/>
      <w:bookmarkEnd w:id="637"/>
    </w:p>
    <w:p>
      <w:pPr>
        <w:pStyle w:val="Style12"/>
        <w:keepNext w:val="0"/>
        <w:keepLines w:val="0"/>
        <w:widowControl w:val="0"/>
        <w:shd w:val="clear" w:color="auto" w:fill="auto"/>
        <w:bidi w:val="0"/>
        <w:spacing w:before="0" w:after="240" w:line="270" w:lineRule="exact"/>
        <w:ind w:left="0" w:right="0" w:firstLine="0"/>
        <w:jc w:val="left"/>
      </w:pPr>
      <w:r>
        <w:rPr>
          <w:color w:val="000000"/>
          <w:spacing w:val="0"/>
          <w:w w:val="100"/>
          <w:position w:val="0"/>
        </w:rPr>
        <w:t>在建工程项目按建造该项资产达到预定可使用状态前所发生的全部支出，作为固定资产的入账价 值。所建造的固定资产在建工程已达到预定可使用状态，但尚未办理竣工决算的，自达到预定可使 用状态之日起，根据工程预算、造价或者工程实际成本等，按估计的价值转入固定资产，并按本公 司固定资产折旧政策计提固定资产的折旧，待办理竣工决算后，再按实际成本调整原来的暂估价值， 但不调整原已计提的折旧额。</w:t>
      </w:r>
    </w:p>
    <w:p>
      <w:pPr>
        <w:pStyle w:val="Style29"/>
        <w:keepNext/>
        <w:keepLines/>
        <w:widowControl w:val="0"/>
        <w:shd w:val="clear" w:color="auto" w:fill="auto"/>
        <w:tabs>
          <w:tab w:pos="428" w:val="left"/>
        </w:tabs>
        <w:bidi w:val="0"/>
        <w:spacing w:before="0" w:after="100" w:line="274" w:lineRule="exact"/>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w:t>
        <w:tab/>
        <w:t>在建工程的减值测试方法、减值准备计提方法</w:t>
      </w:r>
      <w:bookmarkEnd w:id="638"/>
      <w:bookmarkEnd w:id="639"/>
      <w:bookmarkEnd w:id="641"/>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公司在每期末判断在建工程是否存在可能发生减值的迹象。</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在建工程存在减值迹象的，估计其可收回金额。有迹象表明一项在建工程可能发生减值的，企业以 单项在建工程为基础估计其可收回金额。企业难以对单项在建工程的可收回金额进行估计的，以该 在建工程所属的资产组为基础确定资产组的可收回金额。</w:t>
      </w:r>
    </w:p>
    <w:p>
      <w:pPr>
        <w:pStyle w:val="Style12"/>
        <w:keepNext w:val="0"/>
        <w:keepLines w:val="0"/>
        <w:widowControl w:val="0"/>
        <w:shd w:val="clear" w:color="auto" w:fill="auto"/>
        <w:bidi w:val="0"/>
        <w:spacing w:before="0" w:line="278" w:lineRule="exact"/>
        <w:ind w:left="0" w:right="0" w:firstLine="0"/>
        <w:jc w:val="left"/>
      </w:pPr>
      <w:r>
        <w:rPr>
          <w:color w:val="000000"/>
          <w:spacing w:val="0"/>
          <w:w w:val="100"/>
          <w:position w:val="0"/>
        </w:rPr>
        <w:t>可收回金额根据在建工程的公允价值减去处置费用后的净额与在建工程预计未来现金流量的现值 两者之间较高者确定。</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当在建工程的可收回金额低于其账面价值的，将在建工程的账面价值减记至可收回金额，减记的金 额确认为在建工程减值损失，计入当期损益，同时计提相应的在建工程减值准备。</w:t>
      </w:r>
    </w:p>
    <w:p>
      <w:pPr>
        <w:pStyle w:val="Style1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在建工程的减值损失一经确认，在以后会计期间不再转回。</w:t>
      </w:r>
    </w:p>
    <w:p>
      <w:pPr>
        <w:pStyle w:val="Style12"/>
        <w:keepNext w:val="0"/>
        <w:keepLines w:val="0"/>
        <w:widowControl w:val="0"/>
        <w:shd w:val="clear" w:color="auto" w:fill="auto"/>
        <w:bidi w:val="0"/>
        <w:spacing w:before="0" w:line="274"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十六</w:t>
      </w:r>
      <w:r>
        <w:rPr>
          <w:b/>
          <w:bCs/>
          <w:color w:val="000000"/>
          <w:spacing w:val="0"/>
          <w:w w:val="100"/>
          <w:position w:val="0"/>
        </w:rPr>
        <w:t>）</w:t>
      </w:r>
      <w:r>
        <w:rPr>
          <w:b/>
          <w:bCs/>
          <w:color w:val="000000"/>
          <w:spacing w:val="0"/>
          <w:w w:val="100"/>
          <w:position w:val="0"/>
        </w:rPr>
        <w:t>借款费用</w:t>
      </w:r>
      <w:r>
        <w:rPr>
          <w:b/>
          <w:bCs/>
          <w:color w:val="000000"/>
          <w:spacing w:val="0"/>
          <w:w w:val="100"/>
          <w:position w:val="0"/>
        </w:rPr>
        <w:t>：</w:t>
      </w:r>
    </w:p>
    <w:p>
      <w:pPr>
        <w:pStyle w:val="Style88"/>
        <w:keepNext w:val="0"/>
        <w:keepLines w:val="0"/>
        <w:widowControl w:val="0"/>
        <w:shd w:val="clear" w:color="auto" w:fill="auto"/>
        <w:tabs>
          <w:tab w:pos="428" w:val="left"/>
        </w:tabs>
        <w:bidi w:val="0"/>
        <w:spacing w:before="0" w:after="100" w:line="240" w:lineRule="auto"/>
        <w:ind w:left="0" w:right="0" w:firstLine="0"/>
        <w:jc w:val="left"/>
        <w:rPr>
          <w:sz w:val="24"/>
          <w:szCs w:val="24"/>
        </w:rPr>
      </w:pPr>
      <w:bookmarkStart w:id="642" w:name="bookmark642"/>
      <w:r>
        <w:rPr>
          <w:rFonts w:ascii="Arial" w:eastAsia="Arial" w:hAnsi="Arial" w:cs="Arial"/>
          <w:b/>
          <w:bCs/>
          <w:color w:val="000000"/>
          <w:spacing w:val="0"/>
          <w:w w:val="100"/>
          <w:position w:val="0"/>
          <w:sz w:val="22"/>
          <w:szCs w:val="22"/>
        </w:rPr>
        <w:t>1</w:t>
      </w:r>
      <w:bookmarkEnd w:id="642"/>
      <w:r>
        <w:rPr>
          <w:b/>
          <w:bCs/>
          <w:color w:val="000000"/>
          <w:spacing w:val="0"/>
          <w:w w:val="100"/>
          <w:position w:val="0"/>
          <w:sz w:val="24"/>
          <w:szCs w:val="24"/>
        </w:rPr>
        <w:t>、</w:t>
        <w:tab/>
        <w:t>借款费用资本化的确认原则</w:t>
      </w:r>
    </w:p>
    <w:p>
      <w:pPr>
        <w:pStyle w:val="Style12"/>
        <w:keepNext w:val="0"/>
        <w:keepLines w:val="0"/>
        <w:widowControl w:val="0"/>
        <w:shd w:val="clear" w:color="auto" w:fill="auto"/>
        <w:bidi w:val="0"/>
        <w:spacing w:before="0" w:line="271" w:lineRule="exact"/>
        <w:ind w:left="0" w:right="0" w:firstLine="0"/>
        <w:jc w:val="left"/>
      </w:pPr>
      <w:r>
        <w:rPr>
          <w:color w:val="000000"/>
          <w:spacing w:val="0"/>
          <w:w w:val="100"/>
          <w:position w:val="0"/>
        </w:rPr>
        <w:t>借款费用，包括借款利息、折价或者溢价的摊销、辅助费用以及因外币借款而发生的汇兑差额等。 公司发生的借款费用，可直接归属于符合资本化条件的资产的购建或者生产的，予以资本化，计入 相关资产成本；其他借款费用，在发生时根据其发生额确认为费用，计入当期损益。</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符合资本化条件的资产，是指需要经过相当长时间的购建或者生产活动才能达到预定可使用或者可 销售状态的固定资产、投资性房地产和存货等资产。</w:t>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借款费用同时满足下列条件时开始资本化：</w:t>
      </w:r>
    </w:p>
    <w:p>
      <w:pPr>
        <w:pStyle w:val="Style12"/>
        <w:keepNext w:val="0"/>
        <w:keepLines w:val="0"/>
        <w:widowControl w:val="0"/>
        <w:shd w:val="clear" w:color="auto" w:fill="auto"/>
        <w:tabs>
          <w:tab w:pos="598" w:val="left"/>
        </w:tabs>
        <w:bidi w:val="0"/>
        <w:spacing w:before="0" w:after="0" w:line="274" w:lineRule="exact"/>
        <w:ind w:left="0" w:right="0" w:firstLine="0"/>
        <w:jc w:val="left"/>
      </w:pPr>
      <w:bookmarkStart w:id="643" w:name="bookmark643"/>
      <w:r>
        <w:rPr>
          <w:color w:val="000000"/>
          <w:spacing w:val="0"/>
          <w:w w:val="100"/>
          <w:position w:val="0"/>
          <w:sz w:val="24"/>
          <w:szCs w:val="24"/>
        </w:rPr>
        <w:t>（</w:t>
      </w:r>
      <w:bookmarkEnd w:id="643"/>
      <w:r>
        <w:rPr>
          <w:rFonts w:ascii="Arial" w:eastAsia="Arial" w:hAnsi="Arial" w:cs="Arial"/>
          <w:color w:val="000000"/>
          <w:spacing w:val="0"/>
          <w:w w:val="100"/>
          <w:position w:val="0"/>
        </w:rPr>
        <w:t>1</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资产支出已经发生，资产支出包括为购建或者生产符合资本化条件的资产而以支付现金、转 移非现金资产或者承担带息债务形式发生的支出；</w:t>
      </w:r>
    </w:p>
    <w:p>
      <w:pPr>
        <w:pStyle w:val="Style12"/>
        <w:keepNext w:val="0"/>
        <w:keepLines w:val="0"/>
        <w:widowControl w:val="0"/>
        <w:shd w:val="clear" w:color="auto" w:fill="auto"/>
        <w:tabs>
          <w:tab w:pos="488" w:val="left"/>
        </w:tabs>
        <w:bidi w:val="0"/>
        <w:spacing w:before="0" w:after="0" w:line="274" w:lineRule="exact"/>
        <w:ind w:left="0" w:right="0" w:firstLine="0"/>
        <w:jc w:val="left"/>
      </w:pPr>
      <w:bookmarkStart w:id="644" w:name="bookmark644"/>
      <w:r>
        <w:rPr>
          <w:color w:val="000000"/>
          <w:spacing w:val="0"/>
          <w:w w:val="100"/>
          <w:position w:val="0"/>
          <w:sz w:val="24"/>
          <w:szCs w:val="24"/>
        </w:rPr>
        <w:t>（</w:t>
      </w:r>
      <w:bookmarkEnd w:id="644"/>
      <w:r>
        <w:rPr>
          <w:rFonts w:ascii="Arial" w:eastAsia="Arial" w:hAnsi="Arial" w:cs="Arial"/>
          <w:color w:val="000000"/>
          <w:spacing w:val="0"/>
          <w:w w:val="100"/>
          <w:position w:val="0"/>
        </w:rPr>
        <w:t>2</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借款费用已经发生；</w:t>
      </w:r>
    </w:p>
    <w:p>
      <w:pPr>
        <w:pStyle w:val="Style12"/>
        <w:keepNext w:val="0"/>
        <w:keepLines w:val="0"/>
        <w:widowControl w:val="0"/>
        <w:shd w:val="clear" w:color="auto" w:fill="auto"/>
        <w:tabs>
          <w:tab w:pos="488" w:val="left"/>
        </w:tabs>
        <w:bidi w:val="0"/>
        <w:spacing w:before="0" w:after="240" w:line="274" w:lineRule="exact"/>
        <w:ind w:left="0" w:right="0" w:firstLine="0"/>
        <w:jc w:val="left"/>
      </w:pPr>
      <w:bookmarkStart w:id="645" w:name="bookmark645"/>
      <w:r>
        <w:rPr>
          <w:color w:val="000000"/>
          <w:spacing w:val="0"/>
          <w:w w:val="100"/>
          <w:position w:val="0"/>
        </w:rPr>
        <w:t>（</w:t>
      </w:r>
      <w:bookmarkEnd w:id="645"/>
      <w:r>
        <w:rPr>
          <w:rFonts w:ascii="Arial" w:eastAsia="Arial" w:hAnsi="Arial" w:cs="Arial"/>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12"/>
        <w:keepNext w:val="0"/>
        <w:keepLines w:val="0"/>
        <w:widowControl w:val="0"/>
        <w:shd w:val="clear" w:color="auto" w:fill="auto"/>
        <w:tabs>
          <w:tab w:pos="428" w:val="left"/>
        </w:tabs>
        <w:bidi w:val="0"/>
        <w:spacing w:before="0" w:line="274" w:lineRule="exact"/>
        <w:ind w:left="0" w:right="0" w:firstLine="0"/>
        <w:jc w:val="left"/>
      </w:pPr>
      <w:bookmarkStart w:id="646" w:name="bookmark646"/>
      <w:r>
        <w:rPr>
          <w:rFonts w:ascii="Times New Roman" w:eastAsia="Times New Roman" w:hAnsi="Times New Roman" w:cs="Times New Roman"/>
          <w:b/>
          <w:bCs/>
          <w:color w:val="000000"/>
          <w:spacing w:val="0"/>
          <w:w w:val="100"/>
          <w:position w:val="0"/>
        </w:rPr>
        <w:t>2</w:t>
      </w:r>
      <w:bookmarkEnd w:id="646"/>
      <w:r>
        <w:rPr>
          <w:b/>
          <w:bCs/>
          <w:color w:val="000000"/>
          <w:spacing w:val="0"/>
          <w:w w:val="100"/>
          <w:position w:val="0"/>
        </w:rPr>
        <w:t>、</w:t>
        <w:tab/>
        <w:t xml:space="preserve">借款费用资本化期间 </w:t>
      </w:r>
      <w:r>
        <w:rPr>
          <w:color w:val="000000"/>
          <w:spacing w:val="0"/>
          <w:w w:val="100"/>
          <w:position w:val="0"/>
        </w:rPr>
        <w:t>资本化期间，指从借款费用开始资本化时点到停止资本化时点的期间，借款费用暂停资本化的期间 不包括在内。</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当购建或者生产符合资本化条件的资产中部分项目分别完工且可单独使用时，该部分资产借款费用 停止资本化。</w:t>
      </w:r>
    </w:p>
    <w:p>
      <w:pPr>
        <w:pStyle w:val="Style1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购建或者生产的资产的各部分分别完工，但必须等到整体完工后才可使用或可对外销售的，在该资 产整体完工时停止借款费用资本化。</w:t>
      </w:r>
    </w:p>
    <w:p>
      <w:pPr>
        <w:pStyle w:val="Style29"/>
        <w:keepNext/>
        <w:keepLines/>
        <w:widowControl w:val="0"/>
        <w:shd w:val="clear" w:color="auto" w:fill="auto"/>
        <w:tabs>
          <w:tab w:pos="408" w:val="left"/>
        </w:tabs>
        <w:bidi w:val="0"/>
        <w:spacing w:before="0" w:after="100" w:line="274" w:lineRule="exact"/>
        <w:ind w:left="0" w:right="0" w:firstLine="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3</w:t>
      </w:r>
      <w:bookmarkEnd w:id="649"/>
      <w:r>
        <w:rPr>
          <w:color w:val="000000"/>
          <w:spacing w:val="0"/>
          <w:w w:val="100"/>
          <w:position w:val="0"/>
        </w:rPr>
        <w:t>、</w:t>
        <w:tab/>
        <w:t>暂停资本化期间</w:t>
      </w:r>
      <w:bookmarkEnd w:id="647"/>
      <w:bookmarkEnd w:id="648"/>
      <w:bookmarkEnd w:id="650"/>
    </w:p>
    <w:p>
      <w:pPr>
        <w:pStyle w:val="Style1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符合资本化条件的资产在购建或生产过程中发生的非正常中断、且中断时间连续超过</w:t>
      </w:r>
      <w:r>
        <w:rPr>
          <w:rFonts w:ascii="Arial" w:eastAsia="Arial" w:hAnsi="Arial" w:cs="Arial"/>
          <w:color w:val="000000"/>
          <w:spacing w:val="0"/>
          <w:w w:val="100"/>
          <w:position w:val="0"/>
        </w:rPr>
        <w:t>3</w:t>
      </w:r>
      <w:r>
        <w:rPr>
          <w:color w:val="000000"/>
          <w:spacing w:val="0"/>
          <w:w w:val="100"/>
          <w:position w:val="0"/>
        </w:rPr>
        <w:t>个月的，则 借款费用暂停资本化；该项中断如是所购建或生产的符合资本化条件的资产达到预定可使用状态或 者可销售状态必要的程序，则借款费用继续资本化。在中断期间发生的借款费用确认为当期损益， 直至资产的购建或者生产活动重新开始后借款费用继续资本化。</w:t>
      </w:r>
    </w:p>
    <w:p>
      <w:pPr>
        <w:pStyle w:val="Style29"/>
        <w:keepNext/>
        <w:keepLines/>
        <w:widowControl w:val="0"/>
        <w:shd w:val="clear" w:color="auto" w:fill="auto"/>
        <w:tabs>
          <w:tab w:pos="408" w:val="left"/>
        </w:tabs>
        <w:bidi w:val="0"/>
        <w:spacing w:before="0" w:after="100" w:line="274" w:lineRule="exact"/>
        <w:ind w:left="0" w:right="0" w:firstLine="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4</w:t>
      </w:r>
      <w:bookmarkEnd w:id="653"/>
      <w:r>
        <w:rPr>
          <w:color w:val="000000"/>
          <w:spacing w:val="0"/>
          <w:w w:val="100"/>
          <w:position w:val="0"/>
        </w:rPr>
        <w:t>、</w:t>
        <w:tab/>
        <w:t>借款费用资本化金额的计算方法</w:t>
      </w:r>
      <w:bookmarkEnd w:id="651"/>
      <w:bookmarkEnd w:id="652"/>
      <w:bookmarkEnd w:id="654"/>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 额，来确定借款费用的资本化金额。</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对于为购建或者生产符合资本化条件的资产而占用的一般借款，根据累计资产支出超过专门借款部 分的资产支出加权平均数乘以所占用一般借款的资本化率，计算确定一般借款应予资本化的利息金 额。资本化率根据一般借款加权平均利率计算确定。</w:t>
      </w:r>
    </w:p>
    <w:p>
      <w:pPr>
        <w:pStyle w:val="Style1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借款存在折价或者溢价的，按照实际利率法确定每一会计期间应摊销的折价或者溢价金额，调整每 期利息金额。</w:t>
      </w:r>
    </w:p>
    <w:p>
      <w:pPr>
        <w:pStyle w:val="Style1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十七</w:t>
      </w:r>
      <w:r>
        <w:rPr>
          <w:b/>
          <w:bCs/>
          <w:color w:val="000000"/>
          <w:spacing w:val="0"/>
          <w:w w:val="100"/>
          <w:position w:val="0"/>
        </w:rPr>
        <w:t>）</w:t>
      </w:r>
      <w:r>
        <w:rPr>
          <w:b/>
          <w:bCs/>
          <w:color w:val="000000"/>
          <w:spacing w:val="0"/>
          <w:w w:val="100"/>
          <w:position w:val="0"/>
        </w:rPr>
        <w:t>无形资产：</w:t>
      </w:r>
    </w:p>
    <w:p>
      <w:pPr>
        <w:pStyle w:val="Style12"/>
        <w:keepNext w:val="0"/>
        <w:keepLines w:val="0"/>
        <w:widowControl w:val="0"/>
        <w:shd w:val="clear" w:color="auto" w:fill="auto"/>
        <w:bidi w:val="0"/>
        <w:spacing w:before="0" w:after="0" w:line="274" w:lineRule="exact"/>
        <w:ind w:left="0" w:right="0" w:firstLine="0"/>
        <w:jc w:val="both"/>
      </w:pPr>
      <w:bookmarkStart w:id="655" w:name="bookmark655"/>
      <w:r>
        <w:rPr>
          <w:rFonts w:ascii="Times New Roman" w:eastAsia="Times New Roman" w:hAnsi="Times New Roman" w:cs="Times New Roman"/>
          <w:b/>
          <w:bCs/>
          <w:color w:val="000000"/>
          <w:spacing w:val="0"/>
          <w:w w:val="100"/>
          <w:position w:val="0"/>
        </w:rPr>
        <w:t>1</w:t>
      </w:r>
      <w:bookmarkEnd w:id="655"/>
      <w:r>
        <w:rPr>
          <w:b/>
          <w:bCs/>
          <w:color w:val="000000"/>
          <w:spacing w:val="0"/>
          <w:w w:val="100"/>
          <w:position w:val="0"/>
        </w:rPr>
        <w:t>、无形资产的计价方法</w:t>
      </w:r>
    </w:p>
    <w:p>
      <w:pPr>
        <w:pStyle w:val="Style12"/>
        <w:keepNext w:val="0"/>
        <w:keepLines w:val="0"/>
        <w:widowControl w:val="0"/>
        <w:shd w:val="clear" w:color="auto" w:fill="auto"/>
        <w:tabs>
          <w:tab w:pos="479" w:val="left"/>
        </w:tabs>
        <w:bidi w:val="0"/>
        <w:spacing w:before="0" w:line="274" w:lineRule="exact"/>
        <w:ind w:left="0" w:right="0" w:firstLine="0"/>
        <w:jc w:val="both"/>
      </w:pPr>
      <w:bookmarkStart w:id="656" w:name="bookmark656"/>
      <w:r>
        <w:rPr>
          <w:b/>
          <w:bCs/>
          <w:color w:val="000000"/>
          <w:spacing w:val="0"/>
          <w:w w:val="100"/>
          <w:position w:val="0"/>
        </w:rPr>
        <w:t>（</w:t>
      </w:r>
      <w:bookmarkEnd w:id="65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公司取得无形资产时按成本进行初始计量；</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外购无形资产的成本，包括购买价款、相关税费以及直接归属于使该项资产达到预定用途所发生的 其他支出。购买无形资产的价款超过正常信用条件延期支付，实质上具有融资性质的，无形资产的 成本以购买价款的现值为基础确定。</w:t>
      </w:r>
    </w:p>
    <w:p>
      <w:pPr>
        <w:pStyle w:val="Style12"/>
        <w:keepNext w:val="0"/>
        <w:keepLines w:val="0"/>
        <w:widowControl w:val="0"/>
        <w:shd w:val="clear" w:color="auto" w:fill="auto"/>
        <w:bidi w:val="0"/>
        <w:spacing w:before="0" w:line="264" w:lineRule="exact"/>
        <w:ind w:left="0" w:right="0" w:firstLine="0"/>
        <w:jc w:val="both"/>
      </w:pPr>
      <w:r>
        <w:rPr>
          <w:color w:val="000000"/>
          <w:spacing w:val="0"/>
          <w:w w:val="100"/>
          <w:position w:val="0"/>
        </w:rPr>
        <w:t>债务重组取得债务人用以抵债的无形资产，以该无形资产的公允价值为基础确定其入账价值，并将 重组债务的账面价值与该用以抵债的无形资产公允价值之间的差额，计入当期损益；</w:t>
      </w:r>
    </w:p>
    <w:p>
      <w:pPr>
        <w:pStyle w:val="Style12"/>
        <w:keepNext w:val="0"/>
        <w:keepLines w:val="0"/>
        <w:widowControl w:val="0"/>
        <w:shd w:val="clear" w:color="auto" w:fill="auto"/>
        <w:bidi w:val="0"/>
        <w:spacing w:before="0" w:line="272" w:lineRule="exact"/>
        <w:ind w:left="0" w:right="0" w:firstLine="0"/>
        <w:jc w:val="both"/>
      </w:pPr>
      <w:r>
        <w:rPr>
          <w:color w:val="000000"/>
          <w:spacing w:val="0"/>
          <w:w w:val="100"/>
          <w:position w:val="0"/>
        </w:rPr>
        <w:t>在非货币性资产交换具备商业实质且换入资产或换出资产的公允价值能够可靠计量的前提下，非货 币性资产交换换入的无形资产以换出资产的公允价值为基础确定其入账价值，除非有确凿证据表明 换入资产的公允价值更加可靠；不满足上述前提的非货币性资产交换，以换出资产的账面价值和应 支付的相关税费作为换入无形资产的成本，不确认损益。</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以同一控制下的企业吸收合并方式取得的无形资产按被合并方的账面价值确定其入账价值；以非同 一控制下的企业吸收合并方式取得的无形资产按公允价值确定其入账价值。</w:t>
      </w:r>
    </w:p>
    <w:p>
      <w:pPr>
        <w:pStyle w:val="Style12"/>
        <w:keepNext w:val="0"/>
        <w:keepLines w:val="0"/>
        <w:widowControl w:val="0"/>
        <w:shd w:val="clear" w:color="auto" w:fill="auto"/>
        <w:bidi w:val="0"/>
        <w:spacing w:before="0" w:after="0" w:line="271" w:lineRule="exact"/>
        <w:ind w:left="0" w:right="0" w:firstLine="0"/>
        <w:jc w:val="both"/>
      </w:pPr>
      <w:r>
        <w:rPr>
          <w:color w:val="000000"/>
          <w:spacing w:val="0"/>
          <w:w w:val="100"/>
          <w:position w:val="0"/>
        </w:rPr>
        <w:t>内部自行开发的无形资产，其成本包括：开发该无形资产时耗用的材料、劳务成本、注册费、在开 发过程中使用的其他专利权和特许权的摊销以及满足资本化条件的利息费用，以及为使该无形资产 达到预定用途前所发生的其他直接费用。</w:t>
      </w:r>
    </w:p>
    <w:p>
      <w:pPr>
        <w:pStyle w:val="Style12"/>
        <w:keepNext w:val="0"/>
        <w:keepLines w:val="0"/>
        <w:widowControl w:val="0"/>
        <w:shd w:val="clear" w:color="auto" w:fill="auto"/>
        <w:tabs>
          <w:tab w:pos="479" w:val="left"/>
        </w:tabs>
        <w:bidi w:val="0"/>
        <w:spacing w:before="0" w:line="271" w:lineRule="exact"/>
        <w:ind w:left="0" w:right="0" w:firstLine="0"/>
        <w:jc w:val="both"/>
      </w:pPr>
      <w:bookmarkStart w:id="657" w:name="bookmark657"/>
      <w:r>
        <w:rPr>
          <w:b/>
          <w:bCs/>
          <w:color w:val="000000"/>
          <w:spacing w:val="0"/>
          <w:w w:val="100"/>
          <w:position w:val="0"/>
        </w:rPr>
        <w:t>（</w:t>
      </w:r>
      <w:bookmarkEnd w:id="65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后续计量</w:t>
      </w:r>
    </w:p>
    <w:p>
      <w:pPr>
        <w:pStyle w:val="Style12"/>
        <w:keepNext w:val="0"/>
        <w:keepLines w:val="0"/>
        <w:widowControl w:val="0"/>
        <w:shd w:val="clear" w:color="auto" w:fill="auto"/>
        <w:bidi w:val="0"/>
        <w:spacing w:before="0" w:line="269" w:lineRule="exact"/>
        <w:ind w:left="0" w:right="0" w:firstLine="0"/>
        <w:jc w:val="both"/>
      </w:pPr>
      <w:r>
        <w:rPr>
          <w:color w:val="000000"/>
          <w:spacing w:val="0"/>
          <w:w w:val="100"/>
          <w:position w:val="0"/>
        </w:rPr>
        <w:t>在取得无形资产时分析判断其使用寿命。</w:t>
      </w:r>
    </w:p>
    <w:p>
      <w:pPr>
        <w:pStyle w:val="Style12"/>
        <w:keepNext w:val="0"/>
        <w:keepLines w:val="0"/>
        <w:widowControl w:val="0"/>
        <w:shd w:val="clear" w:color="auto" w:fill="auto"/>
        <w:bidi w:val="0"/>
        <w:spacing w:before="0" w:after="280" w:line="269" w:lineRule="exact"/>
        <w:ind w:left="0" w:right="0" w:firstLine="0"/>
        <w:jc w:val="both"/>
      </w:pPr>
      <w:r>
        <w:rPr>
          <w:color w:val="000000"/>
          <w:spacing w:val="0"/>
          <w:w w:val="100"/>
          <w:position w:val="0"/>
        </w:rPr>
        <w:t>对于使用寿命有限的无形资产，在为企业带来经济利益的期限内按直线法摊销；无法预见无形资产 为企业带来经济利益期限的，视为使用寿命不确定的无形资产，不予摊销。</w:t>
      </w:r>
    </w:p>
    <w:p>
      <w:pPr>
        <w:pStyle w:val="Style23"/>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p>
    <w:tbl>
      <w:tblPr>
        <w:tblOverlap w:val="never"/>
        <w:jc w:val="center"/>
        <w:tblLayout w:type="fixed"/>
      </w:tblPr>
      <w:tblGrid>
        <w:gridCol w:w="3077"/>
        <w:gridCol w:w="2870"/>
        <w:gridCol w:w="2563"/>
      </w:tblGrid>
      <w:tr>
        <w:trPr>
          <w:trHeight w:val="307"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注：公司的土地使用权按取得的土地使用权证规定的剩余使用年限认定其使用寿命。</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每期末，对使用寿命有限的无形资产的使用寿命及摊销方法进行复核。</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经复核，本年期末无形资产的使用寿命及摊销方法与以前估计未有不同。</w:t>
      </w:r>
    </w:p>
    <w:p>
      <w:pPr>
        <w:pStyle w:val="Style29"/>
        <w:keepNext/>
        <w:keepLines/>
        <w:widowControl w:val="0"/>
        <w:shd w:val="clear" w:color="auto" w:fill="auto"/>
        <w:tabs>
          <w:tab w:pos="418" w:val="left"/>
        </w:tabs>
        <w:bidi w:val="0"/>
        <w:spacing w:before="0" w:after="100" w:line="278" w:lineRule="exact"/>
        <w:ind w:left="0" w:right="0" w:firstLine="0"/>
        <w:jc w:val="both"/>
      </w:pPr>
      <w:bookmarkStart w:id="658" w:name="bookmark658"/>
      <w:bookmarkStart w:id="659" w:name="bookmark659"/>
      <w:bookmarkStart w:id="660" w:name="bookmark660"/>
      <w:bookmarkStart w:id="661" w:name="bookmark661"/>
      <w:r>
        <w:rPr>
          <w:color w:val="000000"/>
          <w:spacing w:val="0"/>
          <w:w w:val="100"/>
          <w:position w:val="0"/>
        </w:rPr>
        <w:t>3</w:t>
      </w:r>
      <w:bookmarkEnd w:id="660"/>
      <w:r>
        <w:rPr>
          <w:color w:val="000000"/>
          <w:spacing w:val="0"/>
          <w:w w:val="100"/>
          <w:position w:val="0"/>
        </w:rPr>
        <w:t>、</w:t>
        <w:tab/>
        <w:t>使用寿命不确定的无形资产的判断依据：</w:t>
      </w:r>
      <w:bookmarkEnd w:id="658"/>
      <w:bookmarkEnd w:id="659"/>
      <w:bookmarkEnd w:id="661"/>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截至资产负债表日，本公司没有使用寿命不确定的无形资产。</w:t>
      </w:r>
    </w:p>
    <w:p>
      <w:pPr>
        <w:pStyle w:val="Style29"/>
        <w:keepNext/>
        <w:keepLines/>
        <w:widowControl w:val="0"/>
        <w:shd w:val="clear" w:color="auto" w:fill="auto"/>
        <w:tabs>
          <w:tab w:pos="418" w:val="left"/>
        </w:tabs>
        <w:bidi w:val="0"/>
        <w:spacing w:before="0" w:after="100" w:line="278" w:lineRule="exact"/>
        <w:ind w:left="0" w:right="0" w:firstLine="0"/>
        <w:jc w:val="both"/>
      </w:pPr>
      <w:bookmarkStart w:id="662" w:name="bookmark662"/>
      <w:bookmarkStart w:id="663" w:name="bookmark663"/>
      <w:bookmarkStart w:id="664" w:name="bookmark664"/>
      <w:bookmarkStart w:id="665" w:name="bookmark665"/>
      <w:r>
        <w:rPr>
          <w:color w:val="000000"/>
          <w:spacing w:val="0"/>
          <w:w w:val="100"/>
          <w:position w:val="0"/>
        </w:rPr>
        <w:t>4</w:t>
      </w:r>
      <w:bookmarkEnd w:id="664"/>
      <w:r>
        <w:rPr>
          <w:color w:val="000000"/>
          <w:spacing w:val="0"/>
          <w:w w:val="100"/>
          <w:position w:val="0"/>
        </w:rPr>
        <w:t>、</w:t>
        <w:tab/>
        <w:t>无形资产减值准备的计提</w:t>
      </w:r>
      <w:bookmarkEnd w:id="662"/>
      <w:bookmarkEnd w:id="663"/>
      <w:bookmarkEnd w:id="665"/>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对于使用寿命确定的无形资产，如有明显减值迹象的，期末进行减值测试。</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对于使用寿命不确定的无形资产，每期末进行减值测试。</w:t>
      </w:r>
    </w:p>
    <w:p>
      <w:pPr>
        <w:pStyle w:val="Style12"/>
        <w:keepNext w:val="0"/>
        <w:keepLines w:val="0"/>
        <w:widowControl w:val="0"/>
        <w:shd w:val="clear" w:color="auto" w:fill="auto"/>
        <w:bidi w:val="0"/>
        <w:spacing w:before="0" w:line="271" w:lineRule="exact"/>
        <w:ind w:left="0" w:right="0" w:firstLine="0"/>
        <w:jc w:val="both"/>
      </w:pPr>
      <w:r>
        <w:rPr>
          <w:color w:val="000000"/>
          <w:spacing w:val="0"/>
          <w:w w:val="100"/>
          <w:position w:val="0"/>
        </w:rPr>
        <w:t>对无形资产进行减值测试，估计其可收回金额。有迹象表明一项无形资产可能发生减值的，公司以 单项无形资产为基础估计其可收回金额。公司难以对单项资产的可收回金额进行估计的，以该无形 资产所属的资产组为基础确定无形资产组的可收回金额。</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可收回金额根据无形资产的公允价值减去处置费用后的净额与无形资产预计未来现金流量的现值 两者之间较高者确定。</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当无形资产的可收回金额低于其账面价值的，将无形资产的账面价值减记至可收回金额，减记的金 额确认为无形资产减值损失，计入当期损益，同时计提相应的无形资产减值准备。</w:t>
      </w:r>
    </w:p>
    <w:p>
      <w:pPr>
        <w:pStyle w:val="Style12"/>
        <w:keepNext w:val="0"/>
        <w:keepLines w:val="0"/>
        <w:widowControl w:val="0"/>
        <w:shd w:val="clear" w:color="auto" w:fill="auto"/>
        <w:bidi w:val="0"/>
        <w:spacing w:before="0" w:line="269" w:lineRule="exact"/>
        <w:ind w:left="0" w:right="0" w:firstLine="0"/>
        <w:jc w:val="both"/>
      </w:pPr>
      <w:r>
        <w:rPr>
          <w:color w:val="000000"/>
          <w:spacing w:val="0"/>
          <w:w w:val="100"/>
          <w:position w:val="0"/>
        </w:rPr>
        <w:t>无形资产减值损失确认后，减值无形资产的折耗或者摊销费用在未来期间作相应调整，以使该无形 资产在剩余使用寿命内，系统地分摊调整后的无形资产账面价值（扣除预计净残值）。</w:t>
      </w:r>
    </w:p>
    <w:p>
      <w:pPr>
        <w:pStyle w:val="Style12"/>
        <w:keepNext w:val="0"/>
        <w:keepLines w:val="0"/>
        <w:widowControl w:val="0"/>
        <w:shd w:val="clear" w:color="auto" w:fill="auto"/>
        <w:bidi w:val="0"/>
        <w:spacing w:before="0" w:after="360" w:line="278" w:lineRule="exact"/>
        <w:ind w:left="0" w:right="0" w:firstLine="0"/>
        <w:jc w:val="both"/>
      </w:pPr>
      <w:r>
        <w:rPr>
          <w:color w:val="000000"/>
          <w:spacing w:val="0"/>
          <w:w w:val="100"/>
          <w:position w:val="0"/>
        </w:rPr>
        <w:t>无形资产的减值损失一经确认，在以后会计期间不再转回。</w:t>
      </w:r>
    </w:p>
    <w:p>
      <w:pPr>
        <w:pStyle w:val="Style29"/>
        <w:keepNext/>
        <w:keepLines/>
        <w:widowControl w:val="0"/>
        <w:shd w:val="clear" w:color="auto" w:fill="auto"/>
        <w:tabs>
          <w:tab w:pos="418" w:val="left"/>
        </w:tabs>
        <w:bidi w:val="0"/>
        <w:spacing w:before="0" w:after="100" w:line="278" w:lineRule="exact"/>
        <w:ind w:left="0" w:right="0" w:firstLine="0"/>
        <w:jc w:val="both"/>
      </w:pPr>
      <w:bookmarkStart w:id="666" w:name="bookmark666"/>
      <w:bookmarkStart w:id="667" w:name="bookmark667"/>
      <w:bookmarkStart w:id="668" w:name="bookmark668"/>
      <w:bookmarkStart w:id="669" w:name="bookmark669"/>
      <w:r>
        <w:rPr>
          <w:color w:val="000000"/>
          <w:spacing w:val="0"/>
          <w:w w:val="100"/>
          <w:position w:val="0"/>
        </w:rPr>
        <w:t>5</w:t>
      </w:r>
      <w:bookmarkEnd w:id="668"/>
      <w:r>
        <w:rPr>
          <w:color w:val="000000"/>
          <w:spacing w:val="0"/>
          <w:w w:val="100"/>
          <w:position w:val="0"/>
        </w:rPr>
        <w:t>、</w:t>
        <w:tab/>
        <w:t>划分公司内部研究开发项目的研究阶段和开发阶段具体标准</w:t>
      </w:r>
      <w:bookmarkEnd w:id="666"/>
      <w:bookmarkEnd w:id="667"/>
      <w:bookmarkEnd w:id="669"/>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公司内部研究开发项目的支出分为研究阶段支出和开发阶段支出。</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12"/>
        <w:keepNext w:val="0"/>
        <w:keepLines w:val="0"/>
        <w:widowControl w:val="0"/>
        <w:shd w:val="clear" w:color="auto" w:fill="auto"/>
        <w:bidi w:val="0"/>
        <w:spacing w:before="0" w:after="360" w:line="283" w:lineRule="exact"/>
        <w:ind w:left="0" w:right="0" w:firstLine="0"/>
        <w:jc w:val="both"/>
      </w:pPr>
      <w:r>
        <w:rPr>
          <w:color w:val="000000"/>
          <w:spacing w:val="0"/>
          <w:w w:val="100"/>
          <w:position w:val="0"/>
        </w:rPr>
        <w:t>开发阶段：在进行商业性生产或使用前，将研究成果或其他知识应用于某项计划或设计，以生产出 新的或具有实质性改进的材料、装置、产品等活动的阶段。</w:t>
      </w:r>
    </w:p>
    <w:p>
      <w:pPr>
        <w:pStyle w:val="Style29"/>
        <w:keepNext/>
        <w:keepLines/>
        <w:widowControl w:val="0"/>
        <w:shd w:val="clear" w:color="auto" w:fill="auto"/>
        <w:tabs>
          <w:tab w:pos="418" w:val="left"/>
        </w:tabs>
        <w:bidi w:val="0"/>
        <w:spacing w:before="0" w:after="100" w:line="278" w:lineRule="exact"/>
        <w:ind w:left="0" w:right="0" w:firstLine="0"/>
        <w:jc w:val="both"/>
      </w:pPr>
      <w:bookmarkStart w:id="670" w:name="bookmark670"/>
      <w:bookmarkStart w:id="671" w:name="bookmark671"/>
      <w:bookmarkStart w:id="672" w:name="bookmark672"/>
      <w:bookmarkStart w:id="673" w:name="bookmark673"/>
      <w:r>
        <w:rPr>
          <w:color w:val="000000"/>
          <w:spacing w:val="0"/>
          <w:w w:val="100"/>
          <w:position w:val="0"/>
        </w:rPr>
        <w:t>6</w:t>
      </w:r>
      <w:bookmarkEnd w:id="672"/>
      <w:r>
        <w:rPr>
          <w:color w:val="000000"/>
          <w:spacing w:val="0"/>
          <w:w w:val="100"/>
          <w:position w:val="0"/>
        </w:rPr>
        <w:t>、</w:t>
        <w:tab/>
        <w:t>开发阶段支出符合资本化的具体标准</w:t>
      </w:r>
      <w:bookmarkEnd w:id="670"/>
      <w:bookmarkEnd w:id="671"/>
      <w:bookmarkEnd w:id="673"/>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内部研究开发项目开发阶段的支出，同时满足下列条件时确认为无形资产：</w:t>
      </w:r>
    </w:p>
    <w:p>
      <w:pPr>
        <w:pStyle w:val="Style12"/>
        <w:keepNext w:val="0"/>
        <w:keepLines w:val="0"/>
        <w:widowControl w:val="0"/>
        <w:shd w:val="clear" w:color="auto" w:fill="auto"/>
        <w:tabs>
          <w:tab w:pos="488" w:val="left"/>
        </w:tabs>
        <w:bidi w:val="0"/>
        <w:spacing w:before="0" w:after="0" w:line="278" w:lineRule="exact"/>
        <w:ind w:left="0" w:right="0" w:firstLine="0"/>
        <w:jc w:val="both"/>
      </w:pPr>
      <w:bookmarkStart w:id="674" w:name="bookmark674"/>
      <w:r>
        <w:rPr>
          <w:color w:val="000000"/>
          <w:spacing w:val="0"/>
          <w:w w:val="100"/>
          <w:position w:val="0"/>
          <w:sz w:val="24"/>
          <w:szCs w:val="24"/>
        </w:rPr>
        <w:t>（</w:t>
      </w:r>
      <w:bookmarkEnd w:id="674"/>
      <w:r>
        <w:rPr>
          <w:rFonts w:ascii="Arial" w:eastAsia="Arial" w:hAnsi="Arial" w:cs="Arial"/>
          <w:color w:val="000000"/>
          <w:spacing w:val="0"/>
          <w:w w:val="100"/>
          <w:position w:val="0"/>
        </w:rPr>
        <w:t>1</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完成该无形资产以使其能够使用或出售在技术上具有可行性；</w:t>
      </w:r>
    </w:p>
    <w:p>
      <w:pPr>
        <w:pStyle w:val="Style12"/>
        <w:keepNext w:val="0"/>
        <w:keepLines w:val="0"/>
        <w:widowControl w:val="0"/>
        <w:shd w:val="clear" w:color="auto" w:fill="auto"/>
        <w:tabs>
          <w:tab w:pos="488" w:val="left"/>
        </w:tabs>
        <w:bidi w:val="0"/>
        <w:spacing w:before="0" w:after="0" w:line="240" w:lineRule="auto"/>
        <w:ind w:left="0" w:right="0" w:firstLine="0"/>
        <w:jc w:val="both"/>
      </w:pPr>
      <w:bookmarkStart w:id="675" w:name="bookmark675"/>
      <w:r>
        <w:rPr>
          <w:color w:val="000000"/>
          <w:spacing w:val="0"/>
          <w:w w:val="100"/>
          <w:position w:val="0"/>
          <w:sz w:val="24"/>
          <w:szCs w:val="24"/>
        </w:rPr>
        <w:t>（</w:t>
      </w:r>
      <w:bookmarkEnd w:id="675"/>
      <w:r>
        <w:rPr>
          <w:rFonts w:ascii="Arial" w:eastAsia="Arial" w:hAnsi="Arial" w:cs="Arial"/>
          <w:color w:val="000000"/>
          <w:spacing w:val="0"/>
          <w:w w:val="100"/>
          <w:position w:val="0"/>
        </w:rPr>
        <w:t>2</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具有完成该无形资产并使用或出售的意图；</w:t>
      </w:r>
    </w:p>
    <w:p>
      <w:pPr>
        <w:pStyle w:val="Style12"/>
        <w:keepNext w:val="0"/>
        <w:keepLines w:val="0"/>
        <w:widowControl w:val="0"/>
        <w:shd w:val="clear" w:color="auto" w:fill="auto"/>
        <w:tabs>
          <w:tab w:pos="488" w:val="left"/>
        </w:tabs>
        <w:bidi w:val="0"/>
        <w:spacing w:before="0" w:after="0" w:line="240" w:lineRule="auto"/>
        <w:ind w:left="0" w:right="0" w:firstLine="0"/>
        <w:jc w:val="both"/>
      </w:pPr>
      <w:bookmarkStart w:id="676" w:name="bookmark676"/>
      <w:r>
        <w:rPr>
          <w:color w:val="000000"/>
          <w:spacing w:val="0"/>
          <w:w w:val="100"/>
          <w:position w:val="0"/>
          <w:sz w:val="24"/>
          <w:szCs w:val="24"/>
        </w:rPr>
        <w:t>（</w:t>
      </w:r>
      <w:bookmarkEnd w:id="676"/>
      <w:r>
        <w:rPr>
          <w:rFonts w:ascii="Arial" w:eastAsia="Arial" w:hAnsi="Arial" w:cs="Arial"/>
          <w:color w:val="000000"/>
          <w:spacing w:val="0"/>
          <w:w w:val="100"/>
          <w:position w:val="0"/>
        </w:rPr>
        <w:t>3）</w:t>
        <w:tab/>
      </w:r>
      <w:r>
        <w:rPr>
          <w:color w:val="000000"/>
          <w:spacing w:val="0"/>
          <w:w w:val="100"/>
          <w:position w:val="0"/>
        </w:rPr>
        <w:t xml:space="preserve">无形资产产生经济利益的方式，包括能够证明运用该无形资产生产的产品存在市场或无形资 </w:t>
      </w:r>
      <w:r>
        <w:rPr>
          <w:color w:val="000000"/>
          <w:spacing w:val="0"/>
          <w:w w:val="100"/>
          <w:position w:val="0"/>
        </w:rPr>
        <w:t>产自身存在市场，无形资产将在内部使用的，能够证明其有用性；</w:t>
      </w:r>
    </w:p>
    <w:p>
      <w:pPr>
        <w:pStyle w:val="Style12"/>
        <w:keepNext w:val="0"/>
        <w:keepLines w:val="0"/>
        <w:widowControl w:val="0"/>
        <w:shd w:val="clear" w:color="auto" w:fill="auto"/>
        <w:tabs>
          <w:tab w:pos="594" w:val="left"/>
        </w:tabs>
        <w:bidi w:val="0"/>
        <w:spacing w:before="0" w:after="0" w:line="298" w:lineRule="exact"/>
        <w:ind w:left="0" w:right="0" w:firstLine="0"/>
        <w:jc w:val="left"/>
      </w:pPr>
      <w:bookmarkStart w:id="677" w:name="bookmark677"/>
      <w:r>
        <w:rPr>
          <w:rFonts w:ascii="Arial" w:eastAsia="Arial" w:hAnsi="Arial" w:cs="Arial"/>
          <w:color w:val="000000"/>
          <w:spacing w:val="0"/>
          <w:w w:val="100"/>
          <w:position w:val="0"/>
        </w:rPr>
        <w:t>（</w:t>
      </w:r>
      <w:bookmarkEnd w:id="677"/>
      <w:r>
        <w:rPr>
          <w:rFonts w:ascii="Arial" w:eastAsia="Arial" w:hAnsi="Arial" w:cs="Arial"/>
          <w:color w:val="000000"/>
          <w:spacing w:val="0"/>
          <w:w w:val="100"/>
          <w:position w:val="0"/>
        </w:rPr>
        <w:t>4）</w:t>
        <w:tab/>
      </w:r>
      <w:r>
        <w:rPr>
          <w:color w:val="000000"/>
          <w:spacing w:val="0"/>
          <w:w w:val="100"/>
          <w:position w:val="0"/>
        </w:rPr>
        <w:t>有足够的技术、财务资源和其他资源支持，以完成该无形资产的开发，并有能力使用或出售 该无形资产；</w:t>
      </w:r>
    </w:p>
    <w:p>
      <w:pPr>
        <w:pStyle w:val="Style12"/>
        <w:keepNext w:val="0"/>
        <w:keepLines w:val="0"/>
        <w:widowControl w:val="0"/>
        <w:shd w:val="clear" w:color="auto" w:fill="auto"/>
        <w:tabs>
          <w:tab w:pos="488" w:val="left"/>
        </w:tabs>
        <w:bidi w:val="0"/>
        <w:spacing w:before="0" w:after="0" w:line="269" w:lineRule="exact"/>
        <w:ind w:left="0" w:right="0" w:firstLine="0"/>
        <w:jc w:val="left"/>
      </w:pPr>
      <w:bookmarkStart w:id="678" w:name="bookmark678"/>
      <w:r>
        <w:rPr>
          <w:color w:val="000000"/>
          <w:spacing w:val="0"/>
          <w:w w:val="100"/>
          <w:position w:val="0"/>
          <w:sz w:val="24"/>
          <w:szCs w:val="24"/>
        </w:rPr>
        <w:t>（</w:t>
      </w:r>
      <w:bookmarkEnd w:id="678"/>
      <w:r>
        <w:rPr>
          <w:rFonts w:ascii="Arial" w:eastAsia="Arial" w:hAnsi="Arial" w:cs="Arial"/>
          <w:color w:val="000000"/>
          <w:spacing w:val="0"/>
          <w:w w:val="100"/>
          <w:position w:val="0"/>
        </w:rPr>
        <w:t>5</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归属于该无形资产开发阶段的支出能够可靠地计量。</w:t>
      </w:r>
    </w:p>
    <w:p>
      <w:pPr>
        <w:pStyle w:val="Style1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开发阶段的支出，若不满足上列条件的，于发生时计入当期损益。研究阶段的支出，在发生时计入 当期损益。</w:t>
      </w:r>
    </w:p>
    <w:p>
      <w:pPr>
        <w:pStyle w:val="Style29"/>
        <w:keepNext/>
        <w:keepLines/>
        <w:widowControl w:val="0"/>
        <w:shd w:val="clear" w:color="auto" w:fill="auto"/>
        <w:bidi w:val="0"/>
        <w:spacing w:before="0" w:after="100" w:line="274" w:lineRule="exact"/>
        <w:ind w:left="0" w:right="0" w:firstLine="0"/>
        <w:jc w:val="left"/>
      </w:pPr>
      <w:bookmarkStart w:id="679" w:name="bookmark679"/>
      <w:bookmarkStart w:id="680" w:name="bookmark680"/>
      <w:bookmarkStart w:id="681" w:name="bookmark681"/>
      <w:r>
        <w:rPr>
          <w:b w:val="0"/>
          <w:bCs w:val="0"/>
          <w:color w:val="000000"/>
          <w:spacing w:val="0"/>
          <w:w w:val="100"/>
          <w:position w:val="0"/>
        </w:rPr>
        <w:t>（十八）</w:t>
      </w:r>
      <w:r>
        <w:rPr>
          <w:color w:val="000000"/>
          <w:spacing w:val="0"/>
          <w:w w:val="100"/>
          <w:position w:val="0"/>
        </w:rPr>
        <w:t>商誉</w:t>
      </w:r>
      <w:bookmarkEnd w:id="679"/>
      <w:bookmarkEnd w:id="680"/>
      <w:bookmarkEnd w:id="681"/>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因非同一控制下企业合并形成的商誉，其初始成本是合并成本大于合并中取得的被购买方可辨认净 资产公允价值份额的差额。</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商誉在其相关资产组或资产组组合处置时予以转出，计入当期损益。</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本公司对商誉不摊销，商誉至少在每年年度终了进行减值测试。</w:t>
      </w:r>
    </w:p>
    <w:p>
      <w:pPr>
        <w:pStyle w:val="Style12"/>
        <w:keepNext w:val="0"/>
        <w:keepLines w:val="0"/>
        <w:widowControl w:val="0"/>
        <w:shd w:val="clear" w:color="auto" w:fill="auto"/>
        <w:bidi w:val="0"/>
        <w:spacing w:before="0" w:line="272" w:lineRule="exact"/>
        <w:ind w:left="0" w:right="0" w:firstLine="0"/>
        <w:jc w:val="both"/>
      </w:pPr>
      <w:r>
        <w:rPr>
          <w:color w:val="000000"/>
          <w:spacing w:val="0"/>
          <w:w w:val="100"/>
          <w:position w:val="0"/>
        </w:rPr>
        <w:t>本公司进行商誉减值测试，对于因企业合并形成的商誉的账面价值，自购买日起按照合理的方法分 摊至相关的资产组；难以分摊至相关的资产组的，将其分摊至相关的资产组组合。在将商誉的账面 价值分摊至相关的资产组或者资产组组合时，按照各资产组或者资产组组合的公允价值占相关资产 组或者资产组组合公允价值总额的比例进行分摊。公允价值难以可靠计量的，按照各资产组或者资 产组组合的账面价值占相关资产组或者资产组组合账面价值总额的比例进行分摊。</w:t>
      </w:r>
    </w:p>
    <w:p>
      <w:pPr>
        <w:pStyle w:val="Style12"/>
        <w:keepNext w:val="0"/>
        <w:keepLines w:val="0"/>
        <w:widowControl w:val="0"/>
        <w:shd w:val="clear" w:color="auto" w:fill="auto"/>
        <w:bidi w:val="0"/>
        <w:spacing w:before="0" w:after="520" w:line="274" w:lineRule="exact"/>
        <w:ind w:left="0" w:right="0" w:firstLine="0"/>
        <w:jc w:val="both"/>
      </w:pPr>
      <w:r>
        <w:rPr>
          <w:color w:val="000000"/>
          <w:spacing w:val="0"/>
          <w:w w:val="100"/>
          <w:position w:val="0"/>
        </w:rPr>
        <w:t>在对包含商誉的相关资产组或者资产组组合进行减值测试时，如与商誉相关的资产组或者资产组组 合存在减值迹象的，先对不包含商誉的资产组或者资产组组合进行减值测试，计算可收回金额，并 与相关账面价值相比较，确认相应的减值损失。再对包含商誉的资产组或者资产组组合进行减值测 试，比较这些相关资产组或者资产组组合的账面价值（包括所分摊的商誉的账面价值部分）与其可 收回金额，如相关资产组或者资产组组合的可收回金额低于其账面价值的，确认商誉的减值损失。 商誉减值损失在发生时计入当期损益，且在以后会计期间不予转回。</w:t>
      </w:r>
    </w:p>
    <w:p>
      <w:pPr>
        <w:pStyle w:val="Style29"/>
        <w:keepNext/>
        <w:keepLines/>
        <w:widowControl w:val="0"/>
        <w:shd w:val="clear" w:color="auto" w:fill="auto"/>
        <w:bidi w:val="0"/>
        <w:spacing w:before="0" w:after="160" w:line="240" w:lineRule="auto"/>
        <w:ind w:left="0" w:right="0" w:firstLine="0"/>
        <w:jc w:val="both"/>
      </w:pPr>
      <w:bookmarkStart w:id="682" w:name="bookmark682"/>
      <w:bookmarkStart w:id="683" w:name="bookmark683"/>
      <w:bookmarkStart w:id="684" w:name="bookmark684"/>
      <w:r>
        <w:rPr>
          <w:color w:val="000000"/>
          <w:spacing w:val="0"/>
          <w:w w:val="100"/>
          <w:position w:val="0"/>
        </w:rPr>
        <w:t>（十九）长期待摊费用：</w:t>
      </w:r>
      <w:bookmarkEnd w:id="682"/>
      <w:bookmarkEnd w:id="683"/>
      <w:bookmarkEnd w:id="684"/>
    </w:p>
    <w:p>
      <w:pPr>
        <w:pStyle w:val="Style12"/>
        <w:keepNext w:val="0"/>
        <w:keepLines w:val="0"/>
        <w:widowControl w:val="0"/>
        <w:shd w:val="clear" w:color="auto" w:fill="auto"/>
        <w:bidi w:val="0"/>
        <w:spacing w:before="0" w:after="160" w:line="240" w:lineRule="auto"/>
        <w:ind w:left="0" w:right="0" w:firstLine="0"/>
        <w:jc w:val="both"/>
      </w:pPr>
      <w:r>
        <w:rPr>
          <w:color w:val="000000"/>
          <w:spacing w:val="0"/>
          <w:w w:val="100"/>
          <w:position w:val="0"/>
        </w:rPr>
        <w:t>长期待摊费用为已经发生但应由本期和以后各期负担的分摊期限在一年以上的各项费用。</w:t>
      </w:r>
    </w:p>
    <w:p>
      <w:pPr>
        <w:pStyle w:val="Style29"/>
        <w:keepNext/>
        <w:keepLines/>
        <w:widowControl w:val="0"/>
        <w:shd w:val="clear" w:color="auto" w:fill="auto"/>
        <w:tabs>
          <w:tab w:pos="422" w:val="left"/>
        </w:tabs>
        <w:bidi w:val="0"/>
        <w:spacing w:before="0" w:after="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color w:val="000000"/>
          <w:spacing w:val="0"/>
          <w:w w:val="100"/>
          <w:position w:val="0"/>
        </w:rPr>
        <w:t>、</w:t>
        <w:tab/>
        <w:t>摊销方法</w:t>
      </w:r>
      <w:bookmarkEnd w:id="685"/>
      <w:bookmarkEnd w:id="686"/>
      <w:bookmarkEnd w:id="688"/>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长期待摊费用在受益期内平均摊销</w:t>
      </w:r>
    </w:p>
    <w:p>
      <w:pPr>
        <w:pStyle w:val="Style29"/>
        <w:keepNext/>
        <w:keepLines/>
        <w:widowControl w:val="0"/>
        <w:shd w:val="clear" w:color="auto" w:fill="auto"/>
        <w:tabs>
          <w:tab w:pos="422" w:val="left"/>
        </w:tabs>
        <w:bidi w:val="0"/>
        <w:spacing w:before="0" w:after="0" w:line="24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2</w:t>
      </w:r>
      <w:bookmarkEnd w:id="691"/>
      <w:r>
        <w:rPr>
          <w:color w:val="000000"/>
          <w:spacing w:val="0"/>
          <w:w w:val="100"/>
          <w:position w:val="0"/>
        </w:rPr>
        <w:t>、</w:t>
        <w:tab/>
        <w:t>摊销年限</w:t>
      </w:r>
      <w:bookmarkEnd w:id="689"/>
      <w:bookmarkEnd w:id="690"/>
      <w:bookmarkEnd w:id="692"/>
    </w:p>
    <w:p>
      <w:pPr>
        <w:pStyle w:val="Style12"/>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公司经营租入固定资产装修按</w:t>
      </w:r>
      <w:r>
        <w:rPr>
          <w:rFonts w:ascii="Times New Roman" w:eastAsia="Times New Roman" w:hAnsi="Times New Roman" w:cs="Times New Roman"/>
          <w:color w:val="000000"/>
          <w:spacing w:val="0"/>
          <w:w w:val="100"/>
          <w:position w:val="0"/>
        </w:rPr>
        <w:t>5</w:t>
      </w:r>
      <w:r>
        <w:rPr>
          <w:color w:val="000000"/>
          <w:spacing w:val="0"/>
          <w:w w:val="100"/>
          <w:position w:val="0"/>
        </w:rPr>
        <w:t>年平均摊销。</w:t>
      </w:r>
    </w:p>
    <w:p>
      <w:pPr>
        <w:pStyle w:val="Style29"/>
        <w:keepNext/>
        <w:keepLines/>
        <w:widowControl w:val="0"/>
        <w:shd w:val="clear" w:color="auto" w:fill="auto"/>
        <w:bidi w:val="0"/>
        <w:spacing w:before="0" w:after="100" w:line="283" w:lineRule="exact"/>
        <w:ind w:left="0" w:right="0" w:firstLine="0"/>
        <w:jc w:val="both"/>
      </w:pPr>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预计负债：</w:t>
      </w:r>
      <w:bookmarkEnd w:id="693"/>
      <w:bookmarkEnd w:id="694"/>
      <w:bookmarkEnd w:id="695"/>
    </w:p>
    <w:p>
      <w:pPr>
        <w:pStyle w:val="Style12"/>
        <w:keepNext w:val="0"/>
        <w:keepLines w:val="0"/>
        <w:widowControl w:val="0"/>
        <w:shd w:val="clear" w:color="auto" w:fill="auto"/>
        <w:bidi w:val="0"/>
        <w:spacing w:before="0" w:line="283" w:lineRule="exact"/>
        <w:ind w:left="0" w:right="0" w:firstLine="0"/>
        <w:jc w:val="both"/>
      </w:pPr>
      <w:r>
        <w:rPr>
          <w:color w:val="000000"/>
          <w:spacing w:val="0"/>
          <w:w w:val="100"/>
          <w:position w:val="0"/>
        </w:rPr>
        <w:t>本公司涉及诉讼、债务担保、亏损合同、重组事项时，如该等事项很可能需要未来以交付资产或提 供劳务、其金额能够可靠计量的，确认为预计负债。</w:t>
      </w:r>
    </w:p>
    <w:p>
      <w:pPr>
        <w:pStyle w:val="Style29"/>
        <w:keepNext/>
        <w:keepLines/>
        <w:widowControl w:val="0"/>
        <w:shd w:val="clear" w:color="auto" w:fill="auto"/>
        <w:tabs>
          <w:tab w:pos="422" w:val="left"/>
        </w:tabs>
        <w:bidi w:val="0"/>
        <w:spacing w:before="0" w:after="100" w:line="283" w:lineRule="exact"/>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w:t>
        <w:tab/>
        <w:t>预计负债的确认标准</w:t>
      </w:r>
      <w:bookmarkEnd w:id="696"/>
      <w:bookmarkEnd w:id="697"/>
      <w:bookmarkEnd w:id="699"/>
    </w:p>
    <w:p>
      <w:pPr>
        <w:pStyle w:val="Style12"/>
        <w:keepNext w:val="0"/>
        <w:keepLines w:val="0"/>
        <w:widowControl w:val="0"/>
        <w:shd w:val="clear" w:color="auto" w:fill="auto"/>
        <w:bidi w:val="0"/>
        <w:spacing w:before="0" w:after="160" w:line="283" w:lineRule="exact"/>
        <w:ind w:left="0" w:right="0" w:firstLine="0"/>
        <w:jc w:val="both"/>
      </w:pPr>
      <w:r>
        <w:rPr>
          <w:color w:val="000000"/>
          <w:spacing w:val="0"/>
          <w:w w:val="100"/>
          <w:position w:val="0"/>
        </w:rPr>
        <w:t>与或有事项相关的义务同时满足下列条件时，本公司确认为预计负债：</w:t>
      </w:r>
    </w:p>
    <w:p>
      <w:pPr>
        <w:pStyle w:val="Style12"/>
        <w:keepNext w:val="0"/>
        <w:keepLines w:val="0"/>
        <w:widowControl w:val="0"/>
        <w:shd w:val="clear" w:color="auto" w:fill="auto"/>
        <w:tabs>
          <w:tab w:pos="488" w:val="left"/>
        </w:tabs>
        <w:bidi w:val="0"/>
        <w:spacing w:before="0" w:after="0" w:line="240" w:lineRule="auto"/>
        <w:ind w:left="0" w:right="0" w:firstLine="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12"/>
        <w:keepNext w:val="0"/>
        <w:keepLines w:val="0"/>
        <w:widowControl w:val="0"/>
        <w:shd w:val="clear" w:color="auto" w:fill="auto"/>
        <w:tabs>
          <w:tab w:pos="488" w:val="left"/>
        </w:tabs>
        <w:bidi w:val="0"/>
        <w:spacing w:before="0" w:after="0" w:line="240" w:lineRule="auto"/>
        <w:ind w:left="0" w:right="0" w:firstLine="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12"/>
        <w:keepNext w:val="0"/>
        <w:keepLines w:val="0"/>
        <w:widowControl w:val="0"/>
        <w:shd w:val="clear" w:color="auto" w:fill="auto"/>
        <w:tabs>
          <w:tab w:pos="488" w:val="left"/>
        </w:tabs>
        <w:bidi w:val="0"/>
        <w:spacing w:before="0" w:after="240" w:line="283" w:lineRule="exact"/>
        <w:ind w:left="0" w:right="0" w:firstLine="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29"/>
        <w:keepNext/>
        <w:keepLines/>
        <w:widowControl w:val="0"/>
        <w:shd w:val="clear" w:color="auto" w:fill="auto"/>
        <w:tabs>
          <w:tab w:pos="422" w:val="left"/>
        </w:tabs>
        <w:bidi w:val="0"/>
        <w:spacing w:before="0" w:after="100" w:line="283" w:lineRule="exact"/>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w:t>
        <w:tab/>
        <w:t>预计负债的计量方法</w:t>
      </w:r>
      <w:bookmarkEnd w:id="703"/>
      <w:bookmarkEnd w:id="704"/>
      <w:bookmarkEnd w:id="706"/>
    </w:p>
    <w:p>
      <w:pPr>
        <w:pStyle w:val="Style12"/>
        <w:keepNext w:val="0"/>
        <w:keepLines w:val="0"/>
        <w:widowControl w:val="0"/>
        <w:shd w:val="clear" w:color="auto" w:fill="auto"/>
        <w:bidi w:val="0"/>
        <w:spacing w:before="0" w:line="277" w:lineRule="exact"/>
        <w:ind w:left="0" w:right="0" w:firstLine="0"/>
        <w:jc w:val="both"/>
      </w:pPr>
      <w:r>
        <w:rPr>
          <w:color w:val="000000"/>
          <w:spacing w:val="0"/>
          <w:w w:val="100"/>
          <w:position w:val="0"/>
        </w:rPr>
        <w:t>本公司预计负债按履行相关现时义务所需的支出的最佳估计数进行初始计量。</w:t>
      </w:r>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本公司在确定最佳估计数时，综合考虑与或有事项有关的风险、不确定性和货币时间价值等因素。 对于货币时间价值影响重大的，通过对相关未来现金流出进行折现后确定最佳估计数。</w:t>
      </w:r>
    </w:p>
    <w:p>
      <w:pPr>
        <w:pStyle w:val="Style12"/>
        <w:keepNext w:val="0"/>
        <w:keepLines w:val="0"/>
        <w:widowControl w:val="0"/>
        <w:shd w:val="clear" w:color="auto" w:fill="auto"/>
        <w:bidi w:val="0"/>
        <w:spacing w:before="0" w:line="277" w:lineRule="exact"/>
        <w:ind w:left="0" w:right="0" w:firstLine="0"/>
        <w:jc w:val="both"/>
      </w:pPr>
      <w:r>
        <w:rPr>
          <w:color w:val="000000"/>
          <w:spacing w:val="0"/>
          <w:w w:val="100"/>
          <w:position w:val="0"/>
        </w:rPr>
        <w:t>最佳估计数分别以下情况处理：</w:t>
      </w:r>
    </w:p>
    <w:p>
      <w:pPr>
        <w:pStyle w:val="Style12"/>
        <w:keepNext w:val="0"/>
        <w:keepLines w:val="0"/>
        <w:widowControl w:val="0"/>
        <w:shd w:val="clear" w:color="auto" w:fill="auto"/>
        <w:bidi w:val="0"/>
        <w:spacing w:before="0" w:line="269" w:lineRule="exact"/>
        <w:ind w:left="0" w:right="0" w:firstLine="0"/>
        <w:jc w:val="both"/>
      </w:pPr>
      <w:r>
        <w:rPr>
          <w:color w:val="000000"/>
          <w:spacing w:val="0"/>
          <w:w w:val="100"/>
          <w:position w:val="0"/>
        </w:rPr>
        <w:t>所需支出存在一个连续范围（或区间），且该范围内各种结果发生的可能性相同的，则最佳估计数 按照该范围的中间值即上下限金额的平均数确定。</w:t>
      </w:r>
    </w:p>
    <w:p>
      <w:pPr>
        <w:pStyle w:val="Style12"/>
        <w:keepNext w:val="0"/>
        <w:keepLines w:val="0"/>
        <w:widowControl w:val="0"/>
        <w:shd w:val="clear" w:color="auto" w:fill="auto"/>
        <w:bidi w:val="0"/>
        <w:spacing w:before="0" w:line="276" w:lineRule="exact"/>
        <w:ind w:left="0" w:right="0" w:firstLine="0"/>
        <w:jc w:val="both"/>
      </w:pPr>
      <w:r>
        <w:rPr>
          <w:color w:val="000000"/>
          <w:spacing w:val="0"/>
          <w:w w:val="100"/>
          <w:position w:val="0"/>
        </w:rPr>
        <w:t>所需支出不存在一个连续范围（或区间），或虽然存在一个连续范围但该范围内各种结果发生的可 能性不相同的，如或有事项涉及单个项目的，则最佳估计数按照最可能发生金额确定；如或有事项 涉及多个项目的，则最佳估计数按各种可能结果及相关概率计算确定。</w:t>
      </w:r>
    </w:p>
    <w:p>
      <w:pPr>
        <w:pStyle w:val="Style12"/>
        <w:keepNext w:val="0"/>
        <w:keepLines w:val="0"/>
        <w:widowControl w:val="0"/>
        <w:shd w:val="clear" w:color="auto" w:fill="auto"/>
        <w:bidi w:val="0"/>
        <w:spacing w:before="0" w:after="480" w:line="278" w:lineRule="exact"/>
        <w:ind w:left="0" w:right="0" w:firstLine="0"/>
        <w:jc w:val="both"/>
      </w:pPr>
      <w:r>
        <w:rPr>
          <w:color w:val="000000"/>
          <w:spacing w:val="0"/>
          <w:w w:val="100"/>
          <w:position w:val="0"/>
        </w:rPr>
        <w:t>本公司清偿预计负债所需支出全部或部分预期由第三方补偿的，补偿金额在基本确定能够收到时， 作为资产单独确认，确认的补偿金额不超过预计负债的账面价值。</w:t>
      </w:r>
    </w:p>
    <w:p>
      <w:pPr>
        <w:pStyle w:val="Style29"/>
        <w:keepNext/>
        <w:keepLines/>
        <w:widowControl w:val="0"/>
        <w:shd w:val="clear" w:color="auto" w:fill="auto"/>
        <w:bidi w:val="0"/>
        <w:spacing w:before="0" w:after="100" w:line="278" w:lineRule="exact"/>
        <w:ind w:left="0" w:right="0" w:firstLine="0"/>
        <w:jc w:val="both"/>
      </w:pPr>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股份支付及权益工具：</w:t>
      </w:r>
      <w:bookmarkEnd w:id="707"/>
      <w:bookmarkEnd w:id="708"/>
      <w:bookmarkEnd w:id="709"/>
    </w:p>
    <w:p>
      <w:pPr>
        <w:pStyle w:val="Style29"/>
        <w:keepNext/>
        <w:keepLines/>
        <w:widowControl w:val="0"/>
        <w:shd w:val="clear" w:color="auto" w:fill="auto"/>
        <w:tabs>
          <w:tab w:pos="528" w:val="left"/>
        </w:tabs>
        <w:bidi w:val="0"/>
        <w:spacing w:before="0" w:after="100" w:line="278" w:lineRule="exact"/>
        <w:ind w:left="0" w:right="0" w:firstLine="0"/>
        <w:jc w:val="both"/>
      </w:pPr>
      <w:bookmarkStart w:id="707" w:name="bookmark707"/>
      <w:bookmarkStart w:id="708" w:name="bookmark708"/>
      <w:bookmarkStart w:id="710" w:name="bookmark710"/>
      <w:bookmarkStart w:id="711" w:name="bookmark711"/>
      <w:r>
        <w:rPr>
          <w:rFonts w:ascii="Times New Roman" w:eastAsia="Times New Roman" w:hAnsi="Times New Roman" w:cs="Times New Roman"/>
          <w:color w:val="000000"/>
          <w:spacing w:val="0"/>
          <w:w w:val="100"/>
          <w:position w:val="0"/>
          <w:shd w:val="clear" w:color="auto" w:fill="FFFFFF"/>
        </w:rPr>
        <w:t>1</w:t>
      </w:r>
      <w:bookmarkEnd w:id="710"/>
      <w:r>
        <w:rPr>
          <w:color w:val="000000"/>
          <w:spacing w:val="0"/>
          <w:w w:val="100"/>
          <w:position w:val="0"/>
          <w:shd w:val="clear" w:color="auto" w:fill="FFFFFF"/>
        </w:rPr>
        <w:t>、</w:t>
      </w:r>
      <w:r>
        <w:rPr>
          <w:color w:val="000000"/>
          <w:spacing w:val="0"/>
          <w:w w:val="100"/>
          <w:position w:val="0"/>
        </w:rPr>
        <w:tab/>
        <w:t>股份支付的种类：</w:t>
      </w:r>
      <w:bookmarkEnd w:id="707"/>
      <w:bookmarkEnd w:id="708"/>
      <w:bookmarkEnd w:id="711"/>
    </w:p>
    <w:p>
      <w:pPr>
        <w:pStyle w:val="Style12"/>
        <w:keepNext w:val="0"/>
        <w:keepLines w:val="0"/>
        <w:widowControl w:val="0"/>
        <w:shd w:val="clear" w:color="auto" w:fill="auto"/>
        <w:bidi w:val="0"/>
        <w:spacing w:before="0" w:after="480" w:line="278" w:lineRule="exact"/>
        <w:ind w:left="0" w:right="0" w:firstLine="0"/>
        <w:jc w:val="both"/>
      </w:pPr>
      <w:r>
        <w:rPr>
          <w:color w:val="000000"/>
          <w:spacing w:val="0"/>
          <w:w w:val="100"/>
          <w:position w:val="0"/>
        </w:rPr>
        <w:t>本公司的股份支付是为了获取职工提供服务而授予权益工具或者承担以权益工具为基础确定的负 债的交易。本公司的股份支付分为以权益结算的股份支付。</w:t>
      </w:r>
    </w:p>
    <w:p>
      <w:pPr>
        <w:pStyle w:val="Style29"/>
        <w:keepNext/>
        <w:keepLines/>
        <w:widowControl w:val="0"/>
        <w:shd w:val="clear" w:color="auto" w:fill="auto"/>
        <w:tabs>
          <w:tab w:pos="528" w:val="left"/>
        </w:tabs>
        <w:bidi w:val="0"/>
        <w:spacing w:before="0" w:after="100" w:line="272" w:lineRule="exact"/>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shd w:val="clear" w:color="auto" w:fill="FFFFFF"/>
        </w:rPr>
        <w:t>2</w:t>
      </w:r>
      <w:bookmarkEnd w:id="714"/>
      <w:r>
        <w:rPr>
          <w:color w:val="000000"/>
          <w:spacing w:val="0"/>
          <w:w w:val="100"/>
          <w:position w:val="0"/>
          <w:shd w:val="clear" w:color="auto" w:fill="FFFFFF"/>
        </w:rPr>
        <w:t>、</w:t>
      </w:r>
      <w:r>
        <w:rPr>
          <w:color w:val="000000"/>
          <w:spacing w:val="0"/>
          <w:w w:val="100"/>
          <w:position w:val="0"/>
        </w:rPr>
        <w:tab/>
        <w:t>权益工具公允价值的确定方法</w:t>
      </w:r>
      <w:bookmarkEnd w:id="712"/>
      <w:bookmarkEnd w:id="713"/>
      <w:bookmarkEnd w:id="715"/>
    </w:p>
    <w:p>
      <w:pPr>
        <w:pStyle w:val="Style12"/>
        <w:keepNext w:val="0"/>
        <w:keepLines w:val="0"/>
        <w:widowControl w:val="0"/>
        <w:shd w:val="clear" w:color="auto" w:fill="auto"/>
        <w:bidi w:val="0"/>
        <w:spacing w:before="0" w:after="480" w:line="272" w:lineRule="exact"/>
        <w:ind w:left="0" w:right="0" w:firstLine="0"/>
        <w:jc w:val="both"/>
      </w:pPr>
      <w:r>
        <w:rPr>
          <w:color w:val="000000"/>
          <w:spacing w:val="0"/>
          <w:w w:val="100"/>
          <w:position w:val="0"/>
        </w:rPr>
        <w:t>以权益结算的股份支付换取职工提供服务的，以授予职工权益工具的公允价值计量。授予后立即可 行权的，在授予日按照公允价值计入相关成本或费用，相应增加资本公积；完成等待期内的服务或 达到规定业绩条件才可行权的，在等待期内每个资产负债表日，本公司根据最新取得的可行权职工 人数变动是否达到规定业绩条件等后续信息对可行权权益工具数量作出最佳估计，以此为基础，按 照授予日的公允价值，将当期取得的服务计入相关成本或费用，相应增加资本公积。</w:t>
      </w:r>
    </w:p>
    <w:p>
      <w:pPr>
        <w:pStyle w:val="Style29"/>
        <w:keepNext/>
        <w:keepLines/>
        <w:widowControl w:val="0"/>
        <w:shd w:val="clear" w:color="auto" w:fill="auto"/>
        <w:tabs>
          <w:tab w:pos="528" w:val="left"/>
        </w:tabs>
        <w:bidi w:val="0"/>
        <w:spacing w:before="0" w:after="100" w:line="271" w:lineRule="exact"/>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shd w:val="clear" w:color="auto" w:fill="FFFFFF"/>
        </w:rPr>
        <w:t>3</w:t>
      </w:r>
      <w:bookmarkEnd w:id="718"/>
      <w:r>
        <w:rPr>
          <w:color w:val="000000"/>
          <w:spacing w:val="0"/>
          <w:w w:val="100"/>
          <w:position w:val="0"/>
          <w:shd w:val="clear" w:color="auto" w:fill="FFFFFF"/>
        </w:rPr>
        <w:t>、</w:t>
      </w:r>
      <w:r>
        <w:rPr>
          <w:color w:val="000000"/>
          <w:spacing w:val="0"/>
          <w:w w:val="100"/>
          <w:position w:val="0"/>
        </w:rPr>
        <w:tab/>
        <w:t>确认可行权权益工具最佳估计的依据</w:t>
      </w:r>
      <w:bookmarkEnd w:id="716"/>
      <w:bookmarkEnd w:id="717"/>
      <w:bookmarkEnd w:id="719"/>
    </w:p>
    <w:p>
      <w:pPr>
        <w:pStyle w:val="Style12"/>
        <w:keepNext w:val="0"/>
        <w:keepLines w:val="0"/>
        <w:widowControl w:val="0"/>
        <w:shd w:val="clear" w:color="auto" w:fill="auto"/>
        <w:bidi w:val="0"/>
        <w:spacing w:before="0" w:after="480" w:line="271" w:lineRule="exact"/>
        <w:ind w:left="0" w:right="0" w:firstLine="0"/>
        <w:jc w:val="both"/>
      </w:pPr>
      <w:r>
        <w:rPr>
          <w:color w:val="000000"/>
          <w:spacing w:val="0"/>
          <w:w w:val="100"/>
          <w:position w:val="0"/>
        </w:rPr>
        <w:t>在满足业绩条件和服务期限条件的期间，应确认以权益结算的股份支付的成本或费用，并相应增加 资本公积。可行权日之前，于每个资产负债表日为以权益结算的股份支付确认的累计金额反映了等 待期已届满的部分以及本公司对最终可行权的权益工具数量的最佳估计。</w:t>
      </w:r>
    </w:p>
    <w:p>
      <w:pPr>
        <w:pStyle w:val="Style29"/>
        <w:keepNext/>
        <w:keepLines/>
        <w:widowControl w:val="0"/>
        <w:shd w:val="clear" w:color="auto" w:fill="auto"/>
        <w:tabs>
          <w:tab w:pos="528" w:val="left"/>
        </w:tabs>
        <w:bidi w:val="0"/>
        <w:spacing w:before="0" w:after="100" w:line="272" w:lineRule="exact"/>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shd w:val="clear" w:color="auto" w:fill="FFFFFF"/>
        </w:rPr>
        <w:t>4</w:t>
      </w:r>
      <w:bookmarkEnd w:id="722"/>
      <w:r>
        <w:rPr>
          <w:color w:val="000000"/>
          <w:spacing w:val="0"/>
          <w:w w:val="100"/>
          <w:position w:val="0"/>
          <w:shd w:val="clear" w:color="auto" w:fill="FFFFFF"/>
        </w:rPr>
        <w:t>、</w:t>
      </w:r>
      <w:r>
        <w:rPr>
          <w:color w:val="000000"/>
          <w:spacing w:val="0"/>
          <w:w w:val="100"/>
          <w:position w:val="0"/>
        </w:rPr>
        <w:tab/>
        <w:t>实施、修改、终止股份支付计划的相关会计处理</w:t>
      </w:r>
      <w:bookmarkEnd w:id="720"/>
      <w:bookmarkEnd w:id="721"/>
      <w:bookmarkEnd w:id="723"/>
    </w:p>
    <w:p>
      <w:pPr>
        <w:pStyle w:val="Style12"/>
        <w:keepNext w:val="0"/>
        <w:keepLines w:val="0"/>
        <w:widowControl w:val="0"/>
        <w:shd w:val="clear" w:color="auto" w:fill="auto"/>
        <w:bidi w:val="0"/>
        <w:spacing w:before="0" w:line="271" w:lineRule="exact"/>
        <w:ind w:left="0" w:right="0" w:firstLine="0"/>
        <w:jc w:val="both"/>
      </w:pPr>
      <w:r>
        <w:rPr>
          <w:color w:val="000000"/>
          <w:spacing w:val="0"/>
          <w:w w:val="100"/>
          <w:position w:val="0"/>
        </w:rPr>
        <w:t>对于最终未能行权的股份支付，不确认成本或费用，除非行权条件是市场条件或非可行权条件，此 时无论是否满足市场条件或非可行权条件，只要满足所有可行权条件中的非市场条件，即视为可行 权。</w:t>
      </w:r>
    </w:p>
    <w:p>
      <w:pPr>
        <w:pStyle w:val="Style12"/>
        <w:keepNext w:val="0"/>
        <w:keepLines w:val="0"/>
        <w:widowControl w:val="0"/>
        <w:shd w:val="clear" w:color="auto" w:fill="auto"/>
        <w:bidi w:val="0"/>
        <w:spacing w:before="0" w:line="283" w:lineRule="exact"/>
        <w:ind w:left="0" w:right="0" w:firstLine="0"/>
        <w:jc w:val="both"/>
      </w:pPr>
      <w:r>
        <w:rPr>
          <w:color w:val="000000"/>
          <w:spacing w:val="0"/>
          <w:w w:val="100"/>
          <w:position w:val="0"/>
        </w:rPr>
        <w:t>如果修改了以权益结算的股份支付的条款，至少按照未修改条款的情况确认取得的服务。此外，任 何增加所授予权益工具公允价值的修改，或在修改日对职工有利的变更，均确认取得服务的增加。</w:t>
      </w:r>
    </w:p>
    <w:p>
      <w:pPr>
        <w:pStyle w:val="Style12"/>
        <w:keepNext w:val="0"/>
        <w:keepLines w:val="0"/>
        <w:widowControl w:val="0"/>
        <w:shd w:val="clear" w:color="auto" w:fill="auto"/>
        <w:bidi w:val="0"/>
        <w:spacing w:before="0" w:after="460" w:line="272" w:lineRule="exact"/>
        <w:ind w:left="0" w:right="0" w:firstLine="0"/>
        <w:jc w:val="both"/>
      </w:pPr>
      <w:r>
        <w:rPr>
          <w:color w:val="000000"/>
          <w:spacing w:val="0"/>
          <w:w w:val="100"/>
          <w:position w:val="0"/>
        </w:rPr>
        <w:t xml:space="preserve">如果取消了以权益结算的股份支付，则于取消日作为加速行权处理，立即确认尚未确认的金额。职 工或其他方能够选择满足非可行权条件但在等待期内未满足的，作为取消以权益结算的股份支付处 理。但是，如果授予新的权益工具，并在新权益工具授予日认定所授予的新权益工具是用于替代被 取消的权益工具的，则以与处理原权益工具条款和条件修改相同的方式，对所授予的替代权益工具 </w:t>
      </w:r>
      <w:r>
        <w:rPr>
          <w:color w:val="000000"/>
          <w:spacing w:val="0"/>
          <w:w w:val="100"/>
          <w:position w:val="0"/>
        </w:rPr>
        <w:t>进行处理。</w:t>
      </w:r>
    </w:p>
    <w:p>
      <w:pPr>
        <w:pStyle w:val="Style12"/>
        <w:keepNext w:val="0"/>
        <w:keepLines w:val="0"/>
        <w:widowControl w:val="0"/>
        <w:shd w:val="clear" w:color="auto" w:fill="auto"/>
        <w:bidi w:val="0"/>
        <w:spacing w:before="0" w:line="269" w:lineRule="exact"/>
        <w:ind w:left="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二十二</w:t>
      </w:r>
      <w:r>
        <w:rPr>
          <w:b/>
          <w:bCs/>
          <w:color w:val="000000"/>
          <w:spacing w:val="0"/>
          <w:w w:val="100"/>
          <w:position w:val="0"/>
        </w:rPr>
        <w:t>）</w:t>
      </w:r>
      <w:r>
        <w:rPr>
          <w:b/>
          <w:bCs/>
          <w:color w:val="000000"/>
          <w:spacing w:val="0"/>
          <w:w w:val="100"/>
          <w:position w:val="0"/>
        </w:rPr>
        <w:t>收入：</w:t>
      </w:r>
    </w:p>
    <w:p>
      <w:pPr>
        <w:pStyle w:val="Style12"/>
        <w:keepNext w:val="0"/>
        <w:keepLines w:val="0"/>
        <w:widowControl w:val="0"/>
        <w:shd w:val="clear" w:color="auto" w:fill="auto"/>
        <w:bidi w:val="0"/>
        <w:spacing w:before="0" w:after="0" w:line="269" w:lineRule="exact"/>
        <w:ind w:left="0" w:right="0" w:firstLine="0"/>
        <w:jc w:val="both"/>
      </w:pPr>
      <w:bookmarkStart w:id="724" w:name="bookmark724"/>
      <w:r>
        <w:rPr>
          <w:rFonts w:ascii="Times New Roman" w:eastAsia="Times New Roman" w:hAnsi="Times New Roman" w:cs="Times New Roman"/>
          <w:b/>
          <w:bCs/>
          <w:color w:val="000000"/>
          <w:spacing w:val="0"/>
          <w:w w:val="100"/>
          <w:position w:val="0"/>
        </w:rPr>
        <w:t>1</w:t>
      </w:r>
      <w:bookmarkEnd w:id="724"/>
      <w:r>
        <w:rPr>
          <w:b/>
          <w:bCs/>
          <w:color w:val="000000"/>
          <w:spacing w:val="0"/>
          <w:w w:val="100"/>
          <w:position w:val="0"/>
        </w:rPr>
        <w:t>、销售商品收入确认和计量原则</w:t>
      </w:r>
    </w:p>
    <w:p>
      <w:pPr>
        <w:pStyle w:val="Style12"/>
        <w:keepNext w:val="0"/>
        <w:keepLines w:val="0"/>
        <w:widowControl w:val="0"/>
        <w:shd w:val="clear" w:color="auto" w:fill="auto"/>
        <w:bidi w:val="0"/>
        <w:spacing w:before="0" w:line="269"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）销售商品收入确认和计量的总体原则</w:t>
      </w:r>
    </w:p>
    <w:p>
      <w:pPr>
        <w:pStyle w:val="Style12"/>
        <w:keepNext w:val="0"/>
        <w:keepLines w:val="0"/>
        <w:widowControl w:val="0"/>
        <w:shd w:val="clear" w:color="auto" w:fill="auto"/>
        <w:bidi w:val="0"/>
        <w:spacing w:before="0" w:after="360" w:line="269" w:lineRule="exact"/>
        <w:ind w:left="0" w:right="0" w:firstLine="0"/>
        <w:jc w:val="both"/>
      </w:pPr>
      <w:r>
        <w:rPr>
          <w:color w:val="000000"/>
          <w:spacing w:val="0"/>
          <w:w w:val="100"/>
          <w:position w:val="0"/>
        </w:rPr>
        <w:t>公司已将商品所有权上的主要风险和报酬转移给购买方；公司既没有保留与所有权相联系的继续管 理权，也没有对已售出的商品实施有效控制；收入的金额能够可靠地计量；相关的经济利益很可能 流入企业；相关的已发生或将发生的成本能够可靠地计量时，确认商品销售收入实现。</w:t>
      </w:r>
    </w:p>
    <w:p>
      <w:pPr>
        <w:pStyle w:val="Style29"/>
        <w:keepNext/>
        <w:keepLines/>
        <w:widowControl w:val="0"/>
        <w:shd w:val="clear" w:color="auto" w:fill="auto"/>
        <w:bidi w:val="0"/>
        <w:spacing w:before="0" w:after="100" w:line="272" w:lineRule="exact"/>
        <w:ind w:left="0" w:right="0" w:firstLine="0"/>
        <w:jc w:val="both"/>
      </w:pPr>
      <w:bookmarkStart w:id="725" w:name="bookmark725"/>
      <w:bookmarkStart w:id="726" w:name="bookmark726"/>
      <w:bookmarkStart w:id="727" w:name="bookmark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）本公司销售商品收入确认的确认标准及收入确认时间的具体判断标准</w:t>
      </w:r>
      <w:bookmarkEnd w:id="725"/>
      <w:bookmarkEnd w:id="726"/>
      <w:bookmarkEnd w:id="727"/>
    </w:p>
    <w:p>
      <w:pPr>
        <w:pStyle w:val="Style12"/>
        <w:keepNext w:val="0"/>
        <w:keepLines w:val="0"/>
        <w:widowControl w:val="0"/>
        <w:shd w:val="clear" w:color="auto" w:fill="auto"/>
        <w:bidi w:val="0"/>
        <w:spacing w:before="0" w:line="272" w:lineRule="exact"/>
        <w:ind w:left="0" w:right="0" w:firstLine="0"/>
        <w:jc w:val="both"/>
      </w:pPr>
      <w:r>
        <w:rPr>
          <w:color w:val="000000"/>
          <w:spacing w:val="0"/>
          <w:w w:val="100"/>
          <w:position w:val="0"/>
        </w:rPr>
        <w:t>本公司销售主要以内销为主，主要销售产品包括单相电子式电能表、三相电子式电能表、用电信息 管理终端及系统产品等电力行业设备，主要销售对象为国家级、地方级电网公司及其下属企业。由 于电能表等产品具有特定的用途，各级电网公司及其下属企业需根据自身的安装进度及计划，由专 门的检验部门安排对本公司的产品进行一系列的检测、校验，验收合格后方可投入安装使用，故本 公司内销收入确认时点的具体标准为：所售产品货物已发出，并收到经客户验收合格后出具的验收 证明时。</w:t>
      </w:r>
    </w:p>
    <w:p>
      <w:pPr>
        <w:pStyle w:val="Style12"/>
        <w:keepNext w:val="0"/>
        <w:keepLines w:val="0"/>
        <w:widowControl w:val="0"/>
        <w:shd w:val="clear" w:color="auto" w:fill="auto"/>
        <w:bidi w:val="0"/>
        <w:spacing w:before="0" w:after="360" w:line="259" w:lineRule="exact"/>
        <w:ind w:left="0" w:right="0" w:firstLine="0"/>
        <w:jc w:val="both"/>
      </w:pPr>
      <w:r>
        <w:rPr>
          <w:color w:val="000000"/>
          <w:spacing w:val="0"/>
          <w:w w:val="100"/>
          <w:position w:val="0"/>
        </w:rPr>
        <w:t>本公司外销出口销售收入确认时点的具体标准为；根据合同的约定，所售产品报关后货物装船出口 时。</w:t>
      </w:r>
    </w:p>
    <w:p>
      <w:pPr>
        <w:pStyle w:val="Style29"/>
        <w:keepNext/>
        <w:keepLines/>
        <w:widowControl w:val="0"/>
        <w:shd w:val="clear" w:color="auto" w:fill="auto"/>
        <w:bidi w:val="0"/>
        <w:spacing w:before="0" w:after="100" w:line="278" w:lineRule="exact"/>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3</w:t>
      </w:r>
      <w:r>
        <w:rPr>
          <w:color w:val="000000"/>
          <w:spacing w:val="0"/>
          <w:w w:val="100"/>
          <w:position w:val="0"/>
        </w:rPr>
        <w:t>）关于本公司销售商品收入相应的业务特点分析和介绍</w:t>
      </w:r>
      <w:bookmarkEnd w:id="728"/>
      <w:bookmarkEnd w:id="729"/>
      <w:bookmarkEnd w:id="731"/>
    </w:p>
    <w:p>
      <w:pPr>
        <w:pStyle w:val="Style12"/>
        <w:keepNext w:val="0"/>
        <w:keepLines w:val="0"/>
        <w:widowControl w:val="0"/>
        <w:shd w:val="clear" w:color="auto" w:fill="auto"/>
        <w:bidi w:val="0"/>
        <w:spacing w:before="0" w:after="360" w:line="278" w:lineRule="exact"/>
        <w:ind w:left="0" w:right="0" w:firstLine="0"/>
        <w:jc w:val="both"/>
      </w:pPr>
      <w:r>
        <w:rPr>
          <w:color w:val="000000"/>
          <w:spacing w:val="0"/>
          <w:w w:val="100"/>
          <w:position w:val="0"/>
        </w:rPr>
        <w:t>本公司主要产品受电力行业设备采购季节性特点影响，招投标、合同签订、销售实现总体来说下半 年多于上半年，公司销售商品收入因此呈现出一定的季节性特征。</w:t>
      </w:r>
    </w:p>
    <w:p>
      <w:pPr>
        <w:pStyle w:val="Style29"/>
        <w:keepNext/>
        <w:keepLines/>
        <w:widowControl w:val="0"/>
        <w:shd w:val="clear" w:color="auto" w:fill="auto"/>
        <w:bidi w:val="0"/>
        <w:spacing w:before="0" w:after="0" w:line="276" w:lineRule="exact"/>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2</w:t>
      </w:r>
      <w:bookmarkEnd w:id="734"/>
      <w:r>
        <w:rPr>
          <w:color w:val="000000"/>
          <w:spacing w:val="0"/>
          <w:w w:val="100"/>
          <w:position w:val="0"/>
        </w:rPr>
        <w:t>、让渡资产使用权收入的确认和计量原则</w:t>
      </w:r>
      <w:bookmarkEnd w:id="732"/>
      <w:bookmarkEnd w:id="733"/>
      <w:bookmarkEnd w:id="735"/>
    </w:p>
    <w:p>
      <w:pPr>
        <w:pStyle w:val="Style29"/>
        <w:keepNext/>
        <w:keepLines/>
        <w:widowControl w:val="0"/>
        <w:shd w:val="clear" w:color="auto" w:fill="auto"/>
        <w:tabs>
          <w:tab w:pos="488" w:val="left"/>
        </w:tabs>
        <w:bidi w:val="0"/>
        <w:spacing w:before="0" w:after="100" w:line="276" w:lineRule="exact"/>
        <w:ind w:left="0" w:right="0" w:firstLine="0"/>
        <w:jc w:val="both"/>
      </w:pPr>
      <w:bookmarkStart w:id="732" w:name="bookmark732"/>
      <w:bookmarkStart w:id="733" w:name="bookmark733"/>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1</w:t>
      </w:r>
      <w:r>
        <w:rPr>
          <w:color w:val="000000"/>
          <w:spacing w:val="0"/>
          <w:w w:val="100"/>
          <w:position w:val="0"/>
        </w:rPr>
        <w:t>）</w:t>
        <w:tab/>
        <w:t>让渡资产使用权收入确认和计量的总体原则</w:t>
      </w:r>
      <w:bookmarkEnd w:id="732"/>
      <w:bookmarkEnd w:id="733"/>
      <w:bookmarkEnd w:id="737"/>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与交易相关的经济利益很可能流入企业，收入的金额能够可靠地计量时。分别下列情况确定让渡资 产使用权收入金额：</w:t>
      </w:r>
    </w:p>
    <w:p>
      <w:pPr>
        <w:pStyle w:val="Style12"/>
        <w:keepNext w:val="0"/>
        <w:keepLines w:val="0"/>
        <w:widowControl w:val="0"/>
        <w:numPr>
          <w:ilvl w:val="0"/>
          <w:numId w:val="17"/>
        </w:numPr>
        <w:shd w:val="clear" w:color="auto" w:fill="auto"/>
        <w:tabs>
          <w:tab w:pos="392" w:val="left"/>
        </w:tabs>
        <w:bidi w:val="0"/>
        <w:spacing w:before="0" w:after="0" w:line="276" w:lineRule="exact"/>
        <w:ind w:left="0" w:right="0" w:firstLine="0"/>
        <w:jc w:val="both"/>
      </w:pPr>
      <w:bookmarkStart w:id="738" w:name="bookmark738"/>
      <w:bookmarkEnd w:id="738"/>
      <w:r>
        <w:rPr>
          <w:color w:val="000000"/>
          <w:spacing w:val="0"/>
          <w:w w:val="100"/>
          <w:position w:val="0"/>
        </w:rPr>
        <w:t>利息收入金额，按照他人使用本企业货币资金的时间和实际利率计算确定。</w:t>
      </w:r>
    </w:p>
    <w:p>
      <w:pPr>
        <w:pStyle w:val="Style12"/>
        <w:keepNext w:val="0"/>
        <w:keepLines w:val="0"/>
        <w:widowControl w:val="0"/>
        <w:numPr>
          <w:ilvl w:val="0"/>
          <w:numId w:val="17"/>
        </w:numPr>
        <w:shd w:val="clear" w:color="auto" w:fill="auto"/>
        <w:tabs>
          <w:tab w:pos="397" w:val="left"/>
        </w:tabs>
        <w:bidi w:val="0"/>
        <w:spacing w:before="0" w:line="276" w:lineRule="exact"/>
        <w:ind w:left="0" w:right="0" w:firstLine="0"/>
        <w:jc w:val="both"/>
      </w:pPr>
      <w:bookmarkStart w:id="739" w:name="bookmark739"/>
      <w:bookmarkEnd w:id="739"/>
      <w:r>
        <w:rPr>
          <w:color w:val="000000"/>
          <w:spacing w:val="0"/>
          <w:w w:val="100"/>
          <w:position w:val="0"/>
        </w:rPr>
        <w:t>使用费收入金额，按照有关合同或协议约定的收费时间和方法计算确定。</w:t>
      </w:r>
    </w:p>
    <w:p>
      <w:pPr>
        <w:pStyle w:val="Style12"/>
        <w:keepNext w:val="0"/>
        <w:keepLines w:val="0"/>
        <w:widowControl w:val="0"/>
        <w:shd w:val="clear" w:color="auto" w:fill="auto"/>
        <w:tabs>
          <w:tab w:pos="488" w:val="left"/>
        </w:tabs>
        <w:bidi w:val="0"/>
        <w:spacing w:before="0" w:line="276" w:lineRule="exact"/>
        <w:ind w:left="0" w:right="0" w:firstLine="0"/>
        <w:jc w:val="both"/>
      </w:pPr>
      <w:bookmarkStart w:id="740" w:name="bookmark740"/>
      <w:r>
        <w:rPr>
          <w:b/>
          <w:bCs/>
          <w:color w:val="000000"/>
          <w:spacing w:val="0"/>
          <w:w w:val="100"/>
          <w:position w:val="0"/>
        </w:rPr>
        <w:t>（</w:t>
      </w:r>
      <w:bookmarkEnd w:id="74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本公司确认让渡资产使用权收入的依据</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rPr>
        <w:t>本公司确认渡资产使用权收入的依据是相关资产已移交给承租人，按租赁合同或协议约定的收费时 间和方法能够计算确定租赁收入。</w:t>
      </w:r>
    </w:p>
    <w:p>
      <w:pPr>
        <w:pStyle w:val="Style12"/>
        <w:keepNext w:val="0"/>
        <w:keepLines w:val="0"/>
        <w:widowControl w:val="0"/>
        <w:shd w:val="clear" w:color="auto" w:fill="auto"/>
        <w:tabs>
          <w:tab w:pos="488" w:val="left"/>
        </w:tabs>
        <w:bidi w:val="0"/>
        <w:spacing w:before="0" w:line="276" w:lineRule="exact"/>
        <w:ind w:left="0" w:right="0" w:firstLine="0"/>
        <w:jc w:val="both"/>
      </w:pPr>
      <w:bookmarkStart w:id="741" w:name="bookmark741"/>
      <w:r>
        <w:rPr>
          <w:b/>
          <w:bCs/>
          <w:color w:val="000000"/>
          <w:spacing w:val="0"/>
          <w:w w:val="100"/>
          <w:position w:val="0"/>
        </w:rPr>
        <w:t>（</w:t>
      </w:r>
      <w:bookmarkEnd w:id="74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关于本公司让渡资产使用权收入相应的业务特点分析和介绍</w:t>
      </w:r>
    </w:p>
    <w:p>
      <w:pPr>
        <w:pStyle w:val="Style12"/>
        <w:keepNext w:val="0"/>
        <w:keepLines w:val="0"/>
        <w:widowControl w:val="0"/>
        <w:shd w:val="clear" w:color="auto" w:fill="auto"/>
        <w:bidi w:val="0"/>
        <w:spacing w:before="0" w:after="360" w:line="276" w:lineRule="exact"/>
        <w:ind w:left="0" w:right="0" w:firstLine="0"/>
        <w:jc w:val="both"/>
      </w:pPr>
      <w:r>
        <w:rPr>
          <w:color w:val="000000"/>
          <w:spacing w:val="0"/>
          <w:w w:val="100"/>
          <w:position w:val="0"/>
        </w:rPr>
        <w:t>本公司相关租赁业务为暂时闲置房产用于临时性出租。</w:t>
      </w:r>
    </w:p>
    <w:p>
      <w:pPr>
        <w:pStyle w:val="Style29"/>
        <w:keepNext/>
        <w:keepLines/>
        <w:widowControl w:val="0"/>
        <w:shd w:val="clear" w:color="auto" w:fill="auto"/>
        <w:bidi w:val="0"/>
        <w:spacing w:before="0" w:after="100" w:line="274" w:lineRule="exact"/>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3</w:t>
      </w:r>
      <w:bookmarkEnd w:id="744"/>
      <w:r>
        <w:rPr>
          <w:color w:val="000000"/>
          <w:spacing w:val="0"/>
          <w:w w:val="100"/>
          <w:position w:val="0"/>
        </w:rPr>
        <w:t>、按完工百分比法确认提供劳务的收入和建造合同收入的确认和计量原则</w:t>
      </w:r>
      <w:bookmarkEnd w:id="742"/>
      <w:bookmarkEnd w:id="743"/>
      <w:bookmarkEnd w:id="745"/>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在资产负债表日提供劳务交易的结果能够可靠估计的，采用完工百分比法确认提供劳务收入。提供 劳务交易的完工进度，依据已完工作的测量确定。</w:t>
      </w:r>
    </w:p>
    <w:p>
      <w:pPr>
        <w:pStyle w:val="Style12"/>
        <w:keepNext w:val="0"/>
        <w:keepLines w:val="0"/>
        <w:widowControl w:val="0"/>
        <w:shd w:val="clear" w:color="auto" w:fill="auto"/>
        <w:bidi w:val="0"/>
        <w:spacing w:before="0" w:line="269" w:lineRule="exact"/>
        <w:ind w:left="0" w:right="0" w:firstLine="0"/>
        <w:jc w:val="both"/>
      </w:pPr>
      <w:r>
        <w:rPr>
          <w:color w:val="000000"/>
          <w:spacing w:val="0"/>
          <w:w w:val="100"/>
          <w:position w:val="0"/>
        </w:rPr>
        <w:t xml:space="preserve">按照已收或应收的合同或协议价款确定提供劳务收入总额，但已收或应收的合同或协议价款不公允 的除外。资产负债表日按照提供劳务收入总额乘以完工进度扣除以前会计期间累计已确认提供劳务 </w:t>
      </w:r>
      <w:r>
        <w:rPr>
          <w:color w:val="000000"/>
          <w:spacing w:val="0"/>
          <w:w w:val="100"/>
          <w:position w:val="0"/>
        </w:rPr>
        <w:t>收入后的金额，确认当期提供劳务收入；同时，按照提供劳务估计总成本乘以完工进度扣除以前会 计期间累计已确认劳务成本后的金额，结转当期劳务成本。</w:t>
      </w:r>
    </w:p>
    <w:p>
      <w:pPr>
        <w:pStyle w:val="Style12"/>
        <w:keepNext w:val="0"/>
        <w:keepLines w:val="0"/>
        <w:widowControl w:val="0"/>
        <w:shd w:val="clear" w:color="auto" w:fill="auto"/>
        <w:bidi w:val="0"/>
        <w:spacing w:before="0" w:line="276" w:lineRule="exact"/>
        <w:ind w:left="0" w:right="0" w:firstLine="0"/>
        <w:jc w:val="both"/>
      </w:pPr>
      <w:r>
        <w:rPr>
          <w:color w:val="000000"/>
          <w:spacing w:val="0"/>
          <w:w w:val="100"/>
          <w:position w:val="0"/>
        </w:rPr>
        <w:t>在资产负债表日提供劳务交易结果不能够可靠估计的，分别下列情况处理：</w:t>
      </w:r>
    </w:p>
    <w:p>
      <w:pPr>
        <w:pStyle w:val="Style12"/>
        <w:keepNext w:val="0"/>
        <w:keepLines w:val="0"/>
        <w:widowControl w:val="0"/>
        <w:numPr>
          <w:ilvl w:val="0"/>
          <w:numId w:val="19"/>
        </w:numPr>
        <w:shd w:val="clear" w:color="auto" w:fill="auto"/>
        <w:tabs>
          <w:tab w:pos="392" w:val="left"/>
        </w:tabs>
        <w:bidi w:val="0"/>
        <w:spacing w:before="0" w:after="0" w:line="276" w:lineRule="exact"/>
        <w:ind w:left="0" w:right="0" w:firstLine="0"/>
        <w:jc w:val="both"/>
      </w:pPr>
      <w:bookmarkStart w:id="746" w:name="bookmark746"/>
      <w:bookmarkEnd w:id="746"/>
      <w:r>
        <w:rPr>
          <w:color w:val="000000"/>
          <w:spacing w:val="0"/>
          <w:w w:val="100"/>
          <w:position w:val="0"/>
        </w:rPr>
        <w:t>已经发生的劳务成本预计能够得到补偿的，按照已经发生的劳务成本金额确认提供劳务收入，并 按相同金额结转劳务成本。</w:t>
      </w:r>
    </w:p>
    <w:p>
      <w:pPr>
        <w:pStyle w:val="Style12"/>
        <w:keepNext w:val="0"/>
        <w:keepLines w:val="0"/>
        <w:widowControl w:val="0"/>
        <w:numPr>
          <w:ilvl w:val="0"/>
          <w:numId w:val="19"/>
        </w:numPr>
        <w:shd w:val="clear" w:color="auto" w:fill="auto"/>
        <w:tabs>
          <w:tab w:pos="397" w:val="left"/>
        </w:tabs>
        <w:bidi w:val="0"/>
        <w:spacing w:before="0" w:after="460" w:line="276" w:lineRule="exact"/>
        <w:ind w:left="0" w:right="0" w:firstLine="0"/>
        <w:jc w:val="both"/>
      </w:pPr>
      <w:bookmarkStart w:id="747" w:name="bookmark747"/>
      <w:bookmarkEnd w:id="747"/>
      <w:r>
        <w:rPr>
          <w:color w:val="000000"/>
          <w:spacing w:val="0"/>
          <w:w w:val="100"/>
          <w:position w:val="0"/>
        </w:rPr>
        <w:t>已经发生的劳务成本预计不能够得到补偿的，将已经发生的劳务成本计入当期损益，不确认提供 劳务收入。</w:t>
      </w:r>
    </w:p>
    <w:p>
      <w:pPr>
        <w:pStyle w:val="Style29"/>
        <w:keepNext/>
        <w:keepLines/>
        <w:widowControl w:val="0"/>
        <w:shd w:val="clear" w:color="auto" w:fill="auto"/>
        <w:bidi w:val="0"/>
        <w:spacing w:before="0" w:after="100" w:line="276" w:lineRule="exact"/>
        <w:ind w:left="0" w:right="0" w:firstLine="0"/>
        <w:jc w:val="both"/>
      </w:pPr>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政府补助：</w:t>
      </w:r>
      <w:bookmarkEnd w:id="748"/>
      <w:bookmarkEnd w:id="749"/>
      <w:bookmarkEnd w:id="750"/>
    </w:p>
    <w:p>
      <w:pPr>
        <w:pStyle w:val="Style29"/>
        <w:keepNext/>
        <w:keepLines/>
        <w:widowControl w:val="0"/>
        <w:shd w:val="clear" w:color="auto" w:fill="auto"/>
        <w:bidi w:val="0"/>
        <w:spacing w:before="0" w:after="100" w:line="276" w:lineRule="exact"/>
        <w:ind w:left="0" w:right="0" w:firstLine="0"/>
        <w:jc w:val="both"/>
      </w:pPr>
      <w:bookmarkStart w:id="748" w:name="bookmark748"/>
      <w:bookmarkStart w:id="749" w:name="bookmark749"/>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color w:val="000000"/>
          <w:spacing w:val="0"/>
          <w:w w:val="100"/>
          <w:position w:val="0"/>
        </w:rPr>
        <w:t>、类型</w:t>
      </w:r>
      <w:bookmarkEnd w:id="748"/>
      <w:bookmarkEnd w:id="749"/>
      <w:bookmarkEnd w:id="752"/>
    </w:p>
    <w:p>
      <w:pPr>
        <w:pStyle w:val="Style12"/>
        <w:keepNext w:val="0"/>
        <w:keepLines w:val="0"/>
        <w:widowControl w:val="0"/>
        <w:shd w:val="clear" w:color="auto" w:fill="auto"/>
        <w:bidi w:val="0"/>
        <w:spacing w:before="0" w:line="269" w:lineRule="exact"/>
        <w:ind w:left="0" w:right="0" w:firstLine="0"/>
        <w:jc w:val="both"/>
      </w:pPr>
      <w:r>
        <w:rPr>
          <w:color w:val="000000"/>
          <w:spacing w:val="0"/>
          <w:w w:val="100"/>
          <w:position w:val="0"/>
        </w:rPr>
        <w:t>政府补助，是本公司从政府无偿取得的货币性资产与非货币性资产。分为与资产相关的政府补助和 与收益相关的政府补助。</w:t>
      </w:r>
    </w:p>
    <w:p>
      <w:pPr>
        <w:pStyle w:val="Style12"/>
        <w:keepNext w:val="0"/>
        <w:keepLines w:val="0"/>
        <w:widowControl w:val="0"/>
        <w:shd w:val="clear" w:color="auto" w:fill="auto"/>
        <w:bidi w:val="0"/>
        <w:spacing w:before="0" w:after="360" w:line="276" w:lineRule="exact"/>
        <w:ind w:left="0" w:right="0" w:firstLine="0"/>
        <w:jc w:val="both"/>
      </w:pPr>
      <w:r>
        <w:rPr>
          <w:color w:val="000000"/>
          <w:spacing w:val="0"/>
          <w:w w:val="100"/>
          <w:position w:val="0"/>
        </w:rPr>
        <w:t>与资产相关的政府补助，是指企业取得的、用于购建或以其他方式形成长期资产的政府补助，包括 购买固定资产或无形资产的财政拨款、固定资产专门借款的财政贴息等。与收益相关的政府补助， 是指除与资产相关的政府补助之外的政府补助。</w:t>
      </w:r>
    </w:p>
    <w:p>
      <w:pPr>
        <w:pStyle w:val="Style29"/>
        <w:keepNext/>
        <w:keepLines/>
        <w:widowControl w:val="0"/>
        <w:shd w:val="clear" w:color="auto" w:fill="auto"/>
        <w:bidi w:val="0"/>
        <w:spacing w:before="0" w:after="100" w:line="274" w:lineRule="exact"/>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color w:val="000000"/>
          <w:spacing w:val="0"/>
          <w:w w:val="100"/>
          <w:position w:val="0"/>
        </w:rPr>
        <w:t>、会计处理</w:t>
      </w:r>
      <w:bookmarkEnd w:id="753"/>
      <w:bookmarkEnd w:id="754"/>
      <w:bookmarkEnd w:id="756"/>
    </w:p>
    <w:p>
      <w:pPr>
        <w:pStyle w:val="Style12"/>
        <w:keepNext w:val="0"/>
        <w:keepLines w:val="0"/>
        <w:widowControl w:val="0"/>
        <w:shd w:val="clear" w:color="auto" w:fill="auto"/>
        <w:bidi w:val="0"/>
        <w:spacing w:before="0" w:after="360" w:line="274" w:lineRule="exact"/>
        <w:ind w:left="0" w:right="0" w:firstLine="0"/>
        <w:jc w:val="both"/>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与收益相关的政府补助，用于补偿企业以后期间的相关费用或损失的，取得时确认为递延收益，在 确认相关费用的期间计入当期营业外收入；用于补偿企业已发生的相关费用或损失的，取得时直接 计入当期营业外收入。</w:t>
      </w:r>
    </w:p>
    <w:p>
      <w:pPr>
        <w:pStyle w:val="Style29"/>
        <w:keepNext/>
        <w:keepLines/>
        <w:widowControl w:val="0"/>
        <w:shd w:val="clear" w:color="auto" w:fill="auto"/>
        <w:bidi w:val="0"/>
        <w:spacing w:before="0" w:after="16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3</w:t>
      </w:r>
      <w:bookmarkEnd w:id="759"/>
      <w:r>
        <w:rPr>
          <w:color w:val="000000"/>
          <w:spacing w:val="0"/>
          <w:w w:val="100"/>
          <w:position w:val="0"/>
        </w:rPr>
        <w:t>、确认时点</w:t>
      </w:r>
      <w:bookmarkEnd w:id="757"/>
      <w:bookmarkEnd w:id="758"/>
      <w:bookmarkEnd w:id="760"/>
    </w:p>
    <w:p>
      <w:pPr>
        <w:pStyle w:val="Style12"/>
        <w:keepNext w:val="0"/>
        <w:keepLines w:val="0"/>
        <w:widowControl w:val="0"/>
        <w:shd w:val="clear" w:color="auto" w:fill="auto"/>
        <w:bidi w:val="0"/>
        <w:spacing w:before="0" w:after="460" w:line="240" w:lineRule="auto"/>
        <w:ind w:left="0" w:right="0" w:firstLine="0"/>
        <w:jc w:val="both"/>
      </w:pPr>
      <w:r>
        <w:rPr>
          <w:color w:val="000000"/>
          <w:spacing w:val="0"/>
          <w:w w:val="100"/>
          <w:position w:val="0"/>
        </w:rPr>
        <w:t>以实际收到政府补助的货币性资产与非货币性资产时作为确认时点。</w:t>
      </w:r>
    </w:p>
    <w:p>
      <w:pPr>
        <w:pStyle w:val="Style29"/>
        <w:keepNext/>
        <w:keepLines/>
        <w:widowControl w:val="0"/>
        <w:shd w:val="clear" w:color="auto" w:fill="auto"/>
        <w:bidi w:val="0"/>
        <w:spacing w:before="0" w:after="100" w:line="276" w:lineRule="exact"/>
        <w:ind w:left="0" w:right="0" w:firstLine="0"/>
        <w:jc w:val="both"/>
      </w:pPr>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761"/>
      <w:bookmarkEnd w:id="762"/>
      <w:bookmarkEnd w:id="763"/>
    </w:p>
    <w:p>
      <w:pPr>
        <w:pStyle w:val="Style12"/>
        <w:keepNext w:val="0"/>
        <w:keepLines w:val="0"/>
        <w:widowControl w:val="0"/>
        <w:shd w:val="clear" w:color="auto" w:fill="auto"/>
        <w:bidi w:val="0"/>
        <w:spacing w:before="0" w:line="278" w:lineRule="exact"/>
        <w:ind w:left="0" w:right="0" w:firstLine="0"/>
        <w:jc w:val="both"/>
      </w:pPr>
      <w:r>
        <w:rPr>
          <w:color w:val="000000"/>
          <w:spacing w:val="0"/>
          <w:w w:val="100"/>
          <w:position w:val="0"/>
        </w:rPr>
        <w:t>对于可抵扣暂时性差异确认递延所得税资产，以未来期间很可能取得的用来抵扣可抵扣暂时性差异 的应纳税所得额为限。</w:t>
      </w:r>
    </w:p>
    <w:p>
      <w:pPr>
        <w:pStyle w:val="Style12"/>
        <w:keepNext w:val="0"/>
        <w:keepLines w:val="0"/>
        <w:widowControl w:val="0"/>
        <w:shd w:val="clear" w:color="auto" w:fill="auto"/>
        <w:bidi w:val="0"/>
        <w:spacing w:before="0" w:line="276" w:lineRule="exact"/>
        <w:ind w:left="0" w:right="0" w:firstLine="0"/>
        <w:jc w:val="both"/>
      </w:pPr>
      <w:r>
        <w:rPr>
          <w:color w:val="000000"/>
          <w:spacing w:val="0"/>
          <w:w w:val="100"/>
          <w:position w:val="0"/>
        </w:rPr>
        <w:t>对于应纳税暂时性差异，除特殊情况外，确认递延所得税负债。</w:t>
      </w:r>
    </w:p>
    <w:p>
      <w:pPr>
        <w:pStyle w:val="Style1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不确认递延所得税资产或递延所得税负债的特殊情况包括：商誉的初始确认；除企业合并以外的发 生时既不影响会计利润也不影响应纳税所得额（或可抵扣亏损）的其他交易或事项。</w:t>
      </w:r>
    </w:p>
    <w:p>
      <w:pPr>
        <w:pStyle w:val="Style12"/>
        <w:keepNext w:val="0"/>
        <w:keepLines w:val="0"/>
        <w:widowControl w:val="0"/>
        <w:shd w:val="clear" w:color="auto" w:fill="auto"/>
        <w:bidi w:val="0"/>
        <w:spacing w:before="0" w:line="276" w:lineRule="exact"/>
        <w:ind w:left="0" w:right="0" w:firstLine="0"/>
        <w:jc w:val="both"/>
      </w:pPr>
      <w:r>
        <w:rPr>
          <w:color w:val="000000"/>
          <w:spacing w:val="0"/>
          <w:w w:val="100"/>
          <w:position w:val="0"/>
        </w:rPr>
        <w:t>当拥有以净额结算的法定权利，且意图以净额结算或取得资产、清偿负债同时进行时，当期所得税 资产及当期所得税负债以抵销后的净额列报。</w:t>
      </w:r>
    </w:p>
    <w:p>
      <w:pPr>
        <w:pStyle w:val="Style12"/>
        <w:keepNext w:val="0"/>
        <w:keepLines w:val="0"/>
        <w:widowControl w:val="0"/>
        <w:shd w:val="clear" w:color="auto" w:fill="auto"/>
        <w:bidi w:val="0"/>
        <w:spacing w:before="0" w:after="500" w:line="274" w:lineRule="exact"/>
        <w:ind w:left="0" w:right="0" w:firstLine="0"/>
        <w:jc w:val="both"/>
      </w:pPr>
      <w:r>
        <w:rPr>
          <w:color w:val="000000"/>
          <w:spacing w:val="0"/>
          <w:w w:val="100"/>
          <w:position w:val="0"/>
        </w:rPr>
        <w:t>当拥有以净额结算当期所得税资产及当期所得税负债的法定权利，且递延所得税资产及递延所得税 负债是与同一税收征管部门对同一纳税主体征收的所得税相关或者是对不同的纳税主体相关，但在 未来每一具有重要性的递延所得税资产及负债转回的期间内，涉及的纳税主体意图以净额结算当期 所得税资产和负债或是同时取得资产、清偿负债时，递延所得税资产及递延所得税负债以抵销后的 净额列报。</w:t>
      </w:r>
    </w:p>
    <w:p>
      <w:pPr>
        <w:pStyle w:val="Style1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二十五</w:t>
      </w:r>
      <w:r>
        <w:rPr>
          <w:b/>
          <w:bCs/>
          <w:color w:val="000000"/>
          <w:spacing w:val="0"/>
          <w:w w:val="100"/>
          <w:position w:val="0"/>
        </w:rPr>
        <w:t>）</w:t>
      </w:r>
      <w:r>
        <w:rPr>
          <w:b/>
          <w:bCs/>
          <w:color w:val="000000"/>
          <w:spacing w:val="0"/>
          <w:w w:val="100"/>
          <w:position w:val="0"/>
        </w:rPr>
        <w:t>经营租赁、融资租赁:</w:t>
      </w:r>
    </w:p>
    <w:p>
      <w:pPr>
        <w:pStyle w:val="Style29"/>
        <w:keepNext/>
        <w:keepLines/>
        <w:widowControl w:val="0"/>
        <w:shd w:val="clear" w:color="auto" w:fill="auto"/>
        <w:bidi w:val="0"/>
        <w:spacing w:before="0" w:after="120" w:line="277" w:lineRule="exact"/>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color w:val="000000"/>
          <w:spacing w:val="0"/>
          <w:w w:val="100"/>
          <w:position w:val="0"/>
        </w:rPr>
        <w:t>、经营租赁会计处理</w:t>
      </w:r>
      <w:bookmarkEnd w:id="764"/>
      <w:bookmarkEnd w:id="765"/>
      <w:bookmarkEnd w:id="767"/>
    </w:p>
    <w:p>
      <w:pPr>
        <w:pStyle w:val="Style12"/>
        <w:keepNext w:val="0"/>
        <w:keepLines w:val="0"/>
        <w:widowControl w:val="0"/>
        <w:shd w:val="clear" w:color="auto" w:fill="auto"/>
        <w:tabs>
          <w:tab w:pos="584" w:val="left"/>
        </w:tabs>
        <w:bidi w:val="0"/>
        <w:spacing w:before="0" w:after="120" w:line="278" w:lineRule="exact"/>
        <w:ind w:left="0" w:right="0" w:firstLine="14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 当期费用。公司支付的与租赁交易相关的初始直接费用，计入当期费用。</w:t>
      </w:r>
    </w:p>
    <w:p>
      <w:pPr>
        <w:pStyle w:val="Style12"/>
        <w:keepNext w:val="0"/>
        <w:keepLines w:val="0"/>
        <w:widowControl w:val="0"/>
        <w:shd w:val="clear" w:color="auto" w:fill="auto"/>
        <w:bidi w:val="0"/>
        <w:spacing w:before="0" w:after="120" w:line="269" w:lineRule="exact"/>
        <w:ind w:left="0" w:right="0" w:firstLine="140"/>
        <w:jc w:val="left"/>
      </w:pPr>
      <w:r>
        <w:rPr>
          <w:color w:val="000000"/>
          <w:spacing w:val="0"/>
          <w:w w:val="100"/>
          <w:position w:val="0"/>
        </w:rPr>
        <w:t>资产出租方承担了应由公司承担的与租赁相关的费用时，公司将该部分费用从租金总额中扣除，按 扣除后的租金费用在租赁期内分摊，计入当期费用。</w:t>
      </w:r>
    </w:p>
    <w:p>
      <w:pPr>
        <w:pStyle w:val="Style12"/>
        <w:keepNext w:val="0"/>
        <w:keepLines w:val="0"/>
        <w:widowControl w:val="0"/>
        <w:shd w:val="clear" w:color="auto" w:fill="auto"/>
        <w:tabs>
          <w:tab w:pos="594" w:val="left"/>
        </w:tabs>
        <w:bidi w:val="0"/>
        <w:spacing w:before="0" w:after="120" w:line="276" w:lineRule="exact"/>
        <w:ind w:left="0" w:right="0" w:firstLine="14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 为租赁收入。公司支付的与租赁交易相关的初始直接费用，计入当期费用；如金额较大的，则予以 资本化，在整个租赁期间内按照与租赁收入确认相同的基础分期计入当期收益。</w:t>
      </w:r>
    </w:p>
    <w:p>
      <w:pPr>
        <w:pStyle w:val="Style12"/>
        <w:keepNext w:val="0"/>
        <w:keepLines w:val="0"/>
        <w:widowControl w:val="0"/>
        <w:shd w:val="clear" w:color="auto" w:fill="auto"/>
        <w:bidi w:val="0"/>
        <w:spacing w:before="0" w:after="360" w:line="283" w:lineRule="exact"/>
        <w:ind w:left="0" w:right="0" w:firstLine="140"/>
        <w:jc w:val="left"/>
      </w:pPr>
      <w:r>
        <w:rPr>
          <w:color w:val="000000"/>
          <w:spacing w:val="0"/>
          <w:w w:val="100"/>
          <w:position w:val="0"/>
        </w:rPr>
        <w:t>公司承担了应由承租方承担的与租赁相关的费用时，公司将该部分费用从租金收入总额中扣除，按 扣除后的租金费用在租赁期内分配。</w:t>
      </w:r>
    </w:p>
    <w:p>
      <w:pPr>
        <w:pStyle w:val="Style29"/>
        <w:keepNext/>
        <w:keepLines/>
        <w:widowControl w:val="0"/>
        <w:shd w:val="clear" w:color="auto" w:fill="auto"/>
        <w:bidi w:val="0"/>
        <w:spacing w:before="0" w:after="120" w:line="274"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、融资租赁会计处理</w:t>
      </w:r>
      <w:bookmarkEnd w:id="770"/>
      <w:bookmarkEnd w:id="771"/>
      <w:bookmarkEnd w:id="773"/>
    </w:p>
    <w:p>
      <w:pPr>
        <w:pStyle w:val="Style12"/>
        <w:keepNext w:val="0"/>
        <w:keepLines w:val="0"/>
        <w:widowControl w:val="0"/>
        <w:shd w:val="clear" w:color="auto" w:fill="auto"/>
        <w:bidi w:val="0"/>
        <w:spacing w:before="0" w:after="580" w:line="274" w:lineRule="exact"/>
        <w:ind w:left="0" w:right="0" w:firstLine="140"/>
        <w:jc w:val="both"/>
      </w:pPr>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 用。公司采用实际利率法对未确认的融资费用，在资产租赁期间内摊销，计入财务费用。公司发生 的初始直接费用，计入租入资产价值。</w:t>
      </w:r>
    </w:p>
    <w:p>
      <w:pPr>
        <w:pStyle w:val="Style29"/>
        <w:keepNext/>
        <w:keepLines/>
        <w:widowControl w:val="0"/>
        <w:shd w:val="clear" w:color="auto" w:fill="auto"/>
        <w:bidi w:val="0"/>
        <w:spacing w:before="0" w:after="120" w:line="264" w:lineRule="exact"/>
        <w:ind w:left="0" w:right="0" w:firstLine="0"/>
        <w:jc w:val="left"/>
      </w:pPr>
      <w:bookmarkStart w:id="774" w:name="bookmark774"/>
      <w:bookmarkStart w:id="775" w:name="bookmark775"/>
      <w:bookmarkStart w:id="776" w:name="bookmark776"/>
      <w:r>
        <w:rPr>
          <w:color w:val="000000"/>
          <w:spacing w:val="0"/>
          <w:w w:val="100"/>
          <w:position w:val="0"/>
        </w:rPr>
        <w:t>（二十六）关联方</w:t>
      </w:r>
      <w:bookmarkEnd w:id="774"/>
      <w:bookmarkEnd w:id="775"/>
      <w:bookmarkEnd w:id="776"/>
    </w:p>
    <w:p>
      <w:pPr>
        <w:pStyle w:val="Style12"/>
        <w:keepNext w:val="0"/>
        <w:keepLines w:val="0"/>
        <w:widowControl w:val="0"/>
        <w:shd w:val="clear" w:color="auto" w:fill="auto"/>
        <w:bidi w:val="0"/>
        <w:spacing w:before="0" w:after="120" w:line="269" w:lineRule="exact"/>
        <w:ind w:left="0" w:right="0" w:firstLine="140"/>
        <w:jc w:val="both"/>
      </w:pPr>
      <w:r>
        <w:rPr>
          <w:color w:val="000000"/>
          <w:spacing w:val="0"/>
          <w:w w:val="100"/>
          <w:position w:val="0"/>
        </w:rPr>
        <w:t>一方控制、共同控制另一方或对另一方施加重大影响，以及两方或两方以上同受一方控制、共同控 制的，构成关联方。关联方可为个人或企业。仅仅同受国家控制而不存在其他关联方关系的企业， 不构成本公司的关联方。</w:t>
      </w:r>
    </w:p>
    <w:p>
      <w:pPr>
        <w:pStyle w:val="Style12"/>
        <w:keepNext w:val="0"/>
        <w:keepLines w:val="0"/>
        <w:widowControl w:val="0"/>
        <w:shd w:val="clear" w:color="auto" w:fill="auto"/>
        <w:bidi w:val="0"/>
        <w:spacing w:before="0" w:after="240" w:line="264" w:lineRule="exact"/>
        <w:ind w:left="0" w:right="0" w:firstLine="0"/>
        <w:jc w:val="left"/>
      </w:pPr>
      <w:r>
        <w:rPr>
          <w:color w:val="000000"/>
          <w:spacing w:val="0"/>
          <w:w w:val="100"/>
          <w:position w:val="0"/>
        </w:rPr>
        <w:t>本公司的关联方包括但不限于：</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1</w:t>
      </w:r>
      <w:r>
        <w:rPr>
          <w:color w:val="000000"/>
          <w:spacing w:val="0"/>
          <w:w w:val="100"/>
          <w:position w:val="0"/>
        </w:rPr>
        <w:t>）</w:t>
        <w:tab/>
        <w:t>本公司的母公司；</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2</w:t>
      </w:r>
      <w:r>
        <w:rPr>
          <w:color w:val="000000"/>
          <w:spacing w:val="0"/>
          <w:w w:val="100"/>
          <w:position w:val="0"/>
        </w:rPr>
        <w:t>）</w:t>
        <w:tab/>
        <w:t>本公司的子公司；</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3</w:t>
      </w:r>
      <w:r>
        <w:rPr>
          <w:color w:val="000000"/>
          <w:spacing w:val="0"/>
          <w:w w:val="100"/>
          <w:position w:val="0"/>
        </w:rPr>
        <w:t>）</w:t>
        <w:tab/>
        <w:t>与本公司受同一母公司控制的其他企业；</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4</w:t>
      </w:r>
      <w:r>
        <w:rPr>
          <w:color w:val="000000"/>
          <w:spacing w:val="0"/>
          <w:w w:val="100"/>
          <w:position w:val="0"/>
        </w:rPr>
        <w:t>）</w:t>
        <w:tab/>
        <w:t>对本公司实施共同控制的投资方；</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5</w:t>
      </w:r>
      <w:r>
        <w:rPr>
          <w:color w:val="000000"/>
          <w:spacing w:val="0"/>
          <w:w w:val="100"/>
          <w:position w:val="0"/>
        </w:rPr>
        <w:t>）</w:t>
        <w:tab/>
        <w:t>对本公司施加重大影响的投资方；</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6</w:t>
      </w:r>
      <w:r>
        <w:rPr>
          <w:color w:val="000000"/>
          <w:spacing w:val="0"/>
          <w:w w:val="100"/>
          <w:position w:val="0"/>
        </w:rPr>
        <w:t>）</w:t>
        <w:tab/>
        <w:t>本公司的合营企业，包括合营企业的子公司；</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7</w:t>
      </w:r>
      <w:r>
        <w:rPr>
          <w:color w:val="000000"/>
          <w:spacing w:val="0"/>
          <w:w w:val="100"/>
          <w:position w:val="0"/>
        </w:rPr>
        <w:t>）</w:t>
        <w:tab/>
        <w:t>本公司的联营企业，包括联营企业的子公司；</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8</w:t>
      </w:r>
      <w:r>
        <w:rPr>
          <w:color w:val="000000"/>
          <w:spacing w:val="0"/>
          <w:w w:val="100"/>
          <w:position w:val="0"/>
        </w:rPr>
        <w:t>）</w:t>
        <w:tab/>
        <w:t>本公司的主要投资者个人及与其关系密切的家庭成员；</w:t>
      </w:r>
    </w:p>
    <w:p>
      <w:pPr>
        <w:pStyle w:val="Style12"/>
        <w:keepNext w:val="0"/>
        <w:keepLines w:val="0"/>
        <w:widowControl w:val="0"/>
        <w:shd w:val="clear" w:color="auto" w:fill="auto"/>
        <w:tabs>
          <w:tab w:pos="488" w:val="left"/>
        </w:tabs>
        <w:bidi w:val="0"/>
        <w:spacing w:before="0" w:after="0" w:line="264" w:lineRule="exact"/>
        <w:ind w:left="0" w:right="0" w:firstLine="0"/>
        <w:jc w:val="left"/>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9</w:t>
      </w:r>
      <w:r>
        <w:rPr>
          <w:color w:val="000000"/>
          <w:spacing w:val="0"/>
          <w:w w:val="100"/>
          <w:position w:val="0"/>
        </w:rPr>
        <w:t>）</w:t>
        <w:tab/>
        <w:t>本公司或其母公司的关键管理人员及与其关系密切的家庭成员；</w:t>
      </w:r>
    </w:p>
    <w:p>
      <w:pPr>
        <w:pStyle w:val="Style12"/>
        <w:keepNext w:val="0"/>
        <w:keepLines w:val="0"/>
        <w:widowControl w:val="0"/>
        <w:shd w:val="clear" w:color="auto" w:fill="auto"/>
        <w:bidi w:val="0"/>
        <w:spacing w:before="0" w:after="240" w:line="264" w:lineRule="exact"/>
        <w:ind w:left="0" w:right="0" w:firstLine="140"/>
        <w:jc w:val="left"/>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10</w:t>
      </w:r>
      <w:r>
        <w:rPr>
          <w:color w:val="000000"/>
          <w:spacing w:val="0"/>
          <w:w w:val="100"/>
          <w:position w:val="0"/>
        </w:rPr>
        <w:t>） 本公司的主要投资者个人、关键管理人员或与其关系密切的家庭成员控制、共同控制的其他 企业。</w:t>
      </w:r>
    </w:p>
    <w:p>
      <w:pPr>
        <w:pStyle w:val="Style12"/>
        <w:keepNext w:val="0"/>
        <w:keepLines w:val="0"/>
        <w:widowControl w:val="0"/>
        <w:shd w:val="clear" w:color="auto" w:fill="auto"/>
        <w:bidi w:val="0"/>
        <w:spacing w:before="0" w:after="0" w:line="264"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二十七</w:t>
      </w:r>
      <w:r>
        <w:rPr>
          <w:b/>
          <w:bCs/>
          <w:color w:val="000000"/>
          <w:spacing w:val="0"/>
          <w:w w:val="100"/>
          <w:position w:val="0"/>
        </w:rPr>
        <w:t>）</w:t>
      </w:r>
      <w:r>
        <w:rPr>
          <w:b/>
          <w:bCs/>
          <w:color w:val="000000"/>
          <w:spacing w:val="0"/>
          <w:w w:val="100"/>
          <w:position w:val="0"/>
        </w:rPr>
        <w:t>主要会计政策、会计估计的变更</w:t>
      </w:r>
    </w:p>
    <w:p>
      <w:pPr>
        <w:pStyle w:val="Style12"/>
        <w:keepNext w:val="0"/>
        <w:keepLines w:val="0"/>
        <w:widowControl w:val="0"/>
        <w:shd w:val="clear" w:color="auto" w:fill="auto"/>
        <w:tabs>
          <w:tab w:pos="445" w:val="left"/>
        </w:tabs>
        <w:bidi w:val="0"/>
        <w:spacing w:before="0" w:after="240" w:line="264" w:lineRule="exact"/>
        <w:ind w:left="0" w:right="0" w:firstLine="0"/>
        <w:jc w:val="left"/>
      </w:pPr>
      <w:bookmarkStart w:id="787" w:name="bookmark787"/>
      <w:r>
        <w:rPr>
          <w:rFonts w:ascii="Times New Roman" w:eastAsia="Times New Roman" w:hAnsi="Times New Roman" w:cs="Times New Roman"/>
          <w:b/>
          <w:bCs/>
          <w:color w:val="000000"/>
          <w:spacing w:val="0"/>
          <w:w w:val="100"/>
          <w:position w:val="0"/>
        </w:rPr>
        <w:t>1</w:t>
      </w:r>
      <w:bookmarkEnd w:id="787"/>
      <w:r>
        <w:rPr>
          <w:b/>
          <w:bCs/>
          <w:color w:val="000000"/>
          <w:spacing w:val="0"/>
          <w:w w:val="100"/>
          <w:position w:val="0"/>
        </w:rPr>
        <w:t>、</w:t>
        <w:tab/>
        <w:t>报告期内公司主要会计政策未发生变更</w:t>
      </w:r>
    </w:p>
    <w:p>
      <w:pPr>
        <w:pStyle w:val="Style12"/>
        <w:keepNext w:val="0"/>
        <w:keepLines w:val="0"/>
        <w:widowControl w:val="0"/>
        <w:shd w:val="clear" w:color="auto" w:fill="auto"/>
        <w:tabs>
          <w:tab w:pos="445" w:val="left"/>
        </w:tabs>
        <w:bidi w:val="0"/>
        <w:spacing w:before="0" w:after="240" w:line="264" w:lineRule="exact"/>
        <w:ind w:left="0" w:right="0" w:firstLine="0"/>
        <w:jc w:val="left"/>
      </w:pPr>
      <w:bookmarkStart w:id="788" w:name="bookmark788"/>
      <w:r>
        <w:rPr>
          <w:rFonts w:ascii="Times New Roman" w:eastAsia="Times New Roman" w:hAnsi="Times New Roman" w:cs="Times New Roman"/>
          <w:b/>
          <w:bCs/>
          <w:color w:val="000000"/>
          <w:spacing w:val="0"/>
          <w:w w:val="100"/>
          <w:position w:val="0"/>
        </w:rPr>
        <w:t>2</w:t>
      </w:r>
      <w:bookmarkEnd w:id="788"/>
      <w:r>
        <w:rPr>
          <w:b/>
          <w:bCs/>
          <w:color w:val="000000"/>
          <w:spacing w:val="0"/>
          <w:w w:val="100"/>
          <w:position w:val="0"/>
        </w:rPr>
        <w:t>、</w:t>
        <w:tab/>
        <w:t>报告期内公司主要会计估计未发生变更</w:t>
      </w:r>
    </w:p>
    <w:p>
      <w:pPr>
        <w:pStyle w:val="Style12"/>
        <w:keepNext w:val="0"/>
        <w:keepLines w:val="0"/>
        <w:widowControl w:val="0"/>
        <w:shd w:val="clear" w:color="auto" w:fill="auto"/>
        <w:bidi w:val="0"/>
        <w:spacing w:before="0" w:after="240" w:line="264"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二十八</w:t>
      </w:r>
      <w:r>
        <w:rPr>
          <w:b/>
          <w:bCs/>
          <w:color w:val="000000"/>
          <w:spacing w:val="0"/>
          <w:w w:val="100"/>
          <w:position w:val="0"/>
        </w:rPr>
        <w:t>）</w:t>
      </w:r>
      <w:r>
        <w:rPr>
          <w:b/>
          <w:bCs/>
          <w:color w:val="000000"/>
          <w:spacing w:val="0"/>
          <w:w w:val="100"/>
          <w:position w:val="0"/>
        </w:rPr>
        <w:t>本报告期未发生前期会计差错更正事项</w:t>
      </w:r>
    </w:p>
    <w:p>
      <w:pPr>
        <w:pStyle w:val="Style12"/>
        <w:keepNext w:val="0"/>
        <w:keepLines w:val="0"/>
        <w:widowControl w:val="0"/>
        <w:shd w:val="clear" w:color="auto" w:fill="auto"/>
        <w:bidi w:val="0"/>
        <w:spacing w:before="0" w:after="120" w:line="264" w:lineRule="exact"/>
        <w:ind w:left="0" w:right="0" w:firstLine="0"/>
        <w:jc w:val="left"/>
      </w:pPr>
      <w:bookmarkStart w:id="789" w:name="bookmark789"/>
      <w:r>
        <w:rPr>
          <w:b/>
          <w:bCs/>
          <w:color w:val="000000"/>
          <w:spacing w:val="0"/>
          <w:w w:val="100"/>
          <w:position w:val="0"/>
        </w:rPr>
        <w:t>五</w:t>
      </w:r>
      <w:bookmarkEnd w:id="789"/>
      <w:r>
        <w:rPr>
          <w:b/>
          <w:bCs/>
          <w:color w:val="000000"/>
          <w:spacing w:val="0"/>
          <w:w w:val="100"/>
          <w:position w:val="0"/>
        </w:rPr>
        <w:t>、税项：</w:t>
      </w:r>
      <w:r>
        <w:br w:type="page"/>
      </w:r>
    </w:p>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3245"/>
        <w:gridCol w:w="3288"/>
        <w:gridCol w:w="2923"/>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按税法规定计算的销售货物和应 税劳务收入为基础计算销项税额， 在扣除当期允许抵扣的进项税额 后，差额部分为应交增值税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教育费附加（含地方教育费附加）</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（含地方教育费附加</w:t>
            </w:r>
            <w:r>
              <w:rPr>
                <w:rFonts w:ascii="Times New Roman" w:eastAsia="Times New Roman" w:hAnsi="Times New Roman" w:cs="Times New Roman"/>
                <w:color w:val="000000"/>
                <w:spacing w:val="0"/>
                <w:w w:val="100"/>
                <w:position w:val="0"/>
              </w:rPr>
              <w:t>2%</w:t>
            </w:r>
            <w:r>
              <w:rPr>
                <w:color w:val="000000"/>
                <w:spacing w:val="0"/>
                <w:w w:val="100"/>
                <w:position w:val="0"/>
              </w:rPr>
              <w:t>）</w:t>
            </w:r>
          </w:p>
        </w:tc>
      </w:tr>
    </w:tbl>
    <w:p>
      <w:pPr>
        <w:widowControl w:val="0"/>
        <w:spacing w:after="219" w:line="1" w:lineRule="exact"/>
      </w:pPr>
    </w:p>
    <w:p>
      <w:pPr>
        <w:pStyle w:val="Style29"/>
        <w:keepNext/>
        <w:keepLines/>
        <w:widowControl w:val="0"/>
        <w:shd w:val="clear" w:color="auto" w:fill="auto"/>
        <w:bidi w:val="0"/>
        <w:spacing w:before="0" w:after="100" w:line="275" w:lineRule="exact"/>
        <w:ind w:left="0" w:right="0" w:firstLine="14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w:t>
      </w:r>
      <w:bookmarkEnd w:id="792"/>
      <w:r>
        <w:rPr>
          <w:color w:val="000000"/>
          <w:spacing w:val="0"/>
          <w:w w:val="100"/>
          <w:position w:val="0"/>
        </w:rPr>
        <w:t>二</w:t>
      </w:r>
      <w:r>
        <w:rPr>
          <w:color w:val="000000"/>
          <w:spacing w:val="0"/>
          <w:w w:val="100"/>
          <w:position w:val="0"/>
        </w:rPr>
        <w:t>）</w:t>
      </w:r>
      <w:r>
        <w:rPr>
          <w:color w:val="000000"/>
          <w:spacing w:val="0"/>
          <w:w w:val="100"/>
          <w:position w:val="0"/>
        </w:rPr>
        <w:t>税收优惠及批文</w:t>
      </w:r>
      <w:bookmarkEnd w:id="790"/>
      <w:bookmarkEnd w:id="791"/>
      <w:bookmarkEnd w:id="793"/>
    </w:p>
    <w:p>
      <w:pPr>
        <w:pStyle w:val="Style12"/>
        <w:keepNext w:val="0"/>
        <w:keepLines w:val="0"/>
        <w:widowControl w:val="0"/>
        <w:shd w:val="clear" w:color="auto" w:fill="auto"/>
        <w:bidi w:val="0"/>
        <w:spacing w:before="0" w:after="160" w:line="275" w:lineRule="exact"/>
        <w:ind w:left="140" w:right="0" w:firstLine="0"/>
        <w:jc w:val="left"/>
        <w:sectPr>
          <w:headerReference w:type="default" r:id="rId45"/>
          <w:footerReference w:type="default" r:id="rId46"/>
          <w:footnotePr>
            <w:pos w:val="pageBottom"/>
            <w:numFmt w:val="decimal"/>
            <w:numRestart w:val="continuous"/>
          </w:footnotePr>
          <w:pgSz w:w="12240" w:h="15840"/>
          <w:pgMar w:top="1042" w:right="1541" w:bottom="1748" w:left="124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日，公司获得江苏省科学技术厅、江苏省财政厅、江苏省国家税务局及江苏省地方 税务局共同颁发的、编号为</w:t>
      </w:r>
      <w:r>
        <w:rPr>
          <w:rFonts w:ascii="Times New Roman" w:eastAsia="Times New Roman" w:hAnsi="Times New Roman" w:cs="Times New Roman"/>
          <w:color w:val="000000"/>
          <w:spacing w:val="0"/>
          <w:w w:val="100"/>
          <w:position w:val="0"/>
        </w:rPr>
        <w:t>GF201132000800</w:t>
      </w:r>
      <w:r>
        <w:rPr>
          <w:color w:val="000000"/>
          <w:spacing w:val="0"/>
          <w:w w:val="100"/>
          <w:position w:val="0"/>
        </w:rPr>
        <w:t>的《高新技术企业证书》，公司被认定为江苏省高新技 术企业，有效期为三年。根据企业所得税法的相关规定，公司作为高新技术企业</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 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12"/>
        <w:keepNext w:val="0"/>
        <w:keepLines w:val="0"/>
        <w:widowControl w:val="0"/>
        <w:shd w:val="clear" w:color="auto" w:fill="auto"/>
        <w:bidi w:val="0"/>
        <w:spacing w:before="0" w:after="0" w:line="240" w:lineRule="auto"/>
        <w:ind w:left="0" w:right="0" w:firstLine="0"/>
        <w:jc w:val="left"/>
      </w:pPr>
      <w:bookmarkStart w:id="794" w:name="bookmark794"/>
      <w:r>
        <w:rPr>
          <w:b/>
          <w:bCs/>
          <w:color w:val="000000"/>
          <w:spacing w:val="0"/>
          <w:w w:val="100"/>
          <w:position w:val="0"/>
        </w:rPr>
        <w:t>六</w:t>
      </w:r>
      <w:bookmarkEnd w:id="794"/>
      <w:r>
        <w:rPr>
          <w:b/>
          <w:bCs/>
          <w:color w:val="000000"/>
          <w:spacing w:val="0"/>
          <w:w w:val="100"/>
          <w:position w:val="0"/>
        </w:rPr>
        <w:t>、企业合并及合并财务报表</w:t>
      </w: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子公司情况</w:t>
      </w:r>
    </w:p>
    <w:p>
      <w:pPr>
        <w:pStyle w:val="Style12"/>
        <w:keepNext w:val="0"/>
        <w:keepLines w:val="0"/>
        <w:widowControl w:val="0"/>
        <w:shd w:val="clear" w:color="auto" w:fill="auto"/>
        <w:tabs>
          <w:tab w:pos="490" w:val="left"/>
        </w:tabs>
        <w:bidi w:val="0"/>
        <w:spacing w:before="0" w:after="0" w:line="240" w:lineRule="auto"/>
        <w:ind w:left="0" w:right="0" w:firstLine="0"/>
        <w:jc w:val="left"/>
      </w:pPr>
      <w:bookmarkStart w:id="795" w:name="bookmark795"/>
      <w:r>
        <w:rPr>
          <w:rFonts w:ascii="Times New Roman" w:eastAsia="Times New Roman" w:hAnsi="Times New Roman" w:cs="Times New Roman"/>
          <w:b/>
          <w:bCs/>
          <w:color w:val="000000"/>
          <w:spacing w:val="0"/>
          <w:w w:val="100"/>
          <w:position w:val="0"/>
        </w:rPr>
        <w:t>1</w:t>
      </w:r>
      <w:bookmarkEnd w:id="795"/>
      <w:r>
        <w:rPr>
          <w:b/>
          <w:bCs/>
          <w:color w:val="000000"/>
          <w:spacing w:val="0"/>
          <w:w w:val="100"/>
          <w:position w:val="0"/>
        </w:rPr>
        <w:t>、</w:t>
        <w:tab/>
        <w:t>通过设立或投资等方式取得的子公司</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40"/>
        <w:gridCol w:w="653"/>
        <w:gridCol w:w="394"/>
        <w:gridCol w:w="619"/>
        <w:gridCol w:w="710"/>
        <w:gridCol w:w="2501"/>
        <w:gridCol w:w="936"/>
        <w:gridCol w:w="960"/>
        <w:gridCol w:w="538"/>
        <w:gridCol w:w="538"/>
        <w:gridCol w:w="398"/>
        <w:gridCol w:w="763"/>
        <w:gridCol w:w="970"/>
        <w:gridCol w:w="1968"/>
      </w:tblGrid>
      <w:tr>
        <w:trPr>
          <w:trHeight w:val="1426"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子公司 全称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子公 司类 型</w:t>
            </w:r>
          </w:p>
        </w:tc>
        <w:tc>
          <w:tcPr>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业务 性质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exact"/>
              <w:ind w:left="160" w:right="0" w:firstLine="20"/>
              <w:jc w:val="left"/>
              <w:rPr>
                <w:sz w:val="15"/>
                <w:szCs w:val="15"/>
              </w:rPr>
            </w:pPr>
            <w:r>
              <w:rPr>
                <w:color w:val="000000"/>
                <w:spacing w:val="0"/>
                <w:w w:val="100"/>
                <w:position w:val="0"/>
                <w:sz w:val="15"/>
                <w:szCs w:val="15"/>
              </w:rPr>
              <w:t>注册 资本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期末实际 出资额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4"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5"/>
                <w:szCs w:val="15"/>
              </w:rPr>
              <w:t xml:space="preserve">持 股 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少数股 东权益</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3"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34" w:lineRule="exact"/>
              <w:ind w:left="0" w:right="0" w:firstLine="0"/>
              <w:jc w:val="center"/>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9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南通林 洋电气 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控股 子公 司</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启东市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制造</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both"/>
              <w:rPr>
                <w:sz w:val="15"/>
                <w:szCs w:val="15"/>
              </w:rPr>
            </w:pPr>
            <w:r>
              <w:rPr>
                <w:color w:val="000000"/>
                <w:spacing w:val="0"/>
                <w:w w:val="100"/>
                <w:position w:val="0"/>
                <w:sz w:val="15"/>
                <w:szCs w:val="15"/>
              </w:rPr>
              <w:t>电力设备、电子设备、仪器仪 表、计算机软件及硬件产品研 发、制造、销售及相关系统集 成业务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w:t>
            </w:r>
          </w:p>
        </w:tc>
      </w:tr>
      <w:tr>
        <w:trPr>
          <w:trHeight w:val="188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both"/>
              <w:rPr>
                <w:sz w:val="15"/>
                <w:szCs w:val="15"/>
              </w:rPr>
            </w:pPr>
            <w:r>
              <w:rPr>
                <w:color w:val="000000"/>
                <w:spacing w:val="0"/>
                <w:w w:val="100"/>
                <w:position w:val="0"/>
                <w:sz w:val="15"/>
                <w:szCs w:val="15"/>
              </w:rPr>
              <w:t>安徽永 安电子 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3" w:lineRule="exact"/>
              <w:ind w:left="0" w:right="0" w:firstLine="0"/>
              <w:jc w:val="left"/>
              <w:rPr>
                <w:sz w:val="15"/>
                <w:szCs w:val="15"/>
              </w:rPr>
            </w:pPr>
            <w:r>
              <w:rPr>
                <w:color w:val="000000"/>
                <w:spacing w:val="0"/>
                <w:w w:val="100"/>
                <w:position w:val="0"/>
                <w:sz w:val="15"/>
                <w:szCs w:val="15"/>
              </w:rPr>
              <w:t>全资 子公 司</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安庆市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制造</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both"/>
              <w:rPr>
                <w:sz w:val="15"/>
                <w:szCs w:val="15"/>
              </w:rPr>
            </w:pPr>
            <w:r>
              <w:rPr>
                <w:color w:val="000000"/>
                <w:spacing w:val="0"/>
                <w:w w:val="100"/>
                <w:position w:val="0"/>
                <w:sz w:val="15"/>
                <w:szCs w:val="15"/>
              </w:rPr>
              <w:t>精密在线测量仪器、计量仪器 仪表、电子专用设备、测量仪 器、工模具、新型仪表元器件 及材料研发、制造、销售：经 营本企业自产产品及技术的 出口业务和本企业所需的机 械设备、零配件、原辅材料及 技术的进出口业务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18,329.36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both"/>
              <w:rPr>
                <w:sz w:val="15"/>
                <w:szCs w:val="15"/>
              </w:rPr>
            </w:pPr>
            <w:r>
              <w:rPr>
                <w:color w:val="000000"/>
                <w:spacing w:val="0"/>
                <w:w w:val="100"/>
                <w:position w:val="0"/>
                <w:sz w:val="15"/>
                <w:szCs w:val="15"/>
              </w:rPr>
              <w:t>江苏林 洋照明 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3" w:lineRule="exact"/>
              <w:ind w:left="0" w:right="0" w:firstLine="0"/>
              <w:jc w:val="left"/>
              <w:rPr>
                <w:sz w:val="15"/>
                <w:szCs w:val="15"/>
              </w:rPr>
            </w:pPr>
            <w:r>
              <w:rPr>
                <w:color w:val="000000"/>
                <w:spacing w:val="0"/>
                <w:w w:val="100"/>
                <w:position w:val="0"/>
                <w:sz w:val="15"/>
                <w:szCs w:val="15"/>
              </w:rPr>
              <w:t>全资 子公 司</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启东市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制造</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5"/>
                <w:szCs w:val="15"/>
              </w:rPr>
            </w:pPr>
            <w:r>
              <w:rPr>
                <w:color w:val="000000"/>
                <w:spacing w:val="0"/>
                <w:w w:val="100"/>
                <w:position w:val="0"/>
                <w:sz w:val="15"/>
                <w:szCs w:val="15"/>
              </w:rPr>
              <w:t xml:space="preserve">节能技术研发及咨询服务，合 同能源管理项目投资，照明器 具、光电元器件、太阳能光伏、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5"/>
                <w:szCs w:val="15"/>
              </w:rPr>
              <w:t>驱动系统、智能家居系 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5"/>
                <w:szCs w:val="15"/>
              </w:rPr>
              <w:t>灯具、</w:t>
            </w:r>
            <w:r>
              <w:rPr>
                <w:rFonts w:ascii="Times New Roman" w:eastAsia="Times New Roman" w:hAnsi="Times New Roman" w:cs="Times New Roman"/>
                <w:color w:val="000000"/>
                <w:spacing w:val="0"/>
                <w:w w:val="100"/>
                <w:position w:val="0"/>
                <w:sz w:val="18"/>
                <w:szCs w:val="18"/>
              </w:rPr>
              <w:t>OLED</w:t>
            </w:r>
            <w:r>
              <w:rPr>
                <w:color w:val="000000"/>
                <w:spacing w:val="0"/>
                <w:w w:val="100"/>
                <w:position w:val="0"/>
                <w:sz w:val="15"/>
                <w:szCs w:val="15"/>
              </w:rPr>
              <w:t>灯具研 发、制造、销售，城市及道路 照明工程、市政公用设施工 程、太阳能光伏工程、室内外 照明工程、景观照明工程设 计、施工、安装、养护，自营 和代理一般商品及技术的进 出口业务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both"/>
              <w:rPr>
                <w:sz w:val="15"/>
                <w:szCs w:val="15"/>
              </w:rPr>
            </w:pPr>
            <w:r>
              <w:rPr>
                <w:color w:val="000000"/>
                <w:spacing w:val="0"/>
                <w:w w:val="100"/>
                <w:position w:val="0"/>
                <w:sz w:val="15"/>
                <w:szCs w:val="15"/>
              </w:rPr>
              <w:t>江苏林 洋新能 源科技 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3" w:lineRule="exact"/>
              <w:ind w:left="0" w:right="0" w:firstLine="0"/>
              <w:jc w:val="left"/>
              <w:rPr>
                <w:sz w:val="15"/>
                <w:szCs w:val="15"/>
              </w:rPr>
            </w:pPr>
            <w:r>
              <w:rPr>
                <w:color w:val="000000"/>
                <w:spacing w:val="0"/>
                <w:w w:val="100"/>
                <w:position w:val="0"/>
                <w:sz w:val="15"/>
                <w:szCs w:val="15"/>
              </w:rPr>
              <w:t>全资 子公 司</w:t>
            </w:r>
          </w:p>
        </w:tc>
        <w:tc>
          <w:tcPr>
            <w:tcBorders>
              <w:top w:val="single" w:sz="4"/>
              <w:left w:val="single" w:sz="4"/>
              <w:bottom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南京市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制造</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both"/>
              <w:rPr>
                <w:sz w:val="15"/>
                <w:szCs w:val="15"/>
              </w:rPr>
            </w:pPr>
            <w:r>
              <w:rPr>
                <w:color w:val="000000"/>
                <w:spacing w:val="0"/>
                <w:w w:val="100"/>
                <w:position w:val="0"/>
                <w:sz w:val="15"/>
                <w:szCs w:val="15"/>
              </w:rPr>
              <w:t>太阳能光伏产品、风力发电设 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5"/>
                <w:szCs w:val="15"/>
              </w:rPr>
              <w:t>及发电设备的研发、 生产、销售；合同能源管理； 节能设备改造工程、自动化控 制系统的设计、施工、调试、 维修及技术的进出口业务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653"/>
        <w:gridCol w:w="394"/>
        <w:gridCol w:w="619"/>
        <w:gridCol w:w="710"/>
        <w:gridCol w:w="2501"/>
        <w:gridCol w:w="936"/>
        <w:gridCol w:w="960"/>
        <w:gridCol w:w="538"/>
        <w:gridCol w:w="538"/>
        <w:gridCol w:w="398"/>
        <w:gridCol w:w="763"/>
        <w:gridCol w:w="970"/>
        <w:gridCol w:w="1968"/>
      </w:tblGrid>
      <w:tr>
        <w:trPr>
          <w:trHeight w:val="9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both"/>
              <w:rPr>
                <w:sz w:val="15"/>
                <w:szCs w:val="15"/>
              </w:rPr>
            </w:pPr>
            <w:r>
              <w:rPr>
                <w:color w:val="000000"/>
                <w:spacing w:val="0"/>
                <w:w w:val="100"/>
                <w:position w:val="0"/>
                <w:sz w:val="15"/>
                <w:szCs w:val="15"/>
              </w:rPr>
              <w:t>林洋新 能源澳 洲有限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全资 子公 司</w:t>
            </w:r>
          </w:p>
        </w:tc>
        <w:tc>
          <w:tcPr>
            <w:tcBorders>
              <w:top w:val="single" w:sz="4"/>
              <w:left w:val="single" w:sz="4"/>
              <w:bottom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澳大利亚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美元</w:t>
            </w:r>
          </w:p>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5"/>
                <w:szCs w:val="15"/>
              </w:rPr>
              <w:t>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5"/>
                <w:szCs w:val="15"/>
              </w:rPr>
              <w:t>美元</w:t>
            </w:r>
            <w:r>
              <w:rPr>
                <w:rFonts w:ascii="Times New Roman" w:eastAsia="Times New Roman" w:hAnsi="Times New Roman" w:cs="Times New Roman"/>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2"/>
        <w:keepNext w:val="0"/>
        <w:keepLines w:val="0"/>
        <w:widowControl w:val="0"/>
        <w:shd w:val="clear" w:color="auto" w:fill="auto"/>
        <w:bidi w:val="0"/>
        <w:spacing w:before="0" w:after="40" w:line="240" w:lineRule="auto"/>
        <w:ind w:left="0" w:right="0" w:hanging="160"/>
        <w:jc w:val="left"/>
      </w:pPr>
      <w:bookmarkStart w:id="796" w:name="bookmark796"/>
      <w:r>
        <w:rPr>
          <w:rFonts w:ascii="Times New Roman" w:eastAsia="Times New Roman" w:hAnsi="Times New Roman" w:cs="Times New Roman"/>
          <w:b/>
          <w:bCs/>
          <w:color w:val="000000"/>
          <w:spacing w:val="0"/>
          <w:w w:val="100"/>
          <w:position w:val="0"/>
        </w:rPr>
        <w:t>2</w:t>
      </w:r>
      <w:bookmarkEnd w:id="796"/>
      <w:r>
        <w:rPr>
          <w:b/>
          <w:bCs/>
          <w:color w:val="000000"/>
          <w:spacing w:val="0"/>
          <w:w w:val="100"/>
          <w:position w:val="0"/>
        </w:rPr>
        <w:t>、同一控制下企业合并取得的子公司</w:t>
      </w:r>
    </w:p>
    <w:p>
      <w:pPr>
        <w:pStyle w:val="Style12"/>
        <w:keepNext w:val="0"/>
        <w:keepLines w:val="0"/>
        <w:widowControl w:val="0"/>
        <w:shd w:val="clear" w:color="auto" w:fill="auto"/>
        <w:bidi w:val="0"/>
        <w:spacing w:before="0" w:after="0" w:line="240" w:lineRule="auto"/>
        <w:ind w:left="1082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03"/>
        <w:gridCol w:w="994"/>
        <w:gridCol w:w="542"/>
        <w:gridCol w:w="394"/>
        <w:gridCol w:w="624"/>
        <w:gridCol w:w="2126"/>
        <w:gridCol w:w="850"/>
        <w:gridCol w:w="989"/>
        <w:gridCol w:w="571"/>
        <w:gridCol w:w="571"/>
        <w:gridCol w:w="422"/>
        <w:gridCol w:w="710"/>
        <w:gridCol w:w="994"/>
        <w:gridCol w:w="1987"/>
      </w:tblGrid>
      <w:tr>
        <w:trPr>
          <w:trHeight w:val="1426"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子公司全 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子公司类 型</w:t>
            </w:r>
          </w:p>
        </w:tc>
        <w:tc>
          <w:tcPr>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注册 资本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期末实 际出资 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5"/>
                <w:szCs w:val="15"/>
              </w:rPr>
              <w:t xml:space="preserve">持 股 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160" w:right="0" w:firstLine="0"/>
              <w:jc w:val="left"/>
              <w:rPr>
                <w:sz w:val="15"/>
                <w:szCs w:val="15"/>
              </w:rPr>
            </w:pPr>
            <w:r>
              <w:rPr>
                <w:color w:val="000000"/>
                <w:spacing w:val="0"/>
                <w:w w:val="100"/>
                <w:position w:val="0"/>
                <w:sz w:val="15"/>
                <w:szCs w:val="15"/>
              </w:rPr>
              <w:t>少数 股东 权益</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2"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34" w:lineRule="exact"/>
              <w:ind w:left="0" w:right="0" w:firstLine="0"/>
              <w:jc w:val="center"/>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72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left"/>
              <w:rPr>
                <w:sz w:val="15"/>
                <w:szCs w:val="15"/>
              </w:rPr>
            </w:pPr>
            <w:r>
              <w:rPr>
                <w:color w:val="000000"/>
                <w:spacing w:val="0"/>
                <w:w w:val="100"/>
                <w:position w:val="0"/>
                <w:sz w:val="15"/>
                <w:szCs w:val="15"/>
              </w:rPr>
              <w:t>南京林洋 电力科技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全资子公 司</w:t>
            </w:r>
          </w:p>
        </w:tc>
        <w:tc>
          <w:tcPr>
            <w:tcBorders>
              <w:top w:val="single" w:sz="4"/>
              <w:left w:val="single" w:sz="4"/>
              <w:bottom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南京市</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制 造 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电力设备、电子设备、计 算机软硬件及系统集成 的研制、销售和技术服务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keepLines/>
        <w:widowControl w:val="0"/>
        <w:shd w:val="clear" w:color="auto" w:fill="auto"/>
        <w:bidi w:val="0"/>
        <w:spacing w:before="0" w:line="240" w:lineRule="auto"/>
        <w:ind w:left="0" w:right="0" w:hanging="16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3</w:t>
      </w:r>
      <w:bookmarkEnd w:id="799"/>
      <w:r>
        <w:rPr>
          <w:color w:val="000000"/>
          <w:spacing w:val="0"/>
          <w:w w:val="100"/>
          <w:position w:val="0"/>
        </w:rPr>
        <w:t>、非同一控制下企业合并取得的子公司</w:t>
      </w:r>
      <w:bookmarkEnd w:id="797"/>
      <w:bookmarkEnd w:id="798"/>
      <w:bookmarkEnd w:id="800"/>
    </w:p>
    <w:p>
      <w:pPr>
        <w:pStyle w:val="Style12"/>
        <w:keepNext w:val="0"/>
        <w:keepLines w:val="0"/>
        <w:widowControl w:val="0"/>
        <w:shd w:val="clear" w:color="auto" w:fill="auto"/>
        <w:bidi w:val="0"/>
        <w:spacing w:before="0" w:after="0" w:line="240" w:lineRule="auto"/>
        <w:ind w:left="1082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03"/>
        <w:gridCol w:w="710"/>
        <w:gridCol w:w="427"/>
        <w:gridCol w:w="456"/>
        <w:gridCol w:w="643"/>
        <w:gridCol w:w="2443"/>
        <w:gridCol w:w="854"/>
        <w:gridCol w:w="989"/>
        <w:gridCol w:w="566"/>
        <w:gridCol w:w="566"/>
        <w:gridCol w:w="422"/>
        <w:gridCol w:w="710"/>
        <w:gridCol w:w="994"/>
        <w:gridCol w:w="1992"/>
      </w:tblGrid>
      <w:tr>
        <w:trPr>
          <w:trHeight w:val="1426"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子公司全 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子公 司类 型</w:t>
            </w:r>
          </w:p>
        </w:tc>
        <w:tc>
          <w:tcPr>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注册 资本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期末实 际出资 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实质上构 成对子公 司净投资 的其他项 目余额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5"/>
                <w:szCs w:val="15"/>
              </w:rPr>
              <w:t xml:space="preserve">持 股 比 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BFBFBF"/>
            <w:textDirection w:val="tbRlV"/>
            <w:vAlign w:val="top"/>
          </w:tcPr>
          <w:p>
            <w:pPr>
              <w:pStyle w:val="Style50"/>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5" w:lineRule="exact"/>
              <w:ind w:left="160" w:right="0" w:firstLine="0"/>
              <w:jc w:val="left"/>
              <w:rPr>
                <w:sz w:val="15"/>
                <w:szCs w:val="15"/>
              </w:rPr>
            </w:pPr>
            <w:r>
              <w:rPr>
                <w:color w:val="000000"/>
                <w:spacing w:val="0"/>
                <w:w w:val="100"/>
                <w:position w:val="0"/>
                <w:sz w:val="15"/>
                <w:szCs w:val="15"/>
              </w:rPr>
              <w:t>少数 股东 权益</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32" w:lineRule="exact"/>
              <w:ind w:left="0" w:right="0" w:firstLine="0"/>
              <w:jc w:val="left"/>
              <w:rPr>
                <w:sz w:val="15"/>
                <w:szCs w:val="15"/>
              </w:rPr>
            </w:pPr>
            <w:r>
              <w:rPr>
                <w:color w:val="000000"/>
                <w:spacing w:val="0"/>
                <w:w w:val="100"/>
                <w:position w:val="0"/>
                <w:sz w:val="15"/>
                <w:szCs w:val="15"/>
              </w:rPr>
              <w:t>少数股东 权益中用 于冲减少 数股东损 益的金额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从母公司所有者权益 冲减子公司少数股东 分担的本期亏损超过 少数股东在该子公司 期初所有者权益中所 享有份额后的余额</w:t>
            </w:r>
          </w:p>
        </w:tc>
      </w:tr>
      <w:tr>
        <w:trPr>
          <w:trHeight w:val="9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武汉奥统 电气有限 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30" w:lineRule="exact"/>
              <w:ind w:left="0" w:right="0" w:firstLine="0"/>
              <w:jc w:val="right"/>
              <w:rPr>
                <w:sz w:val="15"/>
                <w:szCs w:val="15"/>
              </w:rPr>
            </w:pPr>
            <w:r>
              <w:rPr>
                <w:color w:val="000000"/>
                <w:spacing w:val="0"/>
                <w:w w:val="100"/>
                <w:position w:val="0"/>
                <w:sz w:val="15"/>
                <w:szCs w:val="15"/>
              </w:rPr>
              <w:t>控股 子公</w:t>
            </w:r>
          </w:p>
        </w:tc>
        <w:tc>
          <w:tcPr>
            <w:tcBorders>
              <w:top w:val="single" w:sz="4"/>
              <w:left w:val="single" w:sz="4"/>
              <w:bottom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武汉市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0" w:right="0" w:firstLine="0"/>
              <w:jc w:val="left"/>
              <w:rPr>
                <w:sz w:val="15"/>
                <w:szCs w:val="15"/>
              </w:rPr>
            </w:pPr>
            <w:r>
              <w:rPr>
                <w:color w:val="000000"/>
                <w:spacing w:val="0"/>
                <w:w w:val="100"/>
                <w:position w:val="0"/>
                <w:sz w:val="15"/>
                <w:szCs w:val="15"/>
              </w:rPr>
              <w:t>制 造 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left"/>
              <w:rPr>
                <w:sz w:val="15"/>
                <w:szCs w:val="15"/>
              </w:rPr>
            </w:pPr>
            <w:r>
              <w:rPr>
                <w:color w:val="000000"/>
                <w:spacing w:val="0"/>
                <w:w w:val="100"/>
                <w:position w:val="0"/>
                <w:sz w:val="15"/>
                <w:szCs w:val="15"/>
              </w:rPr>
              <w:t>仪器仪表、电力设备的开发、 生产、销售；工业自动化设 备、电力设备、计算机网络 的设计、安装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7"/>
          <w:footerReference w:type="default" r:id="rId48"/>
          <w:footnotePr>
            <w:pos w:val="pageBottom"/>
            <w:numFmt w:val="decimal"/>
            <w:numRestart w:val="continuous"/>
          </w:footnotePr>
          <w:pgSz w:w="15840" w:h="12240" w:orient="landscape"/>
          <w:pgMar w:top="1032" w:right="1796" w:bottom="1622" w:left="1050" w:header="0" w:footer="3" w:gutter="0"/>
          <w:cols w:space="720"/>
          <w:noEndnote/>
          <w:rtlGutter w:val="0"/>
          <w:docGrid w:linePitch="360"/>
        </w:sectPr>
      </w:pPr>
    </w:p>
    <w:p>
      <w:pPr>
        <w:pStyle w:val="Style29"/>
        <w:keepNext/>
        <w:keepLines/>
        <w:widowControl w:val="0"/>
        <w:shd w:val="clear" w:color="auto" w:fill="auto"/>
        <w:tabs>
          <w:tab w:pos="671" w:val="left"/>
        </w:tabs>
        <w:bidi w:val="0"/>
        <w:spacing w:before="0" w:after="120" w:line="240" w:lineRule="auto"/>
        <w:ind w:left="0" w:right="0" w:firstLine="14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w:t>
      </w:r>
      <w:bookmarkEnd w:id="80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合并范围发生变更的说明</w:t>
      </w:r>
      <w:bookmarkEnd w:id="801"/>
      <w:bookmarkEnd w:id="802"/>
      <w:bookmarkEnd w:id="804"/>
    </w:p>
    <w:p>
      <w:pPr>
        <w:pStyle w:val="Style12"/>
        <w:keepNext w:val="0"/>
        <w:keepLines w:val="0"/>
        <w:widowControl w:val="0"/>
        <w:shd w:val="clear" w:color="auto" w:fill="auto"/>
        <w:tabs>
          <w:tab w:pos="619" w:val="left"/>
        </w:tabs>
        <w:bidi w:val="0"/>
        <w:spacing w:before="0" w:after="120" w:line="240" w:lineRule="auto"/>
        <w:ind w:left="0" w:right="0" w:firstLine="140"/>
        <w:jc w:val="left"/>
      </w:pPr>
      <w:bookmarkStart w:id="805" w:name="bookmark805"/>
      <w:r>
        <w:rPr>
          <w:rFonts w:ascii="Times New Roman" w:eastAsia="Times New Roman" w:hAnsi="Times New Roman" w:cs="Times New Roman"/>
          <w:color w:val="000000"/>
          <w:spacing w:val="0"/>
          <w:w w:val="100"/>
          <w:position w:val="0"/>
        </w:rPr>
        <w:t>1</w:t>
      </w:r>
      <w:bookmarkEnd w:id="805"/>
      <w:r>
        <w:rPr>
          <w:color w:val="000000"/>
          <w:spacing w:val="0"/>
          <w:w w:val="100"/>
          <w:position w:val="0"/>
        </w:rPr>
        <w:t>、</w:t>
        <w:tab/>
        <w:t>与上期相比本期无新增合并单位。</w:t>
      </w:r>
    </w:p>
    <w:p>
      <w:pPr>
        <w:pStyle w:val="Style12"/>
        <w:keepNext w:val="0"/>
        <w:keepLines w:val="0"/>
        <w:widowControl w:val="0"/>
        <w:shd w:val="clear" w:color="auto" w:fill="auto"/>
        <w:tabs>
          <w:tab w:pos="619" w:val="left"/>
        </w:tabs>
        <w:bidi w:val="0"/>
        <w:spacing w:before="0" w:after="240" w:line="240" w:lineRule="auto"/>
        <w:ind w:left="0" w:right="0" w:firstLine="140"/>
        <w:jc w:val="left"/>
      </w:pPr>
      <w:bookmarkStart w:id="806" w:name="bookmark806"/>
      <w:r>
        <w:rPr>
          <w:rFonts w:ascii="Times New Roman" w:eastAsia="Times New Roman" w:hAnsi="Times New Roman" w:cs="Times New Roman"/>
          <w:color w:val="000000"/>
          <w:spacing w:val="0"/>
          <w:w w:val="100"/>
          <w:position w:val="0"/>
        </w:rPr>
        <w:t>2</w:t>
      </w:r>
      <w:bookmarkEnd w:id="806"/>
      <w:r>
        <w:rPr>
          <w:color w:val="000000"/>
          <w:spacing w:val="0"/>
          <w:w w:val="100"/>
          <w:position w:val="0"/>
        </w:rPr>
        <w:t>、</w:t>
        <w:tab/>
        <w:t>本期减少合并单位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家，原因为：本年度公司清算控股子公司深圳林洋电子科技有限公司。</w:t>
      </w:r>
    </w:p>
    <w:p>
      <w:pPr>
        <w:pStyle w:val="Style12"/>
        <w:keepNext w:val="0"/>
        <w:keepLines w:val="0"/>
        <w:widowControl w:val="0"/>
        <w:shd w:val="clear" w:color="auto" w:fill="auto"/>
        <w:tabs>
          <w:tab w:pos="671" w:val="left"/>
        </w:tabs>
        <w:bidi w:val="0"/>
        <w:spacing w:before="0" w:after="240" w:line="240" w:lineRule="auto"/>
        <w:ind w:left="0" w:right="0" w:firstLine="140"/>
        <w:jc w:val="left"/>
      </w:pPr>
      <w:bookmarkStart w:id="807" w:name="bookmark807"/>
      <w:r>
        <w:rPr>
          <w:rFonts w:ascii="Times New Roman" w:eastAsia="Times New Roman" w:hAnsi="Times New Roman" w:cs="Times New Roman"/>
          <w:b/>
          <w:bCs/>
          <w:color w:val="000000"/>
          <w:spacing w:val="0"/>
          <w:w w:val="100"/>
          <w:position w:val="0"/>
        </w:rPr>
        <w:t>（</w:t>
      </w:r>
      <w:bookmarkEnd w:id="807"/>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本期不再纳入合并范围的主体</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298"/>
        <w:gridCol w:w="3010"/>
        <w:gridCol w:w="3014"/>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期初至处置日净利润</w:t>
            </w: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深圳林洋电子科技有限公司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153,784.04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-216,204.63</w:t>
            </w:r>
          </w:p>
        </w:tc>
      </w:tr>
    </w:tbl>
    <w:p>
      <w:pPr>
        <w:widowControl w:val="0"/>
        <w:spacing w:after="239" w:line="1" w:lineRule="exact"/>
      </w:pPr>
    </w:p>
    <w:p>
      <w:pPr>
        <w:pStyle w:val="Style29"/>
        <w:keepNext/>
        <w:keepLines/>
        <w:widowControl w:val="0"/>
        <w:shd w:val="clear" w:color="auto" w:fill="auto"/>
        <w:bidi w:val="0"/>
        <w:spacing w:before="0" w:after="120" w:line="264" w:lineRule="exact"/>
        <w:ind w:left="0" w:right="0" w:firstLine="14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w:t>
      </w:r>
      <w:bookmarkEnd w:id="810"/>
      <w:r>
        <w:rPr>
          <w:color w:val="000000"/>
          <w:spacing w:val="0"/>
          <w:w w:val="100"/>
          <w:position w:val="0"/>
        </w:rPr>
        <w:t>四</w:t>
      </w:r>
      <w:r>
        <w:rPr>
          <w:color w:val="000000"/>
          <w:spacing w:val="0"/>
          <w:w w:val="100"/>
          <w:position w:val="0"/>
        </w:rPr>
        <w:t>）</w:t>
      </w:r>
      <w:r>
        <w:rPr>
          <w:color w:val="000000"/>
          <w:spacing w:val="0"/>
          <w:w w:val="100"/>
          <w:position w:val="0"/>
        </w:rPr>
        <w:t>境外经营实体主要报表项目的折算汇率</w:t>
      </w:r>
      <w:bookmarkEnd w:id="808"/>
      <w:bookmarkEnd w:id="809"/>
      <w:bookmarkEnd w:id="811"/>
    </w:p>
    <w:p>
      <w:pPr>
        <w:pStyle w:val="Style12"/>
        <w:keepNext w:val="0"/>
        <w:keepLines w:val="0"/>
        <w:widowControl w:val="0"/>
        <w:shd w:val="clear" w:color="auto" w:fill="auto"/>
        <w:bidi w:val="0"/>
        <w:spacing w:before="0" w:after="120" w:line="264" w:lineRule="exact"/>
        <w:ind w:left="0" w:right="0" w:firstLine="140"/>
        <w:jc w:val="left"/>
      </w:pPr>
      <w:r>
        <w:rPr>
          <w:color w:val="000000"/>
          <w:spacing w:val="0"/>
          <w:w w:val="100"/>
          <w:position w:val="0"/>
        </w:rPr>
        <w:t>期末林洋新能源澳洲有限公司外币报表折算方法：</w:t>
      </w:r>
    </w:p>
    <w:p>
      <w:pPr>
        <w:pStyle w:val="Style12"/>
        <w:keepNext w:val="0"/>
        <w:keepLines w:val="0"/>
        <w:widowControl w:val="0"/>
        <w:shd w:val="clear" w:color="auto" w:fill="auto"/>
        <w:tabs>
          <w:tab w:pos="619" w:val="left"/>
        </w:tabs>
        <w:bidi w:val="0"/>
        <w:spacing w:before="0" w:after="0" w:line="264" w:lineRule="exact"/>
        <w:ind w:left="0" w:right="0" w:firstLine="140"/>
        <w:jc w:val="left"/>
      </w:pPr>
      <w:bookmarkStart w:id="812" w:name="bookmark812"/>
      <w:r>
        <w:rPr>
          <w:rFonts w:ascii="Times New Roman" w:eastAsia="Times New Roman" w:hAnsi="Times New Roman" w:cs="Times New Roman"/>
          <w:color w:val="000000"/>
          <w:spacing w:val="0"/>
          <w:w w:val="100"/>
          <w:position w:val="0"/>
        </w:rPr>
        <w:t>1</w:t>
      </w:r>
      <w:bookmarkEnd w:id="812"/>
      <w:r>
        <w:rPr>
          <w:color w:val="000000"/>
          <w:spacing w:val="0"/>
          <w:w w:val="100"/>
          <w:position w:val="0"/>
        </w:rPr>
        <w:t>、</w:t>
        <w:tab/>
        <w:t>资产负债表中的资产和负债项目，采用资产负债表日的即期汇率即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p>
    <w:p>
      <w:pPr>
        <w:pStyle w:val="Style12"/>
        <w:keepNext w:val="0"/>
        <w:keepLines w:val="0"/>
        <w:widowControl w:val="0"/>
        <w:shd w:val="clear" w:color="auto" w:fill="auto"/>
        <w:tabs>
          <w:tab w:pos="1631" w:val="left"/>
        </w:tabs>
        <w:bidi w:val="0"/>
        <w:spacing w:before="0" w:after="0" w:line="264" w:lineRule="exact"/>
        <w:ind w:left="0" w:right="0" w:firstLine="140"/>
        <w:jc w:val="left"/>
      </w:pPr>
      <w:r>
        <w:rPr>
          <w:color w:val="000000"/>
          <w:spacing w:val="0"/>
          <w:w w:val="100"/>
          <w:position w:val="0"/>
        </w:rPr>
        <w:t>对澳元汇率</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5.4301</w:t>
      </w:r>
      <w:r>
        <w:rPr>
          <w:color w:val="000000"/>
          <w:spacing w:val="0"/>
          <w:w w:val="100"/>
          <w:position w:val="0"/>
        </w:rPr>
        <w:t>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w:t>
      </w:r>
    </w:p>
    <w:p>
      <w:pPr>
        <w:pStyle w:val="Style12"/>
        <w:keepNext w:val="0"/>
        <w:keepLines w:val="0"/>
        <w:widowControl w:val="0"/>
        <w:shd w:val="clear" w:color="auto" w:fill="auto"/>
        <w:bidi w:val="0"/>
        <w:spacing w:before="0" w:after="0" w:line="264" w:lineRule="exact"/>
        <w:ind w:left="0" w:right="0" w:firstLine="140"/>
        <w:jc w:val="left"/>
      </w:pPr>
      <w:r>
        <w:rPr>
          <w:color w:val="000000"/>
          <w:spacing w:val="0"/>
          <w:w w:val="100"/>
          <w:position w:val="0"/>
        </w:rPr>
        <w:t>汇率折算。</w:t>
      </w:r>
    </w:p>
    <w:p>
      <w:pPr>
        <w:pStyle w:val="Style12"/>
        <w:keepNext w:val="0"/>
        <w:keepLines w:val="0"/>
        <w:widowControl w:val="0"/>
        <w:shd w:val="clear" w:color="auto" w:fill="auto"/>
        <w:tabs>
          <w:tab w:pos="619" w:val="left"/>
        </w:tabs>
        <w:bidi w:val="0"/>
        <w:spacing w:before="0" w:after="0" w:line="264" w:lineRule="exact"/>
        <w:ind w:left="0" w:right="0" w:firstLine="140"/>
        <w:jc w:val="left"/>
      </w:pPr>
      <w:bookmarkStart w:id="813" w:name="bookmark813"/>
      <w:r>
        <w:rPr>
          <w:rFonts w:ascii="Times New Roman" w:eastAsia="Times New Roman" w:hAnsi="Times New Roman" w:cs="Times New Roman"/>
          <w:color w:val="000000"/>
          <w:spacing w:val="0"/>
          <w:w w:val="100"/>
          <w:position w:val="0"/>
        </w:rPr>
        <w:t>2</w:t>
      </w:r>
      <w:bookmarkEnd w:id="813"/>
      <w:r>
        <w:rPr>
          <w:color w:val="000000"/>
          <w:spacing w:val="0"/>
          <w:w w:val="100"/>
          <w:position w:val="0"/>
        </w:rPr>
        <w:t>、</w:t>
        <w:tab/>
        <w:t>利润表中的收入和费用项目，采用交易发生日的即期汇率的近似汇率折算。</w:t>
      </w:r>
    </w:p>
    <w:p>
      <w:pPr>
        <w:pStyle w:val="Style12"/>
        <w:keepNext w:val="0"/>
        <w:keepLines w:val="0"/>
        <w:widowControl w:val="0"/>
        <w:shd w:val="clear" w:color="auto" w:fill="auto"/>
        <w:tabs>
          <w:tab w:pos="619" w:val="left"/>
        </w:tabs>
        <w:bidi w:val="0"/>
        <w:spacing w:before="0" w:after="240" w:line="264" w:lineRule="exact"/>
        <w:ind w:left="140" w:right="0" w:firstLine="20"/>
        <w:jc w:val="left"/>
      </w:pPr>
      <w:bookmarkStart w:id="814" w:name="bookmark814"/>
      <w:r>
        <w:rPr>
          <w:rFonts w:ascii="Times New Roman" w:eastAsia="Times New Roman" w:hAnsi="Times New Roman" w:cs="Times New Roman"/>
          <w:color w:val="000000"/>
          <w:spacing w:val="0"/>
          <w:w w:val="100"/>
          <w:position w:val="0"/>
        </w:rPr>
        <w:t>3</w:t>
      </w:r>
      <w:bookmarkEnd w:id="814"/>
      <w:r>
        <w:rPr>
          <w:color w:val="000000"/>
          <w:spacing w:val="0"/>
          <w:w w:val="100"/>
          <w:position w:val="0"/>
        </w:rPr>
        <w:t>、</w:t>
        <w:tab/>
        <w:t>按照上述</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折算产生的外币财务报表折算差额，在资产负债表中所有者权益项目下单独列 示。</w:t>
      </w:r>
    </w:p>
    <w:p>
      <w:pPr>
        <w:pStyle w:val="Style29"/>
        <w:keepNext/>
        <w:keepLines/>
        <w:widowControl w:val="0"/>
        <w:shd w:val="clear" w:color="auto" w:fill="auto"/>
        <w:tabs>
          <w:tab w:pos="628" w:val="left"/>
        </w:tabs>
        <w:bidi w:val="0"/>
        <w:spacing w:before="0" w:after="0" w:line="264" w:lineRule="exact"/>
        <w:ind w:left="0" w:right="0" w:firstLine="140"/>
        <w:jc w:val="left"/>
      </w:pPr>
      <w:bookmarkStart w:id="815" w:name="bookmark815"/>
      <w:bookmarkStart w:id="816" w:name="bookmark816"/>
      <w:bookmarkStart w:id="817" w:name="bookmark817"/>
      <w:bookmarkStart w:id="818" w:name="bookmark818"/>
      <w:r>
        <w:rPr>
          <w:color w:val="000000"/>
          <w:spacing w:val="0"/>
          <w:w w:val="100"/>
          <w:position w:val="0"/>
        </w:rPr>
        <w:t>七</w:t>
      </w:r>
      <w:bookmarkEnd w:id="817"/>
      <w:r>
        <w:rPr>
          <w:color w:val="000000"/>
          <w:spacing w:val="0"/>
          <w:w w:val="100"/>
          <w:position w:val="0"/>
        </w:rPr>
        <w:t>、</w:t>
        <w:tab/>
        <w:t>合并财务报表项目注释</w:t>
      </w:r>
      <w:bookmarkEnd w:id="815"/>
      <w:bookmarkEnd w:id="816"/>
      <w:bookmarkEnd w:id="818"/>
    </w:p>
    <w:p>
      <w:pPr>
        <w:pStyle w:val="Style29"/>
        <w:keepNext/>
        <w:keepLines/>
        <w:widowControl w:val="0"/>
        <w:shd w:val="clear" w:color="auto" w:fill="auto"/>
        <w:bidi w:val="0"/>
        <w:spacing w:before="0" w:after="0" w:line="264" w:lineRule="exact"/>
        <w:ind w:left="0" w:right="0" w:firstLine="140"/>
        <w:jc w:val="left"/>
      </w:pPr>
      <w:bookmarkStart w:id="815" w:name="bookmark815"/>
      <w:bookmarkStart w:id="816" w:name="bookmark816"/>
      <w:bookmarkStart w:id="819" w:name="bookmark81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货币资金</w:t>
      </w:r>
      <w:bookmarkEnd w:id="815"/>
      <w:bookmarkEnd w:id="816"/>
      <w:bookmarkEnd w:id="819"/>
    </w:p>
    <w:p>
      <w:pPr>
        <w:pStyle w:val="Style23"/>
        <w:keepNext w:val="0"/>
        <w:keepLines w:val="0"/>
        <w:widowControl w:val="0"/>
        <w:shd w:val="clear" w:color="auto" w:fill="auto"/>
        <w:bidi w:val="0"/>
        <w:spacing w:before="0" w:after="0" w:line="240" w:lineRule="auto"/>
        <w:ind w:left="8170" w:right="0" w:firstLine="0"/>
        <w:jc w:val="left"/>
      </w:pPr>
      <w:r>
        <w:rPr>
          <w:b w:val="0"/>
          <w:bCs w:val="0"/>
          <w:color w:val="000000"/>
          <w:spacing w:val="0"/>
          <w:w w:val="100"/>
          <w:position w:val="0"/>
        </w:rPr>
        <w:t>单位：元</w:t>
      </w:r>
    </w:p>
    <w:tbl>
      <w:tblPr>
        <w:tblOverlap w:val="never"/>
        <w:jc w:val="center"/>
        <w:tblLayout w:type="fixed"/>
      </w:tblPr>
      <w:tblGrid>
        <w:gridCol w:w="1522"/>
        <w:gridCol w:w="1224"/>
        <w:gridCol w:w="1032"/>
        <w:gridCol w:w="1690"/>
        <w:gridCol w:w="1157"/>
        <w:gridCol w:w="1003"/>
        <w:gridCol w:w="1694"/>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3,074.65</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3,950.22</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3,074.65</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3,950.22</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575,031,406.02</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224,151,007.68</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567,282,173.77</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215,345,638.12</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326,594.31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1,991,212.85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217,500.91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1,367,101.97</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76,548.17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644,451.39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164,507.34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1,368,306.25</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941,707.89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5,113,568.01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928,654.03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6.5363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6,069,961.34</w:t>
            </w: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808,138,294.24</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1,094,140,931.19</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808,138,294.24</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1,094,140,931.19</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1,383,172,774.91</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1,318,295,889.09</w:t>
            </w:r>
          </w:p>
        </w:tc>
      </w:tr>
    </w:tbl>
    <w:p>
      <w:pPr>
        <w:widowControl w:val="0"/>
        <w:spacing w:line="1" w:lineRule="exact"/>
      </w:pPr>
    </w:p>
    <w:p>
      <w:pPr>
        <w:pStyle w:val="Style23"/>
        <w:keepNext w:val="0"/>
        <w:keepLines w:val="0"/>
        <w:widowControl w:val="0"/>
        <w:shd w:val="clear" w:color="auto" w:fill="auto"/>
        <w:bidi w:val="0"/>
        <w:spacing w:before="0" w:after="0" w:line="240" w:lineRule="auto"/>
        <w:ind w:left="144" w:right="0" w:firstLine="0"/>
        <w:jc w:val="left"/>
      </w:pPr>
      <w:r>
        <w:rPr>
          <w:b w:val="0"/>
          <w:bCs w:val="0"/>
          <w:color w:val="000000"/>
          <w:spacing w:val="0"/>
          <w:w w:val="100"/>
          <w:position w:val="0"/>
        </w:rPr>
        <w:t>其中受限制的货币资金明细如下:</w:t>
      </w:r>
    </w:p>
    <w:tbl>
      <w:tblPr>
        <w:tblOverlap w:val="never"/>
        <w:jc w:val="center"/>
        <w:tblLayout w:type="fixed"/>
      </w:tblPr>
      <w:tblGrid>
        <w:gridCol w:w="3648"/>
        <w:gridCol w:w="2693"/>
        <w:gridCol w:w="2986"/>
      </w:tblGrid>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13,476,197.15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13,127,238.25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1,620,000.07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5,123,939.09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12,043,550.31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17,682,142.14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27,189,747.53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35,933,319.48</w:t>
            </w:r>
          </w:p>
        </w:tc>
      </w:tr>
    </w:tbl>
    <w:p>
      <w:pPr>
        <w:pStyle w:val="Style23"/>
        <w:keepNext w:val="0"/>
        <w:keepLines w:val="0"/>
        <w:widowControl w:val="0"/>
        <w:shd w:val="clear" w:color="auto" w:fill="auto"/>
        <w:bidi w:val="0"/>
        <w:spacing w:before="0" w:after="0" w:line="240" w:lineRule="auto"/>
        <w:ind w:left="144" w:right="0" w:firstLine="0"/>
        <w:jc w:val="left"/>
      </w:pPr>
      <w:r>
        <w:rPr>
          <w:b w:val="0"/>
          <w:bCs w:val="0"/>
          <w:color w:val="000000"/>
          <w:spacing w:val="0"/>
          <w:w w:val="100"/>
          <w:position w:val="0"/>
        </w:rPr>
        <w:t>截至</w:t>
      </w:r>
      <w:r>
        <w:rPr>
          <w:rFonts w:ascii="Arial" w:eastAsia="Arial" w:hAnsi="Arial" w:cs="Arial"/>
          <w:b w:val="0"/>
          <w:bCs w:val="0"/>
          <w:color w:val="000000"/>
          <w:spacing w:val="0"/>
          <w:w w:val="100"/>
          <w:position w:val="0"/>
        </w:rPr>
        <w:t>2013</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日，本公司存放于境外的货币资金折合人民币</w:t>
      </w:r>
      <w:r>
        <w:rPr>
          <w:rFonts w:ascii="Arial" w:eastAsia="Arial" w:hAnsi="Arial" w:cs="Arial"/>
          <w:b w:val="0"/>
          <w:bCs w:val="0"/>
          <w:color w:val="000000"/>
          <w:spacing w:val="0"/>
          <w:w w:val="100"/>
          <w:position w:val="0"/>
        </w:rPr>
        <w:t>5,113,568.01</w:t>
      </w:r>
      <w:r>
        <w:rPr>
          <w:b w:val="0"/>
          <w:bCs w:val="0"/>
          <w:color w:val="000000"/>
          <w:spacing w:val="0"/>
          <w:w w:val="100"/>
          <w:position w:val="0"/>
        </w:rPr>
        <w:t>元。</w:t>
      </w:r>
      <w:r>
        <w:br w:type="page"/>
      </w:r>
    </w:p>
    <w:p>
      <w:pPr>
        <w:pStyle w:val="Style12"/>
        <w:keepNext w:val="0"/>
        <w:keepLines w:val="0"/>
        <w:widowControl w:val="0"/>
        <w:shd w:val="clear" w:color="auto" w:fill="auto"/>
        <w:bidi w:val="0"/>
        <w:spacing w:before="0" w:after="200" w:line="293" w:lineRule="exact"/>
        <w:ind w:left="0" w:right="0" w:firstLine="140"/>
        <w:jc w:val="left"/>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日，其他货币资金中人民币</w:t>
      </w:r>
      <w:r>
        <w:rPr>
          <w:rFonts w:ascii="Arial" w:eastAsia="Arial" w:hAnsi="Arial" w:cs="Arial"/>
          <w:color w:val="000000"/>
          <w:spacing w:val="0"/>
          <w:w w:val="100"/>
          <w:position w:val="0"/>
        </w:rPr>
        <w:t>12,043,550.31</w:t>
      </w:r>
      <w:r>
        <w:rPr>
          <w:color w:val="000000"/>
          <w:spacing w:val="0"/>
          <w:w w:val="100"/>
          <w:position w:val="0"/>
        </w:rPr>
        <w:t>元为本公司向银行申请开具无条 件、不可撤销的担保函所存入的保证金存款。</w:t>
      </w:r>
    </w:p>
    <w:p>
      <w:pPr>
        <w:pStyle w:val="Style1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应收票据：</w:t>
      </w:r>
    </w:p>
    <w:p>
      <w:pPr>
        <w:pStyle w:val="Style12"/>
        <w:keepNext w:val="0"/>
        <w:keepLines w:val="0"/>
        <w:widowControl w:val="0"/>
        <w:shd w:val="clear" w:color="auto" w:fill="auto"/>
        <w:bidi w:val="0"/>
        <w:spacing w:before="0" w:after="40" w:line="293" w:lineRule="exact"/>
        <w:ind w:left="0" w:right="0" w:firstLine="0"/>
        <w:jc w:val="left"/>
      </w:pPr>
      <w:bookmarkStart w:id="820" w:name="bookmark820"/>
      <w:r>
        <w:rPr>
          <w:rFonts w:ascii="Times New Roman" w:eastAsia="Times New Roman" w:hAnsi="Times New Roman" w:cs="Times New Roman"/>
          <w:b/>
          <w:bCs/>
          <w:color w:val="000000"/>
          <w:spacing w:val="0"/>
          <w:w w:val="100"/>
          <w:position w:val="0"/>
        </w:rPr>
        <w:t>1</w:t>
      </w:r>
      <w:bookmarkEnd w:id="820"/>
      <w:r>
        <w:rPr>
          <w:b/>
          <w:bCs/>
          <w:color w:val="000000"/>
          <w:spacing w:val="0"/>
          <w:w w:val="100"/>
          <w:position w:val="0"/>
        </w:rPr>
        <w:t>、应收票据分类</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26,180,629.00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25,266,840.80</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26,180,629.00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25,266,840.80</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0"/>
        <w:jc w:val="left"/>
      </w:pPr>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r>
        <w:rPr>
          <w:color w:val="000000"/>
          <w:spacing w:val="0"/>
          <w:w w:val="100"/>
          <w:position w:val="0"/>
        </w:rPr>
        <w:t>、期末公司已经背书给他方但尚未到期的票据情况(金额最大的前五项)</w:t>
      </w:r>
      <w:bookmarkEnd w:id="821"/>
      <w:bookmarkEnd w:id="822"/>
      <w:bookmarkEnd w:id="823"/>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862"/>
        <w:gridCol w:w="1867"/>
        <w:gridCol w:w="1862"/>
        <w:gridCol w:w="1858"/>
        <w:gridCol w:w="1872"/>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公司已经背书给其他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也方但尚未到期的票-</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据</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福鼎市三泰电气 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温州市双盛物资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重庆驰辉商贸有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抚顺新钢铁有限 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国网吉林省电力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8,050,000.00</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0"/>
        <w:jc w:val="left"/>
      </w:pPr>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应收账款</w:t>
      </w:r>
      <w:r>
        <w:rPr>
          <w:color w:val="000000"/>
          <w:spacing w:val="0"/>
          <w:w w:val="100"/>
          <w:position w:val="0"/>
        </w:rPr>
        <w:t>：</w:t>
      </w:r>
      <w:bookmarkEnd w:id="824"/>
      <w:bookmarkEnd w:id="825"/>
      <w:bookmarkEnd w:id="826"/>
    </w:p>
    <w:p>
      <w:pPr>
        <w:pStyle w:val="Style29"/>
        <w:keepNext/>
        <w:keepLines/>
        <w:widowControl w:val="0"/>
        <w:shd w:val="clear" w:color="auto" w:fill="auto"/>
        <w:tabs>
          <w:tab w:pos="494" w:val="left"/>
        </w:tabs>
        <w:bidi w:val="0"/>
        <w:spacing w:before="0" w:line="240" w:lineRule="auto"/>
        <w:ind w:left="0" w:right="0" w:firstLine="0"/>
        <w:jc w:val="left"/>
      </w:pPr>
      <w:bookmarkStart w:id="824" w:name="bookmark824"/>
      <w:bookmarkStart w:id="825" w:name="bookmark825"/>
      <w:bookmarkStart w:id="827" w:name="bookmark827"/>
      <w:r>
        <w:rPr>
          <w:rFonts w:ascii="Times New Roman" w:eastAsia="Times New Roman" w:hAnsi="Times New Roman" w:cs="Times New Roman"/>
          <w:color w:val="000000"/>
          <w:spacing w:val="0"/>
          <w:w w:val="100"/>
          <w:position w:val="0"/>
        </w:rPr>
        <w:t>1</w:t>
      </w:r>
      <w:r>
        <w:rPr>
          <w:color w:val="000000"/>
          <w:spacing w:val="0"/>
          <w:w w:val="100"/>
          <w:position w:val="0"/>
        </w:rPr>
        <w:t>、</w:t>
        <w:tab/>
        <w:t>应收账款按种类披露：</w:t>
      </w:r>
      <w:bookmarkEnd w:id="824"/>
      <w:bookmarkEnd w:id="825"/>
      <w:bookmarkEnd w:id="827"/>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648"/>
        <w:gridCol w:w="1531"/>
        <w:gridCol w:w="792"/>
        <w:gridCol w:w="1426"/>
        <w:gridCol w:w="581"/>
        <w:gridCol w:w="1531"/>
        <w:gridCol w:w="792"/>
        <w:gridCol w:w="1426"/>
        <w:gridCol w:w="595"/>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gridSpan w:val="4"/>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81"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288" w:hRule="exact"/>
        </w:trPr>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w:t>
            </w:r>
          </w:p>
        </w:tc>
        <w:tc>
          <w:tcPr>
            <w:gridSpan w:val="7"/>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账龄 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758,062,082.87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48,880,529.30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759,335,251.09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43,162,058.48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 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758,062,082.87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48,880,529.30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759,335,251.09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43,162,058.48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758,062,082.87</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48,880,529.30</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759,335,251.09</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43,162,058.48</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435"/>
        <w:gridCol w:w="1526"/>
        <w:gridCol w:w="936"/>
        <w:gridCol w:w="1426"/>
        <w:gridCol w:w="2563"/>
        <w:gridCol w:w="1435"/>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9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tabs>
                <w:tab w:pos="1147" w:val="left"/>
              </w:tabs>
              <w:bidi w:val="0"/>
              <w:spacing w:before="0" w:after="0" w:line="240" w:lineRule="auto"/>
              <w:ind w:left="0" w:right="0" w:firstLine="0"/>
              <w:jc w:val="center"/>
            </w:pPr>
            <w:r>
              <w:rPr>
                <w:color w:val="000000"/>
                <w:spacing w:val="0"/>
                <w:w w:val="100"/>
                <w:position w:val="0"/>
              </w:rPr>
              <w:t>金额</w:t>
              <w:tab/>
              <w:t>比例</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BFBFBF"/>
            <w:vAlign w:val="center"/>
          </w:tcPr>
          <w:p>
            <w:pPr/>
          </w:p>
        </w:tc>
      </w:tr>
      <w:tr>
        <w:trPr>
          <w:trHeight w:val="298" w:hRule="exact"/>
        </w:trPr>
        <w:tc>
          <w:tcPr>
            <w:gridSpan w:val="6"/>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bl>
    <w:p>
      <w:pPr>
        <w:widowControl w:val="0"/>
        <w:spacing w:line="1" w:lineRule="exact"/>
      </w:pPr>
      <w:r>
        <w:br w:type="page"/>
      </w:r>
    </w:p>
    <w:tbl>
      <w:tblPr>
        <w:tblOverlap w:val="never"/>
        <w:jc w:val="center"/>
        <w:tblLayout w:type="fixed"/>
      </w:tblPr>
      <w:tblGrid>
        <w:gridCol w:w="1435"/>
        <w:gridCol w:w="1526"/>
        <w:gridCol w:w="936"/>
        <w:gridCol w:w="1426"/>
        <w:gridCol w:w="1531"/>
        <w:gridCol w:w="1032"/>
        <w:gridCol w:w="1435"/>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660,284,616.69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33,014,230.86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690,978,343.97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34,548,917.20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660,284,616.69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33,014,230.86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690,978,343.97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34,548,917.20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74,594,086.93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7,459,408.70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63,442,046.49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6,344,204.65</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21,109,270.72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6,332,781.21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3,779,891.43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1,133,967.43</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2,074,108.53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2,074,108.53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1,134,969.20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1,134,969.20</w:t>
            </w:r>
          </w:p>
        </w:tc>
      </w:tr>
      <w:tr>
        <w:trPr>
          <w:trHeight w:val="302"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758,062,082.87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48,880,529.30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759,335,251.09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43,162,058.48</w:t>
            </w:r>
          </w:p>
        </w:tc>
      </w:tr>
    </w:tbl>
    <w:p>
      <w:pPr>
        <w:widowControl w:val="0"/>
        <w:spacing w:after="479" w:line="1" w:lineRule="exact"/>
      </w:pPr>
    </w:p>
    <w:p>
      <w:pPr>
        <w:pStyle w:val="Style12"/>
        <w:keepNext w:val="0"/>
        <w:keepLines w:val="0"/>
        <w:widowControl w:val="0"/>
        <w:shd w:val="clear" w:color="auto" w:fill="auto"/>
        <w:tabs>
          <w:tab w:pos="518" w:val="left"/>
        </w:tabs>
        <w:bidi w:val="0"/>
        <w:spacing w:before="0" w:after="260" w:line="240" w:lineRule="auto"/>
        <w:ind w:left="0" w:right="0" w:firstLine="140"/>
        <w:jc w:val="left"/>
      </w:pPr>
      <w:bookmarkStart w:id="828" w:name="bookmark828"/>
      <w:r>
        <w:rPr>
          <w:rFonts w:ascii="Times New Roman" w:eastAsia="Times New Roman" w:hAnsi="Times New Roman" w:cs="Times New Roman"/>
          <w:b/>
          <w:bCs/>
          <w:color w:val="000000"/>
          <w:spacing w:val="0"/>
          <w:w w:val="100"/>
          <w:position w:val="0"/>
        </w:rPr>
        <w:t>2</w:t>
      </w:r>
      <w:bookmarkEnd w:id="828"/>
      <w:r>
        <w:rPr>
          <w:b/>
          <w:bCs/>
          <w:color w:val="000000"/>
          <w:spacing w:val="0"/>
          <w:w w:val="100"/>
          <w:position w:val="0"/>
        </w:rPr>
        <w:t>、</w:t>
        <w:tab/>
        <w:t>本报告期应收账款中无持有公司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以上表决权股份的股东单位的欠款。</w:t>
      </w:r>
    </w:p>
    <w:p>
      <w:pPr>
        <w:pStyle w:val="Style12"/>
        <w:keepNext w:val="0"/>
        <w:keepLines w:val="0"/>
        <w:widowControl w:val="0"/>
        <w:shd w:val="clear" w:color="auto" w:fill="auto"/>
        <w:tabs>
          <w:tab w:pos="518" w:val="left"/>
        </w:tabs>
        <w:bidi w:val="0"/>
        <w:spacing w:before="0" w:after="0" w:line="240" w:lineRule="auto"/>
        <w:ind w:left="0" w:right="0" w:firstLine="140"/>
        <w:jc w:val="left"/>
      </w:pPr>
      <w:bookmarkStart w:id="829" w:name="bookmark829"/>
      <w:r>
        <w:rPr>
          <w:rFonts w:ascii="Times New Roman" w:eastAsia="Times New Roman" w:hAnsi="Times New Roman" w:cs="Times New Roman"/>
          <w:b/>
          <w:bCs/>
          <w:color w:val="000000"/>
          <w:spacing w:val="0"/>
          <w:w w:val="100"/>
          <w:position w:val="0"/>
        </w:rPr>
        <w:t>3</w:t>
      </w:r>
      <w:bookmarkEnd w:id="829"/>
      <w:r>
        <w:rPr>
          <w:b/>
          <w:bCs/>
          <w:color w:val="000000"/>
          <w:spacing w:val="0"/>
          <w:w w:val="100"/>
          <w:position w:val="0"/>
        </w:rPr>
        <w:t>、</w:t>
        <w:tab/>
        <w:t>应收账款金额前五名单位情况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52"/>
        <w:gridCol w:w="1704"/>
        <w:gridCol w:w="1555"/>
        <w:gridCol w:w="3120"/>
        <w:gridCol w:w="1790"/>
      </w:tblGrid>
      <w:tr>
        <w:trPr>
          <w:trHeight w:val="571"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与本公司关系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59,926,168.38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7.91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29,072,248.58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3.83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26,205,011.96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3.46</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24,770,112.62</w:t>
            </w:r>
          </w:p>
        </w:tc>
        <w:tc>
          <w:tcPr>
            <w:tcBorders>
              <w:top w:val="single" w:sz="4"/>
              <w:left w:val="single" w:sz="4"/>
            </w:tcBorders>
            <w:shd w:val="clear" w:color="auto" w:fill="FFFFFF"/>
            <w:vAlign w:val="bottom"/>
          </w:tcPr>
          <w:p>
            <w:pPr>
              <w:pStyle w:val="Style26"/>
              <w:keepNext w:val="0"/>
              <w:keepLines w:val="0"/>
              <w:widowControl w:val="0"/>
              <w:shd w:val="clear" w:color="auto" w:fill="auto"/>
              <w:tabs>
                <w:tab w:pos="2318"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23,994,522.51</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775,590.11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3.27</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17,035,866.89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一年以内 </w:t>
            </w:r>
            <w:r>
              <w:rPr>
                <w:rFonts w:ascii="Times New Roman" w:eastAsia="Times New Roman" w:hAnsi="Times New Roman" w:cs="Times New Roman"/>
                <w:color w:val="000000"/>
                <w:spacing w:val="0"/>
                <w:w w:val="100"/>
                <w:position w:val="0"/>
              </w:rPr>
              <w:t xml:space="preserve">16,876,348.73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159,518.16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2.24</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157,009,408.43</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14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4</w:t>
      </w:r>
      <w:bookmarkEnd w:id="832"/>
      <w:r>
        <w:rPr>
          <w:color w:val="000000"/>
          <w:spacing w:val="0"/>
          <w:w w:val="100"/>
          <w:position w:val="0"/>
        </w:rPr>
        <w:t>、应收关联方账款情况</w:t>
      </w:r>
      <w:bookmarkEnd w:id="830"/>
      <w:bookmarkEnd w:id="831"/>
      <w:bookmarkEnd w:id="833"/>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851"/>
        <w:gridCol w:w="1810"/>
        <w:gridCol w:w="1738"/>
        <w:gridCol w:w="2923"/>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与本公司关系</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59,926,168.38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59,926,168.38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w:t>
            </w:r>
          </w:p>
        </w:tc>
      </w:tr>
    </w:tbl>
    <w:p>
      <w:pPr>
        <w:widowControl w:val="0"/>
        <w:spacing w:after="259" w:line="1" w:lineRule="exact"/>
      </w:pPr>
    </w:p>
    <w:p>
      <w:pPr>
        <w:pStyle w:val="Style29"/>
        <w:keepNext/>
        <w:keepLines/>
        <w:widowControl w:val="0"/>
        <w:numPr>
          <w:ilvl w:val="0"/>
          <w:numId w:val="21"/>
        </w:numPr>
        <w:shd w:val="clear" w:color="auto" w:fill="auto"/>
        <w:bidi w:val="0"/>
        <w:spacing w:before="0" w:after="0" w:line="240" w:lineRule="auto"/>
        <w:ind w:left="0" w:right="0" w:firstLine="140"/>
        <w:jc w:val="left"/>
      </w:pPr>
      <w:bookmarkStart w:id="834" w:name="bookmark834"/>
      <w:bookmarkStart w:id="835" w:name="bookmark835"/>
      <w:bookmarkStart w:id="836" w:name="bookmark836"/>
      <w:bookmarkStart w:id="837" w:name="bookmark837"/>
      <w:bookmarkEnd w:id="836"/>
      <w:r>
        <w:rPr>
          <w:color w:val="000000"/>
          <w:spacing w:val="0"/>
          <w:w w:val="100"/>
          <w:position w:val="0"/>
        </w:rPr>
        <w:t>其他应收款：</w:t>
      </w:r>
      <w:bookmarkEnd w:id="834"/>
      <w:bookmarkEnd w:id="835"/>
      <w:bookmarkEnd w:id="837"/>
    </w:p>
    <w:p>
      <w:pPr>
        <w:pStyle w:val="Style29"/>
        <w:keepNext/>
        <w:keepLines/>
        <w:widowControl w:val="0"/>
        <w:shd w:val="clear" w:color="auto" w:fill="auto"/>
        <w:tabs>
          <w:tab w:pos="513" w:val="left"/>
        </w:tabs>
        <w:bidi w:val="0"/>
        <w:spacing w:before="0" w:after="0" w:line="240" w:lineRule="auto"/>
        <w:ind w:left="0" w:right="0" w:firstLine="140"/>
        <w:jc w:val="left"/>
      </w:pPr>
      <w:bookmarkStart w:id="834" w:name="bookmark834"/>
      <w:bookmarkStart w:id="835" w:name="bookmark835"/>
      <w:bookmarkStart w:id="838" w:name="bookmark838"/>
      <w:r>
        <w:rPr>
          <w:rFonts w:ascii="Times New Roman" w:eastAsia="Times New Roman" w:hAnsi="Times New Roman" w:cs="Times New Roman"/>
          <w:color w:val="000000"/>
          <w:spacing w:val="0"/>
          <w:w w:val="100"/>
          <w:position w:val="0"/>
        </w:rPr>
        <w:t>1</w:t>
      </w:r>
      <w:r>
        <w:rPr>
          <w:color w:val="000000"/>
          <w:spacing w:val="0"/>
          <w:w w:val="100"/>
          <w:position w:val="0"/>
        </w:rPr>
        <w:t>、</w:t>
        <w:tab/>
        <w:t>其他应收款按种类披露：</w:t>
      </w:r>
      <w:bookmarkEnd w:id="834"/>
      <w:bookmarkEnd w:id="835"/>
      <w:bookmarkEnd w:id="838"/>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109"/>
        <w:gridCol w:w="1397"/>
        <w:gridCol w:w="768"/>
        <w:gridCol w:w="1286"/>
        <w:gridCol w:w="662"/>
        <w:gridCol w:w="1373"/>
        <w:gridCol w:w="763"/>
        <w:gridCol w:w="1296"/>
        <w:gridCol w:w="667"/>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r>
      <w:tr>
        <w:trPr>
          <w:trHeight w:val="288"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gridSpan w:val="9"/>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按组合计提坏账准备的其他应收账款：</w:t>
            </w:r>
          </w:p>
        </w:tc>
      </w:tr>
      <w:tr>
        <w:trPr>
          <w:trHeight w:val="28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17,350,198.79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1,967,049.14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17,185,443.34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1,689,134.19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17,350,198.79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1,967,049.14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17,185,443.34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1,689,134.19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17,350,198.79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1,967,049.14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17,185,443.34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1,689,134.19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组合中，按账龄分析法计提坏账准备的其他应收账款：</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430"/>
        <w:gridCol w:w="1426"/>
        <w:gridCol w:w="1032"/>
        <w:gridCol w:w="1363"/>
        <w:gridCol w:w="1426"/>
        <w:gridCol w:w="1176"/>
        <w:gridCol w:w="1469"/>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02" w:hRule="exact"/>
        </w:trPr>
        <w:tc>
          <w:tcPr>
            <w:vMerge/>
            <w:tcBorders>
              <w:left w:val="single" w:sz="4"/>
              <w:bottom w:val="single" w:sz="4"/>
            </w:tcBorders>
            <w:shd w:val="clear" w:color="auto" w:fill="BFBFBF"/>
            <w:vAlign w:val="center"/>
          </w:tcPr>
          <w:p>
            <w:pPr/>
          </w:p>
        </w:tc>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bottom w:val="single" w:sz="4"/>
            </w:tcBorders>
            <w:shd w:val="clear" w:color="auto" w:fill="BFBFBF"/>
            <w:vAlign w:val="center"/>
          </w:tcPr>
          <w:p>
            <w:pPr/>
          </w:p>
        </w:tc>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bottom w:val="single" w:sz="4"/>
              <w:right w:val="single" w:sz="4"/>
            </w:tcBorders>
            <w:shd w:val="clear" w:color="auto" w:fill="BFBFBF"/>
            <w:vAlign w:val="center"/>
          </w:tcPr>
          <w:p>
            <w:pPr/>
          </w:p>
        </w:tc>
      </w:tr>
    </w:tbl>
    <w:p>
      <w:pPr>
        <w:widowControl w:val="0"/>
        <w:spacing w:line="1" w:lineRule="exact"/>
      </w:pPr>
      <w:r>
        <w:br w:type="page"/>
      </w:r>
    </w:p>
    <w:tbl>
      <w:tblPr>
        <w:tblOverlap w:val="never"/>
        <w:jc w:val="center"/>
        <w:tblLayout w:type="fixed"/>
      </w:tblPr>
      <w:tblGrid>
        <w:gridCol w:w="1430"/>
        <w:gridCol w:w="1426"/>
        <w:gridCol w:w="1032"/>
        <w:gridCol w:w="1363"/>
        <w:gridCol w:w="1426"/>
        <w:gridCol w:w="1176"/>
        <w:gridCol w:w="1469"/>
      </w:tblGrid>
      <w:tr>
        <w:trPr>
          <w:trHeight w:val="298"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10,477,360.64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523,868.00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15,482,326.57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774,116.31</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10,477,360.64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523,868.00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15,482,326.57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774,116.31</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5,860,246.68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586,024.67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865,195.30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86,519.53</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222,050.00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13,461.60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4,038.48</w:t>
            </w:r>
          </w:p>
        </w:tc>
      </w:tr>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790,541.47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790,541.47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824,459.87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824,459.87</w:t>
            </w:r>
          </w:p>
        </w:tc>
      </w:tr>
      <w:tr>
        <w:trPr>
          <w:trHeight w:val="293"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17,350,198.79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1,967,049.14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17,185,443.34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1,689,134.19</w:t>
            </w:r>
          </w:p>
        </w:tc>
      </w:tr>
    </w:tbl>
    <w:p>
      <w:pPr>
        <w:widowControl w:val="0"/>
        <w:spacing w:after="4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、本报告期实际核销的其他应收款情况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52"/>
        <w:gridCol w:w="1987"/>
        <w:gridCol w:w="1277"/>
        <w:gridCol w:w="2266"/>
        <w:gridCol w:w="264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其他应收款项性质</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是否因关联交易产生</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家客户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17,700.00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长期挂账、无法收回</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17,700.00</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widowControl w:val="0"/>
        <w:spacing w:after="2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、其他应收款金额前五名单位情况</w:t>
      </w:r>
    </w:p>
    <w:p>
      <w:pPr>
        <w:pStyle w:val="Style23"/>
        <w:keepNext w:val="0"/>
        <w:keepLines w:val="0"/>
        <w:widowControl w:val="0"/>
        <w:shd w:val="clear" w:color="auto" w:fill="auto"/>
        <w:bidi w:val="0"/>
        <w:spacing w:before="0" w:after="0" w:line="240" w:lineRule="auto"/>
        <w:ind w:left="6941" w:right="0" w:firstLine="0"/>
        <w:jc w:val="left"/>
      </w:pPr>
      <w:r>
        <w:rPr>
          <w:b w:val="0"/>
          <w:bCs w:val="0"/>
          <w:color w:val="000000"/>
          <w:spacing w:val="0"/>
          <w:w w:val="100"/>
          <w:position w:val="0"/>
        </w:rPr>
        <w:t>单位：元 币种：人民币</w:t>
      </w:r>
    </w:p>
    <w:tbl>
      <w:tblPr>
        <w:tblOverlap w:val="never"/>
        <w:jc w:val="center"/>
        <w:tblLayout w:type="fixed"/>
      </w:tblPr>
      <w:tblGrid>
        <w:gridCol w:w="3701"/>
        <w:gridCol w:w="1493"/>
        <w:gridCol w:w="1416"/>
        <w:gridCol w:w="1099"/>
        <w:gridCol w:w="1613"/>
      </w:tblGrid>
      <w:tr>
        <w:trPr>
          <w:trHeight w:val="566"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 总额的比例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国网国际招标有限公司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23.06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上海通翌招标代理有限公司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10.95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陕西省地方电力招标有限公司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8.30</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重庆大正建设工程经济技术有限公司 成都分公司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6.28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四川省水电投资经营集团有限公司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857,375.50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4.94</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9,287,375.50</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53.53</w:t>
            </w:r>
          </w:p>
        </w:tc>
      </w:tr>
    </w:tbl>
    <w:p>
      <w:pPr>
        <w:widowControl w:val="0"/>
        <w:spacing w:after="239" w:line="1" w:lineRule="exact"/>
      </w:pPr>
    </w:p>
    <w:p>
      <w:pPr>
        <w:pStyle w:val="Style12"/>
        <w:keepNext w:val="0"/>
        <w:keepLines w:val="0"/>
        <w:widowControl w:val="0"/>
        <w:numPr>
          <w:ilvl w:val="0"/>
          <w:numId w:val="21"/>
        </w:numPr>
        <w:shd w:val="clear" w:color="auto" w:fill="auto"/>
        <w:bidi w:val="0"/>
        <w:spacing w:before="0" w:after="0" w:line="240" w:lineRule="auto"/>
        <w:ind w:left="0" w:right="0" w:firstLine="0"/>
        <w:jc w:val="left"/>
      </w:pPr>
      <w:bookmarkStart w:id="839" w:name="bookmark839"/>
      <w:bookmarkEnd w:id="839"/>
      <w:r>
        <w:rPr>
          <w:b/>
          <w:bCs/>
          <w:color w:val="000000"/>
          <w:spacing w:val="0"/>
          <w:w w:val="100"/>
          <w:position w:val="0"/>
        </w:rPr>
        <w:t>预付款项：</w:t>
      </w: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、预付款项按账龄列示</w:t>
      </w:r>
    </w:p>
    <w:p>
      <w:pPr>
        <w:pStyle w:val="Style23"/>
        <w:keepNext w:val="0"/>
        <w:keepLines w:val="0"/>
        <w:widowControl w:val="0"/>
        <w:shd w:val="clear" w:color="auto" w:fill="auto"/>
        <w:bidi w:val="0"/>
        <w:spacing w:before="0" w:after="0" w:line="240" w:lineRule="auto"/>
        <w:ind w:left="6802" w:right="0" w:firstLine="0"/>
        <w:jc w:val="left"/>
      </w:pPr>
      <w:r>
        <w:rPr>
          <w:b w:val="0"/>
          <w:bCs w:val="0"/>
          <w:color w:val="000000"/>
          <w:spacing w:val="0"/>
          <w:w w:val="100"/>
          <w:position w:val="0"/>
        </w:rPr>
        <w:t>单位：元 币种：人民币</w:t>
      </w:r>
    </w:p>
    <w:tbl>
      <w:tblPr>
        <w:tblOverlap w:val="never"/>
        <w:jc w:val="center"/>
        <w:tblLayout w:type="fixed"/>
      </w:tblPr>
      <w:tblGrid>
        <w:gridCol w:w="1608"/>
        <w:gridCol w:w="1882"/>
        <w:gridCol w:w="1877"/>
        <w:gridCol w:w="1973"/>
        <w:gridCol w:w="1982"/>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期末</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E</w:t>
            </w:r>
            <w:r>
              <w:rPr>
                <w:color w:val="000000"/>
                <w:spacing w:val="0"/>
                <w:w w:val="100"/>
                <w:position w:val="0"/>
              </w:rPr>
              <w:t>数</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6,585,804.41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7,764,040.73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94.76</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522,789.82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412,931.89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390,903.60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7,515,747.83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8,193,222.62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color w:val="000000"/>
          <w:spacing w:val="0"/>
          <w:w w:val="100"/>
          <w:position w:val="0"/>
        </w:rPr>
        <w:t>、预付款项金额前五名单位情况</w:t>
      </w:r>
      <w:bookmarkEnd w:id="840"/>
      <w:bookmarkEnd w:id="841"/>
      <w:bookmarkEnd w:id="843"/>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038"/>
        <w:gridCol w:w="1517"/>
        <w:gridCol w:w="1440"/>
        <w:gridCol w:w="1963"/>
        <w:gridCol w:w="1363"/>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启东凯雷达模具制造有限公司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615,000.00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昆山三人行精密模具有限公司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557,760.00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r>
    </w:tbl>
    <w:p>
      <w:pPr>
        <w:widowControl w:val="0"/>
        <w:spacing w:line="1" w:lineRule="exact"/>
      </w:pPr>
      <w:r>
        <w:br w:type="page"/>
      </w:r>
    </w:p>
    <w:tbl>
      <w:tblPr>
        <w:tblOverlap w:val="never"/>
        <w:jc w:val="center"/>
        <w:tblLayout w:type="fixed"/>
      </w:tblPr>
      <w:tblGrid>
        <w:gridCol w:w="3038"/>
        <w:gridCol w:w="1517"/>
        <w:gridCol w:w="1440"/>
        <w:gridCol w:w="1963"/>
        <w:gridCol w:w="1363"/>
      </w:tblGrid>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中央金库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536,827.53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预付进口关 税及增值税</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江苏添福产品服务有限公司上 海分公司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昆山深凯模具有限公司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415,950.00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2,655,537.53</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、本报告期预付账款中无持有公司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widowControl w:val="0"/>
        <w:spacing w:after="499" w:line="1" w:lineRule="exact"/>
      </w:pPr>
    </w:p>
    <w:p>
      <w:pPr>
        <w:pStyle w:val="Style12"/>
        <w:keepNext w:val="0"/>
        <w:keepLines w:val="0"/>
        <w:widowControl w:val="0"/>
        <w:shd w:val="clear" w:color="auto" w:fill="auto"/>
        <w:bidi w:val="0"/>
        <w:spacing w:before="0" w:after="0" w:line="240" w:lineRule="auto"/>
        <w:ind w:left="0" w:right="0" w:firstLine="0"/>
        <w:jc w:val="left"/>
      </w:pPr>
      <w:bookmarkStart w:id="844" w:name="bookmark844"/>
      <w:r>
        <w:rPr>
          <w:rFonts w:ascii="Times New Roman" w:eastAsia="Times New Roman" w:hAnsi="Times New Roman" w:cs="Times New Roman"/>
          <w:b/>
          <w:bCs/>
          <w:color w:val="000000"/>
          <w:spacing w:val="0"/>
          <w:w w:val="100"/>
          <w:position w:val="0"/>
        </w:rPr>
        <w:t>（</w:t>
      </w:r>
      <w:bookmarkEnd w:id="844"/>
      <w:r>
        <w:rPr>
          <w:b/>
          <w:bCs/>
          <w:color w:val="000000"/>
          <w:spacing w:val="0"/>
          <w:w w:val="100"/>
          <w:position w:val="0"/>
        </w:rPr>
        <w:t>六</w:t>
      </w:r>
      <w:r>
        <w:rPr>
          <w:b/>
          <w:bCs/>
          <w:color w:val="000000"/>
          <w:spacing w:val="0"/>
          <w:w w:val="100"/>
          <w:position w:val="0"/>
        </w:rPr>
        <w:t>）</w:t>
      </w:r>
      <w:r>
        <w:rPr>
          <w:b/>
          <w:bCs/>
          <w:color w:val="000000"/>
          <w:spacing w:val="0"/>
          <w:w w:val="100"/>
          <w:position w:val="0"/>
        </w:rPr>
        <w:t>存货：</w:t>
      </w:r>
    </w:p>
    <w:p>
      <w:pPr>
        <w:pStyle w:val="Style12"/>
        <w:keepNext w:val="0"/>
        <w:keepLines w:val="0"/>
        <w:widowControl w:val="0"/>
        <w:shd w:val="clear" w:color="auto" w:fill="auto"/>
        <w:tabs>
          <w:tab w:pos="494"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存货分类</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97"/>
        <w:gridCol w:w="1464"/>
        <w:gridCol w:w="1267"/>
        <w:gridCol w:w="1464"/>
        <w:gridCol w:w="1469"/>
        <w:gridCol w:w="1267"/>
        <w:gridCol w:w="1474"/>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117,677,434.67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7,911,921.87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109,765,512.80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135,255,250.05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8,760,166.82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126,495,083.23</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17,615,221.98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17,615,221.98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22,570,781.80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22,570,781.80</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250,834,686.83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250,834,686.83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302,191,779.24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302,191,779.24</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1,115,702.22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1,115,702.22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782,021.56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780,011.85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2,699,893.09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2,699,893.09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9,261,491.95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9,261,491.95</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自制半成品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14,030,936.63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1,248,804.71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12,782,131.92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49,308,867.37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1,140,024.85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48,168,842.52</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工程施工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8,990,408.53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8,990,408.53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412,964,283.95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9,160,726.58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403,803,557.37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519,370,191.97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9,902,201.38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509,467,990.59</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845"/>
      <w:bookmarkEnd w:id="846"/>
      <w:bookmarkEnd w:id="847"/>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354"/>
        <w:gridCol w:w="1723"/>
        <w:gridCol w:w="1536"/>
        <w:gridCol w:w="1344"/>
        <w:gridCol w:w="1627"/>
        <w:gridCol w:w="1738"/>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存货种类</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r>
      <w:tr>
        <w:trPr>
          <w:trHeight w:val="293"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BFBFBF"/>
            <w:vAlign w:val="center"/>
          </w:tcPr>
          <w:p>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8,760,166.82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7,104,848.97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7,953,093.92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7,911,921.87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1,140,024.85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1,181,137.21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1,072,357.35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1,248,804.71</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9,902,201.38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8,285,986.18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9,027,460.98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9,160,726.58</w:t>
            </w:r>
          </w:p>
        </w:tc>
      </w:tr>
    </w:tbl>
    <w:p>
      <w:pPr>
        <w:widowControl w:val="0"/>
        <w:spacing w:after="2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p>
    <w:tbl>
      <w:tblPr>
        <w:tblOverlap w:val="never"/>
        <w:jc w:val="center"/>
        <w:tblLayout w:type="fixed"/>
      </w:tblPr>
      <w:tblGrid>
        <w:gridCol w:w="1718"/>
        <w:gridCol w:w="2981"/>
        <w:gridCol w:w="2266"/>
        <w:gridCol w:w="2357"/>
      </w:tblGrid>
      <w:tr>
        <w:trPr>
          <w:trHeight w:val="571"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本期转回存货跌价准 备的原因</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本期转回金额占该项存 货期末余额的比例（%）</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预计可变现净值低于账面价值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预计可变现净值低于账面价值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预计可变现净值低于账面价值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w:t>
      </w:r>
      <w:bookmarkEnd w:id="850"/>
      <w:r>
        <w:rPr>
          <w:color w:val="000000"/>
          <w:spacing w:val="0"/>
          <w:w w:val="100"/>
          <w:position w:val="0"/>
        </w:rPr>
        <w:t>七</w:t>
      </w:r>
      <w:r>
        <w:rPr>
          <w:color w:val="000000"/>
          <w:spacing w:val="0"/>
          <w:w w:val="100"/>
          <w:position w:val="0"/>
        </w:rPr>
        <w:t>）</w:t>
      </w:r>
      <w:r>
        <w:rPr>
          <w:color w:val="000000"/>
          <w:spacing w:val="0"/>
          <w:w w:val="100"/>
          <w:position w:val="0"/>
        </w:rPr>
        <w:t>其他流动资产：</w:t>
      </w:r>
      <w:bookmarkEnd w:id="848"/>
      <w:bookmarkEnd w:id="849"/>
      <w:bookmarkEnd w:id="851"/>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923"/>
        <w:gridCol w:w="3197"/>
        <w:gridCol w:w="3202"/>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200,000,000.00</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180,000,000.00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200,000,000.00</w:t>
            </w:r>
          </w:p>
        </w:tc>
      </w:tr>
    </w:tbl>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、公司于</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日购入中国建设银行保本浮动收益型理财产品</w:t>
      </w:r>
      <w:r>
        <w:rPr>
          <w:rFonts w:ascii="Times New Roman" w:eastAsia="Times New Roman" w:hAnsi="Times New Roman" w:cs="Times New Roman"/>
          <w:b w:val="0"/>
          <w:bCs w:val="0"/>
          <w:color w:val="000000"/>
          <w:spacing w:val="0"/>
          <w:w w:val="100"/>
          <w:position w:val="0"/>
        </w:rPr>
        <w:t>2,000</w:t>
      </w:r>
      <w:r>
        <w:rPr>
          <w:b w:val="0"/>
          <w:bCs w:val="0"/>
          <w:color w:val="000000"/>
          <w:spacing w:val="0"/>
          <w:w w:val="100"/>
          <w:position w:val="0"/>
        </w:rPr>
        <w:t>万元，期限</w:t>
      </w:r>
      <w:r>
        <w:rPr>
          <w:rFonts w:ascii="Times New Roman" w:eastAsia="Times New Roman" w:hAnsi="Times New Roman" w:cs="Times New Roman"/>
          <w:b w:val="0"/>
          <w:bCs w:val="0"/>
          <w:color w:val="000000"/>
          <w:spacing w:val="0"/>
          <w:w w:val="100"/>
          <w:position w:val="0"/>
        </w:rPr>
        <w:t>89</w:t>
      </w:r>
      <w:r>
        <w:rPr>
          <w:b w:val="0"/>
          <w:bCs w:val="0"/>
          <w:color w:val="000000"/>
          <w:spacing w:val="0"/>
          <w:w w:val="100"/>
          <w:position w:val="0"/>
        </w:rPr>
        <w:t>天,</w:t>
      </w:r>
      <w:r>
        <w:br w:type="page"/>
      </w:r>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到期日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12"/>
        <w:keepNext w:val="0"/>
        <w:keepLines w:val="0"/>
        <w:widowControl w:val="0"/>
        <w:shd w:val="clear" w:color="auto" w:fill="auto"/>
        <w:tabs>
          <w:tab w:pos="422" w:val="left"/>
        </w:tabs>
        <w:bidi w:val="0"/>
        <w:spacing w:before="0" w:line="274" w:lineRule="exact"/>
        <w:ind w:left="0" w:right="0" w:firstLine="140"/>
        <w:jc w:val="left"/>
      </w:pPr>
      <w:bookmarkStart w:id="852" w:name="bookmark852"/>
      <w:r>
        <w:rPr>
          <w:rFonts w:ascii="Times New Roman" w:eastAsia="Times New Roman" w:hAnsi="Times New Roman" w:cs="Times New Roman"/>
          <w:color w:val="000000"/>
          <w:spacing w:val="0"/>
          <w:w w:val="100"/>
          <w:position w:val="0"/>
        </w:rPr>
        <w:t>2</w:t>
      </w:r>
      <w:bookmarkEnd w:id="852"/>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日购入中国建设银行保本浮动收益型理财产品</w:t>
      </w:r>
      <w:r>
        <w:rPr>
          <w:rFonts w:ascii="Times New Roman" w:eastAsia="Times New Roman" w:hAnsi="Times New Roman" w:cs="Times New Roman"/>
          <w:color w:val="000000"/>
          <w:spacing w:val="0"/>
          <w:w w:val="100"/>
          <w:position w:val="0"/>
        </w:rPr>
        <w:t>9,000</w:t>
      </w:r>
      <w:r>
        <w:rPr>
          <w:color w:val="000000"/>
          <w:spacing w:val="0"/>
          <w:w w:val="100"/>
          <w:position w:val="0"/>
        </w:rPr>
        <w:t>万元，期限</w:t>
      </w:r>
      <w:r>
        <w:rPr>
          <w:rFonts w:ascii="Times New Roman" w:eastAsia="Times New Roman" w:hAnsi="Times New Roman" w:cs="Times New Roman"/>
          <w:color w:val="000000"/>
          <w:spacing w:val="0"/>
          <w:w w:val="100"/>
          <w:position w:val="0"/>
        </w:rPr>
        <w:t>94</w:t>
      </w:r>
      <w:r>
        <w:rPr>
          <w:color w:val="000000"/>
          <w:spacing w:val="0"/>
          <w:w w:val="100"/>
          <w:position w:val="0"/>
        </w:rPr>
        <w:t>天， 计划到期日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12"/>
        <w:keepNext w:val="0"/>
        <w:keepLines w:val="0"/>
        <w:widowControl w:val="0"/>
        <w:shd w:val="clear" w:color="auto" w:fill="auto"/>
        <w:tabs>
          <w:tab w:pos="422" w:val="left"/>
        </w:tabs>
        <w:bidi w:val="0"/>
        <w:spacing w:before="0" w:line="274" w:lineRule="exact"/>
        <w:ind w:left="0" w:right="0" w:firstLine="140"/>
        <w:jc w:val="left"/>
      </w:pPr>
      <w:bookmarkStart w:id="853" w:name="bookmark853"/>
      <w:r>
        <w:rPr>
          <w:rFonts w:ascii="Times New Roman" w:eastAsia="Times New Roman" w:hAnsi="Times New Roman" w:cs="Times New Roman"/>
          <w:color w:val="000000"/>
          <w:spacing w:val="0"/>
          <w:w w:val="100"/>
          <w:position w:val="0"/>
        </w:rPr>
        <w:t>3</w:t>
      </w:r>
      <w:bookmarkEnd w:id="853"/>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日购入中国建设银行保本浮动收益型理财产品</w:t>
      </w:r>
      <w:r>
        <w:rPr>
          <w:rFonts w:ascii="Times New Roman" w:eastAsia="Times New Roman" w:hAnsi="Times New Roman" w:cs="Times New Roman"/>
          <w:color w:val="000000"/>
          <w:spacing w:val="0"/>
          <w:w w:val="100"/>
          <w:position w:val="0"/>
        </w:rPr>
        <w:t>6,000</w:t>
      </w:r>
      <w:r>
        <w:rPr>
          <w:color w:val="000000"/>
          <w:spacing w:val="0"/>
          <w:w w:val="100"/>
          <w:position w:val="0"/>
        </w:rPr>
        <w:t>万元，期限</w:t>
      </w:r>
      <w:r>
        <w:rPr>
          <w:rFonts w:ascii="Times New Roman" w:eastAsia="Times New Roman" w:hAnsi="Times New Roman" w:cs="Times New Roman"/>
          <w:color w:val="000000"/>
          <w:spacing w:val="0"/>
          <w:w w:val="100"/>
          <w:position w:val="0"/>
        </w:rPr>
        <w:t>88</w:t>
      </w:r>
      <w:r>
        <w:rPr>
          <w:color w:val="000000"/>
          <w:spacing w:val="0"/>
          <w:w w:val="100"/>
          <w:position w:val="0"/>
        </w:rPr>
        <w:t>天， 计划到期日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12"/>
        <w:keepNext w:val="0"/>
        <w:keepLines w:val="0"/>
        <w:widowControl w:val="0"/>
        <w:shd w:val="clear" w:color="auto" w:fill="auto"/>
        <w:tabs>
          <w:tab w:pos="422" w:val="left"/>
        </w:tabs>
        <w:bidi w:val="0"/>
        <w:spacing w:before="0" w:after="520" w:line="274" w:lineRule="exact"/>
        <w:ind w:left="0" w:right="0" w:firstLine="140"/>
        <w:jc w:val="left"/>
      </w:pPr>
      <w:bookmarkStart w:id="854" w:name="bookmark854"/>
      <w:r>
        <w:rPr>
          <w:rFonts w:ascii="Times New Roman" w:eastAsia="Times New Roman" w:hAnsi="Times New Roman" w:cs="Times New Roman"/>
          <w:color w:val="000000"/>
          <w:spacing w:val="0"/>
          <w:w w:val="100"/>
          <w:position w:val="0"/>
        </w:rPr>
        <w:t>4</w:t>
      </w:r>
      <w:bookmarkEnd w:id="854"/>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日购入中国建设银行保本浮动收益型理财产品</w:t>
      </w:r>
      <w:r>
        <w:rPr>
          <w:rFonts w:ascii="Times New Roman" w:eastAsia="Times New Roman" w:hAnsi="Times New Roman" w:cs="Times New Roman"/>
          <w:color w:val="000000"/>
          <w:spacing w:val="0"/>
          <w:w w:val="100"/>
          <w:position w:val="0"/>
        </w:rPr>
        <w:t>1,000</w:t>
      </w:r>
      <w:r>
        <w:rPr>
          <w:color w:val="000000"/>
          <w:spacing w:val="0"/>
          <w:w w:val="100"/>
          <w:position w:val="0"/>
        </w:rPr>
        <w:t>万元，期限</w:t>
      </w:r>
      <w:r>
        <w:rPr>
          <w:rFonts w:ascii="Times New Roman" w:eastAsia="Times New Roman" w:hAnsi="Times New Roman" w:cs="Times New Roman"/>
          <w:color w:val="000000"/>
          <w:spacing w:val="0"/>
          <w:w w:val="100"/>
          <w:position w:val="0"/>
        </w:rPr>
        <w:t>33</w:t>
      </w:r>
      <w:r>
        <w:rPr>
          <w:color w:val="000000"/>
          <w:spacing w:val="0"/>
          <w:w w:val="100"/>
          <w:position w:val="0"/>
        </w:rPr>
        <w:t>天， 计划到期日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BFBFBF"/>
            <w:vAlign w:val="top"/>
          </w:tcPr>
          <w:p>
            <w:pPr>
              <w:framePr w:w="9322" w:h="883" w:vSpace="269" w:wrap="notBeside" w:vAnchor="text" w:hAnchor="text" w:x="260" w:y="539"/>
              <w:widowControl w:val="0"/>
              <w:rPr>
                <w:sz w:val="10"/>
                <w:szCs w:val="10"/>
              </w:rPr>
            </w:pPr>
          </w:p>
        </w:tc>
        <w:tc>
          <w:tcPr>
            <w:tcBorders>
              <w:top w:val="single" w:sz="4"/>
              <w:left w:val="single" w:sz="4"/>
            </w:tcBorders>
            <w:shd w:val="clear" w:color="auto" w:fill="BFBFBF"/>
            <w:vAlign w:val="bottom"/>
          </w:tcPr>
          <w:p>
            <w:pPr>
              <w:pStyle w:val="Style26"/>
              <w:keepNext w:val="0"/>
              <w:keepLines w:val="0"/>
              <w:framePr w:w="9322" w:h="883" w:vSpace="269"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bottom"/>
          </w:tcPr>
          <w:p>
            <w:pPr>
              <w:pStyle w:val="Style26"/>
              <w:keepNext w:val="0"/>
              <w:keepLines w:val="0"/>
              <w:framePr w:w="9322" w:h="883" w:vSpace="269"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883" w:vSpace="269"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framePr w:w="9322" w:h="883" w:vSpace="269" w:wrap="notBeside" w:vAnchor="text" w:hAnchor="text" w:x="260"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21,011,596.48</w:t>
            </w:r>
          </w:p>
        </w:tc>
        <w:tc>
          <w:tcPr>
            <w:tcBorders>
              <w:top w:val="single" w:sz="4"/>
              <w:left w:val="single" w:sz="4"/>
              <w:right w:val="single" w:sz="4"/>
            </w:tcBorders>
            <w:shd w:val="clear" w:color="auto" w:fill="FFFFFF"/>
            <w:vAlign w:val="top"/>
          </w:tcPr>
          <w:p>
            <w:pPr>
              <w:framePr w:w="9322" w:h="883" w:vSpace="269" w:wrap="notBeside" w:vAnchor="text" w:hAnchor="text" w:x="260" w:y="539"/>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883" w:vSpace="269"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883" w:vSpace="269" w:wrap="notBeside" w:vAnchor="text" w:hAnchor="text" w:x="260"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21,011,596.48</w:t>
            </w:r>
          </w:p>
        </w:tc>
        <w:tc>
          <w:tcPr>
            <w:tcBorders>
              <w:top w:val="single" w:sz="4"/>
              <w:left w:val="single" w:sz="4"/>
              <w:bottom w:val="single" w:sz="4"/>
              <w:right w:val="single" w:sz="4"/>
            </w:tcBorders>
            <w:shd w:val="clear" w:color="auto" w:fill="FFFFFF"/>
            <w:vAlign w:val="top"/>
          </w:tcPr>
          <w:p>
            <w:pPr>
              <w:framePr w:w="9322" w:h="883" w:vSpace="269" w:wrap="notBeside" w:vAnchor="text" w:hAnchor="text" w:x="260" w:y="539"/>
              <w:widowControl w:val="0"/>
              <w:rPr>
                <w:sz w:val="10"/>
                <w:szCs w:val="10"/>
              </w:rPr>
            </w:pPr>
          </w:p>
        </w:tc>
      </w:tr>
    </w:tbl>
    <w:p>
      <w:pPr>
        <w:pStyle w:val="Style23"/>
        <w:keepNext w:val="0"/>
        <w:keepLines w:val="0"/>
        <w:framePr w:w="1723" w:h="278" w:hSpace="259" w:wrap="notBeside" w:vAnchor="text" w:hAnchor="text" w:x="260"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八</w:t>
      </w:r>
      <w:r>
        <w:rPr>
          <w:color w:val="000000"/>
          <w:spacing w:val="0"/>
          <w:w w:val="100"/>
          <w:position w:val="0"/>
        </w:rPr>
        <w:t>）</w:t>
      </w:r>
      <w:r>
        <w:rPr>
          <w:color w:val="000000"/>
          <w:spacing w:val="0"/>
          <w:w w:val="100"/>
          <w:position w:val="0"/>
        </w:rPr>
        <w:t>长期应收款</w:t>
      </w:r>
      <w:r>
        <w:rPr>
          <w:rFonts w:ascii="Times New Roman" w:eastAsia="Times New Roman" w:hAnsi="Times New Roman" w:cs="Times New Roman"/>
          <w:color w:val="000000"/>
          <w:spacing w:val="0"/>
          <w:w w:val="100"/>
          <w:position w:val="0"/>
        </w:rPr>
        <w:t>:</w:t>
      </w:r>
    </w:p>
    <w:p>
      <w:pPr>
        <w:pStyle w:val="Style23"/>
        <w:keepNext w:val="0"/>
        <w:keepLines w:val="0"/>
        <w:framePr w:w="2242" w:h="254" w:hSpace="259" w:wrap="notBeside" w:vAnchor="text" w:hAnchor="text" w:x="7062"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pStyle w:val="Style23"/>
        <w:keepNext w:val="0"/>
        <w:keepLines w:val="0"/>
        <w:framePr w:w="4027" w:h="264" w:hSpace="259" w:wrap="notBeside" w:vAnchor="text" w:hAnchor="text" w:x="260" w:y="1427"/>
        <w:widowControl w:val="0"/>
        <w:shd w:val="clear" w:color="auto" w:fill="auto"/>
        <w:bidi w:val="0"/>
        <w:spacing w:before="0" w:after="0" w:line="240" w:lineRule="auto"/>
        <w:ind w:left="0" w:right="0" w:firstLine="0"/>
        <w:jc w:val="left"/>
      </w:pPr>
      <w:r>
        <w:rPr>
          <w:b w:val="0"/>
          <w:bCs w:val="0"/>
          <w:color w:val="000000"/>
          <w:spacing w:val="0"/>
          <w:w w:val="100"/>
          <w:position w:val="0"/>
        </w:rPr>
        <w:t>注：其他长期应收款为分期收款工程结算款</w:t>
      </w:r>
    </w:p>
    <w:p>
      <w:pPr>
        <w:widowControl w:val="0"/>
        <w:spacing w:line="1" w:lineRule="exact"/>
      </w:pPr>
    </w:p>
    <w:p>
      <w:pPr>
        <w:pStyle w:val="Style1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九</w:t>
      </w:r>
      <w:r>
        <w:rPr>
          <w:b/>
          <w:bCs/>
          <w:color w:val="000000"/>
          <w:spacing w:val="0"/>
          <w:w w:val="100"/>
          <w:position w:val="0"/>
        </w:rPr>
        <w:t>）</w:t>
      </w:r>
      <w:r>
        <w:rPr>
          <w:b/>
          <w:bCs/>
          <w:color w:val="000000"/>
          <w:spacing w:val="0"/>
          <w:w w:val="100"/>
          <w:position w:val="0"/>
        </w:rPr>
        <w:t>长期股权投资</w:t>
      </w:r>
      <w:r>
        <w:rPr>
          <w:b/>
          <w:bCs/>
          <w:color w:val="000000"/>
          <w:spacing w:val="0"/>
          <w:w w:val="100"/>
          <w:position w:val="0"/>
        </w:rPr>
        <w:t>：</w:t>
      </w:r>
    </w:p>
    <w:p>
      <w:pPr>
        <w:pStyle w:val="Style12"/>
        <w:keepNext w:val="0"/>
        <w:keepLines w:val="0"/>
        <w:widowControl w:val="0"/>
        <w:shd w:val="clear" w:color="auto" w:fill="auto"/>
        <w:bidi w:val="0"/>
        <w:spacing w:before="0" w:after="0" w:line="269" w:lineRule="exact"/>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 长期股权投资情况 </w:t>
      </w:r>
      <w:r>
        <w:rPr>
          <w:color w:val="000000"/>
          <w:spacing w:val="0"/>
          <w:w w:val="100"/>
          <w:position w:val="0"/>
        </w:rPr>
        <w:t>按权益法核算：</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152"/>
        <w:gridCol w:w="1502"/>
        <w:gridCol w:w="1426"/>
        <w:gridCol w:w="1320"/>
        <w:gridCol w:w="1426"/>
        <w:gridCol w:w="427"/>
        <w:gridCol w:w="989"/>
        <w:gridCol w:w="1080"/>
      </w:tblGrid>
      <w:tr>
        <w:trPr>
          <w:trHeight w:val="1114"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被投资单 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BFBFBF"/>
            <w:textDirection w:val="tbRlV"/>
            <w:vAlign w:val="top"/>
          </w:tcPr>
          <w:p>
            <w:pPr>
              <w:pStyle w:val="Style50"/>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在被投 资单位 持股比 例（%）</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在被投资 单位表决 权比例 （%）</w:t>
            </w:r>
          </w:p>
        </w:tc>
      </w:tr>
      <w:tr>
        <w:trPr>
          <w:trHeight w:val="84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江苏华源 仪器仪表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21,122,954.60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53,971,338.53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1,575,659.73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55,546,998.26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bl>
    <w:p>
      <w:pPr>
        <w:widowControl w:val="0"/>
        <w:spacing w:after="319" w:line="1" w:lineRule="exact"/>
      </w:pPr>
    </w:p>
    <w:p>
      <w:pPr>
        <w:pStyle w:val="Style12"/>
        <w:keepNext w:val="0"/>
        <w:keepLines w:val="0"/>
        <w:widowControl w:val="0"/>
        <w:shd w:val="clear" w:color="auto" w:fill="auto"/>
        <w:bidi w:val="0"/>
        <w:spacing w:before="0" w:after="520" w:line="283" w:lineRule="exact"/>
        <w:ind w:left="0" w:right="0" w:firstLine="140"/>
        <w:jc w:val="left"/>
      </w:pPr>
      <w:r>
        <w:rPr>
          <w:color w:val="000000"/>
          <w:spacing w:val="0"/>
          <w:w w:val="100"/>
          <w:position w:val="0"/>
        </w:rPr>
        <w:t>注：江苏华源于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日召开股东大会审议通过了《关于对江苏华源仪器仪表有限公司增 资的议案》，由股东江苏宁供集体资产运营中心单方增资</w:t>
      </w:r>
      <w:r>
        <w:rPr>
          <w:rFonts w:ascii="Times New Roman" w:eastAsia="Times New Roman" w:hAnsi="Times New Roman" w:cs="Times New Roman"/>
          <w:color w:val="000000"/>
          <w:spacing w:val="0"/>
          <w:w w:val="100"/>
          <w:position w:val="0"/>
        </w:rPr>
        <w:t>55</w:t>
      </w:r>
      <w:r>
        <w:rPr>
          <w:color w:val="000000"/>
          <w:spacing w:val="0"/>
          <w:w w:val="100"/>
          <w:position w:val="0"/>
        </w:rPr>
        <w:t>万，林洋电子持股比例相应调整为</w:t>
      </w:r>
      <w:r>
        <w:rPr>
          <w:rFonts w:ascii="Times New Roman" w:eastAsia="Times New Roman" w:hAnsi="Times New Roman" w:cs="Times New Roman"/>
          <w:color w:val="000000"/>
          <w:spacing w:val="0"/>
          <w:w w:val="100"/>
          <w:position w:val="0"/>
        </w:rPr>
        <w:t>49%</w:t>
      </w:r>
      <w:r>
        <w:rPr>
          <w:color w:val="000000"/>
          <w:spacing w:val="0"/>
          <w:w w:val="100"/>
          <w:position w:val="0"/>
        </w:rPr>
        <w:t>。</w:t>
      </w:r>
    </w:p>
    <w:p>
      <w:pPr>
        <w:pStyle w:val="Style29"/>
        <w:keepNext/>
        <w:keepLines/>
        <w:widowControl w:val="0"/>
        <w:shd w:val="clear" w:color="auto" w:fill="auto"/>
        <w:bidi w:val="0"/>
        <w:spacing w:before="0" w:after="0" w:line="240" w:lineRule="auto"/>
        <w:ind w:left="0" w:right="0" w:firstLine="0"/>
        <w:jc w:val="left"/>
      </w:pPr>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固定资产</w:t>
      </w:r>
      <w:r>
        <w:rPr>
          <w:color w:val="000000"/>
          <w:spacing w:val="0"/>
          <w:w w:val="100"/>
          <w:position w:val="0"/>
        </w:rPr>
        <w:t>：</w:t>
      </w:r>
      <w:bookmarkEnd w:id="855"/>
      <w:bookmarkEnd w:id="856"/>
      <w:bookmarkEnd w:id="857"/>
    </w:p>
    <w:p>
      <w:pPr>
        <w:pStyle w:val="Style29"/>
        <w:keepNext/>
        <w:keepLines/>
        <w:widowControl w:val="0"/>
        <w:shd w:val="clear" w:color="auto" w:fill="auto"/>
        <w:bidi w:val="0"/>
        <w:spacing w:before="0" w:after="0" w:line="240" w:lineRule="auto"/>
        <w:ind w:left="0" w:right="0" w:firstLine="0"/>
        <w:jc w:val="left"/>
      </w:pPr>
      <w:bookmarkStart w:id="855" w:name="bookmark855"/>
      <w:bookmarkStart w:id="856" w:name="bookmark856"/>
      <w:bookmarkStart w:id="858" w:name="bookmark858"/>
      <w:r>
        <w:rPr>
          <w:rFonts w:ascii="Times New Roman" w:eastAsia="Times New Roman" w:hAnsi="Times New Roman" w:cs="Times New Roman"/>
          <w:color w:val="000000"/>
          <w:spacing w:val="0"/>
          <w:w w:val="100"/>
          <w:position w:val="0"/>
        </w:rPr>
        <w:t>1</w:t>
      </w:r>
      <w:r>
        <w:rPr>
          <w:color w:val="000000"/>
          <w:spacing w:val="0"/>
          <w:w w:val="100"/>
          <w:position w:val="0"/>
        </w:rPr>
        <w:t>、 固定资产情况</w:t>
      </w:r>
      <w:bookmarkEnd w:id="855"/>
      <w:bookmarkEnd w:id="856"/>
      <w:bookmarkEnd w:id="858"/>
    </w:p>
    <w:p>
      <w:pPr>
        <w:pStyle w:val="Style23"/>
        <w:keepNext w:val="0"/>
        <w:keepLines w:val="0"/>
        <w:widowControl w:val="0"/>
        <w:shd w:val="clear" w:color="auto" w:fill="auto"/>
        <w:bidi w:val="0"/>
        <w:spacing w:before="0" w:after="0" w:line="240" w:lineRule="auto"/>
        <w:ind w:left="6941" w:right="0" w:firstLine="0"/>
        <w:jc w:val="left"/>
      </w:pPr>
      <w:r>
        <w:rPr>
          <w:b w:val="0"/>
          <w:bCs w:val="0"/>
          <w:color w:val="000000"/>
          <w:spacing w:val="0"/>
          <w:w w:val="100"/>
          <w:position w:val="0"/>
        </w:rPr>
        <w:t>单位：元 币种：人民币</w:t>
      </w:r>
    </w:p>
    <w:tbl>
      <w:tblPr>
        <w:tblOverlap w:val="never"/>
        <w:jc w:val="center"/>
        <w:tblLayout w:type="fixed"/>
      </w:tblPr>
      <w:tblGrid>
        <w:gridCol w:w="1872"/>
        <w:gridCol w:w="1670"/>
        <w:gridCol w:w="1099"/>
        <w:gridCol w:w="1426"/>
        <w:gridCol w:w="1666"/>
        <w:gridCol w:w="1589"/>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期末账面余额</w:t>
            </w:r>
          </w:p>
        </w:tc>
      </w:tr>
      <w:tr>
        <w:trPr>
          <w:trHeight w:val="557"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一、账面原值合 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471,776,944.02</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46,802,343.73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5,105,195.32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513,474,092.43</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316,973,888.70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9,103,501.12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150,283.08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325,927,106.74</w:t>
            </w:r>
          </w:p>
        </w:tc>
      </w:tr>
      <w:tr>
        <w:trPr>
          <w:trHeight w:val="34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11,815,027.74</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1,154,586.04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597,192.36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12,372,421.42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61,602,815.88</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26,966,955.08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1,568,735.61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87,001,035.35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81,385,211.70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9,577,301.49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2,788,984.27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88,173,528.92</w:t>
            </w:r>
          </w:p>
        </w:tc>
      </w:tr>
      <w:tr>
        <w:trPr>
          <w:trHeight w:val="293"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132,970,477.98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33,988,423.54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4,109,307.05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162,849,594.47</w:t>
            </w:r>
          </w:p>
        </w:tc>
      </w:tr>
    </w:tbl>
    <w:p>
      <w:pPr>
        <w:widowControl w:val="0"/>
        <w:spacing w:line="1" w:lineRule="exact"/>
      </w:pPr>
      <w:r>
        <w:br w:type="page"/>
      </w:r>
    </w:p>
    <w:tbl>
      <w:tblPr>
        <w:tblOverlap w:val="never"/>
        <w:jc w:val="center"/>
        <w:tblLayout w:type="fixed"/>
      </w:tblPr>
      <w:tblGrid>
        <w:gridCol w:w="1872"/>
        <w:gridCol w:w="1670"/>
        <w:gridCol w:w="1099"/>
        <w:gridCol w:w="1426"/>
        <w:gridCol w:w="1666"/>
        <w:gridCol w:w="1589"/>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72,050,469.32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14,028,409.02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86,078,878.34</w:t>
            </w: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7,568,458.18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1,624,699.87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532,012.14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8,661,145.91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14,722,999.78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6,666,153.89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717,155.94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20,671,997.73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38,628,550.70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11,669,160.76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2,860,138.97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47,437,572.49</w:t>
            </w:r>
          </w:p>
        </w:tc>
      </w:tr>
      <w:tr>
        <w:trPr>
          <w:trHeight w:val="557"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三、固定资产账面 净值合计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338,806,466.04</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350,624,497.96</w:t>
            </w:r>
          </w:p>
        </w:tc>
      </w:tr>
      <w:tr>
        <w:trPr>
          <w:trHeight w:val="38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244,923,419.38</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239,848,228.40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4,246,569.56</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3,711,275.51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46,879,816.10</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66,329,037.62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42,756,661.00</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40,735,956.43</w:t>
            </w:r>
          </w:p>
        </w:tc>
      </w:tr>
      <w:tr>
        <w:trPr>
          <w:trHeight w:val="28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五、固定资产账面 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338,806,466.04</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350,624,497.96</w:t>
            </w:r>
          </w:p>
        </w:tc>
      </w:tr>
      <w:tr>
        <w:trPr>
          <w:trHeight w:val="41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244,923,419.38</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239,848,228.40</w:t>
            </w: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4,246,569.56</w:t>
            </w:r>
          </w:p>
        </w:tc>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3,711,275.51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46,879,816.10</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66,329,037.62</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42,756,661.00</w:t>
            </w:r>
          </w:p>
        </w:tc>
        <w:tc>
          <w:tcPr>
            <w:gridSpan w:val="2"/>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40,735,956.43</w:t>
            </w:r>
          </w:p>
        </w:tc>
      </w:tr>
    </w:tbl>
    <w:p>
      <w:pPr>
        <w:pStyle w:val="Style23"/>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本期折旧额：</w:t>
      </w:r>
      <w:r>
        <w:rPr>
          <w:rFonts w:ascii="Times New Roman" w:eastAsia="Times New Roman" w:hAnsi="Times New Roman" w:cs="Times New Roman"/>
          <w:b w:val="0"/>
          <w:bCs w:val="0"/>
          <w:color w:val="000000"/>
          <w:spacing w:val="0"/>
          <w:w w:val="100"/>
          <w:position w:val="0"/>
        </w:rPr>
        <w:t>33,988,423.54</w:t>
      </w:r>
      <w:r>
        <w:rPr>
          <w:b w:val="0"/>
          <w:bCs w:val="0"/>
          <w:color w:val="000000"/>
          <w:spacing w:val="0"/>
          <w:w w:val="100"/>
          <w:position w:val="0"/>
        </w:rPr>
        <w:t>元。</w:t>
      </w:r>
    </w:p>
    <w:p>
      <w:pPr>
        <w:pStyle w:val="Style23"/>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本期由在建工程转入固定资产原价为：</w:t>
      </w:r>
      <w:r>
        <w:rPr>
          <w:rFonts w:ascii="Times New Roman" w:eastAsia="Times New Roman" w:hAnsi="Times New Roman" w:cs="Times New Roman"/>
          <w:b w:val="0"/>
          <w:bCs w:val="0"/>
          <w:color w:val="000000"/>
          <w:spacing w:val="0"/>
          <w:w w:val="100"/>
          <w:position w:val="0"/>
        </w:rPr>
        <w:t>17,921,406.91</w:t>
      </w:r>
      <w:r>
        <w:rPr>
          <w:b w:val="0"/>
          <w:bCs w:val="0"/>
          <w:color w:val="000000"/>
          <w:spacing w:val="0"/>
          <w:w w:val="100"/>
          <w:position w:val="0"/>
        </w:rPr>
        <w:t>元。</w:t>
      </w:r>
    </w:p>
    <w:p>
      <w:pPr>
        <w:widowControl w:val="0"/>
        <w:spacing w:after="2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083"/>
        <w:gridCol w:w="4238"/>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3,291,415.27</w:t>
            </w:r>
          </w:p>
        </w:tc>
      </w:tr>
    </w:tbl>
    <w:p>
      <w:pPr>
        <w:widowControl w:val="0"/>
        <w:spacing w:after="2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bl>
    <w:p>
      <w:pPr>
        <w:pStyle w:val="Style23"/>
        <w:keepNext w:val="0"/>
        <w:keepLines w:val="0"/>
        <w:widowControl w:val="0"/>
        <w:shd w:val="clear" w:color="auto" w:fill="auto"/>
        <w:bidi w:val="0"/>
        <w:spacing w:before="0" w:after="0" w:line="240" w:lineRule="auto"/>
        <w:ind w:left="158" w:right="0" w:firstLine="0"/>
        <w:jc w:val="left"/>
      </w:pPr>
      <w:r>
        <w:rPr>
          <w:b w:val="0"/>
          <w:bCs w:val="0"/>
          <w:color w:val="000000"/>
          <w:spacing w:val="0"/>
          <w:w w:val="100"/>
          <w:position w:val="0"/>
        </w:rPr>
        <w:t>固定资产说明：期末用于抵押或担保的固定资产账面价值为</w:t>
      </w:r>
      <w:r>
        <w:rPr>
          <w:rFonts w:ascii="Times New Roman" w:eastAsia="Times New Roman" w:hAnsi="Times New Roman" w:cs="Times New Roman"/>
          <w:b w:val="0"/>
          <w:bCs w:val="0"/>
          <w:color w:val="000000"/>
          <w:spacing w:val="0"/>
          <w:w w:val="100"/>
          <w:position w:val="0"/>
        </w:rPr>
        <w:t>67,062,527.61</w:t>
      </w:r>
      <w:r>
        <w:rPr>
          <w:b w:val="0"/>
          <w:bCs w:val="0"/>
          <w:color w:val="000000"/>
          <w:spacing w:val="0"/>
          <w:w w:val="100"/>
          <w:position w:val="0"/>
        </w:rPr>
        <w:t>元，详见附注十一（一）。</w:t>
      </w:r>
    </w:p>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left"/>
      </w:pPr>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在建工程：</w:t>
      </w:r>
      <w:bookmarkEnd w:id="859"/>
      <w:bookmarkEnd w:id="860"/>
      <w:bookmarkEnd w:id="861"/>
    </w:p>
    <w:p>
      <w:pPr>
        <w:pStyle w:val="Style29"/>
        <w:keepNext/>
        <w:keepLines/>
        <w:widowControl w:val="0"/>
        <w:shd w:val="clear" w:color="auto" w:fill="auto"/>
        <w:bidi w:val="0"/>
        <w:spacing w:before="0" w:after="0" w:line="240" w:lineRule="auto"/>
        <w:ind w:left="0" w:right="0" w:firstLine="140"/>
        <w:jc w:val="left"/>
      </w:pPr>
      <w:bookmarkStart w:id="859" w:name="bookmark859"/>
      <w:bookmarkStart w:id="860" w:name="bookmark860"/>
      <w:bookmarkStart w:id="862" w:name="bookmark862"/>
      <w:r>
        <w:rPr>
          <w:rFonts w:ascii="Times New Roman" w:eastAsia="Times New Roman" w:hAnsi="Times New Roman" w:cs="Times New Roman"/>
          <w:color w:val="000000"/>
          <w:spacing w:val="0"/>
          <w:w w:val="100"/>
          <w:position w:val="0"/>
        </w:rPr>
        <w:t>1</w:t>
      </w:r>
      <w:r>
        <w:rPr>
          <w:color w:val="000000"/>
          <w:spacing w:val="0"/>
          <w:w w:val="100"/>
          <w:position w:val="0"/>
        </w:rPr>
        <w:t>、 在建工程情况</w:t>
      </w:r>
      <w:bookmarkEnd w:id="859"/>
      <w:bookmarkEnd w:id="860"/>
      <w:bookmarkEnd w:id="862"/>
    </w:p>
    <w:p>
      <w:pPr>
        <w:pStyle w:val="Style23"/>
        <w:keepNext w:val="0"/>
        <w:keepLines w:val="0"/>
        <w:widowControl w:val="0"/>
        <w:shd w:val="clear" w:color="auto" w:fill="auto"/>
        <w:bidi w:val="0"/>
        <w:spacing w:before="0" w:after="0" w:line="240" w:lineRule="auto"/>
        <w:ind w:left="6941" w:right="0" w:firstLine="0"/>
        <w:jc w:val="left"/>
      </w:pPr>
      <w:r>
        <w:rPr>
          <w:b w:val="0"/>
          <w:bCs w:val="0"/>
          <w:color w:val="000000"/>
          <w:spacing w:val="0"/>
          <w:w w:val="100"/>
          <w:position w:val="0"/>
        </w:rPr>
        <w:t>单位：元 币种：人民币</w:t>
      </w:r>
    </w:p>
    <w:tbl>
      <w:tblPr>
        <w:tblOverlap w:val="never"/>
        <w:jc w:val="center"/>
        <w:tblLayout w:type="fixed"/>
      </w:tblPr>
      <w:tblGrid>
        <w:gridCol w:w="1205"/>
        <w:gridCol w:w="1291"/>
        <w:gridCol w:w="1291"/>
        <w:gridCol w:w="1387"/>
        <w:gridCol w:w="1421"/>
        <w:gridCol w:w="1291"/>
        <w:gridCol w:w="1435"/>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02" w:hRule="exact"/>
        </w:trPr>
        <w:tc>
          <w:tcPr>
            <w:vMerge/>
            <w:tcBorders>
              <w:left w:val="single" w:sz="4"/>
              <w:bottom w:val="single" w:sz="4"/>
            </w:tcBorders>
            <w:shd w:val="clear" w:color="auto" w:fill="BFBFBF"/>
            <w:vAlign w:val="center"/>
          </w:tcPr>
          <w:p>
            <w:pPr/>
          </w:p>
        </w:tc>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line="1" w:lineRule="exact"/>
      </w:pPr>
      <w:r>
        <w:br w:type="page"/>
      </w:r>
    </w:p>
    <w:tbl>
      <w:tblPr>
        <w:tblOverlap w:val="never"/>
        <w:jc w:val="center"/>
        <w:tblLayout w:type="fixed"/>
      </w:tblPr>
      <w:tblGrid>
        <w:gridCol w:w="1205"/>
        <w:gridCol w:w="1291"/>
        <w:gridCol w:w="1291"/>
        <w:gridCol w:w="1387"/>
        <w:gridCol w:w="1421"/>
        <w:gridCol w:w="1291"/>
        <w:gridCol w:w="1435"/>
      </w:tblGrid>
      <w:tr>
        <w:trPr>
          <w:trHeight w:val="394"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15,130,720.74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15,130,720.74</w:t>
            </w:r>
          </w:p>
        </w:tc>
      </w:tr>
    </w:tbl>
    <w:p>
      <w:pPr>
        <w:widowControl w:val="0"/>
        <w:spacing w:after="239" w:line="1" w:lineRule="exact"/>
      </w:pPr>
    </w:p>
    <w:p>
      <w:pPr>
        <w:pStyle w:val="Style29"/>
        <w:keepNext/>
        <w:keepLines/>
        <w:widowControl w:val="0"/>
        <w:shd w:val="clear" w:color="auto" w:fill="auto"/>
        <w:tabs>
          <w:tab w:pos="637" w:val="left"/>
        </w:tabs>
        <w:bidi w:val="0"/>
        <w:spacing w:before="0" w:line="240" w:lineRule="auto"/>
        <w:ind w:left="0" w:right="0" w:firstLine="140"/>
        <w:jc w:val="left"/>
      </w:pPr>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r>
        <w:rPr>
          <w:color w:val="000000"/>
          <w:spacing w:val="0"/>
          <w:w w:val="100"/>
          <w:position w:val="0"/>
        </w:rPr>
        <w:t>、</w:t>
        <w:tab/>
        <w:t>重大在建工程项目变动情况：</w:t>
      </w:r>
      <w:bookmarkEnd w:id="863"/>
      <w:bookmarkEnd w:id="864"/>
      <w:bookmarkEnd w:id="865"/>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720"/>
        <w:gridCol w:w="1426"/>
        <w:gridCol w:w="1426"/>
        <w:gridCol w:w="1320"/>
        <w:gridCol w:w="1421"/>
        <w:gridCol w:w="859"/>
        <w:gridCol w:w="715"/>
        <w:gridCol w:w="710"/>
        <w:gridCol w:w="725"/>
      </w:tblGrid>
      <w:tr>
        <w:trPr>
          <w:trHeight w:val="1114"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项目 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转入固定资 产</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工程投 入占预 算比例 (%)</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工程 进度</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资金 来源</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数</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140"/>
              <w:jc w:val="left"/>
            </w:pPr>
            <w:r>
              <w:rPr>
                <w:color w:val="000000"/>
                <w:spacing w:val="0"/>
                <w:w w:val="100"/>
                <w:position w:val="0"/>
              </w:rPr>
              <w:t>光伏 电站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14,830,153.89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3,091,253.02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17,921,406.91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自筹 资金</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14,830,153.89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3,091,253.02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17,921,406.91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无形资产：</w:t>
      </w:r>
      <w:bookmarkEnd w:id="866"/>
      <w:bookmarkEnd w:id="867"/>
      <w:bookmarkEnd w:id="868"/>
    </w:p>
    <w:p>
      <w:pPr>
        <w:pStyle w:val="Style29"/>
        <w:keepNext/>
        <w:keepLines/>
        <w:widowControl w:val="0"/>
        <w:shd w:val="clear" w:color="auto" w:fill="auto"/>
        <w:tabs>
          <w:tab w:pos="637" w:val="left"/>
        </w:tabs>
        <w:bidi w:val="0"/>
        <w:spacing w:before="0" w:line="240" w:lineRule="auto"/>
        <w:ind w:left="0" w:right="0" w:firstLine="140"/>
        <w:jc w:val="left"/>
      </w:pPr>
      <w:bookmarkStart w:id="866" w:name="bookmark866"/>
      <w:bookmarkStart w:id="867" w:name="bookmark867"/>
      <w:bookmarkStart w:id="869" w:name="bookmark869"/>
      <w:r>
        <w:rPr>
          <w:rFonts w:ascii="Times New Roman" w:eastAsia="Times New Roman" w:hAnsi="Times New Roman" w:cs="Times New Roman"/>
          <w:color w:val="000000"/>
          <w:spacing w:val="0"/>
          <w:w w:val="100"/>
          <w:position w:val="0"/>
        </w:rPr>
        <w:t>1</w:t>
      </w:r>
      <w:r>
        <w:rPr>
          <w:color w:val="000000"/>
          <w:spacing w:val="0"/>
          <w:w w:val="100"/>
          <w:position w:val="0"/>
        </w:rPr>
        <w:t>、</w:t>
        <w:tab/>
        <w:t>无形资产情况：</w:t>
      </w:r>
      <w:bookmarkEnd w:id="866"/>
      <w:bookmarkEnd w:id="867"/>
      <w:bookmarkEnd w:id="869"/>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47,607,828.29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1,090,635.43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48,698,463.72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46,471,143.48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46,471,143.48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软件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936,684.81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1,090,635.43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2,027,320.24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专利权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200,000.00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3,137,791.12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1,393,153.57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4,530,944.69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2,993,307.25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939,329.28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3,932,636.53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软件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144,483.87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441,641.53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586,125.40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12,182.76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12,182.76</w:t>
            </w: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三、无形资产账面 净值合计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44,470,037.17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-302,518.14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44,167,519.03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43,477,836.23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-939,329.28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42,538,506.95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软件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792,200.94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648,993.90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1,441,194.84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专利权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-12,182.76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187,817.24</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五、无形资产账面 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44,470,037.17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-302,518.14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44,167,519.03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43,477,836.23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-939,329.28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42,538,506.95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软件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792,200.94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648,993.90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1,441,194.84</w:t>
            </w: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专利权</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-12,182.76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187,817.24</w:t>
            </w:r>
          </w:p>
        </w:tc>
      </w:tr>
    </w:tbl>
    <w:p>
      <w:pPr>
        <w:pStyle w:val="Style23"/>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本期摊销额：</w:t>
      </w:r>
      <w:r>
        <w:rPr>
          <w:rFonts w:ascii="Times New Roman" w:eastAsia="Times New Roman" w:hAnsi="Times New Roman" w:cs="Times New Roman"/>
          <w:b w:val="0"/>
          <w:bCs w:val="0"/>
          <w:color w:val="000000"/>
          <w:spacing w:val="0"/>
          <w:w w:val="100"/>
          <w:position w:val="0"/>
        </w:rPr>
        <w:t>1,393,153.57</w:t>
      </w:r>
      <w:r>
        <w:rPr>
          <w:b w:val="0"/>
          <w:bCs w:val="0"/>
          <w:color w:val="000000"/>
          <w:spacing w:val="0"/>
          <w:w w:val="100"/>
          <w:position w:val="0"/>
        </w:rPr>
        <w:t>元。</w:t>
      </w:r>
    </w:p>
    <w:p>
      <w:pPr>
        <w:pStyle w:val="Style23"/>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期末用于抵押或担保的无形资产账面价值为</w:t>
      </w:r>
      <w:r>
        <w:rPr>
          <w:rFonts w:ascii="Times New Roman" w:eastAsia="Times New Roman" w:hAnsi="Times New Roman" w:cs="Times New Roman"/>
          <w:b w:val="0"/>
          <w:bCs w:val="0"/>
          <w:color w:val="000000"/>
          <w:spacing w:val="0"/>
          <w:w w:val="100"/>
          <w:position w:val="0"/>
        </w:rPr>
        <w:t>10,231,204.66</w:t>
      </w:r>
      <w:r>
        <w:rPr>
          <w:b w:val="0"/>
          <w:bCs w:val="0"/>
          <w:color w:val="000000"/>
          <w:spacing w:val="0"/>
          <w:w w:val="100"/>
          <w:position w:val="0"/>
        </w:rPr>
        <w:t>元，详见附注十一(一)项。</w:t>
      </w:r>
    </w:p>
    <w:p>
      <w:pPr>
        <w:widowControl w:val="0"/>
        <w:spacing w:after="239" w:line="1" w:lineRule="exact"/>
      </w:pPr>
    </w:p>
    <w:p>
      <w:pPr>
        <w:widowControl w:val="0"/>
        <w:spacing w:line="1" w:lineRule="exact"/>
      </w:pPr>
    </w:p>
    <w:tbl>
      <w:tblPr>
        <w:tblOverlap w:val="never"/>
        <w:jc w:val="left"/>
        <w:tblLayout w:type="fixed"/>
      </w:tblPr>
      <w:tblGrid>
        <w:gridCol w:w="2851"/>
        <w:gridCol w:w="1421"/>
        <w:gridCol w:w="1416"/>
        <w:gridCol w:w="1277"/>
        <w:gridCol w:w="1421"/>
        <w:gridCol w:w="936"/>
      </w:tblGrid>
      <w:tr>
        <w:trPr>
          <w:trHeight w:val="566" w:hRule="exact"/>
        </w:trPr>
        <w:tc>
          <w:tcPr>
            <w:tcBorders>
              <w:top w:val="single" w:sz="4"/>
              <w:left w:val="single" w:sz="4"/>
            </w:tcBorders>
            <w:shd w:val="clear" w:color="auto" w:fill="BFBFBF"/>
            <w:vAlign w:val="bottom"/>
          </w:tcPr>
          <w:p>
            <w:pPr>
              <w:pStyle w:val="Style26"/>
              <w:keepNext w:val="0"/>
              <w:keepLines w:val="0"/>
              <w:framePr w:w="9322" w:h="1152" w:vSpace="523" w:wrap="notBeside" w:vAnchor="text" w:hAnchor="text" w:x="260" w:y="539"/>
              <w:widowControl w:val="0"/>
              <w:shd w:val="clear" w:color="auto" w:fill="auto"/>
              <w:bidi w:val="0"/>
              <w:spacing w:before="0" w:after="0" w:line="278" w:lineRule="exact"/>
              <w:ind w:left="0" w:right="0" w:firstLine="0"/>
              <w:jc w:val="center"/>
            </w:pPr>
            <w:r>
              <w:rPr>
                <w:color w:val="000000"/>
                <w:spacing w:val="0"/>
                <w:w w:val="100"/>
                <w:position w:val="0"/>
              </w:rPr>
              <w:t>被投资单位名称或形成商誉 的事项</w:t>
            </w:r>
          </w:p>
        </w:tc>
        <w:tc>
          <w:tcPr>
            <w:tcBorders>
              <w:top w:val="single" w:sz="4"/>
              <w:left w:val="single" w:sz="4"/>
            </w:tcBorders>
            <w:shd w:val="clear" w:color="auto" w:fill="BFBFBF"/>
            <w:vAlign w:val="center"/>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center"/>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BFBFBF"/>
            <w:vAlign w:val="center"/>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bottom"/>
          </w:tcPr>
          <w:p>
            <w:pPr>
              <w:pStyle w:val="Style26"/>
              <w:keepNext w:val="0"/>
              <w:keepLines w:val="0"/>
              <w:framePr w:w="9322" w:h="1152" w:vSpace="523" w:wrap="notBeside" w:vAnchor="text" w:hAnchor="text" w:x="260" w:y="539"/>
              <w:widowControl w:val="0"/>
              <w:shd w:val="clear" w:color="auto" w:fill="auto"/>
              <w:bidi w:val="0"/>
              <w:spacing w:before="0" w:after="0" w:line="274" w:lineRule="exact"/>
              <w:ind w:left="0" w:right="0" w:firstLine="0"/>
              <w:jc w:val="center"/>
            </w:pPr>
            <w:r>
              <w:rPr>
                <w:color w:val="000000"/>
                <w:spacing w:val="0"/>
                <w:w w:val="100"/>
                <w:position w:val="0"/>
              </w:rPr>
              <w:t>期末减 值准备</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bottom"/>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2,630,664.50</w:t>
            </w:r>
          </w:p>
        </w:tc>
        <w:tc>
          <w:tcPr>
            <w:tcBorders>
              <w:top w:val="single" w:sz="4"/>
              <w:left w:val="single" w:sz="4"/>
            </w:tcBorders>
            <w:shd w:val="clear" w:color="auto" w:fill="FFFFFF"/>
            <w:vAlign w:val="top"/>
          </w:tcPr>
          <w:p>
            <w:pPr>
              <w:framePr w:w="9322" w:h="1152" w:vSpace="523" w:wrap="notBeside" w:vAnchor="text" w:hAnchor="text" w:x="260" w:y="539"/>
              <w:widowControl w:val="0"/>
              <w:rPr>
                <w:sz w:val="10"/>
                <w:szCs w:val="10"/>
              </w:rPr>
            </w:pPr>
          </w:p>
        </w:tc>
        <w:tc>
          <w:tcPr>
            <w:tcBorders>
              <w:top w:val="single" w:sz="4"/>
              <w:left w:val="single" w:sz="4"/>
            </w:tcBorders>
            <w:shd w:val="clear" w:color="auto" w:fill="FFFFFF"/>
            <w:vAlign w:val="top"/>
          </w:tcPr>
          <w:p>
            <w:pPr>
              <w:framePr w:w="9322" w:h="1152" w:vSpace="523" w:wrap="notBeside" w:vAnchor="text" w:hAnchor="text" w:x="260" w:y="539"/>
              <w:widowControl w:val="0"/>
              <w:rPr>
                <w:sz w:val="10"/>
                <w:szCs w:val="10"/>
              </w:rPr>
            </w:pPr>
          </w:p>
        </w:tc>
        <w:tc>
          <w:tcPr>
            <w:tcBorders>
              <w:top w:val="single" w:sz="4"/>
              <w:left w:val="single" w:sz="4"/>
            </w:tcBorders>
            <w:shd w:val="clear" w:color="auto" w:fill="FFFFFF"/>
            <w:vAlign w:val="bottom"/>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2,630,664.50</w:t>
            </w:r>
          </w:p>
        </w:tc>
        <w:tc>
          <w:tcPr>
            <w:tcBorders>
              <w:top w:val="single" w:sz="4"/>
              <w:left w:val="single" w:sz="4"/>
              <w:right w:val="single" w:sz="4"/>
            </w:tcBorders>
            <w:shd w:val="clear" w:color="auto" w:fill="FFFFFF"/>
            <w:vAlign w:val="top"/>
          </w:tcPr>
          <w:p>
            <w:pPr>
              <w:framePr w:w="9322" w:h="1152" w:vSpace="523" w:wrap="notBeside" w:vAnchor="text" w:hAnchor="text" w:x="260" w:y="539"/>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2,630,664.50</w:t>
            </w:r>
          </w:p>
        </w:tc>
        <w:tc>
          <w:tcPr>
            <w:tcBorders>
              <w:top w:val="single" w:sz="4"/>
              <w:left w:val="single" w:sz="4"/>
              <w:bottom w:val="single" w:sz="4"/>
            </w:tcBorders>
            <w:shd w:val="clear" w:color="auto" w:fill="FFFFFF"/>
            <w:vAlign w:val="top"/>
          </w:tcPr>
          <w:p>
            <w:pPr>
              <w:framePr w:w="9322" w:h="1152" w:vSpace="523" w:wrap="notBeside" w:vAnchor="text" w:hAnchor="text" w:x="260" w:y="539"/>
              <w:widowControl w:val="0"/>
              <w:rPr>
                <w:sz w:val="10"/>
                <w:szCs w:val="10"/>
              </w:rPr>
            </w:pPr>
          </w:p>
        </w:tc>
        <w:tc>
          <w:tcPr>
            <w:tcBorders>
              <w:top w:val="single" w:sz="4"/>
              <w:left w:val="single" w:sz="4"/>
              <w:bottom w:val="single" w:sz="4"/>
            </w:tcBorders>
            <w:shd w:val="clear" w:color="auto" w:fill="FFFFFF"/>
            <w:vAlign w:val="top"/>
          </w:tcPr>
          <w:p>
            <w:pPr>
              <w:framePr w:w="9322" w:h="1152" w:vSpace="523" w:wrap="notBeside" w:vAnchor="text" w:hAnchor="text" w:x="260" w:y="539"/>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framePr w:w="9322" w:h="1152" w:vSpace="523" w:wrap="notBeside" w:vAnchor="text" w:hAnchor="text" w:x="260" w:y="539"/>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2,630,664.50</w:t>
            </w:r>
          </w:p>
        </w:tc>
        <w:tc>
          <w:tcPr>
            <w:tcBorders>
              <w:top w:val="single" w:sz="4"/>
              <w:left w:val="single" w:sz="4"/>
              <w:bottom w:val="single" w:sz="4"/>
              <w:right w:val="single" w:sz="4"/>
            </w:tcBorders>
            <w:shd w:val="clear" w:color="auto" w:fill="FFFFFF"/>
            <w:vAlign w:val="top"/>
          </w:tcPr>
          <w:p>
            <w:pPr>
              <w:framePr w:w="9322" w:h="1152" w:vSpace="523" w:wrap="notBeside" w:vAnchor="text" w:hAnchor="text" w:x="260" w:y="539"/>
              <w:widowControl w:val="0"/>
              <w:rPr>
                <w:sz w:val="10"/>
                <w:szCs w:val="10"/>
              </w:rPr>
            </w:pPr>
          </w:p>
        </w:tc>
      </w:tr>
    </w:tbl>
    <w:p>
      <w:pPr>
        <w:pStyle w:val="Style23"/>
        <w:keepNext w:val="0"/>
        <w:keepLines w:val="0"/>
        <w:framePr w:w="1301" w:h="278"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商誉</w:t>
      </w:r>
      <w:r>
        <w:rPr>
          <w:rFonts w:ascii="Times New Roman" w:eastAsia="Times New Roman" w:hAnsi="Times New Roman" w:cs="Times New Roman"/>
          <w:color w:val="000000"/>
          <w:spacing w:val="0"/>
          <w:w w:val="100"/>
          <w:position w:val="0"/>
        </w:rPr>
        <w:t>:</w:t>
      </w:r>
    </w:p>
    <w:p>
      <w:pPr>
        <w:pStyle w:val="Style23"/>
        <w:keepNext w:val="0"/>
        <w:keepLines w:val="0"/>
        <w:framePr w:w="2242" w:h="254" w:hSpace="259" w:wrap="notBeside" w:vAnchor="text" w:hAnchor="text" w:x="7201" w:y="275"/>
        <w:widowControl w:val="0"/>
        <w:shd w:val="clear" w:color="auto" w:fill="auto"/>
        <w:bidi w:val="0"/>
        <w:spacing w:before="0" w:after="0" w:line="240" w:lineRule="auto"/>
        <w:ind w:left="0" w:right="0" w:firstLine="0"/>
        <w:jc w:val="left"/>
      </w:pPr>
      <w:r>
        <w:rPr>
          <w:b w:val="0"/>
          <w:bCs w:val="0"/>
          <w:color w:val="000000"/>
          <w:spacing w:val="0"/>
          <w:w w:val="100"/>
          <w:position w:val="0"/>
        </w:rPr>
        <w:t>单位：元 币种：人民币</w:t>
      </w:r>
    </w:p>
    <w:p>
      <w:pPr>
        <w:pStyle w:val="Style23"/>
        <w:keepNext w:val="0"/>
        <w:keepLines w:val="0"/>
        <w:framePr w:w="2146" w:h="278" w:hSpace="259" w:wrap="notBeside" w:vAnchor="text" w:hAnchor="text" w:x="399" w:y="193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长期待摊费用</w:t>
      </w:r>
      <w:r>
        <w:rPr>
          <w:rFonts w:ascii="Times New Roman" w:eastAsia="Times New Roman" w:hAnsi="Times New Roman" w:cs="Times New Roman"/>
          <w:color w:val="000000"/>
          <w:spacing w:val="0"/>
          <w:w w:val="100"/>
          <w:position w:val="0"/>
        </w:rPr>
        <w:t>:</w:t>
      </w:r>
    </w:p>
    <w:p>
      <w:pPr>
        <w:widowControl w:val="0"/>
        <w:spacing w:line="1" w:lineRule="exact"/>
      </w:pPr>
      <w:r>
        <w:br w:type="page"/>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29"/>
        <w:gridCol w:w="1368"/>
        <w:gridCol w:w="1426"/>
        <w:gridCol w:w="1320"/>
        <w:gridCol w:w="1272"/>
        <w:gridCol w:w="1507"/>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经营租入固定资产装修费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494,026.43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7,782,846.91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885,835.64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7,391,037.70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2,273,854.30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2,604,817.40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1,336,112.52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3,542,559.18</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2,767,880.73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10,387,664.31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2,221,948.16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10,933,596.88</w:t>
            </w:r>
          </w:p>
        </w:tc>
      </w:tr>
    </w:tbl>
    <w:p>
      <w:pPr>
        <w:widowControl w:val="0"/>
        <w:spacing w:after="259" w:line="1" w:lineRule="exact"/>
      </w:pP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十五</w:t>
      </w:r>
      <w:r>
        <w:rPr>
          <w:b/>
          <w:bCs/>
          <w:color w:val="000000"/>
          <w:spacing w:val="0"/>
          <w:w w:val="100"/>
          <w:position w:val="0"/>
        </w:rPr>
        <w:t>)</w:t>
      </w:r>
      <w:r>
        <w:rPr>
          <w:b/>
          <w:bCs/>
          <w:color w:val="000000"/>
          <w:spacing w:val="0"/>
          <w:w w:val="100"/>
          <w:position w:val="0"/>
        </w:rPr>
        <w:t>递延所得税资产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递延所得税负债：</w:t>
      </w:r>
    </w:p>
    <w:p>
      <w:pPr>
        <w:pStyle w:val="Style12"/>
        <w:keepNext w:val="0"/>
        <w:keepLines w:val="0"/>
        <w:widowControl w:val="0"/>
        <w:shd w:val="clear" w:color="auto" w:fill="auto"/>
        <w:tabs>
          <w:tab w:pos="634" w:val="left"/>
        </w:tabs>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递延所得税资产和递延所得税负债不以抵销后的净额列示</w:t>
      </w: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已确认的递延所得税资产和递延所得税负债</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27"/>
        <w:gridCol w:w="3288"/>
        <w:gridCol w:w="3206"/>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9,099,618.93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8,416,566.87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合并报表未实现毛利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1,618,551.84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10,718,170.77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8,416,566.87</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140"/>
        <w:jc w:val="left"/>
      </w:pPr>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r>
        <w:rPr>
          <w:color w:val="000000"/>
          <w:spacing w:val="0"/>
          <w:w w:val="100"/>
          <w:position w:val="0"/>
        </w:rPr>
        <w:t>应纳税差异和可抵扣差异项目明细</w:t>
      </w:r>
      <w:bookmarkEnd w:id="870"/>
      <w:bookmarkEnd w:id="871"/>
      <w:bookmarkEnd w:id="872"/>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517"/>
        <w:gridCol w:w="4805"/>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60,008,305.02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合并报表未实现毛利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8,279,845.33</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68,288,150.35</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140"/>
        <w:jc w:val="left"/>
      </w:pPr>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资产减值准备明细</w:t>
      </w:r>
      <w:r>
        <w:rPr>
          <w:color w:val="000000"/>
          <w:spacing w:val="0"/>
          <w:w w:val="100"/>
          <w:position w:val="0"/>
        </w:rPr>
        <w:t>：</w:t>
      </w:r>
      <w:bookmarkEnd w:id="873"/>
      <w:bookmarkEnd w:id="874"/>
      <w:bookmarkEnd w:id="875"/>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410"/>
        <w:gridCol w:w="1426"/>
        <w:gridCol w:w="1426"/>
        <w:gridCol w:w="1243"/>
        <w:gridCol w:w="1310"/>
        <w:gridCol w:w="1507"/>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期初账面余 额</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293"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rPr>
              <w:t>转回</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BFBFBF"/>
            <w:vAlign w:val="center"/>
          </w:tcPr>
          <w:p>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44,851,192.67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6,312,850.36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298,764.59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50,847,578.44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9,902,201.38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8,285,986.18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9,027,460.98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9,160,726.58</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三、可供出售金融资产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其中：成熟生产性生物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54,753,394.05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14,598,836.54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298,764.59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9,045,160.98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60,008,305.02</w:t>
            </w:r>
          </w:p>
        </w:tc>
      </w:tr>
    </w:tbl>
    <w:p>
      <w:pPr>
        <w:widowControl w:val="0"/>
        <w:spacing w:line="1" w:lineRule="exact"/>
      </w:pPr>
      <w:r>
        <w:br w:type="page"/>
      </w: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BFBFB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预付设备采购款</w:t>
            </w:r>
          </w:p>
        </w:tc>
        <w:tc>
          <w:tcPr>
            <w:tcBorders>
              <w:top w:val="single" w:sz="4"/>
              <w:left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27,611,721.84</w:t>
            </w:r>
          </w:p>
        </w:tc>
        <w:tc>
          <w:tcPr>
            <w:tcBorders>
              <w:top w:val="single" w:sz="4"/>
              <w:left w:val="single" w:sz="4"/>
              <w:right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10,256,497.06</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27,611,721.84</w:t>
            </w:r>
          </w:p>
        </w:tc>
        <w:tc>
          <w:tcPr>
            <w:tcBorders>
              <w:top w:val="single" w:sz="4"/>
              <w:left w:val="single" w:sz="4"/>
              <w:bottom w:val="single" w:sz="4"/>
              <w:right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10,256,497.06</w:t>
            </w:r>
          </w:p>
        </w:tc>
      </w:tr>
    </w:tbl>
    <w:p>
      <w:pPr>
        <w:pStyle w:val="Style23"/>
        <w:keepNext w:val="0"/>
        <w:keepLines w:val="0"/>
        <w:framePr w:w="2496" w:h="278"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其他非流动资产:</w:t>
      </w:r>
    </w:p>
    <w:p>
      <w:pPr>
        <w:pStyle w:val="Style23"/>
        <w:keepNext w:val="0"/>
        <w:keepLines w:val="0"/>
        <w:framePr w:w="2242" w:h="254" w:hSpace="259" w:wrap="notBeside" w:vAnchor="text" w:hAnchor="text" w:x="7201"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widowControl w:val="0"/>
        <w:spacing w:line="1" w:lineRule="exact"/>
      </w:pPr>
    </w:p>
    <w:p>
      <w:pPr>
        <w:pStyle w:val="Style29"/>
        <w:keepNext/>
        <w:keepLines/>
        <w:widowControl w:val="0"/>
        <w:shd w:val="clear" w:color="auto" w:fill="auto"/>
        <w:bidi w:val="0"/>
        <w:spacing w:before="0" w:after="0" w:line="240" w:lineRule="auto"/>
        <w:ind w:left="0" w:right="0" w:firstLine="140"/>
        <w:jc w:val="left"/>
      </w:pPr>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应付票据：</w:t>
      </w:r>
      <w:bookmarkEnd w:id="876"/>
      <w:bookmarkEnd w:id="877"/>
      <w:bookmarkEnd w:id="878"/>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种类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96,504,333.01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65,636,191.09</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96,504,333.01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65,636,191.09</w:t>
            </w:r>
          </w:p>
        </w:tc>
      </w:tr>
    </w:tbl>
    <w:p>
      <w:pPr>
        <w:pStyle w:val="Style23"/>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下一会计期间将到期的金额</w:t>
      </w:r>
      <w:r>
        <w:rPr>
          <w:rFonts w:ascii="Times New Roman" w:eastAsia="Times New Roman" w:hAnsi="Times New Roman" w:cs="Times New Roman"/>
          <w:b w:val="0"/>
          <w:bCs w:val="0"/>
          <w:color w:val="000000"/>
          <w:spacing w:val="0"/>
          <w:w w:val="100"/>
          <w:position w:val="0"/>
        </w:rPr>
        <w:t>96,504,333.01</w:t>
      </w:r>
      <w:r>
        <w:rPr>
          <w:b w:val="0"/>
          <w:bCs w:val="0"/>
          <w:color w:val="000000"/>
          <w:spacing w:val="0"/>
          <w:w w:val="100"/>
          <w:position w:val="0"/>
        </w:rPr>
        <w:t>元。</w:t>
      </w:r>
    </w:p>
    <w:p>
      <w:pPr>
        <w:widowControl w:val="0"/>
        <w:spacing w:after="239" w:line="1" w:lineRule="exact"/>
      </w:pP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十九</w:t>
      </w:r>
      <w:r>
        <w:rPr>
          <w:b/>
          <w:bCs/>
          <w:color w:val="000000"/>
          <w:spacing w:val="0"/>
          <w:w w:val="100"/>
          <w:position w:val="0"/>
        </w:rPr>
        <w:t>）</w:t>
      </w:r>
      <w:r>
        <w:rPr>
          <w:b/>
          <w:bCs/>
          <w:color w:val="000000"/>
          <w:spacing w:val="0"/>
          <w:w w:val="100"/>
          <w:position w:val="0"/>
        </w:rPr>
        <w:t>应付账款:</w:t>
      </w: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、应付账款情况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应付原材料款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315,121,462.91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456,679,650.13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10,931,044.99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29,155,974.91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3,129,755.16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3,128,490.11</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329,182,263.06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488,964,115.15</w:t>
            </w:r>
          </w:p>
        </w:tc>
      </w:tr>
    </w:tbl>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widowControl w:val="0"/>
        <w:spacing w:after="239" w:line="1" w:lineRule="exact"/>
      </w:pP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w:t>
      </w:r>
      <w:r>
        <w:rPr>
          <w:b/>
          <w:bCs/>
          <w:color w:val="000000"/>
          <w:spacing w:val="0"/>
          <w:w w:val="100"/>
          <w:position w:val="0"/>
        </w:rPr>
        <w:t>）</w:t>
      </w:r>
      <w:r>
        <w:rPr>
          <w:b/>
          <w:bCs/>
          <w:color w:val="000000"/>
          <w:spacing w:val="0"/>
          <w:w w:val="100"/>
          <w:position w:val="0"/>
        </w:rPr>
        <w:t>预收账款:</w:t>
      </w: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、预收账款情况</w:t>
      </w:r>
    </w:p>
    <w:p>
      <w:pPr>
        <w:pStyle w:val="Style23"/>
        <w:keepNext w:val="0"/>
        <w:keepLines w:val="0"/>
        <w:widowControl w:val="0"/>
        <w:shd w:val="clear" w:color="auto" w:fill="auto"/>
        <w:bidi w:val="0"/>
        <w:spacing w:before="0" w:after="0" w:line="240" w:lineRule="auto"/>
        <w:ind w:left="6941" w:right="0" w:firstLine="0"/>
        <w:jc w:val="left"/>
      </w:pPr>
      <w:r>
        <w:rPr>
          <w:b w:val="0"/>
          <w:bCs w:val="0"/>
          <w:color w:val="000000"/>
          <w:spacing w:val="0"/>
          <w:w w:val="100"/>
          <w:position w:val="0"/>
        </w:rPr>
        <w:t>单位：元 币种：人民币</w:t>
      </w:r>
    </w:p>
    <w:tbl>
      <w:tblPr>
        <w:tblOverlap w:val="never"/>
        <w:jc w:val="center"/>
        <w:tblLayout w:type="fixed"/>
      </w:tblPr>
      <w:tblGrid>
        <w:gridCol w:w="3202"/>
        <w:gridCol w:w="3010"/>
        <w:gridCol w:w="3110"/>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预收销货款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58,328,074.00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189,726,395.22</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58,328,074.00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189,726,395.22</w:t>
            </w:r>
          </w:p>
        </w:tc>
      </w:tr>
    </w:tbl>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以上表决权股份的股东单位或关联方的款项。</w:t>
      </w:r>
    </w:p>
    <w:p>
      <w:pPr>
        <w:widowControl w:val="0"/>
        <w:spacing w:after="239" w:line="1" w:lineRule="exact"/>
      </w:pPr>
    </w:p>
    <w:p>
      <w:pPr>
        <w:widowControl w:val="0"/>
        <w:spacing w:line="1" w:lineRule="exact"/>
      </w:pPr>
    </w:p>
    <w:tbl>
      <w:tblPr>
        <w:tblOverlap w:val="never"/>
        <w:jc w:val="left"/>
        <w:tblLayout w:type="fixed"/>
      </w:tblPr>
      <w:tblGrid>
        <w:gridCol w:w="3110"/>
        <w:gridCol w:w="1550"/>
        <w:gridCol w:w="1550"/>
        <w:gridCol w:w="1550"/>
        <w:gridCol w:w="1560"/>
      </w:tblGrid>
      <w:tr>
        <w:trPr>
          <w:trHeight w:val="298" w:hRule="exact"/>
        </w:trPr>
        <w:tc>
          <w:tcPr>
            <w:tcBorders>
              <w:top w:val="single" w:sz="4"/>
              <w:left w:val="single" w:sz="4"/>
            </w:tcBorders>
            <w:shd w:val="clear" w:color="auto" w:fill="BFBFB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140"/>
              <w:jc w:val="left"/>
            </w:pPr>
            <w:r>
              <w:rPr>
                <w:color w:val="000000"/>
                <w:spacing w:val="0"/>
                <w:w w:val="100"/>
                <w:position w:val="0"/>
              </w:rPr>
              <w:t>期初账面余额</w:t>
            </w:r>
          </w:p>
        </w:tc>
        <w:tc>
          <w:tcPr>
            <w:tcBorders>
              <w:top w:val="single" w:sz="4"/>
              <w:left w:val="single" w:sz="4"/>
            </w:tcBorders>
            <w:shd w:val="clear" w:color="auto" w:fill="BFBFB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BFBFB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right w:val="single" w:sz="4"/>
            </w:tcBorders>
            <w:shd w:val="clear" w:color="auto" w:fill="BFBFB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91,478,851.43</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196,276,166.91</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209,652,443.22</w:t>
            </w:r>
          </w:p>
        </w:tc>
        <w:tc>
          <w:tcPr>
            <w:tcBorders>
              <w:top w:val="single" w:sz="4"/>
              <w:left w:val="single" w:sz="4"/>
              <w:righ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78,102,575.12</w:t>
            </w:r>
          </w:p>
        </w:tc>
      </w:tr>
      <w:tr>
        <w:trPr>
          <w:trHeight w:val="288" w:hRule="exact"/>
        </w:trPr>
        <w:tc>
          <w:tcPr>
            <w:tcBorders>
              <w:top w:val="single" w:sz="4"/>
              <w:left w:val="single" w:sz="4"/>
            </w:tcBorders>
            <w:shd w:val="clear" w:color="auto" w:fill="FFFFFF"/>
            <w:vAlign w:val="top"/>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right w:val="single" w:sz="4"/>
            </w:tcBorders>
            <w:shd w:val="clear" w:color="auto" w:fill="FFFFFF"/>
            <w:vAlign w:val="top"/>
          </w:tcPr>
          <w:p>
            <w:pPr>
              <w:framePr w:w="9322" w:h="2606" w:vSpace="274" w:wrap="notBeside" w:vAnchor="text" w:hAnchor="text" w:x="260"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-1,544,937.13</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21,153,429.17</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19,465,618.86</w:t>
            </w:r>
          </w:p>
        </w:tc>
        <w:tc>
          <w:tcPr>
            <w:tcBorders>
              <w:top w:val="single" w:sz="4"/>
              <w:left w:val="single" w:sz="4"/>
              <w:righ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142,873.18</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6,008.00</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3,699,190.86</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3,705,198.86</w:t>
            </w:r>
          </w:p>
        </w:tc>
        <w:tc>
          <w:tcPr>
            <w:tcBorders>
              <w:top w:val="single" w:sz="4"/>
              <w:left w:val="single" w:sz="4"/>
              <w:right w:val="single" w:sz="4"/>
            </w:tcBorders>
            <w:shd w:val="clear" w:color="auto" w:fill="FFFFFF"/>
            <w:vAlign w:val="top"/>
          </w:tcPr>
          <w:p>
            <w:pPr>
              <w:framePr w:w="9322" w:h="2606" w:vSpace="274" w:wrap="notBeside" w:vAnchor="text" w:hAnchor="text" w:x="260" w:y="534"/>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right w:val="single" w:sz="4"/>
            </w:tcBorders>
            <w:shd w:val="clear" w:color="auto" w:fill="FFFFFF"/>
            <w:vAlign w:val="top"/>
          </w:tcPr>
          <w:p>
            <w:pPr>
              <w:framePr w:w="9322" w:h="2606" w:vSpace="274" w:wrap="notBeside" w:vAnchor="text" w:hAnchor="text" w:x="260"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tcBorders>
            <w:shd w:val="clear" w:color="auto" w:fill="FFFFFF"/>
            <w:vAlign w:val="top"/>
          </w:tcPr>
          <w:p>
            <w:pPr>
              <w:framePr w:w="9322" w:h="2606" w:vSpace="274" w:wrap="notBeside" w:vAnchor="text" w:hAnchor="text" w:x="260" w:y="534"/>
              <w:widowControl w:val="0"/>
              <w:rPr>
                <w:sz w:val="10"/>
                <w:szCs w:val="10"/>
              </w:rPr>
            </w:pPr>
          </w:p>
        </w:tc>
        <w:tc>
          <w:tcPr>
            <w:tcBorders>
              <w:top w:val="single" w:sz="4"/>
              <w:left w:val="single" w:sz="4"/>
              <w:right w:val="single" w:sz="4"/>
            </w:tcBorders>
            <w:shd w:val="clear" w:color="auto" w:fill="FFFFFF"/>
            <w:vAlign w:val="top"/>
          </w:tcPr>
          <w:p>
            <w:pPr>
              <w:framePr w:w="9322" w:h="2606" w:vSpace="274" w:wrap="notBeside" w:vAnchor="text" w:hAnchor="text" w:x="260"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color w:val="000000"/>
                <w:spacing w:val="0"/>
                <w:w w:val="100"/>
                <w:position w:val="0"/>
              </w:rPr>
              <w:t>工会经费和职工教育经费</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1,929,139.11</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2,234,865.83</w:t>
            </w:r>
          </w:p>
        </w:tc>
        <w:tc>
          <w:tcPr>
            <w:tcBorders>
              <w:top w:val="single" w:sz="4"/>
              <w:lef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1,464,845.80</w:t>
            </w:r>
          </w:p>
        </w:tc>
        <w:tc>
          <w:tcPr>
            <w:tcBorders>
              <w:top w:val="single" w:sz="4"/>
              <w:left w:val="single" w:sz="4"/>
              <w:righ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2,699,159.14</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91,869,061.41</w:t>
            </w:r>
          </w:p>
        </w:tc>
        <w:tc>
          <w:tcPr>
            <w:tcBorders>
              <w:top w:val="single" w:sz="4"/>
              <w:left w:val="single" w:sz="4"/>
              <w:bottom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223,363,652.77</w:t>
            </w:r>
          </w:p>
        </w:tc>
        <w:tc>
          <w:tcPr>
            <w:tcBorders>
              <w:top w:val="single" w:sz="4"/>
              <w:left w:val="single" w:sz="4"/>
              <w:bottom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234,288,106.74</w:t>
            </w:r>
          </w:p>
        </w:tc>
        <w:tc>
          <w:tcPr>
            <w:tcBorders>
              <w:top w:val="single" w:sz="4"/>
              <w:left w:val="single" w:sz="4"/>
              <w:bottom w:val="single" w:sz="4"/>
              <w:right w:val="single" w:sz="4"/>
            </w:tcBorders>
            <w:shd w:val="clear" w:color="auto" w:fill="FFFFFF"/>
            <w:vAlign w:val="bottom"/>
          </w:tcPr>
          <w:p>
            <w:pPr>
              <w:pStyle w:val="Style26"/>
              <w:keepNext w:val="0"/>
              <w:keepLines w:val="0"/>
              <w:framePr w:w="9322" w:h="2606" w:vSpace="274" w:wrap="notBeside" w:vAnchor="text" w:hAnchor="text" w:x="260" w:y="534"/>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80,944,607.44</w:t>
            </w:r>
          </w:p>
        </w:tc>
      </w:tr>
    </w:tbl>
    <w:p>
      <w:pPr>
        <w:pStyle w:val="Style23"/>
        <w:keepNext w:val="0"/>
        <w:keepLines w:val="0"/>
        <w:framePr w:w="2285" w:h="274"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应付职工薪酬</w:t>
      </w:r>
    </w:p>
    <w:p>
      <w:pPr>
        <w:pStyle w:val="Style23"/>
        <w:keepNext w:val="0"/>
        <w:keepLines w:val="0"/>
        <w:framePr w:w="2242" w:h="254" w:hSpace="259" w:wrap="notBeside" w:vAnchor="text" w:hAnchor="text" w:x="7201" w:y="275"/>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p>
      <w:pPr>
        <w:pStyle w:val="Style23"/>
        <w:keepNext w:val="0"/>
        <w:keepLines w:val="0"/>
        <w:framePr w:w="4397" w:h="269" w:hSpace="259" w:wrap="notBeside" w:vAnchor="text" w:hAnchor="text" w:x="399" w:y="3145"/>
        <w:widowControl w:val="0"/>
        <w:shd w:val="clear" w:color="auto" w:fill="auto"/>
        <w:bidi w:val="0"/>
        <w:spacing w:before="0" w:after="0" w:line="240" w:lineRule="auto"/>
        <w:ind w:left="0" w:right="0" w:firstLine="0"/>
        <w:jc w:val="left"/>
      </w:pPr>
      <w:r>
        <w:rPr>
          <w:b w:val="0"/>
          <w:bCs w:val="0"/>
          <w:color w:val="000000"/>
          <w:spacing w:val="0"/>
          <w:w w:val="100"/>
          <w:position w:val="0"/>
        </w:rPr>
        <w:t>工会经费和职工教育经费金额</w:t>
      </w:r>
      <w:r>
        <w:rPr>
          <w:rFonts w:ascii="Times New Roman" w:eastAsia="Times New Roman" w:hAnsi="Times New Roman" w:cs="Times New Roman"/>
          <w:b w:val="0"/>
          <w:bCs w:val="0"/>
          <w:color w:val="000000"/>
          <w:spacing w:val="0"/>
          <w:w w:val="100"/>
          <w:position w:val="0"/>
        </w:rPr>
        <w:t>2,699,159.14</w:t>
      </w:r>
      <w:r>
        <w:rPr>
          <w:b w:val="0"/>
          <w:bCs w:val="0"/>
          <w:color w:val="000000"/>
          <w:spacing w:val="0"/>
          <w:w w:val="100"/>
          <w:position w:val="0"/>
        </w:rPr>
        <w:t>元。</w:t>
      </w:r>
    </w:p>
    <w:p>
      <w:pPr>
        <w:widowControl w:val="0"/>
        <w:spacing w:line="1" w:lineRule="exact"/>
      </w:pPr>
      <w:r>
        <w:br w:type="page"/>
      </w: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BFBFBF"/>
            <w:vAlign w:val="center"/>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center"/>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22,595,101.02</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24,284,814.17</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-10,252.90</w:t>
            </w:r>
          </w:p>
        </w:tc>
        <w:tc>
          <w:tcPr>
            <w:tcBorders>
              <w:top w:val="single" w:sz="4"/>
              <w:left w:val="single" w:sz="4"/>
              <w:right w:val="single" w:sz="4"/>
            </w:tcBorders>
            <w:shd w:val="clear" w:color="auto" w:fill="FFFFFF"/>
            <w:vAlign w:val="top"/>
          </w:tcPr>
          <w:p>
            <w:pPr>
              <w:framePr w:w="9322" w:h="3466" w:vSpace="538" w:wrap="notBeside" w:vAnchor="text" w:hAnchor="text" w:x="260" w:y="539"/>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33,993,543.68</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28,249,050.91</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447,204.35</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4,129,057.25</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1,756,344.98</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1,801,440.82</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381,582.03</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444,173.51</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1,248,838.51</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1,256,940.43</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6,768.50</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7,561.90</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132,077.24</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132,077.24</w:t>
            </w:r>
          </w:p>
        </w:tc>
      </w:tr>
      <w:tr>
        <w:trPr>
          <w:trHeight w:val="283" w:hRule="exact"/>
        </w:trPr>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18,164.15</w:t>
            </w:r>
          </w:p>
        </w:tc>
        <w:tc>
          <w:tcPr>
            <w:tcBorders>
              <w:top w:val="single" w:sz="4"/>
              <w:left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48,539.01</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60,569,371.56</w:t>
            </w:r>
          </w:p>
        </w:tc>
        <w:tc>
          <w:tcPr>
            <w:tcBorders>
              <w:top w:val="single" w:sz="4"/>
              <w:left w:val="single" w:sz="4"/>
              <w:bottom w:val="single" w:sz="4"/>
              <w:right w:val="single" w:sz="4"/>
            </w:tcBorders>
            <w:shd w:val="clear" w:color="auto" w:fill="FFFFFF"/>
            <w:vAlign w:val="bottom"/>
          </w:tcPr>
          <w:p>
            <w:pPr>
              <w:pStyle w:val="Style26"/>
              <w:keepNext w:val="0"/>
              <w:keepLines w:val="0"/>
              <w:framePr w:w="9322" w:h="3466" w:vSpace="538" w:wrap="notBeside" w:vAnchor="text" w:hAnchor="text" w:x="260" w:y="539"/>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60,353,655.24</w:t>
            </w:r>
          </w:p>
        </w:tc>
      </w:tr>
    </w:tbl>
    <w:p>
      <w:pPr>
        <w:pStyle w:val="Style23"/>
        <w:keepNext w:val="0"/>
        <w:keepLines w:val="0"/>
        <w:framePr w:w="2074" w:h="278"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应交税费:</w:t>
      </w:r>
    </w:p>
    <w:p>
      <w:pPr>
        <w:pStyle w:val="Style23"/>
        <w:keepNext w:val="0"/>
        <w:keepLines w:val="0"/>
        <w:framePr w:w="2242" w:h="259" w:hSpace="259" w:wrap="notBeside" w:vAnchor="text" w:hAnchor="text" w:x="7201" w:y="275"/>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widowControl w:val="0"/>
        <w:spacing w:line="1" w:lineRule="exact"/>
      </w:pPr>
    </w:p>
    <w:p>
      <w:pPr>
        <w:pStyle w:val="Style29"/>
        <w:keepNext/>
        <w:keepLines/>
        <w:widowControl w:val="0"/>
        <w:shd w:val="clear" w:color="auto" w:fill="auto"/>
        <w:bidi w:val="0"/>
        <w:spacing w:before="0" w:after="0" w:line="240" w:lineRule="auto"/>
        <w:ind w:left="0" w:right="0" w:firstLine="140"/>
        <w:jc w:val="left"/>
      </w:pPr>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其他应付款：</w:t>
      </w:r>
      <w:bookmarkEnd w:id="879"/>
      <w:bookmarkEnd w:id="880"/>
      <w:bookmarkEnd w:id="881"/>
    </w:p>
    <w:p>
      <w:pPr>
        <w:pStyle w:val="Style29"/>
        <w:keepNext/>
        <w:keepLines/>
        <w:widowControl w:val="0"/>
        <w:shd w:val="clear" w:color="auto" w:fill="auto"/>
        <w:tabs>
          <w:tab w:pos="634" w:val="left"/>
        </w:tabs>
        <w:bidi w:val="0"/>
        <w:spacing w:before="0" w:after="0" w:line="240" w:lineRule="auto"/>
        <w:ind w:left="0" w:right="0" w:firstLine="140"/>
        <w:jc w:val="left"/>
      </w:pPr>
      <w:bookmarkStart w:id="879" w:name="bookmark879"/>
      <w:bookmarkStart w:id="880" w:name="bookmark880"/>
      <w:bookmarkStart w:id="882" w:name="bookmark882"/>
      <w:r>
        <w:rPr>
          <w:rFonts w:ascii="Times New Roman" w:eastAsia="Times New Roman" w:hAnsi="Times New Roman" w:cs="Times New Roman"/>
          <w:color w:val="000000"/>
          <w:spacing w:val="0"/>
          <w:w w:val="100"/>
          <w:position w:val="0"/>
        </w:rPr>
        <w:t>1</w:t>
      </w:r>
      <w:r>
        <w:rPr>
          <w:color w:val="000000"/>
          <w:spacing w:val="0"/>
          <w:w w:val="100"/>
          <w:position w:val="0"/>
        </w:rPr>
        <w:t>、</w:t>
        <w:tab/>
        <w:t>其他应付款情况</w:t>
      </w:r>
      <w:bookmarkEnd w:id="879"/>
      <w:bookmarkEnd w:id="880"/>
      <w:bookmarkEnd w:id="882"/>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其他往来及预提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6,893,293.90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7,694,607.23</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6,893,293.90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7,694,607.23</w:t>
            </w:r>
          </w:p>
        </w:tc>
      </w:tr>
    </w:tbl>
    <w:p>
      <w:pPr>
        <w:widowControl w:val="0"/>
        <w:spacing w:after="199" w:line="1" w:lineRule="exact"/>
      </w:pPr>
    </w:p>
    <w:p>
      <w:pPr>
        <w:pStyle w:val="Style12"/>
        <w:keepNext w:val="0"/>
        <w:keepLines w:val="0"/>
        <w:widowControl w:val="0"/>
        <w:shd w:val="clear" w:color="auto" w:fill="auto"/>
        <w:bidi w:val="0"/>
        <w:spacing w:before="0" w:after="240" w:line="288" w:lineRule="exact"/>
        <w:ind w:left="14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、本报告期其他应付款中无应付持有公司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以上表决权股份的股东单位或关联方的款 项。</w:t>
      </w:r>
    </w:p>
    <w:tbl>
      <w:tblPr>
        <w:tblOverlap w:val="never"/>
        <w:jc w:val="left"/>
        <w:tblLayout w:type="fixed"/>
      </w:tblPr>
      <w:tblGrid>
        <w:gridCol w:w="3485"/>
        <w:gridCol w:w="2914"/>
        <w:gridCol w:w="2923"/>
      </w:tblGrid>
      <w:tr>
        <w:trPr>
          <w:trHeight w:val="298" w:hRule="exact"/>
        </w:trPr>
        <w:tc>
          <w:tcPr>
            <w:tcBorders>
              <w:top w:val="single" w:sz="4"/>
              <w:left w:val="single" w:sz="4"/>
            </w:tcBorders>
            <w:shd w:val="clear" w:color="auto" w:fill="BFBFB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BFBFB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16,961,426.69</w:t>
            </w:r>
          </w:p>
        </w:tc>
        <w:tc>
          <w:tcPr>
            <w:tcBorders>
              <w:top w:val="single" w:sz="4"/>
              <w:left w:val="single" w:sz="4"/>
              <w:right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5,766,953.57</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16,961,426.69</w:t>
            </w:r>
          </w:p>
        </w:tc>
        <w:tc>
          <w:tcPr>
            <w:tcBorders>
              <w:top w:val="single" w:sz="4"/>
              <w:left w:val="single" w:sz="4"/>
              <w:bottom w:val="single" w:sz="4"/>
              <w:right w:val="single" w:sz="4"/>
            </w:tcBorders>
            <w:shd w:val="clear" w:color="auto" w:fill="FFFFFF"/>
            <w:vAlign w:val="bottom"/>
          </w:tcPr>
          <w:p>
            <w:pPr>
              <w:pStyle w:val="Style26"/>
              <w:keepNext w:val="0"/>
              <w:keepLines w:val="0"/>
              <w:framePr w:w="9322" w:h="883" w:vSpace="538" w:wrap="notBeside" w:vAnchor="text" w:hAnchor="text" w:x="260" w:y="539"/>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5,766,953.57</w:t>
            </w:r>
          </w:p>
        </w:tc>
      </w:tr>
    </w:tbl>
    <w:p>
      <w:pPr>
        <w:pStyle w:val="Style23"/>
        <w:keepNext w:val="0"/>
        <w:keepLines w:val="0"/>
        <w:framePr w:w="2707" w:h="278"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其他非流动负债:</w:t>
      </w:r>
    </w:p>
    <w:p>
      <w:pPr>
        <w:pStyle w:val="Style23"/>
        <w:keepNext w:val="0"/>
        <w:keepLines w:val="0"/>
        <w:framePr w:w="2242" w:h="254" w:hSpace="259" w:wrap="notBeside" w:vAnchor="text" w:hAnchor="text" w:x="7201"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p>
      <w:pPr>
        <w:widowControl w:val="0"/>
        <w:spacing w:line="1" w:lineRule="exact"/>
      </w:pPr>
    </w:p>
    <w:p>
      <w:pPr>
        <w:pStyle w:val="Style23"/>
        <w:keepNext w:val="0"/>
        <w:keepLines w:val="0"/>
        <w:widowControl w:val="0"/>
        <w:shd w:val="clear" w:color="auto" w:fill="auto"/>
        <w:bidi w:val="0"/>
        <w:spacing w:before="0" w:after="0" w:line="240" w:lineRule="auto"/>
        <w:ind w:left="91" w:right="0" w:firstLine="0"/>
        <w:jc w:val="left"/>
      </w:pPr>
      <w:r>
        <w:rPr>
          <w:color w:val="000000"/>
          <w:spacing w:val="0"/>
          <w:w w:val="100"/>
          <w:position w:val="0"/>
        </w:rPr>
        <w:t>其他非流动负债说明:</w:t>
      </w:r>
    </w:p>
    <w:tbl>
      <w:tblPr>
        <w:tblOverlap w:val="never"/>
        <w:jc w:val="center"/>
        <w:tblLayout w:type="fixed"/>
      </w:tblPr>
      <w:tblGrid>
        <w:gridCol w:w="1282"/>
        <w:gridCol w:w="1315"/>
        <w:gridCol w:w="1416"/>
        <w:gridCol w:w="1488"/>
        <w:gridCol w:w="1061"/>
        <w:gridCol w:w="1411"/>
        <w:gridCol w:w="1262"/>
      </w:tblGrid>
      <w:tr>
        <w:trPr>
          <w:trHeight w:val="264" w:hRule="exact"/>
        </w:trPr>
        <w:tc>
          <w:tcPr>
            <w:gridSpan w:val="6"/>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种：人民币</w:t>
            </w:r>
          </w:p>
        </w:tc>
      </w:tr>
      <w:tr>
        <w:trPr>
          <w:trHeight w:val="830"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6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光伏发电并 网用大功率 逆变控制调 节设备的研 究及产业化 项目拨款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5,766,953.57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432,130.93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5,334,822.64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2MWp</w:t>
            </w:r>
            <w:r>
              <w:rPr>
                <w:color w:val="000000"/>
                <w:spacing w:val="0"/>
                <w:w w:val="100"/>
                <w:position w:val="0"/>
              </w:rPr>
              <w:t>屋顶 光伏发电项 目拨款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121,312.62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9,178,687.38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与资产相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公共租赁住 房项目拨款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52,083.33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2,447,916.67</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与资产相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widowControl w:val="0"/>
        <w:spacing w:line="1" w:lineRule="exact"/>
      </w:pPr>
      <w:r>
        <w:br w:type="page"/>
      </w:r>
    </w:p>
    <w:tbl>
      <w:tblPr>
        <w:tblOverlap w:val="never"/>
        <w:jc w:val="center"/>
        <w:tblLayout w:type="fixed"/>
      </w:tblPr>
      <w:tblGrid>
        <w:gridCol w:w="1282"/>
        <w:gridCol w:w="1315"/>
        <w:gridCol w:w="1416"/>
        <w:gridCol w:w="1488"/>
        <w:gridCol w:w="1061"/>
        <w:gridCol w:w="1421"/>
        <w:gridCol w:w="1253"/>
      </w:tblGrid>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5,766,953.57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605,526.88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16,961,426.69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股本:</w:t>
      </w: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52"/>
        <w:gridCol w:w="1560"/>
        <w:gridCol w:w="989"/>
        <w:gridCol w:w="710"/>
        <w:gridCol w:w="893"/>
        <w:gridCol w:w="1224"/>
        <w:gridCol w:w="1253"/>
        <w:gridCol w:w="1541"/>
      </w:tblGrid>
      <w:tr>
        <w:trPr>
          <w:trHeight w:val="293" w:hRule="exact"/>
        </w:trPr>
        <w:tc>
          <w:tcPr>
            <w:vMerge w:val="restart"/>
            <w:tcBorders>
              <w:top w:val="single" w:sz="4"/>
              <w:left w:val="single" w:sz="4"/>
            </w:tcBorders>
            <w:shd w:val="clear" w:color="auto" w:fill="BFBFBF"/>
            <w:vAlign w:val="top"/>
          </w:tcPr>
          <w:p>
            <w:pPr>
              <w:widowControl w:val="0"/>
              <w:rPr>
                <w:sz w:val="10"/>
                <w:szCs w:val="10"/>
              </w:rPr>
            </w:pP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6" w:hRule="exact"/>
        </w:trPr>
        <w:tc>
          <w:tcPr>
            <w:vMerge/>
            <w:tcBorders>
              <w:left w:val="single" w:sz="4"/>
            </w:tcBorders>
            <w:shd w:val="clear" w:color="auto" w:fill="BFBFBF"/>
            <w:vAlign w:val="top"/>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发行新 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BFBFBF"/>
            <w:vAlign w:val="center"/>
          </w:tcPr>
          <w:p>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355,290,000.00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-110,000.00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355,180,000.00</w:t>
            </w:r>
          </w:p>
        </w:tc>
      </w:tr>
    </w:tbl>
    <w:p>
      <w:pPr>
        <w:widowControl w:val="0"/>
        <w:spacing w:after="79" w:line="1" w:lineRule="exact"/>
      </w:pPr>
    </w:p>
    <w:p>
      <w:pPr>
        <w:pStyle w:val="Style12"/>
        <w:keepNext w:val="0"/>
        <w:keepLines w:val="0"/>
        <w:widowControl w:val="0"/>
        <w:shd w:val="clear" w:color="auto" w:fill="auto"/>
        <w:bidi w:val="0"/>
        <w:spacing w:before="0" w:after="240" w:line="274" w:lineRule="exact"/>
        <w:ind w:left="14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年第二届董事会第六次会议审议并通过《关于回购注销部分激励对象已获授但尚未解锁 的限制性股票的议案》，回购注销限制性股票</w:t>
      </w:r>
      <w:r>
        <w:rPr>
          <w:rFonts w:ascii="Times New Roman" w:eastAsia="Times New Roman" w:hAnsi="Times New Roman" w:cs="Times New Roman"/>
          <w:color w:val="000000"/>
          <w:spacing w:val="0"/>
          <w:w w:val="100"/>
          <w:position w:val="0"/>
        </w:rPr>
        <w:t>110,000</w:t>
      </w:r>
      <w:r>
        <w:rPr>
          <w:color w:val="000000"/>
          <w:spacing w:val="0"/>
          <w:w w:val="100"/>
          <w:position w:val="0"/>
        </w:rPr>
        <w:t>股，上述股本变动业经立信会计师事务所（特 殊普通合伙）出具信会师报字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110294</w:t>
      </w:r>
      <w:r>
        <w:rPr>
          <w:color w:val="000000"/>
          <w:spacing w:val="0"/>
          <w:w w:val="100"/>
          <w:position w:val="0"/>
        </w:rPr>
        <w:t>号验资报告验证到位。</w:t>
      </w:r>
    </w:p>
    <w:tbl>
      <w:tblPr>
        <w:tblOverlap w:val="never"/>
        <w:jc w:val="left"/>
        <w:tblLayout w:type="fixed"/>
      </w:tblPr>
      <w:tblGrid>
        <w:gridCol w:w="2333"/>
        <w:gridCol w:w="1747"/>
        <w:gridCol w:w="1742"/>
        <w:gridCol w:w="1742"/>
        <w:gridCol w:w="1757"/>
      </w:tblGrid>
      <w:tr>
        <w:trPr>
          <w:trHeight w:val="293" w:hRule="exact"/>
        </w:trPr>
        <w:tc>
          <w:tcPr>
            <w:tcBorders>
              <w:top w:val="single" w:sz="4"/>
              <w:left w:val="single" w:sz="4"/>
            </w:tcBorders>
            <w:shd w:val="clear" w:color="auto" w:fill="BFBFB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520"/>
              <w:jc w:val="left"/>
            </w:pPr>
            <w:r>
              <w:rPr>
                <w:color w:val="000000"/>
                <w:spacing w:val="0"/>
                <w:w w:val="100"/>
                <w:position w:val="0"/>
              </w:rPr>
              <w:t>期初数</w:t>
            </w:r>
          </w:p>
        </w:tc>
        <w:tc>
          <w:tcPr>
            <w:tcBorders>
              <w:top w:val="single" w:sz="4"/>
              <w:left w:val="single" w:sz="4"/>
            </w:tcBorders>
            <w:shd w:val="clear" w:color="auto" w:fill="BFBFB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BFBFB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1,379,038,869.99</w:t>
            </w:r>
          </w:p>
        </w:tc>
        <w:tc>
          <w:tcPr>
            <w:tcBorders>
              <w:top w:val="single" w:sz="4"/>
              <w:left w:val="single" w:sz="4"/>
            </w:tcBorders>
            <w:shd w:val="clear" w:color="auto" w:fill="FFFFFF"/>
            <w:vAlign w:val="top"/>
          </w:tcPr>
          <w:p>
            <w:pPr>
              <w:framePr w:w="9322" w:h="1166" w:vSpace="269" w:wrap="notBeside" w:vAnchor="text" w:hAnchor="text" w:x="260" w:y="539"/>
              <w:widowControl w:val="0"/>
              <w:rPr>
                <w:sz w:val="10"/>
                <w:szCs w:val="10"/>
              </w:rPr>
            </w:pPr>
          </w:p>
        </w:tc>
        <w:tc>
          <w:tcPr>
            <w:tcBorders>
              <w:top w:val="single" w:sz="4"/>
              <w:lef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460,900.00</w:t>
            </w:r>
          </w:p>
        </w:tc>
        <w:tc>
          <w:tcPr>
            <w:tcBorders>
              <w:top w:val="single" w:sz="4"/>
              <w:left w:val="single" w:sz="4"/>
              <w:righ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1,378,577,969.99</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4,230,600.00</w:t>
            </w:r>
          </w:p>
        </w:tc>
        <w:tc>
          <w:tcPr>
            <w:tcBorders>
              <w:top w:val="single" w:sz="4"/>
              <w:lef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6,999,900.00</w:t>
            </w:r>
          </w:p>
        </w:tc>
        <w:tc>
          <w:tcPr>
            <w:tcBorders>
              <w:top w:val="single" w:sz="4"/>
              <w:left w:val="single" w:sz="4"/>
            </w:tcBorders>
            <w:shd w:val="clear" w:color="auto" w:fill="FFFFFF"/>
            <w:vAlign w:val="top"/>
          </w:tcPr>
          <w:p>
            <w:pPr>
              <w:framePr w:w="9322" w:h="1166" w:vSpace="269" w:wrap="notBeside" w:vAnchor="text" w:hAnchor="text" w:x="260" w:y="539"/>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11,230,500.00</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1,383,269,469.99</w:t>
            </w:r>
          </w:p>
        </w:tc>
        <w:tc>
          <w:tcPr>
            <w:tcBorders>
              <w:top w:val="single" w:sz="4"/>
              <w:left w:val="single" w:sz="4"/>
              <w:bottom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6,999,900.00</w:t>
            </w:r>
          </w:p>
        </w:tc>
        <w:tc>
          <w:tcPr>
            <w:tcBorders>
              <w:top w:val="single" w:sz="4"/>
              <w:left w:val="single" w:sz="4"/>
              <w:bottom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460,900.00</w:t>
            </w:r>
          </w:p>
        </w:tc>
        <w:tc>
          <w:tcPr>
            <w:tcBorders>
              <w:top w:val="single" w:sz="4"/>
              <w:left w:val="single" w:sz="4"/>
              <w:bottom w:val="single" w:sz="4"/>
              <w:right w:val="single" w:sz="4"/>
            </w:tcBorders>
            <w:shd w:val="clear" w:color="auto" w:fill="FFFFFF"/>
            <w:vAlign w:val="bottom"/>
          </w:tcPr>
          <w:p>
            <w:pPr>
              <w:pStyle w:val="Style26"/>
              <w:keepNext w:val="0"/>
              <w:keepLines w:val="0"/>
              <w:framePr w:w="9322" w:h="1166" w:vSpace="269" w:wrap="notBeside" w:vAnchor="text" w:hAnchor="text" w:x="260" w:y="539"/>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1,389,808,469.99</w:t>
            </w:r>
          </w:p>
        </w:tc>
      </w:tr>
    </w:tbl>
    <w:p>
      <w:pPr>
        <w:pStyle w:val="Style23"/>
        <w:keepNext w:val="0"/>
        <w:keepLines w:val="0"/>
        <w:framePr w:w="1867" w:h="274"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资本公积</w:t>
      </w:r>
    </w:p>
    <w:p>
      <w:pPr>
        <w:pStyle w:val="Style23"/>
        <w:keepNext w:val="0"/>
        <w:keepLines w:val="0"/>
        <w:framePr w:w="2242" w:h="254" w:hSpace="259" w:wrap="notBeside" w:vAnchor="text" w:hAnchor="text" w:x="7201" w:y="275"/>
        <w:widowControl w:val="0"/>
        <w:shd w:val="clear" w:color="auto" w:fill="auto"/>
        <w:bidi w:val="0"/>
        <w:spacing w:before="0" w:after="0" w:line="240" w:lineRule="auto"/>
        <w:ind w:left="0" w:right="0" w:firstLine="0"/>
        <w:jc w:val="left"/>
      </w:pPr>
      <w:r>
        <w:rPr>
          <w:b w:val="0"/>
          <w:bCs w:val="0"/>
          <w:color w:val="000000"/>
          <w:spacing w:val="0"/>
          <w:w w:val="100"/>
          <w:position w:val="0"/>
        </w:rPr>
        <w:t>单位：元 币种：人民币</w:t>
      </w:r>
    </w:p>
    <w:p>
      <w:pPr>
        <w:pStyle w:val="Style23"/>
        <w:keepNext w:val="0"/>
        <w:keepLines w:val="0"/>
        <w:framePr w:w="3187" w:h="264" w:hSpace="259" w:wrap="notBeside" w:vAnchor="text" w:hAnchor="text" w:x="399" w:y="1710"/>
        <w:widowControl w:val="0"/>
        <w:shd w:val="clear" w:color="auto" w:fill="auto"/>
        <w:bidi w:val="0"/>
        <w:spacing w:before="0" w:after="0" w:line="240" w:lineRule="auto"/>
        <w:ind w:left="0" w:right="0" w:firstLine="0"/>
        <w:jc w:val="left"/>
      </w:pPr>
      <w:r>
        <w:rPr>
          <w:b w:val="0"/>
          <w:bCs w:val="0"/>
          <w:color w:val="000000"/>
          <w:spacing w:val="0"/>
          <w:w w:val="100"/>
          <w:position w:val="0"/>
        </w:rPr>
        <w:t>注：详见本附注第九、（二）项。</w:t>
      </w:r>
    </w:p>
    <w:p>
      <w:pPr>
        <w:widowControl w:val="0"/>
        <w:spacing w:line="1" w:lineRule="exact"/>
      </w:pPr>
    </w:p>
    <w:tbl>
      <w:tblPr>
        <w:tblOverlap w:val="never"/>
        <w:jc w:val="left"/>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BFBFBF"/>
            <w:vAlign w:val="center"/>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BFBFBF"/>
            <w:vAlign w:val="center"/>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BFBFBF"/>
            <w:vAlign w:val="center"/>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BFBFBF"/>
            <w:vAlign w:val="center"/>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3" w:hRule="exact"/>
        </w:trPr>
        <w:tc>
          <w:tcPr>
            <w:tcBorders>
              <w:top w:val="single" w:sz="4"/>
              <w:left w:val="single" w:sz="4"/>
            </w:tcBorders>
            <w:shd w:val="clear" w:color="auto" w:fill="FFFFFF"/>
            <w:vAlign w:val="bottom"/>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63,740,951.96</w:t>
            </w:r>
          </w:p>
        </w:tc>
        <w:tc>
          <w:tcPr>
            <w:tcBorders>
              <w:top w:val="single" w:sz="4"/>
              <w:left w:val="single" w:sz="4"/>
            </w:tcBorders>
            <w:shd w:val="clear" w:color="auto" w:fill="FFFFFF"/>
            <w:vAlign w:val="bottom"/>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35,130,061.52</w:t>
            </w:r>
          </w:p>
        </w:tc>
        <w:tc>
          <w:tcPr>
            <w:tcBorders>
              <w:top w:val="single" w:sz="4"/>
              <w:left w:val="single" w:sz="4"/>
            </w:tcBorders>
            <w:shd w:val="clear" w:color="auto" w:fill="FFFFFF"/>
            <w:vAlign w:val="top"/>
          </w:tcPr>
          <w:p>
            <w:pPr>
              <w:framePr w:w="9322" w:h="878" w:vSpace="278" w:wrap="notBeside" w:vAnchor="text" w:hAnchor="text" w:x="260" w:y="539"/>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98,871,013.48</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63,740,951.96</w:t>
            </w:r>
          </w:p>
        </w:tc>
        <w:tc>
          <w:tcPr>
            <w:tcBorders>
              <w:top w:val="single" w:sz="4"/>
              <w:left w:val="single" w:sz="4"/>
              <w:bottom w:val="single" w:sz="4"/>
            </w:tcBorders>
            <w:shd w:val="clear" w:color="auto" w:fill="FFFFFF"/>
            <w:vAlign w:val="bottom"/>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35,130,061.52</w:t>
            </w:r>
          </w:p>
        </w:tc>
        <w:tc>
          <w:tcPr>
            <w:tcBorders>
              <w:top w:val="single" w:sz="4"/>
              <w:left w:val="single" w:sz="4"/>
              <w:bottom w:val="single" w:sz="4"/>
            </w:tcBorders>
            <w:shd w:val="clear" w:color="auto" w:fill="FFFFFF"/>
            <w:vAlign w:val="top"/>
          </w:tcPr>
          <w:p>
            <w:pPr>
              <w:framePr w:w="9322" w:h="878" w:vSpace="278" w:wrap="notBeside" w:vAnchor="text" w:hAnchor="text" w:x="260" w:y="539"/>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framePr w:w="9322" w:h="878" w:vSpace="278" w:wrap="notBeside" w:vAnchor="text" w:hAnchor="text" w:x="260" w:y="539"/>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98,871,013.48</w:t>
            </w:r>
          </w:p>
        </w:tc>
      </w:tr>
    </w:tbl>
    <w:p>
      <w:pPr>
        <w:pStyle w:val="Style23"/>
        <w:keepNext w:val="0"/>
        <w:keepLines w:val="0"/>
        <w:framePr w:w="2074" w:h="274"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盈余公积:</w:t>
      </w:r>
    </w:p>
    <w:p>
      <w:pPr>
        <w:pStyle w:val="Style23"/>
        <w:keepNext w:val="0"/>
        <w:keepLines w:val="0"/>
        <w:framePr w:w="2242" w:h="254" w:hSpace="259" w:wrap="notBeside" w:vAnchor="text" w:hAnchor="text" w:x="7201" w:y="275"/>
        <w:widowControl w:val="0"/>
        <w:shd w:val="clear" w:color="auto" w:fill="auto"/>
        <w:bidi w:val="0"/>
        <w:spacing w:before="0" w:after="0" w:line="240" w:lineRule="auto"/>
        <w:ind w:left="0" w:right="0" w:firstLine="0"/>
        <w:jc w:val="left"/>
      </w:pPr>
      <w:r>
        <w:rPr>
          <w:b w:val="0"/>
          <w:bCs w:val="0"/>
          <w:color w:val="000000"/>
          <w:spacing w:val="0"/>
          <w:w w:val="100"/>
          <w:position w:val="0"/>
        </w:rPr>
        <w:t>单位：元 币种：人民币</w:t>
      </w:r>
    </w:p>
    <w:p>
      <w:pPr>
        <w:pStyle w:val="Style23"/>
        <w:keepNext w:val="0"/>
        <w:keepLines w:val="0"/>
        <w:framePr w:w="6706" w:h="269" w:hSpace="259" w:wrap="notBeside" w:vAnchor="text" w:hAnchor="text" w:x="399" w:y="1427"/>
        <w:widowControl w:val="0"/>
        <w:shd w:val="clear" w:color="auto" w:fill="auto"/>
        <w:bidi w:val="0"/>
        <w:spacing w:before="0" w:after="0" w:line="240" w:lineRule="auto"/>
        <w:ind w:left="0" w:right="0" w:firstLine="0"/>
        <w:jc w:val="left"/>
      </w:pPr>
      <w:r>
        <w:rPr>
          <w:b w:val="0"/>
          <w:bCs w:val="0"/>
          <w:color w:val="000000"/>
          <w:spacing w:val="0"/>
          <w:w w:val="100"/>
          <w:position w:val="0"/>
        </w:rPr>
        <w:t>根据公司章程规定，按</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年度实现的净利润计提</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%的法定公积金。</w:t>
      </w:r>
    </w:p>
    <w:p>
      <w:pPr>
        <w:widowControl w:val="0"/>
        <w:spacing w:line="1" w:lineRule="exact"/>
      </w:pP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BFBFBF"/>
            <w:vAlign w:val="center"/>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center"/>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480"/>
              <w:jc w:val="both"/>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553,214,454.22</w:t>
            </w:r>
          </w:p>
        </w:tc>
        <w:tc>
          <w:tcPr>
            <w:tcBorders>
              <w:top w:val="single" w:sz="4"/>
              <w:left w:val="single" w:sz="4"/>
              <w:righ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553,214,454.22</w:t>
            </w:r>
          </w:p>
        </w:tc>
        <w:tc>
          <w:tcPr>
            <w:tcBorders>
              <w:top w:val="single" w:sz="4"/>
              <w:left w:val="single" w:sz="4"/>
              <w:righ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6"/>
              <w:keepNext w:val="0"/>
              <w:keepLines w:val="0"/>
              <w:framePr w:w="9322" w:h="2304" w:vSpace="538" w:wrap="notBeside" w:vAnchor="text" w:hAnchor="text" w:x="260" w:y="539"/>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371,514,771.45</w:t>
            </w:r>
          </w:p>
        </w:tc>
        <w:tc>
          <w:tcPr>
            <w:tcBorders>
              <w:top w:val="single" w:sz="4"/>
              <w:left w:val="single" w:sz="4"/>
              <w:right w:val="single" w:sz="4"/>
            </w:tcBorders>
            <w:shd w:val="clear" w:color="auto" w:fill="FFFFFF"/>
            <w:vAlign w:val="center"/>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35,130,061.52</w:t>
            </w:r>
          </w:p>
        </w:tc>
        <w:tc>
          <w:tcPr>
            <w:tcBorders>
              <w:top w:val="single" w:sz="4"/>
              <w:left w:val="single" w:sz="4"/>
              <w:righ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3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124,351,500.00</w:t>
            </w:r>
          </w:p>
        </w:tc>
        <w:tc>
          <w:tcPr>
            <w:tcBorders>
              <w:top w:val="single" w:sz="4"/>
              <w:left w:val="single" w:sz="4"/>
              <w:right w:val="single" w:sz="4"/>
            </w:tcBorders>
            <w:shd w:val="clear" w:color="auto" w:fill="FFFFFF"/>
            <w:vAlign w:val="top"/>
          </w:tcPr>
          <w:p>
            <w:pPr>
              <w:framePr w:w="9322" w:h="2304" w:vSpace="538" w:wrap="notBeside" w:vAnchor="text" w:hAnchor="text" w:x="260" w:y="539"/>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765,247,664.15</w:t>
            </w:r>
          </w:p>
        </w:tc>
        <w:tc>
          <w:tcPr>
            <w:tcBorders>
              <w:top w:val="single" w:sz="4"/>
              <w:left w:val="single" w:sz="4"/>
              <w:bottom w:val="single" w:sz="4"/>
              <w:right w:val="single" w:sz="4"/>
            </w:tcBorders>
            <w:shd w:val="clear" w:color="auto" w:fill="FFFFFF"/>
            <w:vAlign w:val="center"/>
          </w:tcPr>
          <w:p>
            <w:pPr>
              <w:pStyle w:val="Style26"/>
              <w:keepNext w:val="0"/>
              <w:keepLines w:val="0"/>
              <w:framePr w:w="9322" w:h="2304" w:vSpace="538" w:wrap="notBeside" w:vAnchor="text" w:hAnchor="text" w:x="260" w:y="539"/>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23"/>
        <w:keepNext w:val="0"/>
        <w:keepLines w:val="0"/>
        <w:framePr w:w="2285" w:h="278"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未分配利润:</w:t>
      </w:r>
    </w:p>
    <w:p>
      <w:pPr>
        <w:pStyle w:val="Style23"/>
        <w:keepNext w:val="0"/>
        <w:keepLines w:val="0"/>
        <w:framePr w:w="2242" w:h="254" w:hSpace="259" w:wrap="notBeside" w:vAnchor="text" w:hAnchor="text" w:x="7201" w:y="275"/>
        <w:widowControl w:val="0"/>
        <w:shd w:val="clear" w:color="auto" w:fill="auto"/>
        <w:bidi w:val="0"/>
        <w:spacing w:before="0" w:after="0" w:line="240" w:lineRule="auto"/>
        <w:ind w:left="0" w:right="0" w:firstLine="0"/>
        <w:jc w:val="left"/>
      </w:pPr>
      <w:r>
        <w:rPr>
          <w:b w:val="0"/>
          <w:bCs w:val="0"/>
          <w:color w:val="000000"/>
          <w:spacing w:val="0"/>
          <w:w w:val="100"/>
          <w:position w:val="0"/>
        </w:rPr>
        <w:t>单位：元 币种：人民币</w:t>
      </w:r>
    </w:p>
    <w:p>
      <w:pPr>
        <w:widowControl w:val="0"/>
        <w:spacing w:line="1" w:lineRule="exact"/>
      </w:pPr>
    </w:p>
    <w:p>
      <w:pPr>
        <w:pStyle w:val="Style29"/>
        <w:keepNext/>
        <w:keepLines/>
        <w:widowControl w:val="0"/>
        <w:shd w:val="clear" w:color="auto" w:fill="auto"/>
        <w:bidi w:val="0"/>
        <w:spacing w:before="0" w:line="240" w:lineRule="auto"/>
        <w:ind w:left="0" w:right="0" w:firstLine="140"/>
        <w:jc w:val="left"/>
      </w:pPr>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营业收入和营业成本：</w:t>
      </w:r>
      <w:bookmarkEnd w:id="883"/>
      <w:bookmarkEnd w:id="884"/>
      <w:bookmarkEnd w:id="885"/>
    </w:p>
    <w:p>
      <w:pPr>
        <w:pStyle w:val="Style29"/>
        <w:keepNext/>
        <w:keepLines/>
        <w:widowControl w:val="0"/>
        <w:shd w:val="clear" w:color="auto" w:fill="auto"/>
        <w:bidi w:val="0"/>
        <w:spacing w:before="0" w:line="240" w:lineRule="auto"/>
        <w:ind w:left="0" w:right="0" w:firstLine="140"/>
        <w:jc w:val="both"/>
      </w:pPr>
      <w:bookmarkStart w:id="883" w:name="bookmark883"/>
      <w:bookmarkStart w:id="884" w:name="bookmark884"/>
      <w:bookmarkStart w:id="886" w:name="bookmark886"/>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883"/>
      <w:bookmarkEnd w:id="884"/>
      <w:bookmarkEnd w:id="886"/>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1,967,880,270.82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1,903,839,634.01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23,569,348.74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9,908,878.17</w:t>
            </w: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1,253,815,683.83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1,251,846,848.91</w:t>
            </w:r>
          </w:p>
        </w:tc>
      </w:tr>
    </w:tbl>
    <w:p>
      <w:pPr>
        <w:widowControl w:val="0"/>
        <w:spacing w:line="1" w:lineRule="exact"/>
      </w:pPr>
      <w:r>
        <w:br w:type="page"/>
      </w:r>
    </w:p>
    <w:p>
      <w:pPr>
        <w:pStyle w:val="Style23"/>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、主营业务（分产品）</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5"/>
        <w:gridCol w:w="1843"/>
        <w:gridCol w:w="1704"/>
        <w:gridCol w:w="1704"/>
        <w:gridCol w:w="1786"/>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电子式电能表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1,542,263,322.16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997,545,688.75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1,438,377,475.78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985,271,451.49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用电信息管理系统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304,200,928.51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150,298,713.83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347,495,214.29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181,437,366.86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系列产品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37,389,497.08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23,396,890.12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光伏系列产品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26,990,908.49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23,372,526.16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15,488,740.12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13,412,854.65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57,035,614.58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39,237,935.06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102,478,203.82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63,651,166.14</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1,967,880,270.82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1,233,851,753.92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1,903,839,634.01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1,243,772,839.14</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3</w:t>
      </w:r>
      <w:bookmarkEnd w:id="889"/>
      <w:r>
        <w:rPr>
          <w:color w:val="000000"/>
          <w:spacing w:val="0"/>
          <w:w w:val="100"/>
          <w:position w:val="0"/>
        </w:rPr>
        <w:t>、主营业务（分地区）</w:t>
      </w:r>
      <w:bookmarkEnd w:id="887"/>
      <w:bookmarkEnd w:id="888"/>
      <w:bookmarkEnd w:id="890"/>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795"/>
        <w:gridCol w:w="1877"/>
        <w:gridCol w:w="1882"/>
        <w:gridCol w:w="1877"/>
        <w:gridCol w:w="1891"/>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境内地区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1,897,137,061.00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1,177,841,258.91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1,878,481,472.66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1,223,636,293.90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70,743,209.82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56,010,495.01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25,358,161.35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20,136,545.24</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1,967,880,270.82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1,233,851,753.92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1,903,839,634.01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1,243,772,839.14</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4</w:t>
      </w:r>
      <w:bookmarkEnd w:id="893"/>
      <w:r>
        <w:rPr>
          <w:color w:val="000000"/>
          <w:spacing w:val="0"/>
          <w:w w:val="100"/>
          <w:position w:val="0"/>
        </w:rPr>
        <w:t>、公司前五名客户的营业收入情况</w:t>
      </w:r>
      <w:bookmarkEnd w:id="891"/>
      <w:bookmarkEnd w:id="892"/>
      <w:bookmarkEnd w:id="894"/>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014"/>
        <w:gridCol w:w="3010"/>
        <w:gridCol w:w="3298"/>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272,532,799.17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92,587,123.68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4.65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68,513,701.67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3.44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61,017,814.19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3.06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60,048,088.44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3.02</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554,699,527.15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营业税金及附加：</w:t>
      </w:r>
      <w:bookmarkEnd w:id="895"/>
      <w:bookmarkEnd w:id="896"/>
      <w:bookmarkEnd w:id="897"/>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858"/>
        <w:gridCol w:w="1843"/>
        <w:gridCol w:w="1704"/>
        <w:gridCol w:w="3917"/>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849,731.77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104,642.45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w:t>
            </w:r>
            <w:r>
              <w:rPr>
                <w:rFonts w:ascii="Times New Roman" w:eastAsia="Times New Roman" w:hAnsi="Times New Roman" w:cs="Times New Roman"/>
                <w:color w:val="000000"/>
                <w:spacing w:val="0"/>
                <w:w w:val="100"/>
                <w:position w:val="0"/>
              </w:rPr>
              <w:t>5%</w:t>
            </w:r>
            <w:r>
              <w:rPr>
                <w:color w:val="000000"/>
                <w:spacing w:val="0"/>
                <w:w w:val="100"/>
                <w:position w:val="0"/>
              </w:rPr>
              <w:t>计征</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7,198,229.28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7,572,952.69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5,123,050.41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5,409,660.96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（含地方教育费附加</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65,647.63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44,384.69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13,236,659.09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13,131,640.79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销售费用</w:t>
      </w:r>
      <w:bookmarkEnd w:id="898"/>
      <w:bookmarkEnd w:id="899"/>
      <w:bookmarkEnd w:id="900"/>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048"/>
        <w:gridCol w:w="3226"/>
        <w:gridCol w:w="3048"/>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42,050,767.36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54,193,941.50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37,995,491.37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38,547,724.60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11,743,492.32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15,888,057.07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咨询中标费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9,980,920.16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17,846,648.12</w:t>
            </w: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16,976,413.70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16,324,920.42</w:t>
            </w:r>
          </w:p>
        </w:tc>
      </w:tr>
    </w:tbl>
    <w:p>
      <w:pPr>
        <w:spacing w:lineRule="exact" w:line="1"/>
        <w:rPr>
          <w:sz w:val="2"/>
          <w:szCs w:val="2"/>
        </w:rPr>
      </w:pPr>
      <w:r>
        <w:br w:type="page"/>
      </w:r>
    </w:p>
    <w:p>
      <w:pPr>
        <w:pStyle w:val="Style53"/>
        <w:keepNext w:val="0"/>
        <w:keepLines w:val="0"/>
        <w:widowControl w:val="0"/>
        <w:shd w:val="clear" w:color="auto" w:fill="auto"/>
        <w:tabs>
          <w:tab w:pos="3552" w:val="left"/>
          <w:tab w:pos="6581" w:val="left"/>
        </w:tabs>
        <w:bidi w:val="0"/>
        <w:spacing w:before="0" w:after="240" w:line="240" w:lineRule="auto"/>
        <w:ind w:left="0" w:right="0" w:firstLine="0"/>
        <w:jc w:val="center"/>
      </w:pPr>
      <w:r>
        <w:rPr>
          <w:rFonts w:ascii="SimSun" w:eastAsia="SimSun" w:hAnsi="SimSun" w:cs="SimSun"/>
          <w:color w:val="000000"/>
          <w:spacing w:val="0"/>
          <w:w w:val="100"/>
          <w:position w:val="0"/>
        </w:rPr>
        <w:t>合计</w:t>
        <w:tab/>
      </w:r>
      <w:r>
        <w:rPr>
          <w:color w:val="000000"/>
          <w:spacing w:val="0"/>
          <w:w w:val="100"/>
          <w:position w:val="0"/>
        </w:rPr>
        <w:t xml:space="preserve">118,747,084.91 </w:t>
      </w:r>
      <w:r>
        <w:rPr>
          <w:color w:val="000000"/>
          <w:spacing w:val="0"/>
          <w:w w:val="100"/>
          <w:position w:val="0"/>
        </w:rPr>
        <w:t>|</w:t>
        <w:tab/>
      </w:r>
      <w:r>
        <w:rPr>
          <w:color w:val="000000"/>
          <w:spacing w:val="0"/>
          <w:w w:val="100"/>
          <w:position w:val="0"/>
        </w:rPr>
        <w:t>142,801,291.71</w:t>
      </w:r>
    </w:p>
    <w:tbl>
      <w:tblPr>
        <w:tblOverlap w:val="never"/>
        <w:jc w:val="left"/>
        <w:tblLayout w:type="fixed"/>
      </w:tblPr>
      <w:tblGrid>
        <w:gridCol w:w="3048"/>
        <w:gridCol w:w="3226"/>
        <w:gridCol w:w="3048"/>
      </w:tblGrid>
      <w:tr>
        <w:trPr>
          <w:trHeight w:val="298" w:hRule="exact"/>
        </w:trPr>
        <w:tc>
          <w:tcPr>
            <w:tcBorders>
              <w:top w:val="single" w:sz="4"/>
              <w:left w:val="single" w:sz="4"/>
            </w:tcBorders>
            <w:shd w:val="clear" w:color="auto" w:fill="BFBFB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81,275,722.86</w:t>
            </w:r>
          </w:p>
        </w:tc>
        <w:tc>
          <w:tcPr>
            <w:tcBorders>
              <w:top w:val="single" w:sz="4"/>
              <w:left w:val="single" w:sz="4"/>
              <w:righ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77,457,883.65</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54,618,547.68</w:t>
            </w:r>
          </w:p>
        </w:tc>
        <w:tc>
          <w:tcPr>
            <w:tcBorders>
              <w:top w:val="single" w:sz="4"/>
              <w:left w:val="single" w:sz="4"/>
              <w:righ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53,777,926.04</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9,645,871.50</w:t>
            </w:r>
          </w:p>
        </w:tc>
        <w:tc>
          <w:tcPr>
            <w:tcBorders>
              <w:top w:val="single" w:sz="4"/>
              <w:left w:val="single" w:sz="4"/>
              <w:righ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10,746,291.60</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10,569,042.41</w:t>
            </w:r>
          </w:p>
        </w:tc>
        <w:tc>
          <w:tcPr>
            <w:tcBorders>
              <w:top w:val="single" w:sz="4"/>
              <w:left w:val="single" w:sz="4"/>
              <w:righ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9,514,776.79</w:t>
            </w:r>
          </w:p>
        </w:tc>
      </w:tr>
      <w:tr>
        <w:trPr>
          <w:trHeight w:val="283" w:hRule="exact"/>
        </w:trPr>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6,999,900.00</w:t>
            </w:r>
          </w:p>
        </w:tc>
        <w:tc>
          <w:tcPr>
            <w:tcBorders>
              <w:top w:val="single" w:sz="4"/>
              <w:left w:val="single" w:sz="4"/>
              <w:righ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4,230,600.00</w:t>
            </w:r>
          </w:p>
        </w:tc>
      </w:tr>
      <w:tr>
        <w:trPr>
          <w:trHeight w:val="288" w:hRule="exact"/>
        </w:trPr>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34,895,417.28</w:t>
            </w:r>
          </w:p>
        </w:tc>
        <w:tc>
          <w:tcPr>
            <w:tcBorders>
              <w:top w:val="single" w:sz="4"/>
              <w:left w:val="single" w:sz="4"/>
              <w:righ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35,661,299.50</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198,004,501.73</w:t>
            </w:r>
          </w:p>
        </w:tc>
        <w:tc>
          <w:tcPr>
            <w:tcBorders>
              <w:top w:val="single" w:sz="4"/>
              <w:left w:val="single" w:sz="4"/>
              <w:bottom w:val="single" w:sz="4"/>
              <w:right w:val="single" w:sz="4"/>
            </w:tcBorders>
            <w:shd w:val="clear" w:color="auto" w:fill="FFFFFF"/>
            <w:vAlign w:val="bottom"/>
          </w:tcPr>
          <w:p>
            <w:pPr>
              <w:pStyle w:val="Style26"/>
              <w:keepNext w:val="0"/>
              <w:keepLines w:val="0"/>
              <w:framePr w:w="9322" w:h="2318" w:vSpace="538" w:wrap="notBeside" w:vAnchor="text" w:hAnchor="text" w:x="260"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191,388,777.58</w:t>
            </w:r>
          </w:p>
        </w:tc>
      </w:tr>
    </w:tbl>
    <w:p>
      <w:pPr>
        <w:pStyle w:val="Style23"/>
        <w:keepNext w:val="0"/>
        <w:keepLines w:val="0"/>
        <w:framePr w:w="1867" w:h="278" w:hSpace="259" w:wrap="notBeside" w:vAnchor="text" w:hAnchor="text" w:x="399"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管理费用</w:t>
      </w:r>
    </w:p>
    <w:p>
      <w:pPr>
        <w:pStyle w:val="Style23"/>
        <w:keepNext w:val="0"/>
        <w:keepLines w:val="0"/>
        <w:framePr w:w="2242" w:h="254" w:hSpace="259" w:wrap="notBeside" w:vAnchor="text" w:hAnchor="text" w:x="7201" w:y="28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p>
      <w:pPr>
        <w:widowControl w:val="0"/>
        <w:spacing w:line="1" w:lineRule="exact"/>
      </w:pPr>
    </w:p>
    <w:p>
      <w:pPr>
        <w:pStyle w:val="Style29"/>
        <w:keepNext/>
        <w:keepLines/>
        <w:widowControl w:val="0"/>
        <w:shd w:val="clear" w:color="auto" w:fill="auto"/>
        <w:bidi w:val="0"/>
        <w:spacing w:before="0" w:line="240" w:lineRule="auto"/>
        <w:ind w:left="0" w:right="0" w:firstLine="140"/>
        <w:jc w:val="left"/>
      </w:pPr>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财务费用</w:t>
      </w:r>
      <w:bookmarkEnd w:id="901"/>
      <w:bookmarkEnd w:id="902"/>
      <w:bookmarkEnd w:id="903"/>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0"/>
        <w:gridCol w:w="3192"/>
        <w:gridCol w:w="3019"/>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279,343.34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-28,655,536.70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-29,467,214.95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-264,815.39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-92,328.36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659,360.32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551,736.83</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-28,260,991.77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-28,728,463.14</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投资收益：</w:t>
      </w:r>
      <w:bookmarkEnd w:id="904"/>
      <w:bookmarkEnd w:id="905"/>
      <w:bookmarkEnd w:id="906"/>
    </w:p>
    <w:p>
      <w:pPr>
        <w:pStyle w:val="Style29"/>
        <w:keepNext/>
        <w:keepLines/>
        <w:widowControl w:val="0"/>
        <w:shd w:val="clear" w:color="auto" w:fill="auto"/>
        <w:bidi w:val="0"/>
        <w:spacing w:before="0" w:line="240" w:lineRule="auto"/>
        <w:ind w:left="0" w:right="0" w:firstLine="140"/>
        <w:jc w:val="left"/>
      </w:pPr>
      <w:bookmarkStart w:id="904" w:name="bookmark904"/>
      <w:bookmarkStart w:id="905" w:name="bookmark905"/>
      <w:bookmarkStart w:id="907" w:name="bookmark907"/>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904"/>
      <w:bookmarkEnd w:id="905"/>
      <w:bookmarkEnd w:id="907"/>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5270"/>
        <w:gridCol w:w="2069"/>
        <w:gridCol w:w="1982"/>
      </w:tblGrid>
      <w:tr>
        <w:trPr>
          <w:trHeight w:val="298"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1,575,659.73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4,133,350.32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5,903,504.53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11,894,643.85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13,470,303.58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10,036,854.85</w:t>
            </w:r>
          </w:p>
        </w:tc>
      </w:tr>
    </w:tbl>
    <w:p>
      <w:pPr>
        <w:pStyle w:val="Style23"/>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注：其他系本报告期投资理财产品取得的收益。</w:t>
      </w:r>
    </w:p>
    <w:p>
      <w:pPr>
        <w:widowControl w:val="0"/>
        <w:spacing w:after="2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51"/>
        <w:gridCol w:w="1843"/>
        <w:gridCol w:w="1704"/>
        <w:gridCol w:w="2923"/>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1,575,659.73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4,133,350.32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本年合营公司盈利减少</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1,575,659.73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4,133,350.32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资产减值损失：</w:t>
      </w:r>
      <w:bookmarkEnd w:id="908"/>
      <w:bookmarkEnd w:id="909"/>
      <w:bookmarkEnd w:id="910"/>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730"/>
        <w:gridCol w:w="2789"/>
        <w:gridCol w:w="2803"/>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6,014,085.77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15,986,229.25</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8,285,986.18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9,902,201.38</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0"/>
        <w:gridCol w:w="2789"/>
        <w:gridCol w:w="2803"/>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14,300,071.95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25,888,430.63</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营业外收入：</w:t>
      </w:r>
      <w:bookmarkEnd w:id="911"/>
      <w:bookmarkEnd w:id="912"/>
      <w:bookmarkEnd w:id="913"/>
    </w:p>
    <w:p>
      <w:pPr>
        <w:pStyle w:val="Style29"/>
        <w:keepNext/>
        <w:keepLines/>
        <w:widowControl w:val="0"/>
        <w:shd w:val="clear" w:color="auto" w:fill="auto"/>
        <w:bidi w:val="0"/>
        <w:spacing w:before="0" w:line="240" w:lineRule="auto"/>
        <w:ind w:left="0" w:right="0" w:firstLine="140"/>
        <w:jc w:val="left"/>
      </w:pPr>
      <w:bookmarkStart w:id="911" w:name="bookmark911"/>
      <w:bookmarkStart w:id="912" w:name="bookmark912"/>
      <w:bookmarkStart w:id="914" w:name="bookmark914"/>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911"/>
      <w:bookmarkEnd w:id="912"/>
      <w:bookmarkEnd w:id="914"/>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568"/>
        <w:gridCol w:w="1848"/>
        <w:gridCol w:w="1838"/>
        <w:gridCol w:w="3067"/>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计入当期非经常性损益的金额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85,910.76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136,385.79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85,910.76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85,910.76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136,385.79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85,910.76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5,132,167.92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27,152,260.96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4,497,256.88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1,204,379.03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3,230,456.37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1,204,379.03</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6,422,457.71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30,519,103.12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5,787,546.67</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r>
        <w:rPr>
          <w:color w:val="000000"/>
          <w:spacing w:val="0"/>
          <w:w w:val="100"/>
          <w:position w:val="0"/>
        </w:rPr>
        <w:t>、政府补助明细</w:t>
      </w:r>
      <w:bookmarkEnd w:id="915"/>
      <w:bookmarkEnd w:id="916"/>
      <w:bookmarkEnd w:id="917"/>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555"/>
        <w:gridCol w:w="1699"/>
        <w:gridCol w:w="1704"/>
        <w:gridCol w:w="1363"/>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光伏逆变项目补助资金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432,130.93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475,677.33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2MWp</w:t>
            </w:r>
            <w:r>
              <w:rPr>
                <w:color w:val="000000"/>
                <w:spacing w:val="0"/>
                <w:w w:val="100"/>
                <w:position w:val="0"/>
              </w:rPr>
              <w:t>屋顶光伏发电项目补助资金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121,312.62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公共租赁住房项目补助资金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52,083.33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工业经济考核奖励资金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3,369,000.00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返还软件销售增值税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634,911.04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3,836,713.63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支持外经贸转型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科技三项经费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引进人才奖励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16,517,400.00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发改委扩大规模奖励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面向智能电网的两化融合示范项目奖励收入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科技金融奖励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引智项目经费奖励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经济建设奖励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人才培养奖励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鼓励培养名牌奖励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国际市场开拓资金拨款</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555"/>
        <w:gridCol w:w="1699"/>
        <w:gridCol w:w="1704"/>
        <w:gridCol w:w="1363"/>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进口贴息扶持奖金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重点帮扶企业岗位补贴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工业激励政策奖补资金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重点科技项目补贴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185,930.00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213,470.00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5,132,167.92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27,152,260.96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left"/>
      </w:pPr>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营业外支出：</w:t>
      </w:r>
      <w:bookmarkEnd w:id="918"/>
      <w:bookmarkEnd w:id="919"/>
      <w:bookmarkEnd w:id="920"/>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712"/>
        <w:gridCol w:w="1699"/>
        <w:gridCol w:w="1704"/>
        <w:gridCol w:w="3206"/>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计入当期非经常性损益的金额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272,696.54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1,001,470.77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272,696.54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272,696.54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1,001,470.77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272,696.54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1,550,000.00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259,393.49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337,045.64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259,393.49</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2,082,090.03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2,088,516.41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2,082,090.03</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left"/>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所得税费用：</w:t>
      </w:r>
      <w:bookmarkEnd w:id="921"/>
      <w:bookmarkEnd w:id="922"/>
      <w:bookmarkEnd w:id="923"/>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411"/>
        <w:gridCol w:w="2410"/>
        <w:gridCol w:w="2501"/>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70,182,591.42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58,464,087.84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-2,301,603.90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-3,869,268.65</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67,880,987.52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54,594,819.19</w:t>
            </w:r>
          </w:p>
        </w:tc>
      </w:tr>
    </w:tbl>
    <w:p>
      <w:pPr>
        <w:widowControl w:val="0"/>
        <w:spacing w:after="239" w:line="1" w:lineRule="exact"/>
      </w:pPr>
    </w:p>
    <w:p>
      <w:pPr>
        <w:pStyle w:val="Style12"/>
        <w:keepNext w:val="0"/>
        <w:keepLines w:val="0"/>
        <w:widowControl w:val="0"/>
        <w:shd w:val="clear" w:color="auto" w:fill="auto"/>
        <w:bidi w:val="0"/>
        <w:spacing w:before="0" w:after="0" w:line="275" w:lineRule="exact"/>
        <w:ind w:left="0" w:right="0" w:firstLine="1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三十九</w:t>
      </w:r>
      <w:r>
        <w:rPr>
          <w:b/>
          <w:bCs/>
          <w:color w:val="000000"/>
          <w:spacing w:val="0"/>
          <w:w w:val="100"/>
          <w:position w:val="0"/>
        </w:rPr>
        <w:t>）</w:t>
      </w:r>
      <w:r>
        <w:rPr>
          <w:b/>
          <w:bCs/>
          <w:color w:val="000000"/>
          <w:spacing w:val="0"/>
          <w:w w:val="100"/>
          <w:position w:val="0"/>
        </w:rPr>
        <w:t>基本每股收益和稀释每股收益的计算过程：</w:t>
      </w:r>
    </w:p>
    <w:p>
      <w:pPr>
        <w:pStyle w:val="Style1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计算公式：</w:t>
      </w:r>
    </w:p>
    <w:p>
      <w:pPr>
        <w:pStyle w:val="Style12"/>
        <w:keepNext w:val="0"/>
        <w:keepLines w:val="0"/>
        <w:widowControl w:val="0"/>
        <w:shd w:val="clear" w:color="auto" w:fill="auto"/>
        <w:tabs>
          <w:tab w:pos="508" w:val="left"/>
        </w:tabs>
        <w:bidi w:val="0"/>
        <w:spacing w:before="0" w:after="0" w:line="275" w:lineRule="exact"/>
        <w:ind w:left="0" w:right="0" w:firstLine="140"/>
        <w:jc w:val="left"/>
      </w:pPr>
      <w:bookmarkStart w:id="924" w:name="bookmark924"/>
      <w:r>
        <w:rPr>
          <w:rFonts w:ascii="Times New Roman" w:eastAsia="Times New Roman" w:hAnsi="Times New Roman" w:cs="Times New Roman"/>
          <w:b/>
          <w:bCs/>
          <w:color w:val="000000"/>
          <w:spacing w:val="0"/>
          <w:w w:val="100"/>
          <w:position w:val="0"/>
        </w:rPr>
        <w:t>1</w:t>
      </w:r>
      <w:bookmarkEnd w:id="924"/>
      <w:r>
        <w:rPr>
          <w:b/>
          <w:bCs/>
          <w:color w:val="000000"/>
          <w:spacing w:val="0"/>
          <w:w w:val="100"/>
          <w:position w:val="0"/>
        </w:rPr>
        <w:t>、</w:t>
        <w:tab/>
        <w:t>基本每股收益</w:t>
      </w:r>
    </w:p>
    <w:p>
      <w:pPr>
        <w:pStyle w:val="Style12"/>
        <w:keepNext w:val="0"/>
        <w:keepLines w:val="0"/>
        <w:widowControl w:val="0"/>
        <w:shd w:val="clear" w:color="auto" w:fill="auto"/>
        <w:bidi w:val="0"/>
        <w:spacing w:before="0" w:after="0" w:line="275" w:lineRule="exact"/>
        <w:ind w:left="0" w:right="0" w:firstLine="14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w:t>
      </w:r>
      <w:r>
        <w:rPr>
          <w:color w:val="000000"/>
          <w:spacing w:val="0"/>
          <w:w w:val="100"/>
          <w:position w:val="0"/>
        </w:rPr>
        <w:t>：</w:t>
      </w:r>
      <w:r>
        <w:rPr>
          <w:rFonts w:ascii="Times New Roman" w:eastAsia="Times New Roman" w:hAnsi="Times New Roman" w:cs="Times New Roman"/>
          <w:color w:val="000000"/>
          <w:spacing w:val="0"/>
          <w:w w:val="100"/>
          <w:position w:val="0"/>
        </w:rPr>
        <w:t>S</w:t>
      </w:r>
    </w:p>
    <w:p>
      <w:pPr>
        <w:pStyle w:val="Style53"/>
        <w:keepNext w:val="0"/>
        <w:keepLines w:val="0"/>
        <w:widowControl w:val="0"/>
        <w:shd w:val="clear" w:color="auto" w:fill="auto"/>
        <w:bidi w:val="0"/>
        <w:spacing w:before="0" w:after="0" w:line="288" w:lineRule="auto"/>
        <w:ind w:left="0" w:right="0" w:firstLine="140"/>
        <w:jc w:val="left"/>
      </w:pPr>
      <w:r>
        <w:rPr>
          <w:color w:val="000000"/>
          <w:spacing w:val="0"/>
          <w:w w:val="100"/>
          <w:position w:val="0"/>
        </w:rPr>
        <w:t xml:space="preserve">S= S0 </w:t>
      </w:r>
      <w:r>
        <w:rPr>
          <w:rFonts w:ascii="Arial" w:eastAsia="Arial" w:hAnsi="Arial" w:cs="Arial"/>
          <w:color w:val="000000"/>
          <w:spacing w:val="0"/>
          <w:w w:val="100"/>
          <w:position w:val="0"/>
        </w:rPr>
        <w:t xml:space="preserve">+ </w:t>
      </w:r>
      <w:r>
        <w:rPr>
          <w:color w:val="000000"/>
          <w:spacing w:val="0"/>
          <w:w w:val="100"/>
          <w:position w:val="0"/>
        </w:rPr>
        <w:t xml:space="preserve">Sl </w:t>
      </w:r>
      <w:r>
        <w:rPr>
          <w:rFonts w:ascii="Arial" w:eastAsia="Arial" w:hAnsi="Arial" w:cs="Arial"/>
          <w:color w:val="000000"/>
          <w:spacing w:val="0"/>
          <w:w w:val="100"/>
          <w:position w:val="0"/>
        </w:rPr>
        <w:t xml:space="preserve">+ </w:t>
      </w:r>
      <w:r>
        <w:rPr>
          <w:color w:val="000000"/>
          <w:spacing w:val="0"/>
          <w:w w:val="100"/>
          <w:position w:val="0"/>
        </w:rPr>
        <w:t>Si</w:t>
      </w:r>
      <w:r>
        <w:rPr>
          <w:rFonts w:ascii="Arial" w:eastAsia="Arial" w:hAnsi="Arial" w:cs="Arial"/>
          <w:color w:val="000000"/>
          <w:spacing w:val="0"/>
          <w:w w:val="100"/>
          <w:position w:val="0"/>
        </w:rPr>
        <w:t>X</w:t>
      </w:r>
      <w:r>
        <w:rPr>
          <w:color w:val="000000"/>
          <w:spacing w:val="0"/>
          <w:w w:val="100"/>
          <w:position w:val="0"/>
        </w:rPr>
        <w:t>Mi</w:t>
      </w:r>
      <w:r>
        <w:rPr>
          <w:rFonts w:ascii="SimSun" w:eastAsia="SimSun" w:hAnsi="SimSun" w:cs="SimSun"/>
          <w:color w:val="000000"/>
          <w:spacing w:val="0"/>
          <w:w w:val="100"/>
          <w:position w:val="0"/>
          <w:sz w:val="24"/>
          <w:szCs w:val="24"/>
        </w:rPr>
        <w:t>：</w:t>
      </w:r>
      <w:r>
        <w:rPr>
          <w:color w:val="000000"/>
          <w:spacing w:val="0"/>
          <w:w w:val="100"/>
          <w:position w:val="0"/>
        </w:rPr>
        <w:t xml:space="preserve">M0 </w:t>
      </w:r>
      <w:r>
        <w:rPr>
          <w:rFonts w:ascii="Arial" w:eastAsia="Arial" w:hAnsi="Arial" w:cs="Arial"/>
          <w:color w:val="000000"/>
          <w:spacing w:val="0"/>
          <w:w w:val="100"/>
          <w:position w:val="0"/>
        </w:rPr>
        <w:t xml:space="preserve">- </w:t>
      </w:r>
      <w:r>
        <w:rPr>
          <w:color w:val="000000"/>
          <w:spacing w:val="0"/>
          <w:w w:val="100"/>
          <w:position w:val="0"/>
        </w:rPr>
        <w:t>Sj</w:t>
      </w:r>
      <w:r>
        <w:rPr>
          <w:rFonts w:ascii="Arial" w:eastAsia="Arial" w:hAnsi="Arial" w:cs="Arial"/>
          <w:color w:val="000000"/>
          <w:spacing w:val="0"/>
          <w:w w:val="100"/>
          <w:position w:val="0"/>
        </w:rPr>
        <w:t>X</w:t>
      </w:r>
      <w:r>
        <w:rPr>
          <w:color w:val="000000"/>
          <w:spacing w:val="0"/>
          <w:w w:val="100"/>
          <w:position w:val="0"/>
        </w:rPr>
        <w:t>Mj</w:t>
      </w:r>
      <w:r>
        <w:rPr>
          <w:rFonts w:ascii="Arial" w:eastAsia="Arial" w:hAnsi="Arial" w:cs="Arial"/>
          <w:color w:val="000000"/>
          <w:spacing w:val="0"/>
          <w:w w:val="100"/>
          <w:position w:val="0"/>
        </w:rPr>
        <w:t>^</w:t>
      </w:r>
      <w:r>
        <w:rPr>
          <w:color w:val="000000"/>
          <w:spacing w:val="0"/>
          <w:w w:val="100"/>
          <w:position w:val="0"/>
        </w:rPr>
        <w:t xml:space="preserve">MO </w:t>
      </w:r>
      <w:r>
        <w:rPr>
          <w:rFonts w:ascii="Arial" w:eastAsia="Arial" w:hAnsi="Arial" w:cs="Arial"/>
          <w:color w:val="000000"/>
          <w:spacing w:val="0"/>
          <w:w w:val="100"/>
          <w:position w:val="0"/>
        </w:rPr>
        <w:t xml:space="preserve">- </w:t>
      </w:r>
      <w:r>
        <w:rPr>
          <w:color w:val="000000"/>
          <w:spacing w:val="0"/>
          <w:w w:val="100"/>
          <w:position w:val="0"/>
        </w:rPr>
        <w:t>Sk</w:t>
      </w:r>
    </w:p>
    <w:p>
      <w:pPr>
        <w:pStyle w:val="Style12"/>
        <w:keepNext w:val="0"/>
        <w:keepLines w:val="0"/>
        <w:widowControl w:val="0"/>
        <w:shd w:val="clear" w:color="auto" w:fill="auto"/>
        <w:bidi w:val="0"/>
        <w:spacing w:before="0" w:after="240" w:line="275" w:lineRule="exact"/>
        <w:ind w:left="14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 xml:space="preserve">S </w:t>
      </w:r>
      <w:r>
        <w:rPr>
          <w:color w:val="000000"/>
          <w:spacing w:val="0"/>
          <w:w w:val="100"/>
          <w:position w:val="0"/>
        </w:rPr>
        <w:t>为发行在外的普通股加权平均数；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 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 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 xml:space="preserve">Mj </w:t>
      </w:r>
      <w:r>
        <w:rPr>
          <w:color w:val="000000"/>
          <w:spacing w:val="0"/>
          <w:w w:val="100"/>
          <w:position w:val="0"/>
        </w:rPr>
        <w:t>为减少股份次月起至报告期期末的累计月数。</w:t>
      </w:r>
    </w:p>
    <w:p>
      <w:pPr>
        <w:pStyle w:val="Style29"/>
        <w:keepNext/>
        <w:keepLines/>
        <w:widowControl w:val="0"/>
        <w:shd w:val="clear" w:color="auto" w:fill="auto"/>
        <w:tabs>
          <w:tab w:pos="518" w:val="left"/>
        </w:tabs>
        <w:bidi w:val="0"/>
        <w:spacing w:before="0" w:after="0" w:line="288" w:lineRule="exact"/>
        <w:ind w:left="0" w:right="0" w:firstLine="14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color w:val="000000"/>
          <w:spacing w:val="0"/>
          <w:w w:val="100"/>
          <w:position w:val="0"/>
        </w:rPr>
        <w:t>、</w:t>
        <w:tab/>
        <w:t>稀释每股收益</w:t>
      </w:r>
      <w:bookmarkEnd w:id="925"/>
      <w:bookmarkEnd w:id="926"/>
      <w:bookmarkEnd w:id="928"/>
    </w:p>
    <w:p>
      <w:pPr>
        <w:pStyle w:val="Style12"/>
        <w:keepNext w:val="0"/>
        <w:keepLines w:val="0"/>
        <w:widowControl w:val="0"/>
        <w:shd w:val="clear" w:color="auto" w:fill="auto"/>
        <w:bidi w:val="0"/>
        <w:spacing w:before="0" w:after="240" w:line="288" w:lineRule="exact"/>
        <w:ind w:left="140" w:right="0" w:firstLine="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=Pl/（S0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w:t>
      </w:r>
      <w:r>
        <w:rPr>
          <w:rFonts w:ascii="Arial" w:eastAsia="Arial" w:hAnsi="Arial" w:cs="Arial"/>
          <w:color w:val="000000"/>
          <w:spacing w:val="0"/>
          <w:w w:val="100"/>
          <w:position w:val="0"/>
        </w:rPr>
        <w:t>X</w:t>
      </w:r>
      <w:r>
        <w:rPr>
          <w:rFonts w:ascii="Times New Roman" w:eastAsia="Times New Roman" w:hAnsi="Times New Roman" w:cs="Times New Roman"/>
          <w:color w:val="000000"/>
          <w:spacing w:val="0"/>
          <w:w w:val="100"/>
          <w:position w:val="0"/>
        </w:rPr>
        <w:t>Mi</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w:t>
      </w:r>
      <w:r>
        <w:rPr>
          <w:rFonts w:ascii="Times New Roman" w:eastAsia="Times New Roman" w:hAnsi="Times New Roman" w:cs="Times New Roman"/>
          <w:color w:val="000000"/>
          <w:spacing w:val="0"/>
          <w:w w:val="100"/>
          <w:position w:val="0"/>
        </w:rPr>
        <w:t>Sj</w:t>
      </w:r>
      <w:r>
        <w:rPr>
          <w:rFonts w:ascii="Arial" w:eastAsia="Arial" w:hAnsi="Arial" w:cs="Arial"/>
          <w:color w:val="000000"/>
          <w:spacing w:val="0"/>
          <w:w w:val="100"/>
          <w:position w:val="0"/>
        </w:rPr>
        <w:t>X</w:t>
      </w:r>
      <w:r>
        <w:rPr>
          <w:rFonts w:ascii="Times New Roman" w:eastAsia="Times New Roman" w:hAnsi="Times New Roman" w:cs="Times New Roman"/>
          <w:color w:val="000000"/>
          <w:spacing w:val="0"/>
          <w:w w:val="100"/>
          <w:position w:val="0"/>
        </w:rPr>
        <w:t>Mj</w:t>
      </w:r>
      <w:r>
        <w:rPr>
          <w:color w:val="000000"/>
          <w:spacing w:val="0"/>
          <w:w w:val="100"/>
          <w:position w:val="0"/>
        </w:rPr>
        <w:t>：</w:t>
      </w:r>
      <w:r>
        <w:rPr>
          <w:rFonts w:ascii="Times New Roman" w:eastAsia="Times New Roman" w:hAnsi="Times New Roman" w:cs="Times New Roman"/>
          <w:color w:val="000000"/>
          <w:spacing w:val="0"/>
          <w:w w:val="100"/>
          <w:position w:val="0"/>
        </w:rPr>
        <w:t>M0</w:t>
      </w:r>
      <w:r>
        <w:rPr>
          <w:color w:val="000000"/>
          <w:spacing w:val="0"/>
          <w:w w:val="100"/>
          <w:position w:val="0"/>
        </w:rPr>
        <w:t>-</w:t>
      </w:r>
      <w:r>
        <w:rPr>
          <w:rFonts w:ascii="Times New Roman" w:eastAsia="Times New Roman" w:hAnsi="Times New Roman" w:cs="Times New Roman"/>
          <w:color w:val="000000"/>
          <w:spacing w:val="0"/>
          <w:w w:val="100"/>
          <w:position w:val="0"/>
        </w:rPr>
        <w:t>Sk+</w:t>
      </w:r>
      <w:r>
        <w:rPr>
          <w:color w:val="000000"/>
          <w:spacing w:val="0"/>
          <w:w w:val="100"/>
          <w:position w:val="0"/>
        </w:rPr>
        <w:t>认股权证、股份期权、可转换债券等 增加的普通股加权平均数</w:t>
      </w:r>
      <w:r>
        <w:rPr>
          <w:color w:val="000000"/>
          <w:spacing w:val="0"/>
          <w:w w:val="100"/>
          <w:position w:val="0"/>
        </w:rPr>
        <w:t>）</w:t>
      </w:r>
    </w:p>
    <w:p>
      <w:pPr>
        <w:pStyle w:val="Style12"/>
        <w:keepNext w:val="0"/>
        <w:keepLines w:val="0"/>
        <w:widowControl w:val="0"/>
        <w:shd w:val="clear" w:color="auto" w:fill="auto"/>
        <w:bidi w:val="0"/>
        <w:spacing w:before="0" w:after="240" w:line="274" w:lineRule="exact"/>
        <w:ind w:left="14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 润，并考虑稀释性潜在普通股对其影响，按《企业会计准则》及有关规定进行调整。公司在计算稀 释每股收益时，应考虑所有稀释性潜在普通股对归属于公司普通股股东的净利润或扣除非经常性损 益后归属于公司普通股股东的净利润和加权平均股数的影响，按照其稀释程度从大到小的顺序计入 稀释每股收益，直至稀释每股收益达到最小值。</w:t>
      </w:r>
    </w:p>
    <w:p>
      <w:pPr>
        <w:pStyle w:val="Style29"/>
        <w:keepNext/>
        <w:keepLines/>
        <w:widowControl w:val="0"/>
        <w:shd w:val="clear" w:color="auto" w:fill="auto"/>
        <w:bidi w:val="0"/>
        <w:spacing w:before="0" w:after="0" w:line="275" w:lineRule="exact"/>
        <w:ind w:left="0" w:right="0" w:firstLine="140"/>
        <w:jc w:val="left"/>
      </w:pPr>
      <w:bookmarkStart w:id="929" w:name="bookmark929"/>
      <w:bookmarkStart w:id="930" w:name="bookmark930"/>
      <w:bookmarkStart w:id="931" w:name="bookmark931"/>
      <w:r>
        <w:rPr>
          <w:color w:val="000000"/>
          <w:spacing w:val="0"/>
          <w:w w:val="100"/>
          <w:position w:val="0"/>
        </w:rPr>
        <w:t>计算过程：</w:t>
      </w:r>
      <w:bookmarkEnd w:id="929"/>
      <w:bookmarkEnd w:id="930"/>
      <w:bookmarkEnd w:id="931"/>
    </w:p>
    <w:p>
      <w:pPr>
        <w:pStyle w:val="Style29"/>
        <w:keepNext/>
        <w:keepLines/>
        <w:widowControl w:val="0"/>
        <w:shd w:val="clear" w:color="auto" w:fill="auto"/>
        <w:bidi w:val="0"/>
        <w:spacing w:before="0" w:after="0" w:line="275" w:lineRule="exact"/>
        <w:ind w:left="0" w:right="0" w:firstLine="140"/>
        <w:jc w:val="left"/>
      </w:pPr>
      <w:bookmarkStart w:id="929" w:name="bookmark929"/>
      <w:bookmarkStart w:id="930" w:name="bookmark930"/>
      <w:bookmarkStart w:id="932" w:name="bookmark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bookmarkEnd w:id="929"/>
      <w:bookmarkEnd w:id="930"/>
      <w:bookmarkEnd w:id="932"/>
    </w:p>
    <w:p>
      <w:pPr>
        <w:pStyle w:val="Style12"/>
        <w:keepNext w:val="0"/>
        <w:keepLines w:val="0"/>
        <w:widowControl w:val="0"/>
        <w:shd w:val="clear" w:color="auto" w:fill="auto"/>
        <w:bidi w:val="0"/>
        <w:spacing w:before="0" w:after="240" w:line="275" w:lineRule="exact"/>
        <w:ind w:left="0" w:right="0" w:firstLine="140"/>
        <w:jc w:val="left"/>
      </w:pPr>
      <w:r>
        <w:rPr>
          <w:color w:val="000000"/>
          <w:spacing w:val="0"/>
          <w:w w:val="100"/>
          <w:position w:val="0"/>
        </w:rPr>
        <w:t>基本每股收益以归属于本公司普通股股东的合并净利润除以本公司发行在外普通股的加权平均数</w:t>
      </w:r>
      <w:r>
        <w:br w:type="page"/>
      </w: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计算：</w:t>
      </w:r>
    </w:p>
    <w:tbl>
      <w:tblPr>
        <w:tblOverlap w:val="never"/>
        <w:jc w:val="center"/>
        <w:tblLayout w:type="fixed"/>
      </w:tblPr>
      <w:tblGrid>
        <w:gridCol w:w="4608"/>
        <w:gridCol w:w="2126"/>
        <w:gridCol w:w="2136"/>
      </w:tblGrid>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371,514,771.45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302,597,941.80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355,280,833.33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350,430,000.00</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0.86</w:t>
            </w:r>
          </w:p>
        </w:tc>
      </w:tr>
    </w:tbl>
    <w:p>
      <w:pPr>
        <w:widowControl w:val="0"/>
        <w:spacing w:after="2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普通股的加权平均数计算过程如下:</w:t>
      </w:r>
    </w:p>
    <w:tbl>
      <w:tblPr>
        <w:tblOverlap w:val="never"/>
        <w:jc w:val="center"/>
        <w:tblLayout w:type="fixed"/>
      </w:tblPr>
      <w:tblGrid>
        <w:gridCol w:w="4574"/>
        <w:gridCol w:w="2126"/>
        <w:gridCol w:w="2102"/>
      </w:tblGrid>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355,290,000.00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290,000,000.00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60,430,000.00</w:t>
            </w:r>
          </w:p>
        </w:tc>
      </w:tr>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减：本期回购的普通股加权数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9,166.67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355,280,833.33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350,430,000.00</w:t>
            </w:r>
          </w:p>
        </w:tc>
      </w:tr>
    </w:tbl>
    <w:p>
      <w:pPr>
        <w:widowControl w:val="0"/>
        <w:spacing w:after="519" w:line="1" w:lineRule="exact"/>
      </w:pPr>
    </w:p>
    <w:p>
      <w:pPr>
        <w:pStyle w:val="Style29"/>
        <w:keepNext/>
        <w:keepLines/>
        <w:widowControl w:val="0"/>
        <w:shd w:val="clear" w:color="auto" w:fill="auto"/>
        <w:bidi w:val="0"/>
        <w:spacing w:before="0" w:after="0" w:line="254" w:lineRule="exact"/>
        <w:ind w:left="0" w:right="0" w:firstLine="0"/>
        <w:jc w:val="left"/>
      </w:pPr>
      <w:bookmarkStart w:id="933" w:name="bookmark933"/>
      <w:bookmarkStart w:id="934" w:name="bookmark934"/>
      <w:bookmarkStart w:id="935" w:name="bookmark935"/>
      <w:r>
        <w:rPr>
          <w:color w:val="000000"/>
          <w:spacing w:val="0"/>
          <w:w w:val="100"/>
          <w:position w:val="0"/>
        </w:rPr>
        <w:t>（2）稀释每股收益</w:t>
      </w:r>
      <w:bookmarkEnd w:id="933"/>
      <w:bookmarkEnd w:id="934"/>
      <w:bookmarkEnd w:id="935"/>
    </w:p>
    <w:p>
      <w:pPr>
        <w:pStyle w:val="Style12"/>
        <w:keepNext w:val="0"/>
        <w:keepLines w:val="0"/>
        <w:widowControl w:val="0"/>
        <w:shd w:val="clear" w:color="auto" w:fill="auto"/>
        <w:bidi w:val="0"/>
        <w:spacing w:before="0" w:after="280" w:line="254" w:lineRule="exact"/>
        <w:ind w:left="0" w:right="0" w:firstLine="140"/>
        <w:jc w:val="left"/>
      </w:pPr>
      <w:r>
        <w:rPr>
          <w:color w:val="000000"/>
          <w:spacing w:val="0"/>
          <w:w w:val="100"/>
          <w:position w:val="0"/>
        </w:rPr>
        <w:t>稀释每股收益以调整后的归属于本公司普通股股东的合并净利润除以调整后的本公司发行在外普 通股的加权平均数计算:</w:t>
      </w:r>
    </w:p>
    <w:tbl>
      <w:tblPr>
        <w:tblOverlap w:val="never"/>
        <w:jc w:val="center"/>
        <w:tblLayout w:type="fixed"/>
      </w:tblPr>
      <w:tblGrid>
        <w:gridCol w:w="4656"/>
        <w:gridCol w:w="2126"/>
        <w:gridCol w:w="2074"/>
      </w:tblGrid>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371,514,771.45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301,531,077.73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355,280,833.33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350,430,000.00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0.86</w:t>
            </w:r>
          </w:p>
        </w:tc>
      </w:tr>
    </w:tbl>
    <w:p>
      <w:pPr>
        <w:widowControl w:val="0"/>
        <w:spacing w:after="2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普通股的加权平均数（稀释）计算过程如下:</w:t>
      </w:r>
    </w:p>
    <w:tbl>
      <w:tblPr>
        <w:tblOverlap w:val="never"/>
        <w:jc w:val="center"/>
        <w:tblLayout w:type="fixed"/>
      </w:tblPr>
      <w:tblGrid>
        <w:gridCol w:w="5405"/>
        <w:gridCol w:w="1656"/>
        <w:gridCol w:w="1848"/>
      </w:tblGrid>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计算基本每股收益时年末发行在外的普通股加权平均数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355,280,833.33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350,430,000.00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［股份期权的影响］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355,280,833.33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350,430,000.00</w:t>
            </w:r>
          </w:p>
        </w:tc>
      </w:tr>
    </w:tbl>
    <w:p>
      <w:pPr>
        <w:widowControl w:val="0"/>
        <w:spacing w:after="279" w:line="1" w:lineRule="exact"/>
      </w:pPr>
    </w:p>
    <w:p>
      <w:pPr>
        <w:pStyle w:val="Style29"/>
        <w:keepNext/>
        <w:keepLines/>
        <w:widowControl w:val="0"/>
        <w:shd w:val="clear" w:color="auto" w:fill="auto"/>
        <w:bidi w:val="0"/>
        <w:spacing w:before="0" w:after="0" w:line="240" w:lineRule="auto"/>
        <w:ind w:left="0" w:right="0" w:firstLine="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现金流量表项目注释：</w:t>
      </w:r>
      <w:bookmarkEnd w:id="936"/>
      <w:bookmarkEnd w:id="937"/>
      <w:bookmarkEnd w:id="938"/>
    </w:p>
    <w:p>
      <w:pPr>
        <w:pStyle w:val="Style29"/>
        <w:keepNext/>
        <w:keepLines/>
        <w:widowControl w:val="0"/>
        <w:shd w:val="clear" w:color="auto" w:fill="auto"/>
        <w:bidi w:val="0"/>
        <w:spacing w:before="0" w:after="0" w:line="240" w:lineRule="auto"/>
        <w:ind w:left="0" w:right="0" w:firstLine="0"/>
        <w:jc w:val="left"/>
      </w:pPr>
      <w:bookmarkStart w:id="936" w:name="bookmark936"/>
      <w:bookmarkStart w:id="937" w:name="bookmark937"/>
      <w:bookmarkStart w:id="939" w:name="bookmark939"/>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936"/>
      <w:bookmarkEnd w:id="937"/>
      <w:bookmarkEnd w:id="939"/>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454"/>
        <w:gridCol w:w="4445"/>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项目</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15,691,730.00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886,870.00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28,655,536.70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受限货币资金减少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8,743,571.95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619,012.13</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54,596,720.78</w:t>
            </w:r>
          </w:p>
        </w:tc>
      </w:tr>
    </w:tbl>
    <w:p>
      <w:pPr>
        <w:widowControl w:val="0"/>
        <w:spacing w:after="199" w:line="1" w:lineRule="exact"/>
      </w:pPr>
    </w:p>
    <w:p>
      <w:pPr>
        <w:pStyle w:val="Style29"/>
        <w:keepNext/>
        <w:keepLines/>
        <w:widowControl w:val="0"/>
        <w:shd w:val="clear" w:color="auto" w:fill="auto"/>
        <w:bidi w:val="0"/>
        <w:spacing w:before="0" w:after="0" w:line="298" w:lineRule="exact"/>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940"/>
      <w:bookmarkEnd w:id="941"/>
      <w:bookmarkEnd w:id="942"/>
    </w:p>
    <w:p>
      <w:pPr>
        <w:pStyle w:val="Style12"/>
        <w:keepNext w:val="0"/>
        <w:keepLines w:val="0"/>
        <w:widowControl w:val="0"/>
        <w:pBdr>
          <w:top w:val="single" w:sz="0" w:space="0" w:color="BFBFBF"/>
          <w:left w:val="single" w:sz="0" w:space="0" w:color="BFBFBF"/>
          <w:bottom w:val="single" w:sz="0" w:space="3" w:color="BFBFBF"/>
          <w:right w:val="single" w:sz="0" w:space="0" w:color="BFBFBF"/>
        </w:pBdr>
        <w:shd w:val="clear" w:color="auto" w:fill="BFBFBF"/>
        <w:tabs>
          <w:tab w:pos="6752" w:val="left"/>
        </w:tabs>
        <w:bidi w:val="0"/>
        <w:spacing w:before="0" w:after="218" w:line="298" w:lineRule="exact"/>
        <w:ind w:left="2120" w:right="0" w:firstLine="4820"/>
        <w:jc w:val="left"/>
      </w:pPr>
      <w:r>
        <mc:AlternateContent>
          <mc:Choice Requires="wps">
            <w:drawing>
              <wp:anchor distT="0" distB="0" distL="0" distR="0" simplePos="0" relativeHeight="125829401" behindDoc="0" locked="0" layoutInCell="1" allowOverlap="1">
                <wp:simplePos x="0" y="0"/>
                <wp:positionH relativeFrom="page">
                  <wp:posOffset>792480</wp:posOffset>
                </wp:positionH>
                <wp:positionV relativeFrom="paragraph">
                  <wp:posOffset>215900</wp:posOffset>
                </wp:positionV>
                <wp:extent cx="5919470" cy="194945"/>
                <wp:wrapTopAndBottom/>
                <wp:docPr id="113" name="Shape 113"/>
                <a:graphic xmlns:a="http://schemas.openxmlformats.org/drawingml/2006/main">
                  <a:graphicData uri="http://schemas.microsoft.com/office/word/2010/wordprocessingShape">
                    <wps:wsp>
                      <wps:cNvSpPr txBox="1"/>
                      <wps:spPr>
                        <a:xfrm>
                          <a:ext cx="5919470" cy="194945"/>
                        </a:xfrm>
                        <a:prstGeom prst="rect"/>
                        <a:noFill/>
                      </wps:spPr>
                      <wps:txbx>
                        <w:txbxContent>
                          <w:tbl>
                            <w:tblPr>
                              <w:tblOverlap w:val="never"/>
                              <w:jc w:val="left"/>
                              <w:tblLayout w:type="fixed"/>
                            </w:tblPr>
                            <w:tblGrid>
                              <w:gridCol w:w="4661"/>
                              <w:gridCol w:w="4661"/>
                            </w:tblGrid>
                            <w:tr>
                              <w:trPr>
                                <w:tblHeader/>
                                <w:trHeight w:val="307"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line="1" w:lineRule="exact"/>
                            </w:pPr>
                          </w:p>
                        </w:txbxContent>
                      </wps:txbx>
                      <wps:bodyPr lIns="0" tIns="0" rIns="0" bIns="0">
                        <a:noAutoFit/>
                      </wps:bodyPr>
                    </wps:wsp>
                  </a:graphicData>
                </a:graphic>
              </wp:anchor>
            </w:drawing>
          </mc:Choice>
          <mc:Fallback>
            <w:pict>
              <v:shape id="_x0000_s1139" type="#_x0000_t202" style="position:absolute;margin-left:62.399999999999999pt;margin-top:17.pt;width:466.10000000000002pt;height:15.35pt;z-index:-125829352;mso-wrap-distance-left:0;mso-wrap-distance-right:0;mso-position-horizontal-relative:page" filled="f" stroked="f">
                <v:textbox inset="0,0,0,0">
                  <w:txbxContent>
                    <w:tbl>
                      <w:tblPr>
                        <w:tblOverlap w:val="never"/>
                        <w:jc w:val="left"/>
                        <w:tblLayout w:type="fixed"/>
                      </w:tblPr>
                      <w:tblGrid>
                        <w:gridCol w:w="4661"/>
                        <w:gridCol w:w="4661"/>
                      </w:tblGrid>
                      <w:tr>
                        <w:trPr>
                          <w:tblHeader/>
                          <w:trHeight w:val="307"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line="1" w:lineRule="exact"/>
                      </w:pPr>
                    </w:p>
                  </w:txbxContent>
                </v:textbox>
                <w10:wrap type="topAndBottom" anchorx="page"/>
              </v:shape>
            </w:pict>
          </mc:Fallback>
        </mc:AlternateContent>
      </w:r>
      <w:r>
        <w:rPr>
          <w:color w:val="000000"/>
          <w:spacing w:val="0"/>
          <w:w w:val="100"/>
          <w:position w:val="0"/>
        </w:rPr>
        <w:t>单位：元币种：人民币 项目</w:t>
        <w:tab/>
        <w:t>金额</w:t>
      </w:r>
      <w:r>
        <w:br w:type="page"/>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支付销售费用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75,190,492.97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支付管理费用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66,478,653.94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rPr>
              <w:t>-</w:t>
            </w:r>
            <w:r>
              <w:rPr>
                <w:color w:val="000000"/>
                <w:spacing w:val="0"/>
                <w:w w:val="100"/>
                <w:position w:val="0"/>
              </w:rPr>
              <w:t>捐赠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支付投标保证金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219,400.00</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144,108,546.91</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color w:val="000000"/>
          <w:spacing w:val="0"/>
          <w:w w:val="100"/>
          <w:position w:val="0"/>
        </w:rPr>
        <w:t>、支付的其他与筹资活动有关的现金：</w:t>
      </w:r>
      <w:bookmarkEnd w:id="943"/>
      <w:bookmarkEnd w:id="944"/>
      <w:bookmarkEnd w:id="946"/>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回购股权激励款</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570,900.00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子公司清算支付给少数股东的现金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47,825.37</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618,725.37</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left"/>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现金流量表补充资料：</w:t>
      </w:r>
      <w:bookmarkEnd w:id="947"/>
      <w:bookmarkEnd w:id="948"/>
      <w:bookmarkEnd w:id="949"/>
    </w:p>
    <w:p>
      <w:pPr>
        <w:pStyle w:val="Style29"/>
        <w:keepNext/>
        <w:keepLines/>
        <w:widowControl w:val="0"/>
        <w:shd w:val="clear" w:color="auto" w:fill="auto"/>
        <w:tabs>
          <w:tab w:pos="634" w:val="left"/>
        </w:tabs>
        <w:bidi w:val="0"/>
        <w:spacing w:before="0" w:after="0" w:line="240" w:lineRule="auto"/>
        <w:ind w:left="0" w:right="0" w:firstLine="140"/>
        <w:jc w:val="left"/>
      </w:pPr>
      <w:bookmarkStart w:id="947" w:name="bookmark947"/>
      <w:bookmarkStart w:id="948" w:name="bookmark948"/>
      <w:bookmarkStart w:id="950" w:name="bookmark950"/>
      <w:r>
        <w:rPr>
          <w:rFonts w:ascii="Times New Roman" w:eastAsia="Times New Roman" w:hAnsi="Times New Roman" w:cs="Times New Roman"/>
          <w:color w:val="000000"/>
          <w:spacing w:val="0"/>
          <w:w w:val="100"/>
          <w:position w:val="0"/>
        </w:rPr>
        <w:t>1</w:t>
      </w:r>
      <w:r>
        <w:rPr>
          <w:color w:val="000000"/>
          <w:spacing w:val="0"/>
          <w:w w:val="100"/>
          <w:position w:val="0"/>
        </w:rPr>
        <w:t>、</w:t>
        <w:tab/>
        <w:t>现金流量表补充资料：</w:t>
      </w:r>
      <w:bookmarkEnd w:id="947"/>
      <w:bookmarkEnd w:id="948"/>
      <w:bookmarkEnd w:id="950"/>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5827"/>
        <w:gridCol w:w="1704"/>
        <w:gridCol w:w="1790"/>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371,536,293.56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301,292,608.07</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14,300,071.95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25,888,430.63</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33,988,423.54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37,429,680.68</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1,393,153.57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1,084,710.42</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2,221,948.16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1,047,897.19</w:t>
            </w:r>
          </w:p>
        </w:tc>
      </w:tr>
      <w:tr>
        <w:trPr>
          <w:trHeight w:val="557"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处置固定资产、无形资产和其他长期资产的损失（收益以“一” 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186,785.78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865,084.98</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1,357,979.29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334,373.09</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-13,470,303.58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-10,036,854.85</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-2,301,603.90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-3,869,268.65</w:t>
            </w:r>
          </w:p>
        </w:tc>
      </w:tr>
      <w:tr>
        <w:trPr>
          <w:trHeight w:val="28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97,378,447.04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-69,727,761.57</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872,099.36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-261,016,990.19</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-268,028,953.12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130,615,756.00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6,027,728.92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4,244,146.32</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245,462,070.57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158,151,812.12</w:t>
            </w:r>
          </w:p>
        </w:tc>
      </w:tr>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1,355,983,027.38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1,282,362,569.61</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1,282,362,569.61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1,431,636,130.74</w:t>
            </w:r>
          </w:p>
        </w:tc>
      </w:tr>
      <w:tr>
        <w:trPr>
          <w:trHeight w:val="298" w:hRule="exact"/>
        </w:trPr>
        <w:tc>
          <w:tcPr>
            <w:tcBorders>
              <w:top w:val="single" w:sz="4"/>
              <w:left w:val="single" w:sz="4"/>
              <w:bottom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27"/>
        <w:gridCol w:w="1704"/>
        <w:gridCol w:w="1790"/>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73,620,457.77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-149,273,561.13</w:t>
            </w:r>
          </w:p>
        </w:tc>
      </w:tr>
    </w:tbl>
    <w:p>
      <w:pPr>
        <w:widowControl w:val="0"/>
        <w:spacing w:after="99" w:line="1" w:lineRule="exact"/>
      </w:pP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w:t>
      </w:r>
    </w:p>
    <w:p>
      <w:pPr>
        <w:pStyle w:val="Style12"/>
        <w:keepNext w:val="0"/>
        <w:keepLines w:val="0"/>
        <w:widowControl w:val="0"/>
        <w:shd w:val="clear" w:color="auto" w:fill="auto"/>
        <w:bidi w:val="0"/>
        <w:spacing w:before="0" w:after="260" w:line="269" w:lineRule="exact"/>
        <w:ind w:left="0" w:right="0" w:firstLine="140"/>
        <w:jc w:val="left"/>
      </w:pPr>
      <w:r>
        <w:rPr>
          <w:color w:val="000000"/>
          <w:spacing w:val="0"/>
          <w:w w:val="100"/>
          <w:position w:val="0"/>
        </w:rPr>
        <w:t>将净利润调节为经营活动现金流量其他项下的</w:t>
      </w:r>
      <w:r>
        <w:rPr>
          <w:rFonts w:ascii="Times New Roman" w:eastAsia="Times New Roman" w:hAnsi="Times New Roman" w:cs="Times New Roman"/>
          <w:color w:val="000000"/>
          <w:spacing w:val="0"/>
          <w:w w:val="100"/>
          <w:position w:val="0"/>
        </w:rPr>
        <w:t>6,027,728.92</w:t>
      </w:r>
      <w:r>
        <w:rPr>
          <w:color w:val="000000"/>
          <w:spacing w:val="0"/>
          <w:w w:val="100"/>
          <w:position w:val="0"/>
        </w:rPr>
        <w:t>元中包括股权激励费用</w:t>
      </w:r>
      <w:r>
        <w:rPr>
          <w:rFonts w:ascii="Times New Roman" w:eastAsia="Times New Roman" w:hAnsi="Times New Roman" w:cs="Times New Roman"/>
          <w:color w:val="000000"/>
          <w:spacing w:val="0"/>
          <w:w w:val="100"/>
          <w:position w:val="0"/>
        </w:rPr>
        <w:t>6,999,900.00</w:t>
      </w:r>
      <w:r>
        <w:rPr>
          <w:color w:val="000000"/>
          <w:spacing w:val="0"/>
          <w:w w:val="100"/>
          <w:position w:val="0"/>
        </w:rPr>
        <w:t>元, 其他综合收益</w:t>
      </w:r>
      <w:r>
        <w:rPr>
          <w:rFonts w:ascii="Times New Roman" w:eastAsia="Times New Roman" w:hAnsi="Times New Roman" w:cs="Times New Roman"/>
          <w:color w:val="000000"/>
          <w:spacing w:val="0"/>
          <w:w w:val="100"/>
          <w:position w:val="0"/>
        </w:rPr>
        <w:t>-972,171.08</w:t>
      </w:r>
      <w:r>
        <w:rPr>
          <w:color w:val="000000"/>
          <w:spacing w:val="0"/>
          <w:w w:val="100"/>
          <w:position w:val="0"/>
        </w:rPr>
        <w:t>元。</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p>
    <w:tbl>
      <w:tblPr>
        <w:tblOverlap w:val="never"/>
        <w:jc w:val="center"/>
        <w:tblLayout w:type="fixed"/>
      </w:tblPr>
      <w:tblGrid>
        <w:gridCol w:w="4469"/>
        <w:gridCol w:w="2462"/>
        <w:gridCol w:w="2390"/>
      </w:tblGrid>
      <w:tr>
        <w:trPr>
          <w:trHeight w:val="264"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全位：元币种：人民币</w:t>
            </w:r>
          </w:p>
        </w:tc>
      </w:tr>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880"/>
              <w:jc w:val="left"/>
            </w:pPr>
            <w:r>
              <w:rPr>
                <w:color w:val="000000"/>
                <w:spacing w:val="0"/>
                <w:w w:val="100"/>
                <w:position w:val="0"/>
              </w:rPr>
              <w:t>期末数</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1,355,983,027.38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1,282,362,569.61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3,074.65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3,950.22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575,031,406.02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224,151,007.68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780,948,546.71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1,058,207,611.71</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1,355,983,027.38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1,282,362,569.61</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49"/>
          <w:footerReference w:type="default" r:id="rId50"/>
          <w:footnotePr>
            <w:pos w:val="pageBottom"/>
            <w:numFmt w:val="decimal"/>
            <w:numRestart w:val="continuous"/>
          </w:footnotePr>
          <w:pgSz w:w="12240" w:h="15840"/>
          <w:pgMar w:top="1019" w:right="1152" w:bottom="1669" w:left="1248" w:header="0" w:footer="3" w:gutter="0"/>
          <w:cols w:space="720"/>
          <w:noEndnote/>
          <w:rtlGutter w:val="0"/>
          <w:docGrid w:linePitch="360"/>
        </w:sectPr>
      </w:pPr>
      <w:r>
        <w:rPr>
          <w:b w:val="0"/>
          <w:bCs w:val="0"/>
          <w:color w:val="000000"/>
          <w:spacing w:val="0"/>
          <w:w w:val="100"/>
          <w:position w:val="0"/>
        </w:rPr>
        <w:t>注：现金和现金等价物不含公司合并范围内使用受限制的现金和现金等价物</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八_关联方及关联交易</w:t>
      </w: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本企业的母公司情况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675"/>
        <w:gridCol w:w="1138"/>
        <w:gridCol w:w="1699"/>
        <w:gridCol w:w="994"/>
        <w:gridCol w:w="2304"/>
        <w:gridCol w:w="701"/>
        <w:gridCol w:w="1277"/>
        <w:gridCol w:w="1277"/>
        <w:gridCol w:w="878"/>
        <w:gridCol w:w="1238"/>
      </w:tblGrid>
      <w:tr>
        <w:trPr>
          <w:trHeight w:val="845"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法人代 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注册 资本</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 企业的持股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 企业的表决 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本企业 最终控 制方</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组织机构 代码</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启东市华虹电 子有限公司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启东经济开发区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纬二路</w:t>
            </w:r>
            <w:r>
              <w:rPr>
                <w:rFonts w:ascii="Times New Roman" w:eastAsia="Times New Roman" w:hAnsi="Times New Roman" w:cs="Times New Roman"/>
                <w:color w:val="000000"/>
                <w:spacing w:val="0"/>
                <w:w w:val="100"/>
                <w:position w:val="0"/>
              </w:rPr>
              <w:t>262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电子产品销售、投资及 资产管理、管理咨询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70376298-4</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0"/>
        <w:jc w:val="left"/>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本企业的子公司情况</w:t>
      </w:r>
      <w:bookmarkEnd w:id="951"/>
      <w:bookmarkEnd w:id="952"/>
      <w:bookmarkEnd w:id="953"/>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71"/>
        <w:gridCol w:w="1560"/>
        <w:gridCol w:w="994"/>
        <w:gridCol w:w="1138"/>
        <w:gridCol w:w="1128"/>
        <w:gridCol w:w="1114"/>
        <w:gridCol w:w="1301"/>
        <w:gridCol w:w="1560"/>
        <w:gridCol w:w="1454"/>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注册地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南通林洋电气有限公司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69546919-7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78380744-0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76464217-7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57041538-X</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江苏林洋新能源科技有限公司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59350881-0</w:t>
            </w:r>
          </w:p>
        </w:tc>
      </w:tr>
      <w:tr>
        <w:trPr>
          <w:trHeight w:val="4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林洋澳洲新能源有限责任公司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墨尔本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rPr>
              <w:t>Zhou Hongfei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161125131</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江苏林洋照明科技有限公司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06015834-4</w:t>
            </w:r>
          </w:p>
        </w:tc>
      </w:tr>
    </w:tbl>
    <w:p>
      <w:pPr>
        <w:pStyle w:val="Style23"/>
        <w:keepNext w:val="0"/>
        <w:keepLines w:val="0"/>
        <w:widowControl w:val="0"/>
        <w:shd w:val="clear" w:color="auto" w:fill="auto"/>
        <w:bidi w:val="0"/>
        <w:spacing w:before="0" w:after="0" w:line="240" w:lineRule="auto"/>
        <w:ind w:left="53" w:right="0" w:firstLine="0"/>
        <w:jc w:val="left"/>
      </w:pPr>
      <w:r>
        <w:rPr>
          <w:b w:val="0"/>
          <w:bCs w:val="0"/>
          <w:color w:val="000000"/>
          <w:spacing w:val="0"/>
          <w:w w:val="100"/>
          <w:position w:val="0"/>
        </w:rPr>
        <w:t>注：本公司实际出资额为</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万美元。</w:t>
      </w:r>
    </w:p>
    <w:p>
      <w:pPr>
        <w:widowControl w:val="0"/>
        <w:spacing w:after="239" w:line="1" w:lineRule="exact"/>
      </w:pPr>
    </w:p>
    <w:tbl>
      <w:tblPr>
        <w:tblOverlap w:val="never"/>
        <w:jc w:val="left"/>
        <w:tblLayout w:type="fixed"/>
      </w:tblPr>
      <w:tblGrid>
        <w:gridCol w:w="2789"/>
        <w:gridCol w:w="1133"/>
        <w:gridCol w:w="989"/>
        <w:gridCol w:w="1138"/>
        <w:gridCol w:w="1133"/>
        <w:gridCol w:w="1133"/>
        <w:gridCol w:w="1277"/>
        <w:gridCol w:w="2122"/>
        <w:gridCol w:w="1421"/>
      </w:tblGrid>
      <w:tr>
        <w:trPr>
          <w:trHeight w:val="566" w:hRule="exact"/>
        </w:trPr>
        <w:tc>
          <w:tcPr>
            <w:tcBorders>
              <w:top w:val="single" w:sz="4"/>
              <w:left w:val="single" w:sz="4"/>
            </w:tcBorders>
            <w:shd w:val="clear" w:color="auto" w:fill="BFBFB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BFBFB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BFBFB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BFBFB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center"/>
            </w:pPr>
            <w:r>
              <w:rPr>
                <w:color w:val="000000"/>
                <w:spacing w:val="0"/>
                <w:w w:val="100"/>
                <w:position w:val="0"/>
              </w:rPr>
              <w:t>法人代表</w:t>
            </w:r>
          </w:p>
        </w:tc>
        <w:tc>
          <w:tcPr>
            <w:tcBorders>
              <w:top w:val="single" w:sz="4"/>
              <w:left w:val="single" w:sz="4"/>
            </w:tcBorders>
            <w:shd w:val="clear" w:color="auto" w:fill="BFBFB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BFBFB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BFBFBF"/>
            <w:vAlign w:val="bottom"/>
          </w:tcPr>
          <w:p>
            <w:pPr>
              <w:pStyle w:val="Style26"/>
              <w:keepNext w:val="0"/>
              <w:keepLines w:val="0"/>
              <w:framePr w:w="13133" w:h="1152" w:vSpace="538" w:wrap="notBeside" w:vAnchor="text" w:hAnchor="text" w:x="44" w:y="539"/>
              <w:widowControl w:val="0"/>
              <w:shd w:val="clear" w:color="auto" w:fill="auto"/>
              <w:bidi w:val="0"/>
              <w:spacing w:before="0" w:after="0" w:line="274"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bottom"/>
          </w:tcPr>
          <w:p>
            <w:pPr>
              <w:pStyle w:val="Style26"/>
              <w:keepNext w:val="0"/>
              <w:keepLines w:val="0"/>
              <w:framePr w:w="13133" w:h="1152" w:vSpace="538" w:wrap="notBeside" w:vAnchor="text" w:hAnchor="text" w:x="44" w:y="539"/>
              <w:widowControl w:val="0"/>
              <w:shd w:val="clear" w:color="auto" w:fill="auto"/>
              <w:bidi w:val="0"/>
              <w:spacing w:before="0" w:after="0" w:line="278" w:lineRule="exact"/>
              <w:ind w:left="0" w:right="0" w:firstLine="0"/>
              <w:jc w:val="center"/>
            </w:pPr>
            <w:r>
              <w:rPr>
                <w:color w:val="000000"/>
                <w:spacing w:val="0"/>
                <w:w w:val="100"/>
                <w:position w:val="0"/>
              </w:rPr>
              <w:t>本企业在被投资单位 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bottom"/>
          </w:tcPr>
          <w:p>
            <w:pPr>
              <w:pStyle w:val="Style26"/>
              <w:keepNext w:val="0"/>
              <w:keepLines w:val="0"/>
              <w:framePr w:w="13133" w:h="1152" w:vSpace="538" w:wrap="notBeside" w:vAnchor="text" w:hAnchor="text" w:x="44" w:y="539"/>
              <w:widowControl w:val="0"/>
              <w:shd w:val="clear" w:color="auto" w:fill="auto"/>
              <w:bidi w:val="0"/>
              <w:spacing w:before="0" w:after="0" w:line="269" w:lineRule="exact"/>
              <w:ind w:left="0" w:right="0" w:firstLine="0"/>
              <w:jc w:val="center"/>
            </w:pPr>
            <w:r>
              <w:rPr>
                <w:color w:val="000000"/>
                <w:spacing w:val="0"/>
                <w:w w:val="100"/>
                <w:position w:val="0"/>
              </w:rPr>
              <w:t>组织机构代 码</w:t>
            </w:r>
          </w:p>
        </w:tc>
      </w:tr>
      <w:tr>
        <w:trPr>
          <w:trHeight w:val="288" w:hRule="exact"/>
        </w:trPr>
        <w:tc>
          <w:tcPr>
            <w:gridSpan w:val="9"/>
            <w:tcBorders>
              <w:top w:val="single" w:sz="4"/>
              <w:left w:val="single" w:sz="4"/>
              <w:right w:val="single" w:sz="4"/>
            </w:tcBorders>
            <w:shd w:val="clear" w:color="auto" w:fill="FFFFFF"/>
            <w:vAlign w:val="top"/>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bottom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left"/>
            </w:pPr>
            <w:r>
              <w:rPr>
                <w:color w:val="000000"/>
                <w:spacing w:val="0"/>
                <w:w w:val="100"/>
                <w:position w:val="0"/>
              </w:rPr>
              <w:t>张宗仪</w:t>
            </w:r>
          </w:p>
        </w:tc>
        <w:tc>
          <w:tcPr>
            <w:tcBorders>
              <w:top w:val="single" w:sz="4"/>
              <w:left w:val="single" w:sz="4"/>
              <w:bottom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w:t>
            </w:r>
          </w:p>
        </w:tc>
        <w:tc>
          <w:tcPr>
            <w:tcBorders>
              <w:top w:val="single" w:sz="4"/>
              <w:left w:val="single" w:sz="4"/>
              <w:bottom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6"/>
              <w:keepNext w:val="0"/>
              <w:keepLines w:val="0"/>
              <w:framePr w:w="13133" w:h="1152" w:vSpace="538" w:wrap="notBeside" w:vAnchor="text" w:hAnchor="text" w:x="44" w:y="53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73058907-2</w:t>
            </w:r>
          </w:p>
        </w:tc>
      </w:tr>
    </w:tbl>
    <w:p>
      <w:pPr>
        <w:pStyle w:val="Style23"/>
        <w:keepNext w:val="0"/>
        <w:keepLines w:val="0"/>
        <w:framePr w:w="3552" w:h="274" w:hSpace="43" w:wrap="notBeside" w:vAnchor="text" w:hAnchor="text" w:x="54"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本企业的合营和联营企业的情况</w:t>
      </w:r>
    </w:p>
    <w:p>
      <w:pPr>
        <w:pStyle w:val="Style23"/>
        <w:keepNext w:val="0"/>
        <w:keepLines w:val="0"/>
        <w:framePr w:w="2146" w:h="259" w:hSpace="43" w:wrap="notBeside" w:vAnchor="text" w:hAnchor="text" w:x="11026" w:y="275"/>
        <w:widowControl w:val="0"/>
        <w:shd w:val="clear" w:color="auto" w:fill="auto"/>
        <w:bidi w:val="0"/>
        <w:spacing w:before="0" w:after="0" w:line="240" w:lineRule="auto"/>
        <w:ind w:left="0" w:right="0" w:firstLine="0"/>
        <w:jc w:val="lef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万元 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p>
      <w:pPr>
        <w:widowControl w:val="0"/>
        <w:spacing w:line="1" w:lineRule="exact"/>
      </w:pPr>
    </w:p>
    <w:p>
      <w:pPr>
        <w:pStyle w:val="Style12"/>
        <w:keepNext w:val="0"/>
        <w:keepLines w:val="0"/>
        <w:widowControl w:val="0"/>
        <w:shd w:val="clear" w:color="auto" w:fill="auto"/>
        <w:bidi w:val="0"/>
        <w:spacing w:before="0" w:after="60" w:line="274" w:lineRule="exact"/>
        <w:ind w:left="0" w:right="0" w:firstLine="0"/>
        <w:jc w:val="left"/>
        <w:sectPr>
          <w:headerReference w:type="default" r:id="rId51"/>
          <w:footerReference w:type="default" r:id="rId52"/>
          <w:footnotePr>
            <w:pos w:val="pageBottom"/>
            <w:numFmt w:val="decimal"/>
            <w:numRestart w:val="continuous"/>
          </w:footnotePr>
          <w:pgSz w:w="15840" w:h="12240" w:orient="landscape"/>
          <w:pgMar w:top="974" w:right="1632" w:bottom="1094" w:left="989" w:header="0" w:footer="3" w:gutter="0"/>
          <w:cols w:space="720"/>
          <w:noEndnote/>
          <w:rtlGutter w:val="0"/>
          <w:docGrid w:linePitch="360"/>
        </w:sectPr>
      </w:pPr>
      <w:r>
        <w:rPr>
          <w:color w:val="000000"/>
          <w:spacing w:val="0"/>
          <w:w w:val="100"/>
          <w:position w:val="0"/>
        </w:rPr>
        <w:t>注：江苏华源于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日召开股东大会审议通过了《关于对江苏华源仪器仪表有限公司增资的议案》，由股东江苏宁供集体资产运营中 心单方增资</w:t>
      </w:r>
      <w:r>
        <w:rPr>
          <w:rFonts w:ascii="Times New Roman" w:eastAsia="Times New Roman" w:hAnsi="Times New Roman" w:cs="Times New Roman"/>
          <w:color w:val="000000"/>
          <w:spacing w:val="0"/>
          <w:w w:val="100"/>
          <w:position w:val="0"/>
        </w:rPr>
        <w:t>55</w:t>
      </w:r>
      <w:r>
        <w:rPr>
          <w:color w:val="000000"/>
          <w:spacing w:val="0"/>
          <w:w w:val="100"/>
          <w:position w:val="0"/>
        </w:rPr>
        <w:t>万，公司注册资本变更为</w:t>
      </w:r>
      <w:r>
        <w:rPr>
          <w:rFonts w:ascii="Times New Roman" w:eastAsia="Times New Roman" w:hAnsi="Times New Roman" w:cs="Times New Roman"/>
          <w:color w:val="000000"/>
          <w:spacing w:val="0"/>
          <w:w w:val="100"/>
          <w:position w:val="0"/>
        </w:rPr>
        <w:t>2755</w:t>
      </w:r>
      <w:r>
        <w:rPr>
          <w:color w:val="000000"/>
          <w:spacing w:val="0"/>
          <w:w w:val="100"/>
          <w:position w:val="0"/>
        </w:rPr>
        <w:t>万，林洋电子持股比例相应调整为</w:t>
      </w:r>
      <w:r>
        <w:rPr>
          <w:rFonts w:ascii="Times New Roman" w:eastAsia="Times New Roman" w:hAnsi="Times New Roman" w:cs="Times New Roman"/>
          <w:color w:val="000000"/>
          <w:spacing w:val="0"/>
          <w:w w:val="100"/>
          <w:position w:val="0"/>
        </w:rPr>
        <w:t>49%</w:t>
      </w:r>
      <w:r>
        <w:rPr>
          <w:color w:val="000000"/>
          <w:spacing w:val="0"/>
          <w:w w:val="100"/>
          <w:position w:val="0"/>
        </w:rPr>
        <w:t>，法人代表变更为汪蕾。</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w:t>
      </w:r>
      <w:r>
        <w:rPr>
          <w:color w:val="000000"/>
          <w:spacing w:val="0"/>
          <w:w w:val="100"/>
          <w:position w:val="0"/>
        </w:rPr>
        <w:t>）</w:t>
      </w:r>
      <w:r>
        <w:rPr>
          <w:color w:val="000000"/>
          <w:spacing w:val="0"/>
          <w:w w:val="100"/>
          <w:position w:val="0"/>
        </w:rPr>
        <w:t>本企业的其他关联方情况</w:t>
      </w:r>
    </w:p>
    <w:tbl>
      <w:tblPr>
        <w:tblOverlap w:val="never"/>
        <w:jc w:val="center"/>
        <w:tblLayout w:type="fixed"/>
      </w:tblPr>
      <w:tblGrid>
        <w:gridCol w:w="3278"/>
        <w:gridCol w:w="2976"/>
        <w:gridCol w:w="3067"/>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毛彩虹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57671052-3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南通林洋交通建设工程有限公司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68492073-9</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南通华虹生态园艺有限公司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关联人（与公司同一董事长）</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75640869-8</w:t>
            </w:r>
          </w:p>
        </w:tc>
      </w:tr>
    </w:tbl>
    <w:p>
      <w:pPr>
        <w:pStyle w:val="Style23"/>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毛彩虹为实际控制人之配偶</w:t>
      </w:r>
    </w:p>
    <w:p>
      <w:pPr>
        <w:widowControl w:val="0"/>
        <w:spacing w:after="259" w:line="1" w:lineRule="exact"/>
      </w:pPr>
    </w:p>
    <w:p>
      <w:pPr>
        <w:pStyle w:val="Style12"/>
        <w:keepNext w:val="0"/>
        <w:keepLines w:val="0"/>
        <w:widowControl w:val="0"/>
        <w:shd w:val="clear" w:color="auto" w:fill="auto"/>
        <w:bidi w:val="0"/>
        <w:spacing w:before="0" w:after="0" w:line="240" w:lineRule="auto"/>
        <w:ind w:left="0" w:right="0" w:firstLine="0"/>
        <w:jc w:val="left"/>
      </w:pPr>
      <w:bookmarkStart w:id="954" w:name="bookmark954"/>
      <w:r>
        <w:rPr>
          <w:rFonts w:ascii="Times New Roman" w:eastAsia="Times New Roman" w:hAnsi="Times New Roman" w:cs="Times New Roman"/>
          <w:b/>
          <w:bCs/>
          <w:color w:val="000000"/>
          <w:spacing w:val="0"/>
          <w:w w:val="100"/>
          <w:position w:val="0"/>
        </w:rPr>
        <w:t>（</w:t>
      </w:r>
      <w:bookmarkEnd w:id="954"/>
      <w:r>
        <w:rPr>
          <w:b/>
          <w:bCs/>
          <w:color w:val="000000"/>
          <w:spacing w:val="0"/>
          <w:w w:val="100"/>
          <w:position w:val="0"/>
        </w:rPr>
        <w:t>五</w:t>
      </w:r>
      <w:r>
        <w:rPr>
          <w:b/>
          <w:bCs/>
          <w:color w:val="000000"/>
          <w:spacing w:val="0"/>
          <w:w w:val="100"/>
          <w:position w:val="0"/>
        </w:rPr>
        <w:t>）</w:t>
      </w:r>
      <w:r>
        <w:rPr>
          <w:b/>
          <w:bCs/>
          <w:color w:val="000000"/>
          <w:spacing w:val="0"/>
          <w:w w:val="100"/>
          <w:position w:val="0"/>
        </w:rPr>
        <w:t>关联交易情况</w:t>
      </w:r>
    </w:p>
    <w:p>
      <w:pPr>
        <w:pStyle w:val="Style12"/>
        <w:keepNext w:val="0"/>
        <w:keepLines w:val="0"/>
        <w:widowControl w:val="0"/>
        <w:shd w:val="clear" w:color="auto" w:fill="auto"/>
        <w:tabs>
          <w:tab w:pos="368" w:val="left"/>
        </w:tabs>
        <w:bidi w:val="0"/>
        <w:spacing w:before="0" w:after="260" w:line="240" w:lineRule="auto"/>
        <w:ind w:left="0" w:right="0" w:firstLine="0"/>
        <w:jc w:val="left"/>
      </w:pPr>
      <w:bookmarkStart w:id="955" w:name="bookmark955"/>
      <w:r>
        <w:rPr>
          <w:rFonts w:ascii="Times New Roman" w:eastAsia="Times New Roman" w:hAnsi="Times New Roman" w:cs="Times New Roman"/>
          <w:b/>
          <w:bCs/>
          <w:color w:val="000000"/>
          <w:spacing w:val="0"/>
          <w:w w:val="100"/>
          <w:position w:val="0"/>
        </w:rPr>
        <w:t>1</w:t>
      </w:r>
      <w:bookmarkEnd w:id="955"/>
      <w:r>
        <w:rPr>
          <w:b/>
          <w:bCs/>
          <w:color w:val="000000"/>
          <w:spacing w:val="0"/>
          <w:w w:val="100"/>
          <w:position w:val="0"/>
        </w:rPr>
        <w:t>、</w:t>
        <w:tab/>
        <w:t>存在控制关系且已纳入本公司合并报表范围的子公司，其相互间交易及母子公司交易已作抵销。</w:t>
      </w:r>
    </w:p>
    <w:p>
      <w:pPr>
        <w:pStyle w:val="Style29"/>
        <w:keepNext/>
        <w:keepLines/>
        <w:widowControl w:val="0"/>
        <w:shd w:val="clear" w:color="auto" w:fill="auto"/>
        <w:tabs>
          <w:tab w:pos="378" w:val="left"/>
        </w:tabs>
        <w:bidi w:val="0"/>
        <w:spacing w:before="0" w:after="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color w:val="000000"/>
          <w:spacing w:val="0"/>
          <w:w w:val="100"/>
          <w:position w:val="0"/>
        </w:rPr>
        <w:t>、</w:t>
        <w:tab/>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956"/>
      <w:bookmarkEnd w:id="957"/>
      <w:bookmarkEnd w:id="959"/>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06"/>
        <w:gridCol w:w="1133"/>
        <w:gridCol w:w="1392"/>
        <w:gridCol w:w="1157"/>
        <w:gridCol w:w="1166"/>
        <w:gridCol w:w="1234"/>
        <w:gridCol w:w="1234"/>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 内容</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江苏华源仪器仪表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加工劳务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参照市场价 格定价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81,196.59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407,898.29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南通林洋交通建设 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绿化景观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参照市场价 格定价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457,393.00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53.61</w:t>
            </w:r>
          </w:p>
        </w:tc>
      </w:tr>
      <w:tr>
        <w:trPr>
          <w:trHeight w:val="57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南通华虹生态园艺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绿化景观</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参照市场价 格定价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401,521.00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579"/>
        <w:gridCol w:w="1277"/>
        <w:gridCol w:w="1123"/>
        <w:gridCol w:w="1426"/>
        <w:gridCol w:w="1128"/>
        <w:gridCol w:w="1526"/>
        <w:gridCol w:w="1262"/>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关联交易 定价方式 及决策程</w:t>
            </w:r>
          </w:p>
          <w:p>
            <w:pPr>
              <w:pStyle w:val="Style26"/>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序</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江苏华源仪器 仪表有限公司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92,587,123.68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218,649,208.08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江苏华乐光电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参照市场 价格定价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150,290.60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377,414.54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bl>
    <w:p>
      <w:pPr>
        <w:widowControl w:val="0"/>
        <w:spacing w:after="99" w:line="1" w:lineRule="exact"/>
      </w:pPr>
    </w:p>
    <w:p>
      <w:pPr>
        <w:pStyle w:val="Style12"/>
        <w:keepNext w:val="0"/>
        <w:keepLines w:val="0"/>
        <w:widowControl w:val="0"/>
        <w:shd w:val="clear" w:color="auto" w:fill="auto"/>
        <w:bidi w:val="0"/>
        <w:spacing w:before="0" w:after="260" w:line="278" w:lineRule="exact"/>
        <w:ind w:left="0" w:right="0" w:firstLine="140"/>
        <w:jc w:val="left"/>
      </w:pPr>
      <w:r>
        <w:rPr>
          <w:color w:val="000000"/>
          <w:spacing w:val="0"/>
          <w:w w:val="100"/>
          <w:position w:val="0"/>
        </w:rPr>
        <w:t>注：江苏华源仪器仪表有限公司在获得订单后通常按照订单价格的</w:t>
      </w:r>
      <w:r>
        <w:rPr>
          <w:rFonts w:ascii="Times New Roman" w:eastAsia="Times New Roman" w:hAnsi="Times New Roman" w:cs="Times New Roman"/>
          <w:color w:val="000000"/>
          <w:spacing w:val="0"/>
          <w:w w:val="100"/>
          <w:position w:val="0"/>
        </w:rPr>
        <w:t>85%-90%</w:t>
      </w:r>
      <w:r>
        <w:rPr>
          <w:color w:val="000000"/>
          <w:spacing w:val="0"/>
          <w:w w:val="100"/>
          <w:position w:val="0"/>
        </w:rPr>
        <w:t>核算成本，并以此为基 础与本公司协商确定向本公司采购的价格。</w:t>
      </w:r>
    </w:p>
    <w:p>
      <w:pPr>
        <w:pStyle w:val="Style29"/>
        <w:keepNext/>
        <w:keepLines/>
        <w:widowControl w:val="0"/>
        <w:shd w:val="clear" w:color="auto" w:fill="auto"/>
        <w:bidi w:val="0"/>
        <w:spacing w:before="0" w:after="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color w:val="000000"/>
          <w:spacing w:val="0"/>
          <w:w w:val="100"/>
          <w:position w:val="0"/>
        </w:rPr>
        <w:t>、关联租赁情况</w:t>
      </w:r>
      <w:bookmarkEnd w:id="960"/>
      <w:bookmarkEnd w:id="961"/>
      <w:bookmarkEnd w:id="963"/>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公司承租情况表：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560"/>
        <w:gridCol w:w="1723"/>
        <w:gridCol w:w="1555"/>
        <w:gridCol w:w="1560"/>
        <w:gridCol w:w="1560"/>
        <w:gridCol w:w="1363"/>
      </w:tblGrid>
      <w:tr>
        <w:trPr>
          <w:trHeight w:val="571"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承租方名称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租赁起始日</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年度确认的 租赁费</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启东华虹电子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启东华虹电子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员工宿舍</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1,056,000.00</w:t>
            </w:r>
          </w:p>
        </w:tc>
      </w:tr>
    </w:tbl>
    <w:p>
      <w:pPr>
        <w:spacing w:lineRule="exact" w:line="1"/>
        <w:rPr>
          <w:sz w:val="2"/>
          <w:szCs w:val="2"/>
        </w:rPr>
      </w:pPr>
      <w:r>
        <w:br w:type="page"/>
      </w:r>
    </w:p>
    <w:tbl>
      <w:tblPr>
        <w:tblOverlap w:val="never"/>
        <w:jc w:val="center"/>
        <w:tblLayout w:type="fixed"/>
      </w:tblPr>
      <w:tblGrid>
        <w:gridCol w:w="1560"/>
        <w:gridCol w:w="1723"/>
        <w:gridCol w:w="1555"/>
        <w:gridCol w:w="1560"/>
        <w:gridCol w:w="1560"/>
        <w:gridCol w:w="1363"/>
      </w:tblGrid>
      <w:tr>
        <w:trPr>
          <w:trHeight w:val="58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江苏华源仪器 仪表有限公司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江苏林洋新能源 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r>
    </w:tbl>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90"/>
        <w:gridCol w:w="1080"/>
        <w:gridCol w:w="1627"/>
        <w:gridCol w:w="2822"/>
        <w:gridCol w:w="1502"/>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是否履行完毕</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陆永华、毛彩虹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rFonts w:ascii="Arial" w:eastAsia="Arial" w:hAnsi="Arial" w:cs="Arial"/>
                <w:color w:val="000000"/>
                <w:spacing w:val="0"/>
                <w:w w:val="100"/>
                <w:position w:val="0"/>
              </w:rPr>
              <w:t>0—</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启东华虹电子有限公 司、陆永华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600</w:t>
            </w:r>
            <w:r>
              <w:rPr>
                <w:color w:val="000000"/>
                <w:spacing w:val="0"/>
                <w:w w:val="100"/>
                <w:position w:val="0"/>
              </w:rPr>
              <w:t>万美元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启东华虹电子有限公 司、陆永华、毛彩虹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290,000,000.00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启东华虹电子有限公 司、陆永华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44,000,000.00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w:t>
      </w:r>
      <w:bookmarkEnd w:id="966"/>
      <w:r>
        <w:rPr>
          <w:color w:val="000000"/>
          <w:spacing w:val="0"/>
          <w:w w:val="100"/>
          <w:position w:val="0"/>
        </w:rPr>
        <w:t>六</w:t>
      </w:r>
      <w:r>
        <w:rPr>
          <w:color w:val="000000"/>
          <w:spacing w:val="0"/>
          <w:w w:val="100"/>
          <w:position w:val="0"/>
        </w:rPr>
        <w:t>）</w:t>
      </w:r>
      <w:r>
        <w:rPr>
          <w:color w:val="000000"/>
          <w:spacing w:val="0"/>
          <w:w w:val="100"/>
          <w:position w:val="0"/>
        </w:rPr>
        <w:t>关联方应收应付款项</w:t>
      </w:r>
      <w:bookmarkEnd w:id="964"/>
      <w:bookmarkEnd w:id="965"/>
      <w:bookmarkEnd w:id="967"/>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上市公司应收关联方款项</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531"/>
        <w:gridCol w:w="1517"/>
        <w:gridCol w:w="1526"/>
        <w:gridCol w:w="1603"/>
        <w:gridCol w:w="1531"/>
        <w:gridCol w:w="1613"/>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293"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江苏华源仪器 仪表有限公司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59,926,168.38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2,996,308.42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118,962,104.16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5,948,105.21</w:t>
            </w:r>
          </w:p>
        </w:tc>
      </w:tr>
      <w:tr>
        <w:trPr>
          <w:trHeight w:val="57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江苏华源仪器 仪表有限公司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w:t>
      </w:r>
      <w:r>
        <w:rPr>
          <w:b w:val="0"/>
          <w:bCs w:val="0"/>
          <w:color w:val="000000"/>
          <w:spacing w:val="0"/>
          <w:w w:val="100"/>
          <w:position w:val="0"/>
        </w:rPr>
        <w:t>：</w:t>
      </w:r>
      <w:r>
        <w:rPr>
          <w:b w:val="0"/>
          <w:bCs w:val="0"/>
          <w:color w:val="000000"/>
          <w:spacing w:val="0"/>
          <w:w w:val="100"/>
          <w:position w:val="0"/>
        </w:rPr>
        <w:t>元 币种</w:t>
      </w:r>
      <w:r>
        <w:rPr>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862"/>
        <w:gridCol w:w="2798"/>
        <w:gridCol w:w="2328"/>
        <w:gridCol w:w="2333"/>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141,025.65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59,829.06</w:t>
            </w: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江苏华乐光电有限公司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3,264.00</w:t>
            </w:r>
          </w:p>
        </w:tc>
      </w:tr>
    </w:tbl>
    <w:p>
      <w:pPr>
        <w:widowControl w:val="0"/>
        <w:spacing w:after="239" w:line="1" w:lineRule="exact"/>
      </w:pPr>
    </w:p>
    <w:p>
      <w:pPr>
        <w:pStyle w:val="Style29"/>
        <w:keepNext/>
        <w:keepLines/>
        <w:widowControl w:val="0"/>
        <w:shd w:val="clear" w:color="auto" w:fill="auto"/>
        <w:bidi w:val="0"/>
        <w:spacing w:before="0" w:after="0" w:line="274" w:lineRule="exact"/>
        <w:ind w:left="0" w:right="0" w:firstLine="0"/>
        <w:jc w:val="left"/>
      </w:pPr>
      <w:bookmarkStart w:id="968" w:name="bookmark968"/>
      <w:bookmarkStart w:id="969" w:name="bookmark969"/>
      <w:bookmarkStart w:id="970" w:name="bookmark970"/>
      <w:r>
        <w:rPr>
          <w:color w:val="000000"/>
          <w:spacing w:val="0"/>
          <w:w w:val="100"/>
          <w:position w:val="0"/>
        </w:rPr>
        <w:t>九、股份支付</w:t>
      </w:r>
      <w:bookmarkEnd w:id="968"/>
      <w:bookmarkEnd w:id="969"/>
      <w:bookmarkEnd w:id="970"/>
    </w:p>
    <w:p>
      <w:pPr>
        <w:pStyle w:val="Style29"/>
        <w:keepNext/>
        <w:keepLines/>
        <w:widowControl w:val="0"/>
        <w:shd w:val="clear" w:color="auto" w:fill="auto"/>
        <w:tabs>
          <w:tab w:pos="531" w:val="left"/>
        </w:tabs>
        <w:bidi w:val="0"/>
        <w:spacing w:before="0" w:after="100" w:line="274" w:lineRule="exact"/>
        <w:ind w:left="0" w:right="0" w:firstLine="0"/>
        <w:jc w:val="left"/>
      </w:pPr>
      <w:bookmarkStart w:id="968" w:name="bookmark968"/>
      <w:bookmarkStart w:id="969" w:name="bookmark969"/>
      <w:bookmarkStart w:id="971" w:name="bookmark971"/>
      <w:bookmarkStart w:id="972" w:name="bookmark972"/>
      <w:r>
        <w:rPr>
          <w:rFonts w:ascii="Times New Roman" w:eastAsia="Times New Roman" w:hAnsi="Times New Roman" w:cs="Times New Roman"/>
          <w:color w:val="000000"/>
          <w:spacing w:val="0"/>
          <w:w w:val="100"/>
          <w:position w:val="0"/>
        </w:rPr>
        <w:t>（</w:t>
      </w:r>
      <w:bookmarkEnd w:id="97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股份支付总体情况</w:t>
      </w:r>
      <w:bookmarkEnd w:id="968"/>
      <w:bookmarkEnd w:id="969"/>
      <w:bookmarkEnd w:id="972"/>
    </w:p>
    <w:p>
      <w:pPr>
        <w:pStyle w:val="Style12"/>
        <w:keepNext w:val="0"/>
        <w:keepLines w:val="0"/>
        <w:widowControl w:val="0"/>
        <w:shd w:val="clear" w:color="auto" w:fill="auto"/>
        <w:bidi w:val="0"/>
        <w:spacing w:before="0" w:line="27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年第三次临时股东大会批准通过的《关于</w:t>
      </w:r>
      <w:r>
        <w:rPr>
          <w:color w:val="000000"/>
          <w:spacing w:val="0"/>
          <w:w w:val="100"/>
          <w:position w:val="0"/>
        </w:rPr>
        <w:t>〈</w:t>
      </w:r>
      <w:r>
        <w:rPr>
          <w:color w:val="000000"/>
          <w:spacing w:val="0"/>
          <w:w w:val="100"/>
          <w:position w:val="0"/>
        </w:rPr>
        <w:t>江苏林洋电子股 份有限公司首期限制性股票激励计划（草案）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及其摘要的议案》以及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日公司第一 届董事会第二十二次会议决议，公司授予高级管理人员、中层管理人员及核心骨干人员等</w:t>
      </w:r>
      <w:r>
        <w:rPr>
          <w:rFonts w:ascii="Times New Roman" w:eastAsia="Times New Roman" w:hAnsi="Times New Roman" w:cs="Times New Roman"/>
          <w:color w:val="000000"/>
          <w:spacing w:val="0"/>
          <w:w w:val="100"/>
          <w:position w:val="0"/>
        </w:rPr>
        <w:t>100</w:t>
      </w:r>
      <w:r>
        <w:rPr>
          <w:color w:val="000000"/>
          <w:spacing w:val="0"/>
          <w:w w:val="100"/>
          <w:position w:val="0"/>
        </w:rPr>
        <w:t xml:space="preserve">人共 </w:t>
      </w:r>
      <w:r>
        <w:rPr>
          <w:rFonts w:ascii="Times New Roman" w:eastAsia="Times New Roman" w:hAnsi="Times New Roman" w:cs="Times New Roman"/>
          <w:color w:val="000000"/>
          <w:spacing w:val="0"/>
          <w:w w:val="100"/>
          <w:position w:val="0"/>
        </w:rPr>
        <w:t>729</w:t>
      </w:r>
      <w:r>
        <w:rPr>
          <w:color w:val="000000"/>
          <w:spacing w:val="0"/>
          <w:w w:val="100"/>
          <w:position w:val="0"/>
        </w:rPr>
        <w:t>万股限制性股票。授予日为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日，授予价格为</w:t>
      </w:r>
      <w:r>
        <w:rPr>
          <w:rFonts w:ascii="Times New Roman" w:eastAsia="Times New Roman" w:hAnsi="Times New Roman" w:cs="Times New Roman"/>
          <w:color w:val="000000"/>
          <w:spacing w:val="0"/>
          <w:w w:val="100"/>
          <w:position w:val="0"/>
        </w:rPr>
        <w:t>5.54</w:t>
      </w:r>
      <w:r>
        <w:rPr>
          <w:color w:val="000000"/>
          <w:spacing w:val="0"/>
          <w:w w:val="100"/>
          <w:position w:val="0"/>
        </w:rPr>
        <w:t>元。</w:t>
      </w:r>
    </w:p>
    <w:p>
      <w:pPr>
        <w:pStyle w:val="Style12"/>
        <w:keepNext w:val="0"/>
        <w:keepLines w:val="0"/>
        <w:widowControl w:val="0"/>
        <w:shd w:val="clear" w:color="auto" w:fill="auto"/>
        <w:bidi w:val="0"/>
        <w:spacing w:before="0" w:line="272" w:lineRule="exact"/>
        <w:ind w:left="0" w:right="0" w:firstLine="0"/>
        <w:jc w:val="left"/>
      </w:pPr>
      <w:r>
        <w:rPr>
          <w:color w:val="000000"/>
          <w:spacing w:val="0"/>
          <w:w w:val="100"/>
          <w:position w:val="0"/>
        </w:rPr>
        <w:t>公司授予激励对象的限制性股票自授予之日起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个月为锁定期；锁定期内，激励对象通过本计划 持有的限制性股票将被锁定不得转让、用于担保或偿还债务。锁定期后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 期内，在满足本激励计划规定的解锁条件时，激励对象可分三次申请标的股票解锁，分别自授予日 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个月后及</w:t>
      </w:r>
      <w:r>
        <w:rPr>
          <w:rFonts w:ascii="Times New Roman" w:eastAsia="Times New Roman" w:hAnsi="Times New Roman" w:cs="Times New Roman"/>
          <w:color w:val="000000"/>
          <w:spacing w:val="0"/>
          <w:w w:val="100"/>
          <w:position w:val="0"/>
        </w:rPr>
        <w:t>36</w:t>
      </w:r>
      <w:r>
        <w:rPr>
          <w:color w:val="000000"/>
          <w:spacing w:val="0"/>
          <w:w w:val="100"/>
          <w:position w:val="0"/>
        </w:rPr>
        <w:t>个月后分别申请解锁所获授限制性股票总量的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2"/>
        <w:keepNext w:val="0"/>
        <w:keepLines w:val="0"/>
        <w:widowControl w:val="0"/>
        <w:shd w:val="clear" w:color="auto" w:fill="auto"/>
        <w:bidi w:val="0"/>
        <w:spacing w:before="0" w:after="240" w:line="274"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日，公司发布了限制性股票授予完成公告，本次激励计划实际授予的限制性股票数 量为</w:t>
      </w:r>
      <w:r>
        <w:rPr>
          <w:rFonts w:ascii="Times New Roman" w:eastAsia="Times New Roman" w:hAnsi="Times New Roman" w:cs="Times New Roman"/>
          <w:color w:val="000000"/>
          <w:spacing w:val="0"/>
          <w:w w:val="100"/>
          <w:position w:val="0"/>
        </w:rPr>
        <w:t>729</w:t>
      </w:r>
      <w:r>
        <w:rPr>
          <w:color w:val="000000"/>
          <w:spacing w:val="0"/>
          <w:w w:val="100"/>
          <w:position w:val="0"/>
        </w:rPr>
        <w:t>万股，发行价格为每股</w:t>
      </w:r>
      <w:r>
        <w:rPr>
          <w:rFonts w:ascii="Times New Roman" w:eastAsia="Times New Roman" w:hAnsi="Times New Roman" w:cs="Times New Roman"/>
          <w:color w:val="000000"/>
          <w:spacing w:val="0"/>
          <w:w w:val="100"/>
          <w:position w:val="0"/>
        </w:rPr>
        <w:t>5.54</w:t>
      </w:r>
      <w:r>
        <w:rPr>
          <w:color w:val="000000"/>
          <w:spacing w:val="0"/>
          <w:w w:val="100"/>
          <w:position w:val="0"/>
        </w:rPr>
        <w:t>元，发行溢价</w:t>
      </w:r>
      <w:r>
        <w:rPr>
          <w:rFonts w:ascii="Times New Roman" w:eastAsia="Times New Roman" w:hAnsi="Times New Roman" w:cs="Times New Roman"/>
          <w:color w:val="000000"/>
          <w:spacing w:val="0"/>
          <w:w w:val="100"/>
          <w:position w:val="0"/>
        </w:rPr>
        <w:t>3,309.66</w:t>
      </w:r>
      <w:r>
        <w:rPr>
          <w:color w:val="000000"/>
          <w:spacing w:val="0"/>
          <w:w w:val="100"/>
          <w:position w:val="0"/>
        </w:rPr>
        <w:t>万元计入资本公积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p>
    <w:p>
      <w:pPr>
        <w:pStyle w:val="Style29"/>
        <w:keepNext/>
        <w:keepLines/>
        <w:widowControl w:val="0"/>
        <w:shd w:val="clear" w:color="auto" w:fill="auto"/>
        <w:tabs>
          <w:tab w:pos="531" w:val="left"/>
        </w:tabs>
        <w:bidi w:val="0"/>
        <w:spacing w:before="0" w:after="0" w:line="274" w:lineRule="exact"/>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w:t>
      </w:r>
      <w:bookmarkEnd w:id="97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以权益结算的股份支付情况</w:t>
      </w:r>
      <w:bookmarkEnd w:id="973"/>
      <w:bookmarkEnd w:id="974"/>
      <w:bookmarkEnd w:id="976"/>
    </w:p>
    <w:p>
      <w:pPr>
        <w:pStyle w:val="Style12"/>
        <w:keepNext w:val="0"/>
        <w:keepLines w:val="0"/>
        <w:widowControl w:val="0"/>
        <w:shd w:val="clear" w:color="auto" w:fill="auto"/>
        <w:bidi w:val="0"/>
        <w:spacing w:before="0" w:line="274" w:lineRule="exact"/>
        <w:ind w:left="0" w:right="280" w:firstLine="0"/>
        <w:jc w:val="right"/>
      </w:pPr>
      <w:r>
        <w:rPr>
          <w:color w:val="000000"/>
          <w:spacing w:val="0"/>
          <w:w w:val="100"/>
          <w:position w:val="0"/>
        </w:rPr>
        <w:t>单位：万元</w:t>
      </w:r>
      <w:r>
        <w:br w:type="page"/>
      </w:r>
    </w:p>
    <w:tbl>
      <w:tblPr>
        <w:tblOverlap w:val="never"/>
        <w:jc w:val="center"/>
        <w:tblLayout w:type="fixed"/>
      </w:tblPr>
      <w:tblGrid>
        <w:gridCol w:w="4661"/>
        <w:gridCol w:w="4661"/>
      </w:tblGrid>
      <w:tr>
        <w:trPr>
          <w:trHeight w:val="571"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按公司股票的市场价格计量，同时考虑授予股份 所依据的条款和条件进行调整。</w:t>
            </w:r>
          </w:p>
        </w:tc>
      </w:tr>
      <w:tr>
        <w:trPr>
          <w:trHeight w:val="28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699.99</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1,305.61</w:t>
            </w:r>
          </w:p>
        </w:tc>
      </w:tr>
    </w:tbl>
    <w:p>
      <w:pPr>
        <w:widowControl w:val="0"/>
        <w:spacing w:after="59" w:line="1" w:lineRule="exact"/>
      </w:pPr>
    </w:p>
    <w:p>
      <w:pPr>
        <w:pStyle w:val="Style12"/>
        <w:keepNext w:val="0"/>
        <w:keepLines w:val="0"/>
        <w:widowControl w:val="0"/>
        <w:shd w:val="clear" w:color="auto" w:fill="auto"/>
        <w:bidi w:val="0"/>
        <w:spacing w:before="0" w:after="260" w:line="281" w:lineRule="exact"/>
        <w:ind w:left="240" w:right="0" w:firstLine="20"/>
        <w:jc w:val="left"/>
      </w:pPr>
      <w:r>
        <w:rPr>
          <w:color w:val="000000"/>
          <w:spacing w:val="0"/>
          <w:w w:val="100"/>
          <w:position w:val="0"/>
        </w:rPr>
        <w:t>公司上期已授予的权益工具数量</w:t>
      </w:r>
      <w:r>
        <w:rPr>
          <w:rFonts w:ascii="Times New Roman" w:eastAsia="Times New Roman" w:hAnsi="Times New Roman" w:cs="Times New Roman"/>
          <w:color w:val="000000"/>
          <w:spacing w:val="0"/>
          <w:w w:val="100"/>
          <w:position w:val="0"/>
        </w:rPr>
        <w:t>729</w:t>
      </w:r>
      <w:r>
        <w:rPr>
          <w:color w:val="000000"/>
          <w:spacing w:val="0"/>
          <w:w w:val="100"/>
          <w:position w:val="0"/>
        </w:rPr>
        <w:t xml:space="preserve">万股，按授予日的公允价值确认的激励限制性股票总成本为 </w:t>
      </w:r>
      <w:r>
        <w:rPr>
          <w:rFonts w:ascii="Times New Roman" w:eastAsia="Times New Roman" w:hAnsi="Times New Roman" w:cs="Times New Roman"/>
          <w:color w:val="000000"/>
          <w:spacing w:val="0"/>
          <w:w w:val="100"/>
          <w:position w:val="0"/>
        </w:rPr>
        <w:t>1,305.61</w:t>
      </w:r>
      <w:r>
        <w:rPr>
          <w:color w:val="000000"/>
          <w:spacing w:val="0"/>
          <w:w w:val="100"/>
          <w:position w:val="0"/>
        </w:rPr>
        <w:t>万元，并从上期开始在激励计划实施期间内进行分摊，本期分摊的成本</w:t>
      </w:r>
      <w:r>
        <w:rPr>
          <w:rFonts w:ascii="Times New Roman" w:eastAsia="Times New Roman" w:hAnsi="Times New Roman" w:cs="Times New Roman"/>
          <w:color w:val="000000"/>
          <w:spacing w:val="0"/>
          <w:w w:val="100"/>
          <w:position w:val="0"/>
        </w:rPr>
        <w:t>699.99</w:t>
      </w:r>
      <w:r>
        <w:rPr>
          <w:color w:val="000000"/>
          <w:spacing w:val="0"/>
          <w:w w:val="100"/>
          <w:position w:val="0"/>
        </w:rPr>
        <w:t>万元已计入 当期管理费用并作为经常性损益列支，同时计入资本公积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p>
    <w:p>
      <w:pPr>
        <w:pStyle w:val="Style29"/>
        <w:keepNext/>
        <w:keepLines/>
        <w:widowControl w:val="0"/>
        <w:shd w:val="clear" w:color="auto" w:fill="auto"/>
        <w:bidi w:val="0"/>
        <w:spacing w:before="0" w:after="0" w:line="240" w:lineRule="auto"/>
        <w:ind w:left="0" w:right="0" w:firstLine="240"/>
        <w:jc w:val="left"/>
      </w:pPr>
      <w:bookmarkStart w:id="977" w:name="bookmark977"/>
      <w:bookmarkStart w:id="978" w:name="bookmark978"/>
      <w:bookmarkStart w:id="979" w:name="bookmark979"/>
      <w:r>
        <w:rPr>
          <w:color w:val="000000"/>
          <w:spacing w:val="0"/>
          <w:w w:val="100"/>
          <w:position w:val="0"/>
        </w:rPr>
        <w:t>十、或有事项：</w:t>
      </w:r>
      <w:bookmarkEnd w:id="977"/>
      <w:bookmarkEnd w:id="978"/>
      <w:bookmarkEnd w:id="979"/>
    </w:p>
    <w:p>
      <w:pPr>
        <w:pStyle w:val="Style29"/>
        <w:keepNext/>
        <w:keepLines/>
        <w:widowControl w:val="0"/>
        <w:shd w:val="clear" w:color="auto" w:fill="auto"/>
        <w:bidi w:val="0"/>
        <w:spacing w:before="0" w:after="0" w:line="240" w:lineRule="auto"/>
        <w:ind w:left="0" w:right="0" w:firstLine="240"/>
        <w:jc w:val="left"/>
      </w:pPr>
      <w:bookmarkStart w:id="977" w:name="bookmark977"/>
      <w:bookmarkStart w:id="978" w:name="bookmark978"/>
      <w:bookmarkStart w:id="980" w:name="bookmark980"/>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其他或有负债及其财务影响：</w:t>
      </w:r>
      <w:bookmarkEnd w:id="977"/>
      <w:bookmarkEnd w:id="978"/>
      <w:bookmarkEnd w:id="980"/>
    </w:p>
    <w:p>
      <w:pPr>
        <w:pStyle w:val="Style12"/>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截至期末公司已背书未到期的票据金额为</w:t>
      </w:r>
      <w:r>
        <w:rPr>
          <w:rFonts w:ascii="Times New Roman" w:eastAsia="Times New Roman" w:hAnsi="Times New Roman" w:cs="Times New Roman"/>
          <w:color w:val="000000"/>
          <w:spacing w:val="0"/>
          <w:w w:val="100"/>
          <w:position w:val="0"/>
        </w:rPr>
        <w:t>46,661,957.17</w:t>
      </w:r>
      <w:r>
        <w:rPr>
          <w:color w:val="000000"/>
          <w:spacing w:val="0"/>
          <w:w w:val="100"/>
          <w:position w:val="0"/>
        </w:rPr>
        <w:t>元。</w:t>
      </w:r>
    </w:p>
    <w:p>
      <w:pPr>
        <w:pStyle w:val="Style12"/>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截至期末公司无其他需要披露的或有事项。</w:t>
      </w:r>
    </w:p>
    <w:p>
      <w:pPr>
        <w:pStyle w:val="Style29"/>
        <w:keepNext/>
        <w:keepLines/>
        <w:widowControl w:val="0"/>
        <w:shd w:val="clear" w:color="auto" w:fill="auto"/>
        <w:bidi w:val="0"/>
        <w:spacing w:before="0" w:after="60" w:line="240" w:lineRule="auto"/>
        <w:ind w:left="0" w:right="0" w:firstLine="240"/>
        <w:jc w:val="left"/>
      </w:pPr>
      <w:bookmarkStart w:id="981" w:name="bookmark981"/>
      <w:bookmarkStart w:id="982" w:name="bookmark982"/>
      <w:bookmarkStart w:id="983" w:name="bookmark983"/>
      <w:r>
        <w:rPr>
          <w:color w:val="000000"/>
          <w:spacing w:val="0"/>
          <w:w w:val="100"/>
          <w:position w:val="0"/>
        </w:rPr>
        <w:t>十一、承诺事项：</w:t>
      </w:r>
      <w:bookmarkEnd w:id="981"/>
      <w:bookmarkEnd w:id="982"/>
      <w:bookmarkEnd w:id="983"/>
    </w:p>
    <w:p>
      <w:pPr>
        <w:pStyle w:val="Style29"/>
        <w:keepNext/>
        <w:keepLines/>
        <w:widowControl w:val="0"/>
        <w:shd w:val="clear" w:color="auto" w:fill="auto"/>
        <w:bidi w:val="0"/>
        <w:spacing w:before="0" w:after="0" w:line="240" w:lineRule="auto"/>
        <w:ind w:left="0" w:right="0" w:firstLine="240"/>
        <w:jc w:val="left"/>
      </w:pPr>
      <w:bookmarkStart w:id="981" w:name="bookmark981"/>
      <w:bookmarkStart w:id="982" w:name="bookmark982"/>
      <w:bookmarkStart w:id="984" w:name="bookmark984"/>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重大承诺事项</w:t>
      </w:r>
      <w:bookmarkEnd w:id="981"/>
      <w:bookmarkEnd w:id="982"/>
      <w:bookmarkEnd w:id="984"/>
    </w:p>
    <w:p>
      <w:pPr>
        <w:pStyle w:val="Style1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日，公司以下列土地使用权及房产抵押给银行，为取得银行最高额授信作担</w:t>
      </w:r>
    </w:p>
    <w:p>
      <w:pPr>
        <w:pStyle w:val="Style1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w:t>
      </w:r>
    </w:p>
    <w:tbl>
      <w:tblPr>
        <w:tblOverlap w:val="never"/>
        <w:jc w:val="center"/>
        <w:tblLayout w:type="fixed"/>
      </w:tblPr>
      <w:tblGrid>
        <w:gridCol w:w="2366"/>
        <w:gridCol w:w="1426"/>
        <w:gridCol w:w="1421"/>
        <w:gridCol w:w="1061"/>
        <w:gridCol w:w="802"/>
        <w:gridCol w:w="2477"/>
      </w:tblGrid>
      <w:tr>
        <w:trPr>
          <w:trHeight w:val="1104"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土地使用权及房产名称 及座落</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资产原值</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资产净值</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2" w:lineRule="exact"/>
              <w:ind w:left="0" w:right="0" w:firstLine="0"/>
              <w:jc w:val="both"/>
            </w:pPr>
            <w:r>
              <w:rPr>
                <w:b/>
                <w:bCs/>
                <w:color w:val="000000"/>
                <w:spacing w:val="0"/>
                <w:w w:val="100"/>
                <w:position w:val="0"/>
              </w:rPr>
              <w:t>最高额 授信金 额（万 元）</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贷款 余额</w:t>
            </w:r>
          </w:p>
          <w:p>
            <w:pPr>
              <w:pStyle w:val="Style26"/>
              <w:keepNext w:val="0"/>
              <w:keepLines w:val="0"/>
              <w:widowControl w:val="0"/>
              <w:shd w:val="clear" w:color="auto" w:fill="auto"/>
              <w:bidi w:val="0"/>
              <w:spacing w:before="0" w:after="0" w:line="271" w:lineRule="exact"/>
              <w:ind w:left="0" w:right="0" w:firstLine="0"/>
              <w:jc w:val="right"/>
            </w:pPr>
            <w:r>
              <w:rPr>
                <w:b/>
                <w:bCs/>
                <w:color w:val="000000"/>
                <w:spacing w:val="0"/>
                <w:w w:val="100"/>
                <w:position w:val="0"/>
              </w:rPr>
              <w:t>（万 元）</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最高额授信期限</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2012.10.22-2014.10.14</w:t>
            </w: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启东市汇龙镇华石村土 地使用权</w:t>
            </w:r>
            <w:r>
              <w:rPr>
                <w:rFonts w:ascii="Times New Roman" w:eastAsia="Times New Roman" w:hAnsi="Times New Roman" w:cs="Times New Roman"/>
                <w:color w:val="000000"/>
                <w:spacing w:val="0"/>
                <w:w w:val="100"/>
                <w:position w:val="0"/>
              </w:rPr>
              <w:t>39,835.00</w:t>
            </w:r>
            <w:r>
              <w:rPr>
                <w:color w:val="000000"/>
                <w:spacing w:val="0"/>
                <w:w w:val="100"/>
                <w:position w:val="0"/>
              </w:rPr>
              <w:t>平 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5,994,630.68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5,071,889.03</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启东市汇龙镇华石村土 地使用权</w:t>
            </w:r>
            <w:r>
              <w:rPr>
                <w:rFonts w:ascii="Times New Roman" w:eastAsia="Times New Roman" w:hAnsi="Times New Roman" w:cs="Times New Roman"/>
                <w:color w:val="000000"/>
                <w:spacing w:val="0"/>
                <w:w w:val="100"/>
                <w:position w:val="0"/>
              </w:rPr>
              <w:t>11,801.60</w:t>
            </w:r>
            <w:r>
              <w:rPr>
                <w:color w:val="000000"/>
                <w:spacing w:val="0"/>
                <w:w w:val="100"/>
                <w:position w:val="0"/>
              </w:rPr>
              <w:t>平方 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1,587,956.00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1,357,083.25</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启东市汇龙镇华石村土 地使用权 </w:t>
            </w:r>
            <w:r>
              <w:rPr>
                <w:rFonts w:ascii="Times New Roman" w:eastAsia="Times New Roman" w:hAnsi="Times New Roman" w:cs="Times New Roman"/>
                <w:color w:val="000000"/>
                <w:spacing w:val="0"/>
                <w:w w:val="100"/>
                <w:position w:val="0"/>
              </w:rPr>
              <w:t xml:space="preserve">29,829.00 </w:t>
            </w:r>
            <w:r>
              <w:rPr>
                <w:color w:val="000000"/>
                <w:spacing w:val="0"/>
                <w:w w:val="100"/>
                <w:position w:val="0"/>
              </w:rPr>
              <w:t>平 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4,526,467.00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3,802,232.38</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启东经济开发区林洋路</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w:t>
            </w:r>
            <w:r>
              <w:rPr>
                <w:color w:val="000000"/>
                <w:spacing w:val="0"/>
                <w:w w:val="100"/>
                <w:position w:val="0"/>
              </w:rPr>
              <w:t>号电表楼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46,176,575.74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20,115,587.86</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启东经济开发区林洋路</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w:t>
            </w:r>
            <w:r>
              <w:rPr>
                <w:color w:val="000000"/>
                <w:spacing w:val="0"/>
                <w:w w:val="100"/>
                <w:position w:val="0"/>
              </w:rPr>
              <w:t>号行政楼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46,606,508.59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27,222,406.84</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启东经济开发区林洋路</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w:t>
            </w:r>
            <w:r>
              <w:rPr>
                <w:color w:val="000000"/>
                <w:spacing w:val="0"/>
                <w:w w:val="100"/>
                <w:position w:val="0"/>
              </w:rPr>
              <w:t>号生产车间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27,141,659.58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19,724,532.91</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259" w:line="1" w:lineRule="exact"/>
      </w:pPr>
    </w:p>
    <w:p>
      <w:pPr>
        <w:pStyle w:val="Style29"/>
        <w:keepNext/>
        <w:keepLines/>
        <w:widowControl w:val="0"/>
        <w:shd w:val="clear" w:color="auto" w:fill="auto"/>
        <w:bidi w:val="0"/>
        <w:spacing w:before="0" w:after="360" w:line="269" w:lineRule="exact"/>
        <w:ind w:left="0" w:right="0" w:firstLine="240"/>
        <w:jc w:val="left"/>
      </w:pPr>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本公司无需要披露的前期承诺事项。</w:t>
      </w:r>
      <w:bookmarkEnd w:id="985"/>
      <w:bookmarkEnd w:id="986"/>
      <w:bookmarkEnd w:id="987"/>
    </w:p>
    <w:p>
      <w:pPr>
        <w:pStyle w:val="Style29"/>
        <w:keepNext/>
        <w:keepLines/>
        <w:widowControl w:val="0"/>
        <w:shd w:val="clear" w:color="auto" w:fill="auto"/>
        <w:bidi w:val="0"/>
        <w:spacing w:before="0" w:after="120" w:line="269" w:lineRule="exact"/>
        <w:ind w:left="0" w:right="0" w:firstLine="240"/>
        <w:jc w:val="both"/>
      </w:pPr>
      <w:bookmarkStart w:id="985" w:name="bookmark985"/>
      <w:bookmarkStart w:id="986" w:name="bookmark986"/>
      <w:bookmarkStart w:id="988" w:name="bookmark988"/>
      <w:r>
        <w:rPr>
          <w:color w:val="000000"/>
          <w:spacing w:val="0"/>
          <w:w w:val="100"/>
          <w:position w:val="0"/>
        </w:rPr>
        <w:t>十二、资产负债表日后事项</w:t>
      </w:r>
      <w:bookmarkEnd w:id="985"/>
      <w:bookmarkEnd w:id="986"/>
      <w:bookmarkEnd w:id="988"/>
    </w:p>
    <w:p>
      <w:pPr>
        <w:pStyle w:val="Style12"/>
        <w:keepNext w:val="0"/>
        <w:keepLines w:val="0"/>
        <w:widowControl w:val="0"/>
        <w:shd w:val="clear" w:color="auto" w:fill="auto"/>
        <w:bidi w:val="0"/>
        <w:spacing w:before="0" w:after="260" w:line="269" w:lineRule="exact"/>
        <w:ind w:left="240" w:right="0" w:firstLine="20"/>
        <w:jc w:val="both"/>
      </w:pPr>
      <w:r>
        <w:rPr>
          <w:color w:val="000000"/>
          <w:spacing w:val="0"/>
          <w:w w:val="100"/>
          <w:position w:val="0"/>
        </w:rPr>
        <w:t>资产负债表日后利润分配情况说明：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 xml:space="preserve">日，公司审议通过了 </w:t>
      </w:r>
      <w:r>
        <w:rPr>
          <w:rFonts w:ascii="Arial" w:eastAsia="Arial" w:hAnsi="Arial" w:cs="Arial"/>
          <w:color w:val="000000"/>
          <w:spacing w:val="0"/>
          <w:w w:val="100"/>
          <w:position w:val="0"/>
        </w:rPr>
        <w:t>2013</w:t>
      </w:r>
      <w:r>
        <w:rPr>
          <w:color w:val="000000"/>
          <w:spacing w:val="0"/>
          <w:w w:val="100"/>
          <w:position w:val="0"/>
        </w:rPr>
        <w:t>年度利润分配预案, 决定以公司</w:t>
      </w:r>
      <w:r>
        <w:rPr>
          <w:rFonts w:ascii="Arial" w:eastAsia="Arial" w:hAnsi="Arial" w:cs="Arial"/>
          <w:color w:val="000000"/>
          <w:spacing w:val="0"/>
          <w:w w:val="100"/>
          <w:position w:val="0"/>
        </w:rPr>
        <w:t>2013</w:t>
      </w:r>
      <w:r>
        <w:rPr>
          <w:color w:val="000000"/>
          <w:spacing w:val="0"/>
          <w:w w:val="100"/>
          <w:position w:val="0"/>
        </w:rPr>
        <w:t>年末的总股本</w:t>
      </w:r>
      <w:r>
        <w:rPr>
          <w:rFonts w:ascii="Arial" w:eastAsia="Arial" w:hAnsi="Arial" w:cs="Arial"/>
          <w:color w:val="000000"/>
          <w:spacing w:val="0"/>
          <w:w w:val="100"/>
          <w:position w:val="0"/>
        </w:rPr>
        <w:t>35,518</w:t>
      </w:r>
      <w:r>
        <w:rPr>
          <w:color w:val="000000"/>
          <w:spacing w:val="0"/>
          <w:w w:val="100"/>
          <w:position w:val="0"/>
        </w:rPr>
        <w:t>万股为基数，向全体股东每</w:t>
      </w:r>
      <w:r>
        <w:rPr>
          <w:rFonts w:ascii="Arial" w:eastAsia="Arial" w:hAnsi="Arial" w:cs="Arial"/>
          <w:color w:val="000000"/>
          <w:spacing w:val="0"/>
          <w:w w:val="100"/>
          <w:position w:val="0"/>
        </w:rPr>
        <w:t>10</w:t>
      </w:r>
      <w:r>
        <w:rPr>
          <w:color w:val="000000"/>
          <w:spacing w:val="0"/>
          <w:w w:val="100"/>
          <w:position w:val="0"/>
        </w:rPr>
        <w:t>股派发现金红利</w:t>
      </w:r>
      <w:r>
        <w:rPr>
          <w:rFonts w:ascii="Arial" w:eastAsia="Arial" w:hAnsi="Arial" w:cs="Arial"/>
          <w:color w:val="000000"/>
          <w:spacing w:val="0"/>
          <w:w w:val="100"/>
          <w:position w:val="0"/>
        </w:rPr>
        <w:t>2</w:t>
      </w:r>
      <w:r>
        <w:rPr>
          <w:color w:val="000000"/>
          <w:spacing w:val="0"/>
          <w:w w:val="100"/>
          <w:position w:val="0"/>
        </w:rPr>
        <w:t>元（含税）,</w:t>
        <w:br w:type="page"/>
      </w:r>
      <w:r>
        <w:rPr>
          <w:color w:val="000000"/>
          <w:spacing w:val="0"/>
          <w:w w:val="100"/>
          <w:position w:val="0"/>
        </w:rPr>
        <w:t>共计派发现金红利</w:t>
      </w:r>
      <w:r>
        <w:rPr>
          <w:rFonts w:ascii="Arial" w:eastAsia="Arial" w:hAnsi="Arial" w:cs="Arial"/>
          <w:color w:val="000000"/>
          <w:spacing w:val="0"/>
          <w:w w:val="100"/>
          <w:position w:val="0"/>
        </w:rPr>
        <w:t xml:space="preserve">7, </w:t>
      </w:r>
      <w:r>
        <w:rPr>
          <w:rFonts w:ascii="Arial" w:eastAsia="Arial" w:hAnsi="Arial" w:cs="Arial"/>
          <w:color w:val="000000"/>
          <w:spacing w:val="0"/>
          <w:w w:val="100"/>
          <w:position w:val="0"/>
        </w:rPr>
        <w:t>103.6</w:t>
      </w:r>
      <w:r>
        <w:rPr>
          <w:color w:val="000000"/>
          <w:spacing w:val="0"/>
          <w:w w:val="100"/>
          <w:position w:val="0"/>
        </w:rPr>
        <w:t>万元，剩余利润结转下年度。</w:t>
      </w:r>
      <w:r>
        <w:rPr>
          <w:rFonts w:ascii="Arial" w:eastAsia="Arial" w:hAnsi="Arial" w:cs="Arial"/>
          <w:color w:val="000000"/>
          <w:spacing w:val="0"/>
          <w:w w:val="100"/>
          <w:position w:val="0"/>
        </w:rPr>
        <w:t>2013</w:t>
      </w:r>
      <w:r>
        <w:rPr>
          <w:color w:val="000000"/>
          <w:spacing w:val="0"/>
          <w:w w:val="100"/>
          <w:position w:val="0"/>
        </w:rPr>
        <w:t>年度不进行资本公积金转增股本。该 利润分配预案尚待股东大会决议通过后实施。</w:t>
      </w:r>
    </w:p>
    <w:p>
      <w:pPr>
        <w:pStyle w:val="Style23"/>
        <w:keepNext w:val="0"/>
        <w:keepLines w:val="0"/>
        <w:widowControl w:val="0"/>
        <w:shd w:val="clear" w:color="auto" w:fill="auto"/>
        <w:bidi w:val="0"/>
        <w:spacing w:before="0" w:after="0" w:line="283" w:lineRule="exact"/>
        <w:ind w:left="53" w:right="0" w:firstLine="0"/>
        <w:jc w:val="left"/>
      </w:pPr>
      <w:r>
        <w:rPr>
          <w:color w:val="000000"/>
          <w:spacing w:val="0"/>
          <w:w w:val="100"/>
          <w:position w:val="0"/>
        </w:rPr>
        <w:t>十三、其他重要事项：</w:t>
      </w:r>
    </w:p>
    <w:p>
      <w:pPr>
        <w:pStyle w:val="Style23"/>
        <w:keepNext w:val="0"/>
        <w:keepLines w:val="0"/>
        <w:widowControl w:val="0"/>
        <w:shd w:val="clear" w:color="auto" w:fill="auto"/>
        <w:bidi w:val="0"/>
        <w:spacing w:before="0" w:after="0" w:line="283" w:lineRule="exact"/>
        <w:ind w:left="53"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_</w:t>
      </w:r>
      <w:r>
        <w:rPr>
          <w:rFonts w:ascii="Times New Roman" w:eastAsia="Times New Roman" w:hAnsi="Times New Roman" w:cs="Times New Roman"/>
          <w:color w:val="000000"/>
          <w:spacing w:val="0"/>
          <w:w w:val="100"/>
          <w:position w:val="0"/>
        </w:rPr>
        <w:t>)</w:t>
      </w:r>
      <w:r>
        <w:rPr>
          <w:color w:val="000000"/>
          <w:spacing w:val="0"/>
          <w:w w:val="100"/>
          <w:position w:val="0"/>
        </w:rPr>
        <w:t>租赁</w:t>
      </w:r>
    </w:p>
    <w:tbl>
      <w:tblPr>
        <w:tblOverlap w:val="never"/>
        <w:jc w:val="center"/>
        <w:tblLayout w:type="fixed"/>
      </w:tblPr>
      <w:tblGrid>
        <w:gridCol w:w="1858"/>
        <w:gridCol w:w="1517"/>
        <w:gridCol w:w="1843"/>
        <w:gridCol w:w="2410"/>
        <w:gridCol w:w="1608"/>
      </w:tblGrid>
      <w:tr>
        <w:trPr>
          <w:trHeight w:val="269" w:hRule="exact"/>
        </w:trPr>
        <w:tc>
          <w:tcPr>
            <w:gridSpan w:val="5"/>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、主要经营租赁租出</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rPr>
              <w:t>承租方名称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租赁期间</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本年租赁收入</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南京学苑教育科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闲置房出租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338,000.00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江苏华新教育培 训中心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闲置房出租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146,470.00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南通市建能百货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闲置房出租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302,400.00</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租赁客户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闲置房出租</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100,000.00</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140"/>
        <w:jc w:val="left"/>
      </w:pPr>
      <w:bookmarkStart w:id="989" w:name="bookmark989"/>
      <w:bookmarkStart w:id="990" w:name="bookmark990"/>
      <w:bookmarkStart w:id="991" w:name="bookmark991"/>
      <w:r>
        <w:rPr>
          <w:color w:val="000000"/>
          <w:spacing w:val="0"/>
          <w:w w:val="100"/>
          <w:position w:val="0"/>
        </w:rPr>
        <w:t>2、主要经营租赁租入</w:t>
      </w:r>
      <w:bookmarkEnd w:id="989"/>
      <w:bookmarkEnd w:id="990"/>
      <w:bookmarkEnd w:id="991"/>
    </w:p>
    <w:p>
      <w:pPr>
        <w:pStyle w:val="Style12"/>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详见本附注八、(五)、</w:t>
      </w:r>
      <w:r>
        <w:rPr>
          <w:rFonts w:ascii="Arial" w:eastAsia="Arial" w:hAnsi="Arial" w:cs="Arial"/>
          <w:color w:val="000000"/>
          <w:spacing w:val="0"/>
          <w:w w:val="100"/>
          <w:position w:val="0"/>
        </w:rPr>
        <w:t>3</w:t>
      </w:r>
      <w:r>
        <w:rPr>
          <w:color w:val="000000"/>
          <w:spacing w:val="0"/>
          <w:w w:val="100"/>
          <w:position w:val="0"/>
        </w:rPr>
        <w:t>项。</w:t>
      </w:r>
    </w:p>
    <w:p>
      <w:pPr>
        <w:pStyle w:val="Style1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十四、母公司财务报表主要项目注释</w:t>
      </w: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应收账款：</w:t>
      </w: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、应收账款按种类披露：</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48"/>
        <w:gridCol w:w="1531"/>
        <w:gridCol w:w="792"/>
        <w:gridCol w:w="1426"/>
        <w:gridCol w:w="581"/>
        <w:gridCol w:w="1531"/>
        <w:gridCol w:w="792"/>
        <w:gridCol w:w="1426"/>
        <w:gridCol w:w="595"/>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gridSpan w:val="4"/>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账面余劄</w:t>
            </w:r>
          </w:p>
        </w:tc>
        <w:tc>
          <w:tcPr>
            <w:tcBorders>
              <w:top w:val="single" w:sz="4"/>
            </w:tcBorders>
            <w:shd w:val="clear" w:color="auto" w:fill="BFBFBF"/>
            <w:vAlign w:val="top"/>
          </w:tcPr>
          <w:p>
            <w:pPr>
              <w:widowControl w:val="0"/>
              <w:rPr>
                <w:sz w:val="10"/>
                <w:szCs w:val="10"/>
              </w:rPr>
            </w:pP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tcBorders>
            <w:shd w:val="clear" w:color="auto" w:fill="BFBFBF"/>
            <w:vAlign w:val="top"/>
          </w:tcPr>
          <w:p>
            <w:pPr>
              <w:widowControl w:val="0"/>
              <w:rPr>
                <w:sz w:val="10"/>
                <w:szCs w:val="10"/>
              </w:rPr>
            </w:pP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3" w:hRule="exact"/>
        </w:trPr>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w:t>
            </w:r>
          </w:p>
        </w:tc>
        <w:tc>
          <w:tcPr>
            <w:gridSpan w:val="7"/>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r>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账龄 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732,929,299.25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47,077,848.79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741,290,586.58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41,796,372.97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组合 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732,929,299.25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47,077,848.79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741,290,586.58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41,796,372.97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732,929,299.25</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47,077,848.79</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741,290,586.58</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41,796,372.97</w:t>
            </w:r>
          </w:p>
        </w:tc>
        <w:tc>
          <w:tcPr>
            <w:tcBorders>
              <w:top w:val="single" w:sz="4"/>
              <w:left w:val="single" w:sz="4"/>
              <w:bottom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579"/>
        <w:gridCol w:w="1550"/>
        <w:gridCol w:w="850"/>
        <w:gridCol w:w="1426"/>
        <w:gridCol w:w="1555"/>
        <w:gridCol w:w="926"/>
        <w:gridCol w:w="1435"/>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gridSpan w:val="3"/>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账面余额</w:t>
            </w:r>
          </w:p>
        </w:tc>
        <w:tc>
          <w:tcPr>
            <w:tcBorders>
              <w:top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9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r>
              <w:rPr>
                <w:color w:val="000000"/>
                <w:spacing w:val="0"/>
                <w:w w:val="100"/>
                <w:position w:val="0"/>
              </w:rPr>
              <w:t>％</w:t>
            </w:r>
            <w:r>
              <w:rPr>
                <w:rFonts w:ascii="Times New Roman" w:eastAsia="Times New Roman" w:hAnsi="Times New Roman" w:cs="Times New Roman"/>
                <w:color w:val="000000"/>
                <w:spacing w:val="0"/>
                <w:w w:val="100"/>
                <w:position w:val="0"/>
              </w:rPr>
              <w:t>&gt;)</w:t>
            </w:r>
          </w:p>
        </w:tc>
        <w:tc>
          <w:tcPr>
            <w:vMerge/>
            <w:tcBorders>
              <w:left w:val="single" w:sz="4"/>
              <w:right w:val="single" w:sz="4"/>
            </w:tcBorders>
            <w:shd w:val="clear" w:color="auto" w:fill="BFBFBF"/>
            <w:vAlign w:val="center"/>
          </w:tcPr>
          <w:p>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642,926,074.98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32,146,303.75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676,910,271.17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33,845,513.56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642,926,074.98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32,146,303.75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676,910,271.17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33,845,513.56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66,413,591.66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6,641,359.17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60,279,615.78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6,027,961.58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21,856,352.48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6,556,905.74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3,111,145.43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933,343.63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1,733,280.13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1,733,280.13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989,554.20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989,554.20</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732,929,299.25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47,077,848.79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741,290,586.58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41,796,372.97</w:t>
            </w:r>
          </w:p>
        </w:tc>
      </w:tr>
    </w:tbl>
    <w:p>
      <w:pPr>
        <w:spacing w:lineRule="exact" w:line="1"/>
        <w:rPr>
          <w:sz w:val="2"/>
          <w:szCs w:val="2"/>
        </w:rPr>
      </w:pPr>
      <w:r>
        <w:br w:type="page"/>
      </w:r>
    </w:p>
    <w:p>
      <w:pPr>
        <w:pStyle w:val="Style12"/>
        <w:keepNext w:val="0"/>
        <w:keepLines w:val="0"/>
        <w:widowControl w:val="0"/>
        <w:shd w:val="clear" w:color="auto" w:fill="auto"/>
        <w:tabs>
          <w:tab w:pos="518" w:val="left"/>
        </w:tabs>
        <w:bidi w:val="0"/>
        <w:spacing w:before="0" w:after="260" w:line="240" w:lineRule="auto"/>
        <w:ind w:left="0" w:right="0" w:firstLine="140"/>
        <w:jc w:val="left"/>
      </w:pPr>
      <w:bookmarkStart w:id="992" w:name="bookmark992"/>
      <w:r>
        <w:rPr>
          <w:rFonts w:ascii="Times New Roman" w:eastAsia="Times New Roman" w:hAnsi="Times New Roman" w:cs="Times New Roman"/>
          <w:b/>
          <w:bCs/>
          <w:color w:val="000000"/>
          <w:spacing w:val="0"/>
          <w:w w:val="100"/>
          <w:position w:val="0"/>
        </w:rPr>
        <w:t>2</w:t>
      </w:r>
      <w:bookmarkEnd w:id="992"/>
      <w:r>
        <w:rPr>
          <w:b/>
          <w:bCs/>
          <w:color w:val="000000"/>
          <w:spacing w:val="0"/>
          <w:w w:val="100"/>
          <w:position w:val="0"/>
        </w:rPr>
        <w:t>、</w:t>
        <w:tab/>
        <w:t>本报告期应收账款中无持有公司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以上表决权股份的股东单位的欠款。</w:t>
      </w:r>
    </w:p>
    <w:p>
      <w:pPr>
        <w:pStyle w:val="Style12"/>
        <w:keepNext w:val="0"/>
        <w:keepLines w:val="0"/>
        <w:widowControl w:val="0"/>
        <w:shd w:val="clear" w:color="auto" w:fill="auto"/>
        <w:tabs>
          <w:tab w:pos="518" w:val="left"/>
        </w:tabs>
        <w:bidi w:val="0"/>
        <w:spacing w:before="0" w:after="0" w:line="240" w:lineRule="auto"/>
        <w:ind w:left="0" w:right="0" w:firstLine="140"/>
        <w:jc w:val="left"/>
      </w:pPr>
      <w:bookmarkStart w:id="993" w:name="bookmark993"/>
      <w:r>
        <w:rPr>
          <w:rFonts w:ascii="Times New Roman" w:eastAsia="Times New Roman" w:hAnsi="Times New Roman" w:cs="Times New Roman"/>
          <w:b/>
          <w:bCs/>
          <w:color w:val="000000"/>
          <w:spacing w:val="0"/>
          <w:w w:val="100"/>
          <w:position w:val="0"/>
        </w:rPr>
        <w:t>3</w:t>
      </w:r>
      <w:bookmarkEnd w:id="993"/>
      <w:r>
        <w:rPr>
          <w:b/>
          <w:bCs/>
          <w:color w:val="000000"/>
          <w:spacing w:val="0"/>
          <w:w w:val="100"/>
          <w:position w:val="0"/>
        </w:rPr>
        <w:t>、</w:t>
        <w:tab/>
        <w:t>应收账款金额前五名单位情况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52"/>
        <w:gridCol w:w="1560"/>
        <w:gridCol w:w="1560"/>
        <w:gridCol w:w="3158"/>
        <w:gridCol w:w="1891"/>
      </w:tblGrid>
      <w:tr>
        <w:trPr>
          <w:trHeight w:val="571"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59,926,168.38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8.18</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29,072,248.58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3.97</w:t>
            </w:r>
          </w:p>
        </w:tc>
      </w:tr>
      <w:tr>
        <w:trPr>
          <w:trHeight w:val="52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23,994,522.51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rPr>
              <w:t>21,265,503.38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2,729,019.13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3.27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17,418,696.05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2.38</w:t>
            </w:r>
          </w:p>
        </w:tc>
      </w:tr>
      <w:tr>
        <w:trPr>
          <w:trHeight w:val="52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17,035,866.89</w:t>
            </w:r>
          </w:p>
        </w:tc>
        <w:tc>
          <w:tcPr>
            <w:tcBorders>
              <w:top w:val="single" w:sz="4"/>
              <w:left w:val="single" w:sz="4"/>
            </w:tcBorders>
            <w:shd w:val="clear" w:color="auto" w:fill="FFFFFF"/>
            <w:vAlign w:val="bottom"/>
          </w:tcPr>
          <w:p>
            <w:pPr>
              <w:pStyle w:val="Style26"/>
              <w:keepNext w:val="0"/>
              <w:keepLines w:val="0"/>
              <w:widowControl w:val="0"/>
              <w:shd w:val="clear" w:color="auto" w:fill="auto"/>
              <w:tabs>
                <w:tab w:pos="235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16,876,348.73</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159,518.16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2.32</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147,447,502.41</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14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4</w:t>
      </w:r>
      <w:bookmarkEnd w:id="996"/>
      <w:r>
        <w:rPr>
          <w:color w:val="000000"/>
          <w:spacing w:val="0"/>
          <w:w w:val="100"/>
          <w:position w:val="0"/>
        </w:rPr>
        <w:t>、应收关联方账款情况</w:t>
      </w:r>
      <w:bookmarkEnd w:id="994"/>
      <w:bookmarkEnd w:id="995"/>
      <w:bookmarkEnd w:id="997"/>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278"/>
        <w:gridCol w:w="1838"/>
        <w:gridCol w:w="1426"/>
        <w:gridCol w:w="2779"/>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南通林洋电气有限公司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1,779,568.41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0.24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江苏林洋新能源科技有限公司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217,850.00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0.03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江苏林洋照明科技有限公司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10,155,762.16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1.39</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59,926,168.38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8.18</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72,079,348.95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9.84</w:t>
            </w:r>
          </w:p>
        </w:tc>
      </w:tr>
    </w:tbl>
    <w:p>
      <w:pPr>
        <w:widowControl w:val="0"/>
        <w:spacing w:after="259" w:line="1" w:lineRule="exact"/>
      </w:pPr>
    </w:p>
    <w:p>
      <w:pPr>
        <w:pStyle w:val="Style29"/>
        <w:keepNext/>
        <w:keepLines/>
        <w:widowControl w:val="0"/>
        <w:shd w:val="clear" w:color="auto" w:fill="auto"/>
        <w:bidi w:val="0"/>
        <w:spacing w:before="0" w:after="0" w:line="240" w:lineRule="auto"/>
        <w:ind w:left="0" w:right="0" w:firstLine="14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其他应收款：</w:t>
      </w:r>
      <w:bookmarkEnd w:id="1000"/>
      <w:bookmarkEnd w:id="998"/>
      <w:bookmarkEnd w:id="999"/>
    </w:p>
    <w:p>
      <w:pPr>
        <w:pStyle w:val="Style29"/>
        <w:keepNext/>
        <w:keepLines/>
        <w:widowControl w:val="0"/>
        <w:shd w:val="clear" w:color="auto" w:fill="auto"/>
        <w:bidi w:val="0"/>
        <w:spacing w:before="0" w:after="0" w:line="240" w:lineRule="auto"/>
        <w:ind w:left="0" w:right="0" w:firstLine="140"/>
        <w:jc w:val="left"/>
      </w:pPr>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001"/>
      <w:bookmarkEnd w:id="998"/>
      <w:bookmarkEnd w:id="999"/>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725"/>
        <w:gridCol w:w="1560"/>
        <w:gridCol w:w="835"/>
        <w:gridCol w:w="1387"/>
        <w:gridCol w:w="677"/>
        <w:gridCol w:w="1430"/>
        <w:gridCol w:w="792"/>
        <w:gridCol w:w="1320"/>
        <w:gridCol w:w="595"/>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种类</w:t>
            </w:r>
          </w:p>
        </w:tc>
        <w:tc>
          <w:tcPr>
            <w:gridSpan w:val="4"/>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680" w:firstLine="0"/>
              <w:jc w:val="right"/>
              <w:rPr>
                <w:sz w:val="14"/>
                <w:szCs w:val="14"/>
              </w:rPr>
            </w:pPr>
            <w:r>
              <w:rPr>
                <w:color w:val="000000"/>
                <w:spacing w:val="0"/>
                <w:w w:val="100"/>
                <w:position w:val="0"/>
                <w:sz w:val="14"/>
                <w:szCs w:val="14"/>
              </w:rPr>
              <w:t>页</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3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8"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氏他应收账</w:t>
            </w:r>
          </w:p>
        </w:tc>
        <w:tc>
          <w:tcPr>
            <w:gridSpan w:val="6"/>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长款：</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账龄 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16,206,891.94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1,833,836.33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17,824,540.00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1,637,054.04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9.18</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组合 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16,206,891.94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1,833,836.33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17,824,540.00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1,637,054.04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9.18</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16,206,891.94</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1,833,836.33</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17,824,540.00</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1,637,054.04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组合中，按账龄分析法计提坏账准备的其他应收账款：</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714"/>
        <w:gridCol w:w="1426"/>
        <w:gridCol w:w="1056"/>
        <w:gridCol w:w="1315"/>
        <w:gridCol w:w="1426"/>
        <w:gridCol w:w="1056"/>
        <w:gridCol w:w="1330"/>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BFBFBF"/>
            <w:vAlign w:val="center"/>
          </w:tcPr>
          <w:p>
            <w:pP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9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BFBFBF"/>
            <w:vAlign w:val="center"/>
          </w:tcPr>
          <w:p>
            <w:pPr/>
          </w:p>
        </w:tc>
      </w:tr>
      <w:tr>
        <w:trPr>
          <w:trHeight w:val="288" w:hRule="exact"/>
        </w:trPr>
        <w:tc>
          <w:tcPr>
            <w:gridSpan w:val="7"/>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9,415,003.79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58.09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470,750.19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16,223,123.23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811,156.16</w:t>
            </w:r>
          </w:p>
        </w:tc>
      </w:tr>
    </w:tbl>
    <w:p>
      <w:pPr>
        <w:spacing w:lineRule="exact" w:line="1"/>
        <w:rPr>
          <w:sz w:val="2"/>
          <w:szCs w:val="2"/>
        </w:rPr>
      </w:pPr>
      <w:r>
        <w:br w:type="page"/>
      </w:r>
    </w:p>
    <w:tbl>
      <w:tblPr>
        <w:tblOverlap w:val="never"/>
        <w:jc w:val="center"/>
        <w:tblLayout w:type="fixed"/>
      </w:tblPr>
      <w:tblGrid>
        <w:gridCol w:w="1714"/>
        <w:gridCol w:w="1426"/>
        <w:gridCol w:w="1056"/>
        <w:gridCol w:w="1315"/>
        <w:gridCol w:w="1426"/>
        <w:gridCol w:w="1056"/>
        <w:gridCol w:w="1330"/>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9,415,003.79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470,750.19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16,223,123.23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811,156.16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5,859,296.68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585,929.67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860,045.30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86,004.53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222,050.00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633.48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710,541.47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710,541.47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739,259.87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739,259.87</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16,206,891.94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1,833,836.33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17,824,540.00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1,637,054.04</w:t>
            </w:r>
          </w:p>
        </w:tc>
      </w:tr>
    </w:tbl>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、本报告期其他应收账款中无持有公司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以上表决权股份的股东单位的欠款。</w:t>
      </w:r>
    </w:p>
    <w:p>
      <w:pPr>
        <w:widowControl w:val="0"/>
        <w:spacing w:after="239" w:line="1" w:lineRule="exact"/>
      </w:pPr>
    </w:p>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、其他应收账款金额前五名单位情况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2"/>
        <w:gridCol w:w="1699"/>
        <w:gridCol w:w="1416"/>
        <w:gridCol w:w="994"/>
        <w:gridCol w:w="1790"/>
      </w:tblGrid>
      <w:tr>
        <w:trPr>
          <w:trHeight w:val="566"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占其他应收账款 总额的比例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国网国际招标有限公司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24.68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上海通翌招标代理有限公司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11.72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陕西省地方电力招标有限公司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8.89</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重庆大正建设工程经济技术有限公 司成都分公司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6.73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四川省水电投资经营集团有限公司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857,375.50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5.29</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9,287,375.50</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57.31</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4</w:t>
      </w:r>
      <w:bookmarkEnd w:id="1004"/>
      <w:r>
        <w:rPr>
          <w:color w:val="000000"/>
          <w:spacing w:val="0"/>
          <w:w w:val="100"/>
          <w:position w:val="0"/>
        </w:rPr>
        <w:t>、其他应收关联方款项情况</w:t>
      </w:r>
      <w:bookmarkEnd w:id="1002"/>
      <w:bookmarkEnd w:id="1003"/>
      <w:bookmarkEnd w:id="1005"/>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86"/>
        <w:gridCol w:w="2088"/>
        <w:gridCol w:w="1613"/>
        <w:gridCol w:w="3235"/>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rPr>
              <w:t>与本公司关系</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占其他应收账款总额的比例</w:t>
            </w: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南通林洋电气有限公司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r>
    </w:tbl>
    <w:p>
      <w:pPr>
        <w:sectPr>
          <w:headerReference w:type="default" r:id="rId53"/>
          <w:footerReference w:type="default" r:id="rId54"/>
          <w:footnotePr>
            <w:pos w:val="pageBottom"/>
            <w:numFmt w:val="decimal"/>
            <w:numRestart w:val="continuous"/>
          </w:footnotePr>
          <w:pgSz w:w="12240" w:h="15840"/>
          <w:pgMar w:top="1056" w:right="1461" w:bottom="1733" w:left="1202" w:header="0" w:footer="3" w:gutter="0"/>
          <w:cols w:space="720"/>
          <w:noEndnote/>
          <w:rtlGutter w:val="0"/>
          <w:docGrid w:linePitch="360"/>
        </w:sectPr>
      </w:pPr>
    </w:p>
    <w:p>
      <w:pPr>
        <w:pStyle w:val="Style29"/>
        <w:keepNext/>
        <w:keepLines/>
        <w:widowControl w:val="0"/>
        <w:shd w:val="clear" w:color="auto" w:fill="auto"/>
        <w:bidi w:val="0"/>
        <w:spacing w:before="0" w:after="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w:t>
      </w:r>
      <w:bookmarkEnd w:id="1008"/>
      <w:r>
        <w:rPr>
          <w:color w:val="000000"/>
          <w:spacing w:val="0"/>
          <w:w w:val="100"/>
          <w:position w:val="0"/>
        </w:rPr>
        <w:t>三</w:t>
      </w:r>
      <w:r>
        <w:rPr>
          <w:color w:val="000000"/>
          <w:spacing w:val="0"/>
          <w:w w:val="100"/>
          <w:position w:val="0"/>
        </w:rPr>
        <w:t>）</w:t>
      </w:r>
      <w:r>
        <w:rPr>
          <w:color w:val="000000"/>
          <w:spacing w:val="0"/>
          <w:w w:val="100"/>
          <w:position w:val="0"/>
        </w:rPr>
        <w:t>长期股权投资</w:t>
      </w:r>
      <w:bookmarkEnd w:id="1006"/>
      <w:bookmarkEnd w:id="1007"/>
      <w:bookmarkEnd w:id="1009"/>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按成本法核算</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22"/>
        <w:gridCol w:w="1560"/>
        <w:gridCol w:w="1560"/>
        <w:gridCol w:w="1560"/>
        <w:gridCol w:w="1555"/>
        <w:gridCol w:w="427"/>
        <w:gridCol w:w="715"/>
        <w:gridCol w:w="994"/>
        <w:gridCol w:w="1138"/>
      </w:tblGrid>
      <w:tr>
        <w:trPr>
          <w:trHeight w:val="1114"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投资成本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BFBFBF"/>
            <w:textDirection w:val="tbRlV"/>
            <w:vAlign w:val="bottom"/>
          </w:tcPr>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计提 减值 准备</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持股比 例（%）</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在被投资 单位表决 权比例 （%）</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17,955,000.00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17,955,000.00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17,955,000.00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深圳林洋电子科技能限公司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南通林洋电气有限公司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南京林洋电力科技有限公司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24,685,380.22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24,685,380.22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24,685,380.22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安徽永安电子科技有限公司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183,293,555.23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183,293,555.23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183,293,555.23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江苏林洋新能源科技有限公司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林洋澳洲新能源有限责任公司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6,223,400.00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6,223,400.00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6,223,400.00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江苏林洋照明科技有限公司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按权益法核算</w:t>
      </w:r>
    </w:p>
    <w:tbl>
      <w:tblPr>
        <w:tblOverlap w:val="never"/>
        <w:jc w:val="center"/>
        <w:tblLayout w:type="fixed"/>
      </w:tblPr>
      <w:tblGrid>
        <w:gridCol w:w="3394"/>
        <w:gridCol w:w="1560"/>
        <w:gridCol w:w="1560"/>
        <w:gridCol w:w="1416"/>
        <w:gridCol w:w="1421"/>
        <w:gridCol w:w="427"/>
        <w:gridCol w:w="677"/>
        <w:gridCol w:w="432"/>
        <w:gridCol w:w="950"/>
        <w:gridCol w:w="1142"/>
      </w:tblGrid>
      <w:tr>
        <w:trPr>
          <w:trHeight w:val="269" w:hRule="exact"/>
        </w:trPr>
        <w:tc>
          <w:tcPr>
            <w:gridSpan w:val="8"/>
            <w:tcBorders/>
            <w:shd w:val="clear" w:color="auto" w:fill="FFFFFF"/>
            <w:vAlign w:val="top"/>
          </w:tcPr>
          <w:p>
            <w:pPr>
              <w:pStyle w:val="Style26"/>
              <w:keepNext w:val="0"/>
              <w:keepLines w:val="0"/>
              <w:widowControl w:val="0"/>
              <w:shd w:val="clear" w:color="auto" w:fill="auto"/>
              <w:bidi w:val="0"/>
              <w:spacing w:before="0" w:after="0" w:line="240" w:lineRule="auto"/>
              <w:ind w:left="10800" w:right="0" w:firstLine="0"/>
              <w:jc w:val="lef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息位：元币</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1109"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BFBFBF"/>
            <w:textDirection w:val="tbRlV"/>
            <w:vAlign w:val="top"/>
          </w:tcPr>
          <w:p>
            <w:pPr>
              <w:pStyle w:val="Style50"/>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 计提 减值 准备</w:t>
            </w:r>
          </w:p>
        </w:tc>
        <w:tc>
          <w:tcPr>
            <w:tcBorders>
              <w:top w:val="single" w:sz="4"/>
              <w:left w:val="single" w:sz="4"/>
            </w:tcBorders>
            <w:shd w:val="clear" w:color="auto" w:fill="BFBFBF"/>
            <w:textDirection w:val="tbRlV"/>
            <w:vAlign w:val="top"/>
          </w:tcPr>
          <w:p>
            <w:pPr>
              <w:pStyle w:val="Style50"/>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现金红利</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持股比 例（%）</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在被投资 单位表决 权比例 （%）</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江苏华源仪器仪表有限公司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21,122,954.60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53,971,338.53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1,575,659.73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55,546,998.26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50.00</w:t>
            </w:r>
          </w:p>
        </w:tc>
      </w:tr>
    </w:tbl>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1.2013</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27</w:t>
      </w:r>
      <w:r>
        <w:rPr>
          <w:b w:val="0"/>
          <w:bCs w:val="0"/>
          <w:color w:val="000000"/>
          <w:spacing w:val="0"/>
          <w:w w:val="100"/>
          <w:position w:val="0"/>
        </w:rPr>
        <w:t>日，公司子公司深圳林洋在深圳市市场监督管理局办理了企业注销登记手续。</w:t>
      </w:r>
    </w:p>
    <w:p>
      <w:pPr>
        <w:widowControl w:val="0"/>
        <w:spacing w:after="79" w:line="1" w:lineRule="exact"/>
      </w:pPr>
    </w:p>
    <w:p>
      <w:pPr>
        <w:pStyle w:val="Style12"/>
        <w:keepNext w:val="0"/>
        <w:keepLines w:val="0"/>
        <w:widowControl w:val="0"/>
        <w:shd w:val="clear" w:color="auto" w:fill="auto"/>
        <w:bidi w:val="0"/>
        <w:spacing w:before="0" w:after="80" w:line="281" w:lineRule="exact"/>
        <w:ind w:left="0" w:right="0" w:firstLine="0"/>
        <w:jc w:val="left"/>
      </w:pPr>
      <w:r>
        <w:rPr>
          <w:rFonts w:ascii="Times New Roman" w:eastAsia="Times New Roman" w:hAnsi="Times New Roman" w:cs="Times New Roman"/>
          <w:color w:val="000000"/>
          <w:spacing w:val="0"/>
          <w:w w:val="100"/>
          <w:position w:val="0"/>
        </w:rPr>
        <w:t>2.2014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日，公司第二届董事会第九次会议审议通过《关于全资子公司</w:t>
      </w:r>
      <w:r>
        <w:rPr>
          <w:color w:val="000000"/>
          <w:spacing w:val="0"/>
          <w:w w:val="100"/>
          <w:position w:val="0"/>
        </w:rPr>
        <w:t>〈</w:t>
      </w:r>
      <w:r>
        <w:rPr>
          <w:color w:val="000000"/>
          <w:spacing w:val="0"/>
          <w:w w:val="100"/>
          <w:position w:val="0"/>
        </w:rPr>
        <w:t>江苏林洋照明科技有限公司</w:t>
      </w:r>
      <w:r>
        <w:rPr>
          <w:color w:val="000000"/>
          <w:spacing w:val="0"/>
          <w:w w:val="100"/>
          <w:position w:val="0"/>
        </w:rPr>
        <w:t>〉</w:t>
      </w:r>
      <w:r>
        <w:rPr>
          <w:color w:val="000000"/>
          <w:spacing w:val="0"/>
          <w:w w:val="100"/>
          <w:position w:val="0"/>
        </w:rPr>
        <w:t>增加注册资本的议案》，公司拟以 自有资金</w:t>
      </w:r>
      <w:r>
        <w:rPr>
          <w:rFonts w:ascii="Times New Roman" w:eastAsia="Times New Roman" w:hAnsi="Times New Roman" w:cs="Times New Roman"/>
          <w:color w:val="000000"/>
          <w:spacing w:val="0"/>
          <w:w w:val="100"/>
          <w:position w:val="0"/>
        </w:rPr>
        <w:t>5,500</w:t>
      </w:r>
      <w:r>
        <w:rPr>
          <w:color w:val="000000"/>
          <w:spacing w:val="0"/>
          <w:w w:val="100"/>
          <w:position w:val="0"/>
        </w:rPr>
        <w:t>万元对全资子公司江苏林洋照明科技有限公司进行增资，增加后的注册资本变更为</w:t>
      </w:r>
      <w:r>
        <w:rPr>
          <w:rFonts w:ascii="Times New Roman" w:eastAsia="Times New Roman" w:hAnsi="Times New Roman" w:cs="Times New Roman"/>
          <w:color w:val="000000"/>
          <w:spacing w:val="0"/>
          <w:w w:val="100"/>
          <w:position w:val="0"/>
        </w:rPr>
        <w:t>10,500</w:t>
      </w:r>
      <w:r>
        <w:rPr>
          <w:color w:val="000000"/>
          <w:spacing w:val="0"/>
          <w:w w:val="100"/>
          <w:position w:val="0"/>
        </w:rPr>
        <w:t>万元，至本报告披露日，已完成本次 增资的工商登记手续。</w:t>
      </w:r>
    </w:p>
    <w:p>
      <w:pPr>
        <w:pStyle w:val="Style12"/>
        <w:keepNext w:val="0"/>
        <w:keepLines w:val="0"/>
        <w:widowControl w:val="0"/>
        <w:shd w:val="clear" w:color="auto" w:fill="auto"/>
        <w:bidi w:val="0"/>
        <w:spacing w:before="0" w:after="80" w:line="278" w:lineRule="exact"/>
        <w:ind w:left="0" w:right="0" w:firstLine="0"/>
        <w:jc w:val="left"/>
        <w:sectPr>
          <w:headerReference w:type="default" r:id="rId55"/>
          <w:footerReference w:type="default" r:id="rId56"/>
          <w:footnotePr>
            <w:pos w:val="pageBottom"/>
            <w:numFmt w:val="decimal"/>
            <w:numRestart w:val="continuous"/>
          </w:footnotePr>
          <w:pgSz w:w="15840" w:h="12240" w:orient="landscape"/>
          <w:pgMar w:top="1066" w:right="1680" w:bottom="1095" w:left="99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3.2014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日，江苏华源召开股东大会审议通过了《关于对江苏华源仪器仪表有限公司增资的议案》，由股东江苏宁供集体资产运营中心 单方增资</w:t>
      </w:r>
      <w:r>
        <w:rPr>
          <w:rFonts w:ascii="Times New Roman" w:eastAsia="Times New Roman" w:hAnsi="Times New Roman" w:cs="Times New Roman"/>
          <w:color w:val="000000"/>
          <w:spacing w:val="0"/>
          <w:w w:val="100"/>
          <w:position w:val="0"/>
        </w:rPr>
        <w:t>55</w:t>
      </w:r>
      <w:r>
        <w:rPr>
          <w:color w:val="000000"/>
          <w:spacing w:val="0"/>
          <w:w w:val="100"/>
          <w:position w:val="0"/>
        </w:rPr>
        <w:t>万，林洋电子持股比例相应调整为</w:t>
      </w:r>
      <w:r>
        <w:rPr>
          <w:rFonts w:ascii="Times New Roman" w:eastAsia="Times New Roman" w:hAnsi="Times New Roman" w:cs="Times New Roman"/>
          <w:color w:val="000000"/>
          <w:spacing w:val="0"/>
          <w:w w:val="100"/>
          <w:position w:val="0"/>
        </w:rPr>
        <w:t>49%</w:t>
      </w:r>
      <w:r>
        <w:rPr>
          <w:color w:val="000000"/>
          <w:spacing w:val="0"/>
          <w:w w:val="100"/>
          <w:position w:val="0"/>
        </w:rPr>
        <w:t>。</w:t>
      </w:r>
    </w:p>
    <w:p>
      <w:pPr>
        <w:pStyle w:val="Style12"/>
        <w:keepNext w:val="0"/>
        <w:keepLines w:val="0"/>
        <w:widowControl w:val="0"/>
        <w:shd w:val="clear" w:color="auto" w:fill="auto"/>
        <w:bidi w:val="0"/>
        <w:spacing w:before="0" w:after="0" w:line="240" w:lineRule="auto"/>
        <w:ind w:left="0" w:right="0" w:firstLine="140"/>
        <w:jc w:val="left"/>
      </w:pPr>
      <w:bookmarkStart w:id="1010" w:name="bookmark1010"/>
      <w:r>
        <w:rPr>
          <w:rFonts w:ascii="Times New Roman" w:eastAsia="Times New Roman" w:hAnsi="Times New Roman" w:cs="Times New Roman"/>
          <w:b/>
          <w:bCs/>
          <w:color w:val="000000"/>
          <w:spacing w:val="0"/>
          <w:w w:val="100"/>
          <w:position w:val="0"/>
        </w:rPr>
        <w:t>（</w:t>
      </w:r>
      <w:bookmarkEnd w:id="1010"/>
      <w:r>
        <w:rPr>
          <w:b/>
          <w:bCs/>
          <w:color w:val="000000"/>
          <w:spacing w:val="0"/>
          <w:w w:val="100"/>
          <w:position w:val="0"/>
        </w:rPr>
        <w:t>四</w:t>
      </w:r>
      <w:r>
        <w:rPr>
          <w:b/>
          <w:bCs/>
          <w:color w:val="000000"/>
          <w:spacing w:val="0"/>
          <w:w w:val="100"/>
          <w:position w:val="0"/>
        </w:rPr>
        <w:t>）</w:t>
      </w:r>
      <w:r>
        <w:rPr>
          <w:b/>
          <w:bCs/>
          <w:color w:val="000000"/>
          <w:spacing w:val="0"/>
          <w:w w:val="100"/>
          <w:position w:val="0"/>
        </w:rPr>
        <w:t>营业收入和营业成本:</w:t>
      </w:r>
    </w:p>
    <w:p>
      <w:pPr>
        <w:pStyle w:val="Style1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、营业收入、营业成本</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1,899,722,076.98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1,860,332,632.60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25,102,621.69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12,372,663.64</w:t>
            </w:r>
          </w:p>
        </w:tc>
      </w:tr>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1,230,899,882.81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1,254,745,719.01</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r>
        <w:rPr>
          <w:color w:val="000000"/>
          <w:spacing w:val="0"/>
          <w:w w:val="100"/>
          <w:position w:val="0"/>
        </w:rPr>
        <w:t>、主营业务（分产品）</w:t>
      </w:r>
      <w:bookmarkEnd w:id="1011"/>
      <w:bookmarkEnd w:id="1012"/>
      <w:bookmarkEnd w:id="1013"/>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242"/>
        <w:gridCol w:w="1685"/>
        <w:gridCol w:w="1685"/>
        <w:gridCol w:w="1843"/>
        <w:gridCol w:w="1867"/>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产品名称</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电子式电能表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1,530,880,637.74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1,007,193,817.06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1,423,320,188.29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984,687,923.59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用电信息管理系统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303,264,941.34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156,684,301.83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343,953,239.87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186,094,403.87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系列产品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19,177,506.17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12,131,366.90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46,398,991.73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32,305,592.10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93,059,204.44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72,983,306.54</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1,899,722,076.98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1,208,315,077.89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1,860,332,632.60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1,243,765,634.00</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color w:val="000000"/>
          <w:spacing w:val="0"/>
          <w:w w:val="100"/>
          <w:position w:val="0"/>
        </w:rPr>
        <w:t>、主营业务（分地区）</w:t>
      </w:r>
      <w:bookmarkEnd w:id="1014"/>
      <w:bookmarkEnd w:id="1015"/>
      <w:bookmarkEnd w:id="1017"/>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242"/>
        <w:gridCol w:w="1685"/>
        <w:gridCol w:w="1685"/>
        <w:gridCol w:w="1843"/>
        <w:gridCol w:w="1867"/>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地区名称</w:t>
            </w:r>
          </w:p>
        </w:tc>
        <w:tc>
          <w:tcPr>
            <w:gridSpan w:val="2"/>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righ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境内地区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1,854,832,675.29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1,174,695,666.81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1,835,019,141.36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1,223,662,382.31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44,889,401.69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33,619,411.08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25,313,491.24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20,103,251.69</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1,899,722,076.98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1,208,315,077.89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1,860,332,632.60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1,243,765,634.00</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4</w:t>
      </w:r>
      <w:bookmarkEnd w:id="1020"/>
      <w:r>
        <w:rPr>
          <w:color w:val="000000"/>
          <w:spacing w:val="0"/>
          <w:w w:val="100"/>
          <w:position w:val="0"/>
        </w:rPr>
        <w:t>、公司前五名客户的营业收入情况</w:t>
      </w:r>
      <w:bookmarkEnd w:id="1018"/>
      <w:bookmarkEnd w:id="1019"/>
      <w:bookmarkEnd w:id="1021"/>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0"/>
        <w:gridCol w:w="3101"/>
        <w:gridCol w:w="3110"/>
      </w:tblGrid>
      <w:tr>
        <w:trPr>
          <w:trHeight w:val="571"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占公司全部营业收入的比例 （%）</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272,532,799.17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92,587,123.68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4.81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68,513,701.67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3.56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61,017,814.19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3.17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51,475,147.69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2.67</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546,126,586.40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w:t>
            </w:r>
          </w:p>
        </w:tc>
      </w:tr>
    </w:tbl>
    <w:p>
      <w:pPr>
        <w:widowControl w:val="0"/>
        <w:spacing w:after="239" w:line="1" w:lineRule="exact"/>
      </w:pPr>
    </w:p>
    <w:p>
      <w:pPr>
        <w:pStyle w:val="Style29"/>
        <w:keepNext/>
        <w:keepLines/>
        <w:widowControl w:val="0"/>
        <w:shd w:val="clear" w:color="auto" w:fill="auto"/>
        <w:bidi w:val="0"/>
        <w:spacing w:before="0" w:after="0" w:line="240" w:lineRule="auto"/>
        <w:ind w:left="0" w:right="0" w:firstLine="14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w:t>
      </w:r>
      <w:bookmarkEnd w:id="1024"/>
      <w:r>
        <w:rPr>
          <w:color w:val="000000"/>
          <w:spacing w:val="0"/>
          <w:w w:val="100"/>
          <w:position w:val="0"/>
        </w:rPr>
        <w:t>五</w:t>
      </w:r>
      <w:r>
        <w:rPr>
          <w:color w:val="000000"/>
          <w:spacing w:val="0"/>
          <w:w w:val="100"/>
          <w:position w:val="0"/>
        </w:rPr>
        <w:t>）</w:t>
      </w:r>
      <w:r>
        <w:rPr>
          <w:color w:val="000000"/>
          <w:spacing w:val="0"/>
          <w:w w:val="100"/>
          <w:position w:val="0"/>
        </w:rPr>
        <w:t>投资收益：</w:t>
      </w:r>
      <w:bookmarkEnd w:id="1022"/>
      <w:bookmarkEnd w:id="1023"/>
      <w:bookmarkEnd w:id="1025"/>
    </w:p>
    <w:p>
      <w:pPr>
        <w:pStyle w:val="Style29"/>
        <w:keepNext/>
        <w:keepLines/>
        <w:widowControl w:val="0"/>
        <w:shd w:val="clear" w:color="auto" w:fill="auto"/>
        <w:bidi w:val="0"/>
        <w:spacing w:before="0" w:after="0" w:line="240" w:lineRule="auto"/>
        <w:ind w:left="0" w:right="0" w:firstLine="140"/>
        <w:jc w:val="both"/>
      </w:pPr>
      <w:bookmarkStart w:id="1022" w:name="bookmark1022"/>
      <w:bookmarkStart w:id="1023" w:name="bookmark1023"/>
      <w:bookmarkStart w:id="1026" w:name="bookmark1026"/>
      <w:r>
        <w:rPr>
          <w:rFonts w:ascii="Times New Roman" w:eastAsia="Times New Roman" w:hAnsi="Times New Roman" w:cs="Times New Roman"/>
          <w:color w:val="000000"/>
          <w:spacing w:val="0"/>
          <w:w w:val="100"/>
          <w:position w:val="0"/>
        </w:rPr>
        <w:t>1</w:t>
      </w:r>
      <w:r>
        <w:rPr>
          <w:color w:val="000000"/>
          <w:spacing w:val="0"/>
          <w:w w:val="100"/>
          <w:position w:val="0"/>
        </w:rPr>
        <w:t>、 投资收益明细</w:t>
      </w:r>
      <w:bookmarkEnd w:id="1022"/>
      <w:bookmarkEnd w:id="1023"/>
      <w:bookmarkEnd w:id="1026"/>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5458"/>
        <w:gridCol w:w="1882"/>
        <w:gridCol w:w="1982"/>
      </w:tblGrid>
      <w:tr>
        <w:trPr>
          <w:trHeight w:val="298"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rPr>
              <w:t>本期发生额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3,981,725.68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1,575,659.73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4,133,350.32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-12,594,041.33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11,050,484.95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32,103.35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8,115,076.00</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武汉奥统电气有限公司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3,981,725.68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上年分配现金股利</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3,981,725.68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color w:val="000000"/>
          <w:spacing w:val="0"/>
          <w:w w:val="100"/>
          <w:position w:val="0"/>
        </w:rPr>
        <w:t>、按权益法核算的长期股权投资收益</w:t>
      </w:r>
      <w:bookmarkEnd w:id="1027"/>
      <w:bookmarkEnd w:id="1028"/>
      <w:bookmarkEnd w:id="1030"/>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851"/>
        <w:gridCol w:w="1843"/>
        <w:gridCol w:w="1704"/>
        <w:gridCol w:w="2923"/>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本期比上期增减变动的原因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江苏华源仪器仪表有限公司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1,575,659.73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4,133,350.32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本年合营公司盈利减少</w:t>
            </w:r>
          </w:p>
        </w:tc>
      </w:tr>
      <w:tr>
        <w:trPr>
          <w:trHeight w:val="298"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1,575,659.73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4,133,350.32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29"/>
        <w:keepNext/>
        <w:keepLines/>
        <w:widowControl w:val="0"/>
        <w:shd w:val="clear" w:color="auto" w:fill="auto"/>
        <w:bidi w:val="0"/>
        <w:spacing w:before="0" w:line="240" w:lineRule="auto"/>
        <w:ind w:left="0" w:right="0" w:firstLine="14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w:t>
      </w:r>
      <w:bookmarkEnd w:id="1033"/>
      <w:r>
        <w:rPr>
          <w:color w:val="000000"/>
          <w:spacing w:val="0"/>
          <w:w w:val="100"/>
          <w:position w:val="0"/>
        </w:rPr>
        <w:t>六</w:t>
      </w:r>
      <w:r>
        <w:rPr>
          <w:color w:val="000000"/>
          <w:spacing w:val="0"/>
          <w:w w:val="100"/>
          <w:position w:val="0"/>
        </w:rPr>
        <w:t>）</w:t>
      </w:r>
      <w:r>
        <w:rPr>
          <w:color w:val="000000"/>
          <w:spacing w:val="0"/>
          <w:w w:val="100"/>
          <w:position w:val="0"/>
        </w:rPr>
        <w:t>现金流量表补充资料：</w:t>
      </w:r>
      <w:bookmarkEnd w:id="1031"/>
      <w:bookmarkEnd w:id="1032"/>
      <w:bookmarkEnd w:id="1034"/>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565"/>
        <w:gridCol w:w="2371"/>
        <w:gridCol w:w="2386"/>
      </w:tblGrid>
      <w:tr>
        <w:trPr>
          <w:trHeight w:val="29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351,300,615.17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290,801,268.98</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13,764,244.29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23,877,632.16</w:t>
            </w:r>
          </w:p>
        </w:tc>
      </w:tr>
      <w:tr>
        <w:trPr>
          <w:trHeight w:val="557"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27,253,698.71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31,048,739.43</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869,559.25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560,218.83</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1,597,252.77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353,881.72</w:t>
            </w:r>
          </w:p>
        </w:tc>
      </w:tr>
      <w:tr>
        <w:trPr>
          <w:trHeight w:val="562"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184,409.86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677,797.14</w:t>
            </w:r>
          </w:p>
        </w:tc>
      </w:tr>
      <w:tr>
        <w:trPr>
          <w:trHeight w:val="28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-11,628.46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54,534.35</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-32,103.35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-8,115,076.00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-710,517.50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-3,558,814.40</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101,871,310.25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-86,794,776.20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21,303,149.96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-218,000,633.30</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-213,305,522.07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176,452,055.47</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6,999,900.00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4,230,600.00</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311,084,368.88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211,587,428.18</w:t>
            </w: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1,145,210,659.42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978,138,237.03</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978,138,237.03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1,199,746,190.87</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BFBFB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167,072,422.39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-221,607,953.84</w:t>
            </w:r>
          </w:p>
        </w:tc>
      </w:tr>
    </w:tbl>
    <w:p>
      <w:pPr>
        <w:spacing w:lineRule="exact" w:line="1"/>
        <w:rPr>
          <w:sz w:val="2"/>
          <w:szCs w:val="2"/>
        </w:rPr>
      </w:pPr>
      <w:r>
        <w:br w:type="page"/>
      </w:r>
    </w:p>
    <w:p>
      <w:pPr>
        <w:pStyle w:val="Style1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十五、补充资料</w:t>
      </w:r>
    </w:p>
    <w:p>
      <w:pPr>
        <w:pStyle w:val="Style1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当期非经常性损益明细表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838"/>
        <w:gridCol w:w="1416"/>
        <w:gridCol w:w="1560"/>
        <w:gridCol w:w="1507"/>
      </w:tblGrid>
      <w:tr>
        <w:trPr>
          <w:trHeight w:val="298"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283"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-186,785.78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5,038,419.55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-1,446,983.47</w:t>
            </w:r>
          </w:p>
        </w:tc>
      </w:tr>
      <w:tr>
        <w:trPr>
          <w:trHeight w:val="835"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计入当期损益的政府补助，但与公司正常经营业务 密切相关，符合国家政策规定、按照一定标准定额 或定量持续享受的政府补助除外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4,497,256.88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27,152,260.96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32,300,221.31</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-605,014.46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2,143,410.73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-565,941.79</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-146,073.38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-541,468.50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-658,889.61</w:t>
            </w:r>
          </w:p>
        </w:tc>
      </w:tr>
      <w:tr>
        <w:trPr>
          <w:trHeight w:val="288" w:hRule="exact"/>
        </w:trPr>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-695,975.95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-4,941,644.07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-6,638,923.46</w:t>
            </w:r>
          </w:p>
        </w:tc>
      </w:tr>
      <w:tr>
        <w:trPr>
          <w:trHeight w:val="298" w:hRule="exact"/>
        </w:trPr>
        <w:tc>
          <w:tcPr>
            <w:tcBorders>
              <w:top w:val="single" w:sz="4"/>
              <w:left w:val="single" w:sz="4"/>
              <w:bottom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2,863,407.31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28,850,978.67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22,989,482.98</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p>
    <w:tbl>
      <w:tblPr>
        <w:tblOverlap w:val="never"/>
        <w:jc w:val="center"/>
        <w:tblLayout w:type="fixed"/>
      </w:tblPr>
      <w:tblGrid>
        <w:gridCol w:w="4982"/>
        <w:gridCol w:w="1272"/>
        <w:gridCol w:w="1560"/>
        <w:gridCol w:w="1507"/>
      </w:tblGrid>
      <w:tr>
        <w:trPr>
          <w:trHeight w:val="293" w:hRule="exact"/>
        </w:trPr>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力椒平均净资 产收益率（%）</w:t>
            </w:r>
          </w:p>
        </w:tc>
        <w:tc>
          <w:tcPr>
            <w:gridSpan w:val="2"/>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8"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278"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三</w:t>
      </w:r>
      <w:r>
        <w:rPr>
          <w:b w:val="0"/>
          <w:bCs w:val="0"/>
          <w:color w:val="000000"/>
          <w:spacing w:val="0"/>
          <w:w w:val="100"/>
          <w:position w:val="0"/>
        </w:rPr>
        <w:t>）</w:t>
      </w:r>
      <w:r>
        <w:rPr>
          <w:b w:val="0"/>
          <w:bCs w:val="0"/>
          <w:color w:val="000000"/>
          <w:spacing w:val="0"/>
          <w:w w:val="100"/>
          <w:position w:val="0"/>
        </w:rPr>
        <w:t>公司主要会计报表项目的异常情况及原因的说明</w:t>
      </w:r>
    </w:p>
    <w:tbl>
      <w:tblPr>
        <w:tblOverlap w:val="never"/>
        <w:jc w:val="center"/>
        <w:tblLayout w:type="fixed"/>
      </w:tblPr>
      <w:tblGrid>
        <w:gridCol w:w="1570"/>
        <w:gridCol w:w="1752"/>
        <w:gridCol w:w="1810"/>
        <w:gridCol w:w="1142"/>
        <w:gridCol w:w="3322"/>
      </w:tblGrid>
      <w:tr>
        <w:trPr>
          <w:trHeight w:val="562"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报表项目</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期末余额 （或本期金额）</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年初余额 （或上期金额）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变动比率</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15,130,720.74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w:t>
            </w:r>
            <w:r>
              <w:rPr>
                <w:rFonts w:ascii="Times New Roman" w:eastAsia="Times New Roman" w:hAnsi="Times New Roman" w:cs="Times New Roman"/>
                <w:color w:val="000000"/>
                <w:spacing w:val="0"/>
                <w:w w:val="100"/>
                <w:position w:val="0"/>
              </w:rPr>
              <w:t>2MW</w:t>
            </w:r>
            <w:r>
              <w:rPr>
                <w:color w:val="000000"/>
                <w:spacing w:val="0"/>
                <w:w w:val="100"/>
                <w:position w:val="0"/>
              </w:rPr>
              <w:t>光伏发电站结转固定资产所致</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10,933,596.88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2,767,880.73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主要房屋装修所致</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96,504,333.01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65,636,191.09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主要为用银行承兑汇票支付</w:t>
            </w:r>
            <w:r>
              <w:rPr>
                <w:rFonts w:ascii="Times New Roman" w:eastAsia="Times New Roman" w:hAnsi="Times New Roman" w:cs="Times New Roman"/>
                <w:color w:val="000000"/>
                <w:spacing w:val="0"/>
                <w:w w:val="100"/>
                <w:position w:val="0"/>
              </w:rPr>
              <w:t>On</w:t>
            </w:r>
            <w:r>
              <w:rPr>
                <w:color w:val="000000"/>
                <w:spacing w:val="0"/>
                <w:w w:val="100"/>
                <w:position w:val="0"/>
              </w:rPr>
              <w:t>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329,182,263.06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488,964,115.15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主要为采购材料减少所致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58,328,074.00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189,726,395.22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主要为预收货款减少所致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16,961,426.69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5,766,953.57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194.11%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主要为收金灿示范工程补贴款所致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14,300,071.95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25,888,430.63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主要为本期货款回收较好所致</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6,422,457.71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30,519,103.12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主要为上年有收到上市奖励所致</w:t>
            </w:r>
          </w:p>
        </w:tc>
      </w:tr>
    </w:tbl>
    <w:p>
      <w:pPr>
        <w:sectPr>
          <w:headerReference w:type="default" r:id="rId57"/>
          <w:footerReference w:type="default" r:id="rId58"/>
          <w:footnotePr>
            <w:pos w:val="pageBottom"/>
            <w:numFmt w:val="decimal"/>
            <w:numRestart w:val="continuous"/>
          </w:footnotePr>
          <w:pgSz w:w="12240" w:h="15840"/>
          <w:pgMar w:top="1066" w:right="1501" w:bottom="1772" w:left="1144" w:header="0" w:footer="3" w:gutter="0"/>
          <w:cols w:space="720"/>
          <w:noEndnote/>
          <w:rtlGutter w:val="0"/>
          <w:docGrid w:linePitch="360"/>
        </w:sectPr>
      </w:pPr>
    </w:p>
    <w:p>
      <w:pPr>
        <w:pStyle w:val="Style21"/>
        <w:keepNext/>
        <w:keepLines/>
        <w:widowControl w:val="0"/>
        <w:shd w:val="clear" w:color="auto" w:fill="auto"/>
        <w:bidi w:val="0"/>
        <w:spacing w:before="0" w:after="820" w:line="240" w:lineRule="auto"/>
        <w:ind w:left="0" w:right="0" w:firstLine="0"/>
        <w:jc w:val="center"/>
      </w:pPr>
      <w:bookmarkStart w:id="1035" w:name="bookmark1035"/>
      <w:bookmarkStart w:id="1036" w:name="bookmark1036"/>
      <w:bookmarkStart w:id="1037" w:name="bookmark1037"/>
      <w:r>
        <w:rPr>
          <w:color w:val="000000"/>
          <w:spacing w:val="0"/>
          <w:w w:val="100"/>
          <w:position w:val="0"/>
        </w:rPr>
        <w:t>第十一节 备查文件目录</w:t>
      </w:r>
      <w:bookmarkEnd w:id="1035"/>
      <w:bookmarkEnd w:id="1036"/>
      <w:bookmarkEnd w:id="1037"/>
    </w:p>
    <w:p>
      <w:pPr>
        <w:pStyle w:val="Style12"/>
        <w:keepNext w:val="0"/>
        <w:keepLines w:val="0"/>
        <w:widowControl w:val="0"/>
        <w:shd w:val="clear" w:color="auto" w:fill="auto"/>
        <w:tabs>
          <w:tab w:pos="811" w:val="left"/>
        </w:tabs>
        <w:bidi w:val="0"/>
        <w:spacing w:before="0" w:after="240" w:line="240" w:lineRule="auto"/>
        <w:ind w:left="0" w:right="0" w:firstLine="280"/>
        <w:jc w:val="left"/>
      </w:pPr>
      <w:bookmarkStart w:id="1038" w:name="bookmark1038"/>
      <w:r>
        <w:rPr>
          <w:rFonts w:ascii="Times New Roman" w:eastAsia="Times New Roman" w:hAnsi="Times New Roman" w:cs="Times New Roman"/>
          <w:b/>
          <w:bCs/>
          <w:color w:val="000000"/>
          <w:spacing w:val="0"/>
          <w:w w:val="100"/>
          <w:position w:val="0"/>
        </w:rPr>
        <w:t>（</w:t>
      </w:r>
      <w:bookmarkEnd w:id="1038"/>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载有法定代表人、主管会计工作负责人、会计机构负责人签名并盖章的会计报表</w:t>
      </w:r>
    </w:p>
    <w:p>
      <w:pPr>
        <w:pStyle w:val="Style12"/>
        <w:keepNext w:val="0"/>
        <w:keepLines w:val="0"/>
        <w:widowControl w:val="0"/>
        <w:shd w:val="clear" w:color="auto" w:fill="auto"/>
        <w:tabs>
          <w:tab w:pos="811" w:val="left"/>
        </w:tabs>
        <w:bidi w:val="0"/>
        <w:spacing w:before="0" w:after="240" w:line="240" w:lineRule="auto"/>
        <w:ind w:left="0" w:right="0" w:firstLine="280"/>
        <w:jc w:val="left"/>
      </w:pPr>
      <w:bookmarkStart w:id="1039" w:name="bookmark1039"/>
      <w:r>
        <w:rPr>
          <w:rFonts w:ascii="Times New Roman" w:eastAsia="Times New Roman" w:hAnsi="Times New Roman" w:cs="Times New Roman"/>
          <w:b/>
          <w:bCs/>
          <w:color w:val="000000"/>
          <w:spacing w:val="0"/>
          <w:w w:val="100"/>
          <w:position w:val="0"/>
        </w:rPr>
        <w:t>（</w:t>
      </w:r>
      <w:bookmarkEnd w:id="1039"/>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载有会计师事务所盖章、注册会计师签名并盖章的审计报告原件</w:t>
      </w:r>
    </w:p>
    <w:p>
      <w:pPr>
        <w:pStyle w:val="Style12"/>
        <w:keepNext w:val="0"/>
        <w:keepLines w:val="0"/>
        <w:widowControl w:val="0"/>
        <w:shd w:val="clear" w:color="auto" w:fill="auto"/>
        <w:tabs>
          <w:tab w:pos="811" w:val="left"/>
        </w:tabs>
        <w:bidi w:val="0"/>
        <w:spacing w:before="0" w:after="2520" w:line="240" w:lineRule="auto"/>
        <w:ind w:left="0" w:right="0" w:firstLine="280"/>
        <w:jc w:val="left"/>
      </w:pPr>
      <w:bookmarkStart w:id="1040" w:name="bookmark1040"/>
      <w:r>
        <w:rPr>
          <w:rFonts w:ascii="Times New Roman" w:eastAsia="Times New Roman" w:hAnsi="Times New Roman" w:cs="Times New Roman"/>
          <w:b/>
          <w:bCs/>
          <w:color w:val="000000"/>
          <w:spacing w:val="0"/>
          <w:w w:val="100"/>
          <w:position w:val="0"/>
        </w:rPr>
        <w:t>（</w:t>
      </w:r>
      <w:bookmarkEnd w:id="1040"/>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报告期内在中国证监会指定报纸上公开披露过的所有公司文件的正本及公告的原稿</w:t>
      </w:r>
    </w:p>
    <w:p>
      <w:pPr>
        <w:pStyle w:val="Style12"/>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董事长：陆永华</w:t>
      </w:r>
    </w:p>
    <w:p>
      <w:pPr>
        <w:pStyle w:val="Style12"/>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江苏林洋电子股份有限公司</w:t>
      </w:r>
    </w:p>
    <w:p>
      <w:pPr>
        <w:pStyle w:val="Style53"/>
        <w:keepNext w:val="0"/>
        <w:keepLines w:val="0"/>
        <w:widowControl w:val="0"/>
        <w:shd w:val="clear" w:color="auto" w:fill="auto"/>
        <w:bidi w:val="0"/>
        <w:spacing w:before="0" w:after="240" w:line="240" w:lineRule="auto"/>
        <w:ind w:left="0" w:right="28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sectPr>
      <w:footnotePr>
        <w:pos w:val="pageBottom"/>
        <w:numFmt w:val="decimal"/>
        <w:numRestart w:val="continuous"/>
      </w:footnotePr>
      <w:pgSz w:w="12240" w:h="15840"/>
      <w:pgMar w:top="1363" w:right="1502" w:bottom="1363" w:left="114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6415405</wp:posOffset>
              </wp:positionH>
              <wp:positionV relativeFrom="page">
                <wp:posOffset>9571355</wp:posOffset>
              </wp:positionV>
              <wp:extent cx="42545" cy="79375"/>
              <wp:wrapNone/>
              <wp:docPr id="5" name="Shape 5"/>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05.15000000000003pt;margin-top:753.64999999999998pt;width:3.3500000000000001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8808720</wp:posOffset>
              </wp:positionH>
              <wp:positionV relativeFrom="page">
                <wp:posOffset>7077710</wp:posOffset>
              </wp:positionV>
              <wp:extent cx="106680" cy="79375"/>
              <wp:wrapNone/>
              <wp:docPr id="57" name="Shape 5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693.60000000000002pt;margin-top:557.30000000000007pt;width:8.4000000000000004pt;height:6.25pt;z-index:-18874402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6523355</wp:posOffset>
              </wp:positionH>
              <wp:positionV relativeFrom="page">
                <wp:posOffset>9391650</wp:posOffset>
              </wp:positionV>
              <wp:extent cx="94615" cy="79375"/>
              <wp:wrapNone/>
              <wp:docPr id="78" name="Shape 7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13.64999999999998pt;margin-top:739.5pt;width:7.4500000000000002pt;height:6.25pt;z-index:-18874401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8808720</wp:posOffset>
              </wp:positionH>
              <wp:positionV relativeFrom="page">
                <wp:posOffset>7077710</wp:posOffset>
              </wp:positionV>
              <wp:extent cx="106680" cy="79375"/>
              <wp:wrapNone/>
              <wp:docPr id="83" name="Shape 8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693.60000000000002pt;margin-top:557.30000000000007pt;width:8.4000000000000004pt;height:6.25pt;z-index:-18874401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6523355</wp:posOffset>
              </wp:positionH>
              <wp:positionV relativeFrom="page">
                <wp:posOffset>9391650</wp:posOffset>
              </wp:positionV>
              <wp:extent cx="94615" cy="79375"/>
              <wp:wrapNone/>
              <wp:docPr id="88" name="Shape 8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13.64999999999998pt;margin-top:739.5pt;width:7.4500000000000002pt;height:6.25pt;z-index:-18874401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8841105</wp:posOffset>
              </wp:positionH>
              <wp:positionV relativeFrom="page">
                <wp:posOffset>7077710</wp:posOffset>
              </wp:positionV>
              <wp:extent cx="103505" cy="79375"/>
              <wp:wrapNone/>
              <wp:docPr id="101" name="Shape 10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696.14999999999998pt;margin-top:557.30000000000007pt;width:8.1500000000000004pt;height:6.25pt;z-index:-18874400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6523355</wp:posOffset>
              </wp:positionH>
              <wp:positionV relativeFrom="page">
                <wp:posOffset>9391650</wp:posOffset>
              </wp:positionV>
              <wp:extent cx="94615" cy="79375"/>
              <wp:wrapNone/>
              <wp:docPr id="106" name="Shape 10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513.64999999999998pt;margin-top:739.5pt;width:7.4500000000000002pt;height:6.25pt;z-index:-18874400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8902700</wp:posOffset>
              </wp:positionH>
              <wp:positionV relativeFrom="page">
                <wp:posOffset>7077710</wp:posOffset>
              </wp:positionV>
              <wp:extent cx="103505" cy="79375"/>
              <wp:wrapNone/>
              <wp:docPr id="111" name="Shape 1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701.pt;margin-top:557.30000000000007pt;width:8.1500000000000004pt;height:6.25pt;z-index:-18874399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6523355</wp:posOffset>
              </wp:positionH>
              <wp:positionV relativeFrom="page">
                <wp:posOffset>9391650</wp:posOffset>
              </wp:positionV>
              <wp:extent cx="94615" cy="79375"/>
              <wp:wrapNone/>
              <wp:docPr id="118" name="Shape 11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13.64999999999998pt;margin-top:739.5pt;width:7.4500000000000002pt;height:6.25pt;z-index:-18874399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8817610</wp:posOffset>
              </wp:positionH>
              <wp:positionV relativeFrom="page">
                <wp:posOffset>7077710</wp:posOffset>
              </wp:positionV>
              <wp:extent cx="152400" cy="79375"/>
              <wp:wrapNone/>
              <wp:docPr id="123" name="Shape 12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694.30000000000007pt;margin-top:557.30000000000007pt;width:12.pt;height:6.25pt;z-index:-18874399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6523355</wp:posOffset>
              </wp:positionH>
              <wp:positionV relativeFrom="page">
                <wp:posOffset>9391650</wp:posOffset>
              </wp:positionV>
              <wp:extent cx="94615" cy="79375"/>
              <wp:wrapNone/>
              <wp:docPr id="128" name="Shape 1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513.64999999999998pt;margin-top:739.5pt;width:7.4500000000000002pt;height:6.25pt;z-index:-18874398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6518910</wp:posOffset>
              </wp:positionH>
              <wp:positionV relativeFrom="page">
                <wp:posOffset>9364980</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13.29999999999995pt;margin-top:737.3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8823960</wp:posOffset>
              </wp:positionH>
              <wp:positionV relativeFrom="page">
                <wp:posOffset>7077710</wp:posOffset>
              </wp:positionV>
              <wp:extent cx="149225" cy="79375"/>
              <wp:wrapNone/>
              <wp:docPr id="133" name="Shape 13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694.80000000000007pt;margin-top:557.30000000000007pt;width:11.75pt;height:6.25pt;z-index:-18874398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6523355</wp:posOffset>
              </wp:positionH>
              <wp:positionV relativeFrom="page">
                <wp:posOffset>9391650</wp:posOffset>
              </wp:positionV>
              <wp:extent cx="94615" cy="79375"/>
              <wp:wrapNone/>
              <wp:docPr id="138" name="Shape 13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13.64999999999998pt;margin-top:739.5pt;width:7.4500000000000002pt;height:6.25pt;z-index:-18874397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8814435</wp:posOffset>
              </wp:positionH>
              <wp:positionV relativeFrom="page">
                <wp:posOffset>7097395</wp:posOffset>
              </wp:positionV>
              <wp:extent cx="97790" cy="79375"/>
              <wp:wrapNone/>
              <wp:docPr id="18" name="Shape 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694.05000000000007pt;margin-top:558.8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6523355</wp:posOffset>
              </wp:positionH>
              <wp:positionV relativeFrom="page">
                <wp:posOffset>9391650</wp:posOffset>
              </wp:positionV>
              <wp:extent cx="94615" cy="79375"/>
              <wp:wrapNone/>
              <wp:docPr id="23" name="Shape 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13.64999999999998pt;margin-top:739.5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6518910</wp:posOffset>
              </wp:positionH>
              <wp:positionV relativeFrom="page">
                <wp:posOffset>9364980</wp:posOffset>
              </wp:positionV>
              <wp:extent cx="97790" cy="79375"/>
              <wp:wrapNone/>
              <wp:docPr id="28" name="Shape 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13.29999999999995pt;margin-top:737.39999999999998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6523355</wp:posOffset>
              </wp:positionH>
              <wp:positionV relativeFrom="page">
                <wp:posOffset>9391650</wp:posOffset>
              </wp:positionV>
              <wp:extent cx="94615" cy="79375"/>
              <wp:wrapNone/>
              <wp:docPr id="33" name="Shape 3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13.64999999999998pt;margin-top:739.5pt;width:7.4500000000000002pt;height:6.25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6516370</wp:posOffset>
              </wp:positionH>
              <wp:positionV relativeFrom="page">
                <wp:posOffset>9363710</wp:posOffset>
              </wp:positionV>
              <wp:extent cx="109855" cy="79375"/>
              <wp:wrapNone/>
              <wp:docPr id="41" name="Shape 4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13.10000000000002pt;margin-top:737.30000000000007pt;width:8.6500000000000004pt;height:6.25pt;z-index:-1887440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8808720</wp:posOffset>
              </wp:positionH>
              <wp:positionV relativeFrom="page">
                <wp:posOffset>7097395</wp:posOffset>
              </wp:positionV>
              <wp:extent cx="113030" cy="79375"/>
              <wp:wrapNone/>
              <wp:docPr id="46" name="Shape 4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693.60000000000002pt;margin-top:558.85000000000002pt;width:8.9000000000000004pt;height:6.25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6523355</wp:posOffset>
              </wp:positionH>
              <wp:positionV relativeFrom="page">
                <wp:posOffset>9391650</wp:posOffset>
              </wp:positionV>
              <wp:extent cx="94615" cy="79375"/>
              <wp:wrapNone/>
              <wp:docPr id="52" name="Shape 5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13.64999999999998pt;margin-top:739.5pt;width:7.4500000000000002pt;height:6.25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1215390</wp:posOffset>
              </wp:positionH>
              <wp:positionV relativeFrom="page">
                <wp:posOffset>269240</wp:posOffset>
              </wp:positionV>
              <wp:extent cx="5132705" cy="146050"/>
              <wp:wrapNone/>
              <wp:docPr id="2" name="Shape 2"/>
              <a:graphic xmlns:a="http://schemas.openxmlformats.org/drawingml/2006/main">
                <a:graphicData uri="http://schemas.microsoft.com/office/word/2010/wordprocessingShape">
                  <wps:wsp>
                    <wps:cNvSpPr txBox="1"/>
                    <wps:spPr>
                      <a:xfrm>
                        <a:ext cx="5132705" cy="146050"/>
                      </a:xfrm>
                      <a:prstGeom prst="rect"/>
                      <a:noFill/>
                    </wps:spPr>
                    <wps:txbx>
                      <w:txbxContent>
                        <w:p>
                          <w:pPr>
                            <w:pStyle w:val="Style7"/>
                            <w:keepNext w:val="0"/>
                            <w:keepLines w:val="0"/>
                            <w:widowControl w:val="0"/>
                            <w:shd w:val="clear" w:color="auto" w:fill="auto"/>
                            <w:tabs>
                              <w:tab w:pos="8083" w:val="right"/>
                            </w:tabs>
                            <w:bidi w:val="0"/>
                            <w:spacing w:before="0" w:after="0" w:line="240" w:lineRule="auto"/>
                            <w:ind w:left="0" w:right="0" w:firstLine="0"/>
                            <w:jc w:val="left"/>
                            <w:rPr>
                              <w:sz w:val="15"/>
                              <w:szCs w:val="15"/>
                            </w:rPr>
                          </w:pPr>
                          <w:r>
                            <w:rPr>
                              <w:color w:val="0826F0"/>
                              <w:spacing w:val="0"/>
                              <w:w w:val="100"/>
                              <w:position w:val="0"/>
                              <w:sz w:val="18"/>
                              <w:szCs w:val="18"/>
                            </w:rPr>
                            <w:t xml:space="preserve">O </w:t>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95.700000000000003pt;margin-top:21.199999999999999pt;width:404.15000000000003pt;height:11.5pt;z-index:-18874406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8083" w:val="right"/>
                      </w:tabs>
                      <w:bidi w:val="0"/>
                      <w:spacing w:before="0" w:after="0" w:line="240" w:lineRule="auto"/>
                      <w:ind w:left="0" w:right="0" w:firstLine="0"/>
                      <w:jc w:val="left"/>
                      <w:rPr>
                        <w:sz w:val="15"/>
                        <w:szCs w:val="15"/>
                      </w:rPr>
                    </w:pPr>
                    <w:r>
                      <w:rPr>
                        <w:color w:val="0826F0"/>
                        <w:spacing w:val="0"/>
                        <w:w w:val="100"/>
                        <w:position w:val="0"/>
                        <w:sz w:val="18"/>
                        <w:szCs w:val="18"/>
                      </w:rPr>
                      <w:t xml:space="preserve">O </w:t>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1169670</wp:posOffset>
              </wp:positionH>
              <wp:positionV relativeFrom="page">
                <wp:posOffset>454660</wp:posOffset>
              </wp:positionV>
              <wp:extent cx="5315585" cy="0"/>
              <wp:wrapNone/>
              <wp:docPr id="4" name="Shape 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2.100000000000009pt;margin-top:35.800000000000004pt;width:41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694690</wp:posOffset>
              </wp:positionH>
              <wp:positionV relativeFrom="page">
                <wp:posOffset>438785</wp:posOffset>
              </wp:positionV>
              <wp:extent cx="8077200" cy="146050"/>
              <wp:wrapNone/>
              <wp:docPr id="54" name="Shape 54"/>
              <a:graphic xmlns:a="http://schemas.openxmlformats.org/drawingml/2006/main">
                <a:graphicData uri="http://schemas.microsoft.com/office/word/2010/wordprocessingShape">
                  <wps:wsp>
                    <wps:cNvSpPr txBox="1"/>
                    <wps:spPr>
                      <a:xfrm>
                        <a:ext cx="8077200" cy="146050"/>
                      </a:xfrm>
                      <a:prstGeom prst="rect"/>
                      <a:noFill/>
                    </wps:spPr>
                    <wps:txbx>
                      <w:txbxContent>
                        <w:p>
                          <w:pPr>
                            <w:pStyle w:val="Style70"/>
                            <w:keepNext w:val="0"/>
                            <w:keepLines w:val="0"/>
                            <w:widowControl w:val="0"/>
                            <w:shd w:val="clear" w:color="auto" w:fill="auto"/>
                            <w:tabs>
                              <w:tab w:pos="12720"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080" type="#_x0000_t202" style="position:absolute;margin-left:54.700000000000003pt;margin-top:34.550000000000004pt;width:636.pt;height:11.5pt;z-index:-18874402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2720"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622935</wp:posOffset>
              </wp:positionV>
              <wp:extent cx="8284210" cy="0"/>
              <wp:wrapNone/>
              <wp:docPr id="56" name="Shape 56"/>
              <a:graphic xmlns:a="http://schemas.openxmlformats.org/drawingml/2006/main">
                <a:graphicData uri="http://schemas.microsoft.com/office/word/2010/wordprocessingShape">
                  <wps:wsp>
                    <wps:cNvCnPr/>
                    <wps:spPr>
                      <a:xfrm>
                        <a:ext cx="8284210" cy="0"/>
                      </a:xfrm>
                      <a:prstGeom prst="straightConnector1"/>
                      <a:ln w="12700">
                        <a:solidFill/>
                      </a:ln>
                    </wps:spPr>
                    <wps:bodyPr/>
                  </wps:wsp>
                </a:graphicData>
              </a:graphic>
            </wp:anchor>
          </w:drawing>
        </mc:Choice>
        <mc:Fallback>
          <w:pict>
            <v:shape o:spt="32" o:oned="true" path="m,l21600,21600e" style="position:absolute;margin-left:51.350000000000001pt;margin-top:49.050000000000004pt;width:652.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935990</wp:posOffset>
              </wp:positionH>
              <wp:positionV relativeFrom="page">
                <wp:posOffset>407035</wp:posOffset>
              </wp:positionV>
              <wp:extent cx="5416550" cy="146050"/>
              <wp:wrapNone/>
              <wp:docPr id="75" name="Shape 75"/>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101" type="#_x0000_t202" style="position:absolute;margin-left:73.700000000000003pt;margin-top:32.049999999999997pt;width:426.5pt;height:11.5pt;z-index:-18874402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77" name="Shape 77"/>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694690</wp:posOffset>
              </wp:positionH>
              <wp:positionV relativeFrom="page">
                <wp:posOffset>438785</wp:posOffset>
              </wp:positionV>
              <wp:extent cx="8077200" cy="146050"/>
              <wp:wrapNone/>
              <wp:docPr id="80" name="Shape 80"/>
              <a:graphic xmlns:a="http://schemas.openxmlformats.org/drawingml/2006/main">
                <a:graphicData uri="http://schemas.microsoft.com/office/word/2010/wordprocessingShape">
                  <wps:wsp>
                    <wps:cNvSpPr txBox="1"/>
                    <wps:spPr>
                      <a:xfrm>
                        <a:ext cx="8077200" cy="146050"/>
                      </a:xfrm>
                      <a:prstGeom prst="rect"/>
                      <a:noFill/>
                    </wps:spPr>
                    <wps:txbx>
                      <w:txbxContent>
                        <w:p>
                          <w:pPr>
                            <w:pStyle w:val="Style70"/>
                            <w:keepNext w:val="0"/>
                            <w:keepLines w:val="0"/>
                            <w:widowControl w:val="0"/>
                            <w:shd w:val="clear" w:color="auto" w:fill="auto"/>
                            <w:tabs>
                              <w:tab w:pos="12720"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106" type="#_x0000_t202" style="position:absolute;margin-left:54.700000000000003pt;margin-top:34.550000000000004pt;width:636.pt;height:11.5pt;z-index:-188744017;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2720"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622935</wp:posOffset>
              </wp:positionV>
              <wp:extent cx="8284210" cy="0"/>
              <wp:wrapNone/>
              <wp:docPr id="82" name="Shape 82"/>
              <a:graphic xmlns:a="http://schemas.openxmlformats.org/drawingml/2006/main">
                <a:graphicData uri="http://schemas.microsoft.com/office/word/2010/wordprocessingShape">
                  <wps:wsp>
                    <wps:cNvCnPr/>
                    <wps:spPr>
                      <a:xfrm>
                        <a:ext cx="8284210" cy="0"/>
                      </a:xfrm>
                      <a:prstGeom prst="straightConnector1"/>
                      <a:ln w="12700">
                        <a:solidFill/>
                      </a:ln>
                    </wps:spPr>
                    <wps:bodyPr/>
                  </wps:wsp>
                </a:graphicData>
              </a:graphic>
            </wp:anchor>
          </w:drawing>
        </mc:Choice>
        <mc:Fallback>
          <w:pict>
            <v:shape o:spt="32" o:oned="true" path="m,l21600,21600e" style="position:absolute;margin-left:51.350000000000001pt;margin-top:49.050000000000004pt;width:652.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935990</wp:posOffset>
              </wp:positionH>
              <wp:positionV relativeFrom="page">
                <wp:posOffset>407035</wp:posOffset>
              </wp:positionV>
              <wp:extent cx="5416550" cy="146050"/>
              <wp:wrapNone/>
              <wp:docPr id="85" name="Shape 85"/>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111" type="#_x0000_t202" style="position:absolute;margin-left:73.700000000000003pt;margin-top:32.049999999999997pt;width:426.5pt;height:11.5pt;z-index:-18874401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87" name="Shape 87"/>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666115</wp:posOffset>
              </wp:positionH>
              <wp:positionV relativeFrom="page">
                <wp:posOffset>438785</wp:posOffset>
              </wp:positionV>
              <wp:extent cx="8107680" cy="146050"/>
              <wp:wrapNone/>
              <wp:docPr id="98" name="Shape 98"/>
              <a:graphic xmlns:a="http://schemas.openxmlformats.org/drawingml/2006/main">
                <a:graphicData uri="http://schemas.microsoft.com/office/word/2010/wordprocessingShape">
                  <wps:wsp>
                    <wps:cNvSpPr txBox="1"/>
                    <wps:spPr>
                      <a:xfrm>
                        <a:ext cx="8107680" cy="146050"/>
                      </a:xfrm>
                      <a:prstGeom prst="rect"/>
                      <a:noFill/>
                    </wps:spPr>
                    <wps:txbx>
                      <w:txbxContent>
                        <w:p>
                          <w:pPr>
                            <w:pStyle w:val="Style70"/>
                            <w:keepNext w:val="0"/>
                            <w:keepLines w:val="0"/>
                            <w:widowControl w:val="0"/>
                            <w:shd w:val="clear" w:color="auto" w:fill="auto"/>
                            <w:tabs>
                              <w:tab w:pos="12768"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124" type="#_x0000_t202" style="position:absolute;margin-left:52.450000000000003pt;margin-top:34.550000000000004pt;width:638.39999999999998pt;height:11.5pt;z-index:-188744009;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2768"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623570</wp:posOffset>
              </wp:positionH>
              <wp:positionV relativeFrom="page">
                <wp:posOffset>622935</wp:posOffset>
              </wp:positionV>
              <wp:extent cx="8345170" cy="0"/>
              <wp:wrapNone/>
              <wp:docPr id="100" name="Shape 100"/>
              <a:graphic xmlns:a="http://schemas.openxmlformats.org/drawingml/2006/main">
                <a:graphicData uri="http://schemas.microsoft.com/office/word/2010/wordprocessingShape">
                  <wps:wsp>
                    <wps:cNvCnPr/>
                    <wps:spPr>
                      <a:xfrm>
                        <a:ext cx="8345170" cy="0"/>
                      </a:xfrm>
                      <a:prstGeom prst="straightConnector1"/>
                      <a:ln w="12700">
                        <a:solidFill/>
                      </a:ln>
                    </wps:spPr>
                    <wps:bodyPr/>
                  </wps:wsp>
                </a:graphicData>
              </a:graphic>
            </wp:anchor>
          </w:drawing>
        </mc:Choice>
        <mc:Fallback>
          <w:pict>
            <v:shape o:spt="32" o:oned="true" path="m,l21600,21600e" style="position:absolute;margin-left:49.100000000000001pt;margin-top:49.050000000000004pt;width:657.10000000000002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935990</wp:posOffset>
              </wp:positionH>
              <wp:positionV relativeFrom="page">
                <wp:posOffset>407035</wp:posOffset>
              </wp:positionV>
              <wp:extent cx="5416550" cy="146050"/>
              <wp:wrapNone/>
              <wp:docPr id="103" name="Shape 103"/>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129" type="#_x0000_t202" style="position:absolute;margin-left:73.700000000000003pt;margin-top:32.049999999999997pt;width:426.5pt;height:11.5pt;z-index:-188744005;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105" name="Shape 105"/>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727710</wp:posOffset>
              </wp:positionH>
              <wp:positionV relativeFrom="page">
                <wp:posOffset>438785</wp:posOffset>
              </wp:positionV>
              <wp:extent cx="8138160" cy="146050"/>
              <wp:wrapNone/>
              <wp:docPr id="108" name="Shape 108"/>
              <a:graphic xmlns:a="http://schemas.openxmlformats.org/drawingml/2006/main">
                <a:graphicData uri="http://schemas.microsoft.com/office/word/2010/wordprocessingShape">
                  <wps:wsp>
                    <wps:cNvSpPr txBox="1"/>
                    <wps:spPr>
                      <a:xfrm>
                        <a:ext cx="8138160" cy="146050"/>
                      </a:xfrm>
                      <a:prstGeom prst="rect"/>
                      <a:noFill/>
                    </wps:spPr>
                    <wps:txbx>
                      <w:txbxContent>
                        <w:p>
                          <w:pPr>
                            <w:pStyle w:val="Style70"/>
                            <w:keepNext w:val="0"/>
                            <w:keepLines w:val="0"/>
                            <w:widowControl w:val="0"/>
                            <w:shd w:val="clear" w:color="auto" w:fill="auto"/>
                            <w:tabs>
                              <w:tab w:pos="12816"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134" type="#_x0000_t202" style="position:absolute;margin-left:57.300000000000004pt;margin-top:34.550000000000004pt;width:640.80000000000007pt;height:11.5pt;z-index:-188744001;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2816"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622935</wp:posOffset>
              </wp:positionV>
              <wp:extent cx="8345170" cy="0"/>
              <wp:wrapNone/>
              <wp:docPr id="110" name="Shape 110"/>
              <a:graphic xmlns:a="http://schemas.openxmlformats.org/drawingml/2006/main">
                <a:graphicData uri="http://schemas.microsoft.com/office/word/2010/wordprocessingShape">
                  <wps:wsp>
                    <wps:cNvCnPr/>
                    <wps:spPr>
                      <a:xfrm>
                        <a:ext cx="8345170" cy="0"/>
                      </a:xfrm>
                      <a:prstGeom prst="straightConnector1"/>
                      <a:ln w="12700">
                        <a:solidFill/>
                      </a:ln>
                    </wps:spPr>
                    <wps:bodyPr/>
                  </wps:wsp>
                </a:graphicData>
              </a:graphic>
            </wp:anchor>
          </w:drawing>
        </mc:Choice>
        <mc:Fallback>
          <w:pict>
            <v:shape o:spt="32" o:oned="true" path="m,l21600,21600e" style="position:absolute;margin-left:53.950000000000003pt;margin-top:49.050000000000004pt;width:657.10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935990</wp:posOffset>
              </wp:positionH>
              <wp:positionV relativeFrom="page">
                <wp:posOffset>407035</wp:posOffset>
              </wp:positionV>
              <wp:extent cx="5416550" cy="146050"/>
              <wp:wrapNone/>
              <wp:docPr id="115" name="Shape 115"/>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141" type="#_x0000_t202" style="position:absolute;margin-left:73.700000000000003pt;margin-top:32.049999999999997pt;width:426.5pt;height:11.5pt;z-index:-18874399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117" name="Shape 117"/>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694690</wp:posOffset>
              </wp:positionH>
              <wp:positionV relativeFrom="page">
                <wp:posOffset>438785</wp:posOffset>
              </wp:positionV>
              <wp:extent cx="8080375" cy="146050"/>
              <wp:wrapNone/>
              <wp:docPr id="120" name="Shape 120"/>
              <a:graphic xmlns:a="http://schemas.openxmlformats.org/drawingml/2006/main">
                <a:graphicData uri="http://schemas.microsoft.com/office/word/2010/wordprocessingShape">
                  <wps:wsp>
                    <wps:cNvSpPr txBox="1"/>
                    <wps:spPr>
                      <a:xfrm>
                        <a:ext cx="8080375" cy="146050"/>
                      </a:xfrm>
                      <a:prstGeom prst="rect"/>
                      <a:noFill/>
                    </wps:spPr>
                    <wps:txbx>
                      <w:txbxContent>
                        <w:p>
                          <w:pPr>
                            <w:pStyle w:val="Style70"/>
                            <w:keepNext w:val="0"/>
                            <w:keepLines w:val="0"/>
                            <w:widowControl w:val="0"/>
                            <w:shd w:val="clear" w:color="auto" w:fill="auto"/>
                            <w:tabs>
                              <w:tab w:pos="12725"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146" type="#_x0000_t202" style="position:absolute;margin-left:54.700000000000003pt;margin-top:34.550000000000004pt;width:636.25pt;height:11.5pt;z-index:-188743993;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2725"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622935</wp:posOffset>
              </wp:positionV>
              <wp:extent cx="8345170" cy="0"/>
              <wp:wrapNone/>
              <wp:docPr id="122" name="Shape 122"/>
              <a:graphic xmlns:a="http://schemas.openxmlformats.org/drawingml/2006/main">
                <a:graphicData uri="http://schemas.microsoft.com/office/word/2010/wordprocessingShape">
                  <wps:wsp>
                    <wps:cNvCnPr/>
                    <wps:spPr>
                      <a:xfrm>
                        <a:ext cx="8345170" cy="0"/>
                      </a:xfrm>
                      <a:prstGeom prst="straightConnector1"/>
                      <a:ln w="12700">
                        <a:solidFill/>
                      </a:ln>
                    </wps:spPr>
                    <wps:bodyPr/>
                  </wps:wsp>
                </a:graphicData>
              </a:graphic>
            </wp:anchor>
          </w:drawing>
        </mc:Choice>
        <mc:Fallback>
          <w:pict>
            <v:shape o:spt="32" o:oned="true" path="m,l21600,21600e" style="position:absolute;margin-left:51.350000000000001pt;margin-top:49.050000000000004pt;width:657.10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935990</wp:posOffset>
              </wp:positionH>
              <wp:positionV relativeFrom="page">
                <wp:posOffset>407035</wp:posOffset>
              </wp:positionV>
              <wp:extent cx="5416550" cy="146050"/>
              <wp:wrapNone/>
              <wp:docPr id="125" name="Shape 125"/>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151" type="#_x0000_t202" style="position:absolute;margin-left:73.700000000000003pt;margin-top:32.049999999999997pt;width:426.5pt;height:11.5pt;z-index:-18874398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127" name="Shape 127"/>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925195</wp:posOffset>
              </wp:positionH>
              <wp:positionV relativeFrom="page">
                <wp:posOffset>438785</wp:posOffset>
              </wp:positionV>
              <wp:extent cx="5416550" cy="146050"/>
              <wp:wrapNone/>
              <wp:docPr id="8" name="Shape 8"/>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754" w:val="left"/>
                              <w:tab w:pos="8530"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034" type="#_x0000_t202" style="position:absolute;margin-left:72.850000000000009pt;margin-top:34.550000000000004pt;width:426.5pt;height:11.5pt;z-index:-18874405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54" w:val="left"/>
                        <w:tab w:pos="8530"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624840</wp:posOffset>
              </wp:positionV>
              <wp:extent cx="5760720" cy="0"/>
              <wp:wrapNone/>
              <wp:docPr id="10" name="Shape 10"/>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69.5pt;margin-top:49.200000000000003pt;width:453.60000000000002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694690</wp:posOffset>
              </wp:positionH>
              <wp:positionV relativeFrom="page">
                <wp:posOffset>438785</wp:posOffset>
              </wp:positionV>
              <wp:extent cx="8107680" cy="146050"/>
              <wp:wrapNone/>
              <wp:docPr id="130" name="Shape 130"/>
              <a:graphic xmlns:a="http://schemas.openxmlformats.org/drawingml/2006/main">
                <a:graphicData uri="http://schemas.microsoft.com/office/word/2010/wordprocessingShape">
                  <wps:wsp>
                    <wps:cNvSpPr txBox="1"/>
                    <wps:spPr>
                      <a:xfrm>
                        <a:ext cx="8107680" cy="146050"/>
                      </a:xfrm>
                      <a:prstGeom prst="rect"/>
                      <a:noFill/>
                    </wps:spPr>
                    <wps:txbx>
                      <w:txbxContent>
                        <w:p>
                          <w:pPr>
                            <w:pStyle w:val="Style70"/>
                            <w:keepNext w:val="0"/>
                            <w:keepLines w:val="0"/>
                            <w:widowControl w:val="0"/>
                            <w:shd w:val="clear" w:color="auto" w:fill="auto"/>
                            <w:tabs>
                              <w:tab w:pos="12768"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156" type="#_x0000_t202" style="position:absolute;margin-left:54.700000000000003pt;margin-top:34.550000000000004pt;width:638.39999999999998pt;height:11.5pt;z-index:-18874398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12768" w:val="right"/>
                      </w:tabs>
                      <w:bidi w:val="0"/>
                      <w:spacing w:before="0" w:after="0" w:line="240" w:lineRule="auto"/>
                      <w:ind w:left="0" w:right="0" w:firstLine="0"/>
                      <w:jc w:val="left"/>
                    </w:pPr>
                    <w:r>
                      <w:rPr>
                        <w:rFonts w:ascii="Times New Roman" w:eastAsia="Times New Roman" w:hAnsi="Times New Roman" w:cs="Times New Roman"/>
                        <w:color w:val="0826F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u w:val="single"/>
                      </w:rPr>
                      <w:t>601222</w:t>
                      <w:tab/>
                    </w:r>
                    <w:r>
                      <w:rPr>
                        <w:color w:val="000000"/>
                        <w:spacing w:val="0"/>
                        <w:w w:val="100"/>
                        <w:position w:val="0"/>
                        <w:u w:val="single"/>
                      </w:rPr>
                      <w:t>江苏林洋电子股份有限公司</w:t>
                    </w:r>
                    <w:r>
                      <w:rPr>
                        <w:rFonts w:ascii="Times New Roman" w:eastAsia="Times New Roman" w:hAnsi="Times New Roman" w:cs="Times New Roman"/>
                        <w:color w:val="000000"/>
                        <w:spacing w:val="0"/>
                        <w:w w:val="100"/>
                        <w:position w:val="0"/>
                        <w:sz w:val="18"/>
                        <w:szCs w:val="18"/>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652145</wp:posOffset>
              </wp:positionH>
              <wp:positionV relativeFrom="page">
                <wp:posOffset>622935</wp:posOffset>
              </wp:positionV>
              <wp:extent cx="8345170" cy="0"/>
              <wp:wrapNone/>
              <wp:docPr id="132" name="Shape 132"/>
              <a:graphic xmlns:a="http://schemas.openxmlformats.org/drawingml/2006/main">
                <a:graphicData uri="http://schemas.microsoft.com/office/word/2010/wordprocessingShape">
                  <wps:wsp>
                    <wps:cNvCnPr/>
                    <wps:spPr>
                      <a:xfrm>
                        <a:ext cx="8345170" cy="0"/>
                      </a:xfrm>
                      <a:prstGeom prst="straightConnector1"/>
                      <a:ln w="12700">
                        <a:solidFill/>
                      </a:ln>
                    </wps:spPr>
                    <wps:bodyPr/>
                  </wps:wsp>
                </a:graphicData>
              </a:graphic>
            </wp:anchor>
          </w:drawing>
        </mc:Choice>
        <mc:Fallback>
          <w:pict>
            <v:shape o:spt="32" o:oned="true" path="m,l21600,21600e" style="position:absolute;margin-left:51.350000000000001pt;margin-top:49.050000000000004pt;width:657.10000000000002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935990</wp:posOffset>
              </wp:positionH>
              <wp:positionV relativeFrom="page">
                <wp:posOffset>407035</wp:posOffset>
              </wp:positionV>
              <wp:extent cx="5416550" cy="146050"/>
              <wp:wrapNone/>
              <wp:docPr id="135" name="Shape 135"/>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161" type="#_x0000_t202" style="position:absolute;margin-left:73.700000000000003pt;margin-top:32.049999999999997pt;width:426.5pt;height:11.5pt;z-index:-18874398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137" name="Shape 137"/>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1163955</wp:posOffset>
              </wp:positionH>
              <wp:positionV relativeFrom="page">
                <wp:posOffset>429260</wp:posOffset>
              </wp:positionV>
              <wp:extent cx="7559040" cy="146050"/>
              <wp:wrapNone/>
              <wp:docPr id="15" name="Shape 15"/>
              <a:graphic xmlns:a="http://schemas.openxmlformats.org/drawingml/2006/main">
                <a:graphicData uri="http://schemas.microsoft.com/office/word/2010/wordprocessingShape">
                  <wps:wsp>
                    <wps:cNvSpPr txBox="1"/>
                    <wps:spPr>
                      <a:xfrm>
                        <a:ext cx="7559040" cy="146050"/>
                      </a:xfrm>
                      <a:prstGeom prst="rect"/>
                      <a:noFill/>
                    </wps:spPr>
                    <wps:txbx>
                      <w:txbxContent>
                        <w:p>
                          <w:pPr>
                            <w:pStyle w:val="Style7"/>
                            <w:keepNext w:val="0"/>
                            <w:keepLines w:val="0"/>
                            <w:widowControl w:val="0"/>
                            <w:shd w:val="clear" w:color="auto" w:fill="auto"/>
                            <w:tabs>
                              <w:tab w:pos="11890" w:val="right"/>
                            </w:tabs>
                            <w:bidi w:val="0"/>
                            <w:spacing w:before="0" w:after="0" w:line="240" w:lineRule="auto"/>
                            <w:ind w:left="0" w:right="0" w:firstLine="0"/>
                            <w:jc w:val="left"/>
                            <w:rPr>
                              <w:sz w:val="15"/>
                              <w:szCs w:val="15"/>
                            </w:rPr>
                          </w:pPr>
                          <w:r>
                            <w:rPr>
                              <w:color w:val="0826F0"/>
                              <w:spacing w:val="0"/>
                              <w:w w:val="100"/>
                              <w:position w:val="0"/>
                              <w:sz w:val="18"/>
                              <w:szCs w:val="18"/>
                            </w:rPr>
                            <w:t xml:space="preserve">O </w:t>
                          </w:r>
                          <w:r>
                            <w:rPr>
                              <w:color w:val="000000"/>
                              <w:spacing w:val="0"/>
                              <w:w w:val="100"/>
                              <w:position w:val="0"/>
                              <w:sz w:val="18"/>
                              <w:szCs w:val="18"/>
                              <w:u w:val="single"/>
                            </w:rPr>
                            <w:t>601222</w:t>
                            <w:tab/>
                          </w:r>
                          <w:r>
                            <w:rPr>
                              <w:rFonts w:ascii="SimSun" w:eastAsia="SimSun" w:hAnsi="SimSun" w:cs="SimSun"/>
                              <w:color w:val="000000"/>
                              <w:spacing w:val="0"/>
                              <w:w w:val="100"/>
                              <w:position w:val="0"/>
                              <w:sz w:val="15"/>
                              <w:szCs w:val="15"/>
                              <w:u w:val="single"/>
                            </w:rPr>
                            <w:t>江苏林洋电子股份有限公司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5"/>
                              <w:szCs w:val="15"/>
                              <w:u w:val="single"/>
                            </w:rPr>
                            <w:t>年年度报告</w:t>
                          </w:r>
                        </w:p>
                      </w:txbxContent>
                    </wps:txbx>
                    <wps:bodyPr lIns="0" tIns="0" rIns="0" bIns="0">
                      <a:spAutoFit/>
                    </wps:bodyPr>
                  </wps:wsp>
                </a:graphicData>
              </a:graphic>
            </wp:anchor>
          </w:drawing>
        </mc:Choice>
        <mc:Fallback>
          <w:pict>
            <v:shape id="_x0000_s1041" type="#_x0000_t202" style="position:absolute;margin-left:91.650000000000006pt;margin-top:33.799999999999997pt;width:595.20000000000005pt;height:11.5pt;z-index:-188744055;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890" w:val="right"/>
                      </w:tabs>
                      <w:bidi w:val="0"/>
                      <w:spacing w:before="0" w:after="0" w:line="240" w:lineRule="auto"/>
                      <w:ind w:left="0" w:right="0" w:firstLine="0"/>
                      <w:jc w:val="left"/>
                      <w:rPr>
                        <w:sz w:val="15"/>
                        <w:szCs w:val="15"/>
                      </w:rPr>
                    </w:pPr>
                    <w:r>
                      <w:rPr>
                        <w:color w:val="0826F0"/>
                        <w:spacing w:val="0"/>
                        <w:w w:val="100"/>
                        <w:position w:val="0"/>
                        <w:sz w:val="18"/>
                        <w:szCs w:val="18"/>
                      </w:rPr>
                      <w:t xml:space="preserve">O </w:t>
                    </w:r>
                    <w:r>
                      <w:rPr>
                        <w:color w:val="000000"/>
                        <w:spacing w:val="0"/>
                        <w:w w:val="100"/>
                        <w:position w:val="0"/>
                        <w:sz w:val="18"/>
                        <w:szCs w:val="18"/>
                        <w:u w:val="single"/>
                      </w:rPr>
                      <w:t>601222</w:t>
                      <w:tab/>
                    </w:r>
                    <w:r>
                      <w:rPr>
                        <w:rFonts w:ascii="SimSun" w:eastAsia="SimSun" w:hAnsi="SimSun" w:cs="SimSun"/>
                        <w:color w:val="000000"/>
                        <w:spacing w:val="0"/>
                        <w:w w:val="100"/>
                        <w:position w:val="0"/>
                        <w:sz w:val="15"/>
                        <w:szCs w:val="15"/>
                        <w:u w:val="single"/>
                      </w:rPr>
                      <w:t>江苏林洋电子股份有限公司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5"/>
                        <w:szCs w:val="15"/>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613410</wp:posOffset>
              </wp:positionV>
              <wp:extent cx="7818120" cy="0"/>
              <wp:wrapNone/>
              <wp:docPr id="17" name="Shape 17"/>
              <a:graphic xmlns:a="http://schemas.openxmlformats.org/drawingml/2006/main">
                <a:graphicData uri="http://schemas.microsoft.com/office/word/2010/wordprocessingShape">
                  <wps:wsp>
                    <wps:cNvCnPr/>
                    <wps:spPr>
                      <a:xfrm>
                        <a:ext cx="7818120" cy="0"/>
                      </a:xfrm>
                      <a:prstGeom prst="straightConnector1"/>
                      <a:ln w="12700">
                        <a:solidFill/>
                      </a:ln>
                    </wps:spPr>
                    <wps:bodyPr/>
                  </wps:wsp>
                </a:graphicData>
              </a:graphic>
            </wp:anchor>
          </w:drawing>
        </mc:Choice>
        <mc:Fallback>
          <w:pict>
            <v:shape o:spt="32" o:oned="true" path="m,l21600,21600e" style="position:absolute;margin-left:88.299999999999997pt;margin-top:48.300000000000004pt;width:615.6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935990</wp:posOffset>
              </wp:positionH>
              <wp:positionV relativeFrom="page">
                <wp:posOffset>407035</wp:posOffset>
              </wp:positionV>
              <wp:extent cx="5416550" cy="146050"/>
              <wp:wrapNone/>
              <wp:docPr id="20" name="Shape 20"/>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046" type="#_x0000_t202" style="position:absolute;margin-left:73.700000000000003pt;margin-top:32.049999999999997pt;width:426.5pt;height:11.5pt;z-index:-18874405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22" name="Shape 22"/>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925195</wp:posOffset>
              </wp:positionH>
              <wp:positionV relativeFrom="page">
                <wp:posOffset>438785</wp:posOffset>
              </wp:positionV>
              <wp:extent cx="5416550" cy="146050"/>
              <wp:wrapNone/>
              <wp:docPr id="25" name="Shape 25"/>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754" w:val="left"/>
                              <w:tab w:pos="8530"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051" type="#_x0000_t202" style="position:absolute;margin-left:72.850000000000009pt;margin-top:34.550000000000004pt;width:426.5pt;height:11.5pt;z-index:-18874404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54" w:val="left"/>
                        <w:tab w:pos="8530"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624840</wp:posOffset>
              </wp:positionV>
              <wp:extent cx="5760720" cy="0"/>
              <wp:wrapNone/>
              <wp:docPr id="27" name="Shape 27"/>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69.5pt;margin-top:49.200000000000003pt;width:453.60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935990</wp:posOffset>
              </wp:positionH>
              <wp:positionV relativeFrom="page">
                <wp:posOffset>407035</wp:posOffset>
              </wp:positionV>
              <wp:extent cx="5416550" cy="146050"/>
              <wp:wrapNone/>
              <wp:docPr id="30" name="Shape 30"/>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056" type="#_x0000_t202" style="position:absolute;margin-left:73.700000000000003pt;margin-top:32.049999999999997pt;width:426.5pt;height:11.5pt;z-index:-18874404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32" name="Shape 32"/>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917575</wp:posOffset>
              </wp:positionH>
              <wp:positionV relativeFrom="page">
                <wp:posOffset>426720</wp:posOffset>
              </wp:positionV>
              <wp:extent cx="274320" cy="146050"/>
              <wp:wrapNone/>
              <wp:docPr id="35" name="Shape 35"/>
              <a:graphic xmlns:a="http://schemas.openxmlformats.org/drawingml/2006/main">
                <a:graphicData uri="http://schemas.microsoft.com/office/word/2010/wordprocessingShape">
                  <wps:wsp>
                    <wps:cNvSpPr txBox="1"/>
                    <wps:spPr>
                      <a:xfrm>
                        <a:ext cx="274320" cy="146050"/>
                      </a:xfrm>
                      <a:prstGeom prst="rect"/>
                      <a:noFill/>
                    </wps:spPr>
                    <wps:txbx>
                      <w:txbxContent>
                        <w:p>
                          <w:pPr>
                            <w:widowControl w:val="0"/>
                            <w:rPr>
                              <w:sz w:val="2"/>
                              <w:szCs w:val="2"/>
                            </w:rPr>
                          </w:pPr>
                          <w:r>
                            <w:drawing>
                              <wp:inline>
                                <wp:extent cx="274320" cy="14605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pic:blipFill>
                                      <pic:spPr>
                                        <a:xfrm>
                                          <a:ext cx="274320" cy="146050"/>
                                        </a:xfrm>
                                        <a:prstGeom prst="rect"/>
                                      </pic:spPr>
                                    </pic:pic>
                                  </a:graphicData>
                                </a:graphic>
                              </wp:inline>
                            </w:drawing>
                          </w:r>
                        </w:p>
                      </w:txbxContent>
                    </wps:txbx>
                    <wps:bodyPr lIns="0" tIns="0" rIns="0" bIns="0">
                      <a:noAutoFit/>
                    </wps:bodyPr>
                  </wps:wsp>
                </a:graphicData>
              </a:graphic>
            </wp:anchor>
          </w:drawing>
        </mc:Choice>
        <mc:Fallback>
          <w:pict>
            <v:shape id="_x0000_s1062" type="#_x0000_t202" style="position:absolute;margin-left:72.25pt;margin-top:33.600000000000001pt;width:21.600000000000001pt;height:11.5pt;z-index:-188744039;mso-wrap-distance-left:0;mso-wrap-distance-right:0;mso-position-horizontal-relative:page;mso-position-vertical-relative:page" wrapcoords="0 0" filled="f" stroked="f">
              <v:textbox inset="0,0,0,0">
                <w:txbxContent>
                  <w:p>
                    <w:pPr>
                      <w:widowControl w:val="0"/>
                      <w:rPr>
                        <w:sz w:val="2"/>
                        <w:szCs w:val="2"/>
                      </w:rPr>
                    </w:pPr>
                    <w:r>
                      <w:drawing>
                        <wp:inline>
                          <wp:extent cx="274320" cy="14605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pic:blipFill>
                                <pic:spPr>
                                  <a:xfrm>
                                    <a:ext cx="274320" cy="1460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1417320</wp:posOffset>
              </wp:positionH>
              <wp:positionV relativeFrom="page">
                <wp:posOffset>478790</wp:posOffset>
              </wp:positionV>
              <wp:extent cx="4934585" cy="106680"/>
              <wp:wrapNone/>
              <wp:docPr id="39" name="Shape 39"/>
              <a:graphic xmlns:a="http://schemas.openxmlformats.org/drawingml/2006/main">
                <a:graphicData uri="http://schemas.microsoft.com/office/word/2010/wordprocessingShape">
                  <wps:wsp>
                    <wps:cNvSpPr txBox="1"/>
                    <wps:spPr>
                      <a:xfrm>
                        <a:ext cx="4934585" cy="106680"/>
                      </a:xfrm>
                      <a:prstGeom prst="rect"/>
                      <a:noFill/>
                    </wps:spPr>
                    <wps:txbx>
                      <w:txbxContent>
                        <w:p>
                          <w:pPr>
                            <w:pStyle w:val="Style7"/>
                            <w:keepNext w:val="0"/>
                            <w:keepLines w:val="0"/>
                            <w:widowControl w:val="0"/>
                            <w:shd w:val="clear" w:color="auto" w:fill="auto"/>
                            <w:tabs>
                              <w:tab w:pos="7771" w:val="right"/>
                            </w:tabs>
                            <w:bidi w:val="0"/>
                            <w:spacing w:before="0" w:after="0" w:line="240" w:lineRule="auto"/>
                            <w:ind w:left="0" w:right="0" w:firstLine="0"/>
                            <w:jc w:val="left"/>
                            <w:rPr>
                              <w:sz w:val="15"/>
                              <w:szCs w:val="15"/>
                            </w:rPr>
                          </w:pP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065" type="#_x0000_t202" style="position:absolute;margin-left:111.60000000000001pt;margin-top:37.700000000000003pt;width:388.55000000000001pt;height:8.4000000000000004pt;z-index:-18874403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771" w:val="right"/>
                      </w:tabs>
                      <w:bidi w:val="0"/>
                      <w:spacing w:before="0" w:after="0" w:line="240" w:lineRule="auto"/>
                      <w:ind w:left="0" w:right="0" w:firstLine="0"/>
                      <w:jc w:val="left"/>
                      <w:rPr>
                        <w:sz w:val="15"/>
                        <w:szCs w:val="15"/>
                      </w:rPr>
                    </w:pP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1170305</wp:posOffset>
              </wp:positionH>
              <wp:positionV relativeFrom="page">
                <wp:posOffset>429260</wp:posOffset>
              </wp:positionV>
              <wp:extent cx="7528560" cy="146050"/>
              <wp:wrapNone/>
              <wp:docPr id="43" name="Shape 43"/>
              <a:graphic xmlns:a="http://schemas.openxmlformats.org/drawingml/2006/main">
                <a:graphicData uri="http://schemas.microsoft.com/office/word/2010/wordprocessingShape">
                  <wps:wsp>
                    <wps:cNvSpPr txBox="1"/>
                    <wps:spPr>
                      <a:xfrm>
                        <a:ext cx="7528560" cy="146050"/>
                      </a:xfrm>
                      <a:prstGeom prst="rect"/>
                      <a:noFill/>
                    </wps:spPr>
                    <wps:txbx>
                      <w:txbxContent>
                        <w:p>
                          <w:pPr>
                            <w:pStyle w:val="Style7"/>
                            <w:keepNext w:val="0"/>
                            <w:keepLines w:val="0"/>
                            <w:widowControl w:val="0"/>
                            <w:shd w:val="clear" w:color="auto" w:fill="auto"/>
                            <w:tabs>
                              <w:tab w:pos="11832" w:val="right"/>
                            </w:tabs>
                            <w:bidi w:val="0"/>
                            <w:spacing w:before="0" w:after="0" w:line="240" w:lineRule="auto"/>
                            <w:ind w:left="0" w:right="0" w:firstLine="0"/>
                            <w:jc w:val="left"/>
                            <w:rPr>
                              <w:sz w:val="15"/>
                              <w:szCs w:val="15"/>
                            </w:rPr>
                          </w:pPr>
                          <w:r>
                            <w:rPr>
                              <w:color w:val="0826F0"/>
                              <w:spacing w:val="0"/>
                              <w:w w:val="100"/>
                              <w:position w:val="0"/>
                              <w:sz w:val="18"/>
                              <w:szCs w:val="18"/>
                            </w:rPr>
                            <w:t xml:space="preserve">O </w:t>
                          </w:r>
                          <w:r>
                            <w:rPr>
                              <w:color w:val="000000"/>
                              <w:spacing w:val="0"/>
                              <w:w w:val="100"/>
                              <w:position w:val="0"/>
                              <w:sz w:val="18"/>
                              <w:szCs w:val="18"/>
                              <w:u w:val="single"/>
                            </w:rPr>
                            <w:t>601222</w:t>
                            <w:tab/>
                          </w:r>
                          <w:r>
                            <w:rPr>
                              <w:rFonts w:ascii="SimSun" w:eastAsia="SimSun" w:hAnsi="SimSun" w:cs="SimSun"/>
                              <w:color w:val="000000"/>
                              <w:spacing w:val="0"/>
                              <w:w w:val="100"/>
                              <w:position w:val="0"/>
                              <w:sz w:val="15"/>
                              <w:szCs w:val="15"/>
                              <w:u w:val="single"/>
                            </w:rPr>
                            <w:t>江苏林洋电子股份有限公司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5"/>
                              <w:szCs w:val="15"/>
                              <w:u w:val="single"/>
                            </w:rPr>
                            <w:t>年年度报告</w:t>
                          </w:r>
                        </w:p>
                      </w:txbxContent>
                    </wps:txbx>
                    <wps:bodyPr lIns="0" tIns="0" rIns="0" bIns="0">
                      <a:spAutoFit/>
                    </wps:bodyPr>
                  </wps:wsp>
                </a:graphicData>
              </a:graphic>
            </wp:anchor>
          </w:drawing>
        </mc:Choice>
        <mc:Fallback>
          <w:pict>
            <v:shape id="_x0000_s1069" type="#_x0000_t202" style="position:absolute;margin-left:92.150000000000006pt;margin-top:33.799999999999997pt;width:592.80000000000007pt;height:11.5pt;z-index:-18874403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1832" w:val="right"/>
                      </w:tabs>
                      <w:bidi w:val="0"/>
                      <w:spacing w:before="0" w:after="0" w:line="240" w:lineRule="auto"/>
                      <w:ind w:left="0" w:right="0" w:firstLine="0"/>
                      <w:jc w:val="left"/>
                      <w:rPr>
                        <w:sz w:val="15"/>
                        <w:szCs w:val="15"/>
                      </w:rPr>
                    </w:pPr>
                    <w:r>
                      <w:rPr>
                        <w:color w:val="0826F0"/>
                        <w:spacing w:val="0"/>
                        <w:w w:val="100"/>
                        <w:position w:val="0"/>
                        <w:sz w:val="18"/>
                        <w:szCs w:val="18"/>
                      </w:rPr>
                      <w:t xml:space="preserve">O </w:t>
                    </w:r>
                    <w:r>
                      <w:rPr>
                        <w:color w:val="000000"/>
                        <w:spacing w:val="0"/>
                        <w:w w:val="100"/>
                        <w:position w:val="0"/>
                        <w:sz w:val="18"/>
                        <w:szCs w:val="18"/>
                        <w:u w:val="single"/>
                      </w:rPr>
                      <w:t>601222</w:t>
                      <w:tab/>
                    </w:r>
                    <w:r>
                      <w:rPr>
                        <w:rFonts w:ascii="SimSun" w:eastAsia="SimSun" w:hAnsi="SimSun" w:cs="SimSun"/>
                        <w:color w:val="000000"/>
                        <w:spacing w:val="0"/>
                        <w:w w:val="100"/>
                        <w:position w:val="0"/>
                        <w:sz w:val="15"/>
                        <w:szCs w:val="15"/>
                        <w:u w:val="single"/>
                      </w:rPr>
                      <w:t>江苏林洋电子股份有限公司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5"/>
                        <w:szCs w:val="15"/>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1127760</wp:posOffset>
              </wp:positionH>
              <wp:positionV relativeFrom="page">
                <wp:posOffset>643255</wp:posOffset>
              </wp:positionV>
              <wp:extent cx="7818120" cy="0"/>
              <wp:wrapNone/>
              <wp:docPr id="45" name="Shape 45"/>
              <a:graphic xmlns:a="http://schemas.openxmlformats.org/drawingml/2006/main">
                <a:graphicData uri="http://schemas.microsoft.com/office/word/2010/wordprocessingShape">
                  <wps:wsp>
                    <wps:cNvCnPr/>
                    <wps:spPr>
                      <a:xfrm>
                        <a:ext cx="7818120" cy="0"/>
                      </a:xfrm>
                      <a:prstGeom prst="straightConnector1"/>
                      <a:ln w="12700">
                        <a:solidFill/>
                      </a:ln>
                    </wps:spPr>
                    <wps:bodyPr/>
                  </wps:wsp>
                </a:graphicData>
              </a:graphic>
            </wp:anchor>
          </w:drawing>
        </mc:Choice>
        <mc:Fallback>
          <w:pict>
            <v:shape o:spt="32" o:oned="true" path="m,l21600,21600e" style="position:absolute;margin-left:88.799999999999997pt;margin-top:50.649999999999999pt;width:615.6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935990</wp:posOffset>
              </wp:positionH>
              <wp:positionV relativeFrom="page">
                <wp:posOffset>407035</wp:posOffset>
              </wp:positionV>
              <wp:extent cx="5416550" cy="146050"/>
              <wp:wrapNone/>
              <wp:docPr id="49" name="Shape 49"/>
              <a:graphic xmlns:a="http://schemas.openxmlformats.org/drawingml/2006/main">
                <a:graphicData uri="http://schemas.microsoft.com/office/word/2010/wordprocessingShape">
                  <wps:wsp>
                    <wps:cNvSpPr txBox="1"/>
                    <wps:spPr>
                      <a:xfrm>
                        <a:ext cx="5416550" cy="146050"/>
                      </a:xfrm>
                      <a:prstGeom prst="rect"/>
                      <a:noFill/>
                    </wps:spPr>
                    <wps:txbx>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wps:txbx>
                    <wps:bodyPr lIns="0" tIns="0" rIns="0" bIns="0">
                      <a:spAutoFit/>
                    </wps:bodyPr>
                  </wps:wsp>
                </a:graphicData>
              </a:graphic>
            </wp:anchor>
          </w:drawing>
        </mc:Choice>
        <mc:Fallback>
          <w:pict>
            <v:shape id="_x0000_s1075" type="#_x0000_t202" style="position:absolute;margin-left:73.700000000000003pt;margin-top:32.049999999999997pt;width:426.5pt;height:11.5pt;z-index:-18874402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1291" w:val="right"/>
                        <w:tab w:pos="8501" w:val="right"/>
                      </w:tabs>
                      <w:bidi w:val="0"/>
                      <w:spacing w:before="0" w:after="0" w:line="240" w:lineRule="auto"/>
                      <w:ind w:left="0" w:right="0" w:firstLine="0"/>
                      <w:jc w:val="left"/>
                      <w:rPr>
                        <w:sz w:val="15"/>
                        <w:szCs w:val="15"/>
                      </w:rPr>
                    </w:pPr>
                    <w:r>
                      <w:rPr>
                        <w:rFonts w:ascii="SimSun" w:eastAsia="SimSun" w:hAnsi="SimSun" w:cs="SimSun"/>
                        <w:color w:val="0826F0"/>
                        <w:spacing w:val="0"/>
                        <w:w w:val="100"/>
                        <w:position w:val="0"/>
                        <w:sz w:val="15"/>
                        <w:szCs w:val="15"/>
                      </w:rPr>
                      <w:t>。</w:t>
                      <w:tab/>
                    </w:r>
                    <w:r>
                      <w:rPr>
                        <w:color w:val="000000"/>
                        <w:spacing w:val="0"/>
                        <w:w w:val="100"/>
                        <w:position w:val="0"/>
                        <w:sz w:val="18"/>
                        <w:szCs w:val="18"/>
                      </w:rPr>
                      <w:t>601222</w:t>
                      <w:tab/>
                    </w:r>
                    <w:r>
                      <w:rPr>
                        <w:rFonts w:ascii="SimSun" w:eastAsia="SimSun" w:hAnsi="SimSun" w:cs="SimSun"/>
                        <w:color w:val="000000"/>
                        <w:spacing w:val="0"/>
                        <w:w w:val="100"/>
                        <w:position w:val="0"/>
                        <w:sz w:val="15"/>
                        <w:szCs w:val="15"/>
                      </w:rPr>
                      <w:t>江苏林洋电子股份有限公司</w:t>
                    </w:r>
                    <w:r>
                      <w:rPr>
                        <w:color w:val="000000"/>
                        <w:spacing w:val="0"/>
                        <w:w w:val="100"/>
                        <w:position w:val="0"/>
                        <w:sz w:val="18"/>
                        <w:szCs w:val="18"/>
                      </w:rPr>
                      <w:t>2013</w:t>
                    </w:r>
                    <w:r>
                      <w:rPr>
                        <w:rFonts w:ascii="SimSun" w:eastAsia="SimSun" w:hAnsi="SimSun" w:cs="SimSun"/>
                        <w:color w:val="000000"/>
                        <w:spacing w:val="0"/>
                        <w:w w:val="100"/>
                        <w:position w:val="0"/>
                        <w:sz w:val="15"/>
                        <w:szCs w:val="15"/>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622935</wp:posOffset>
              </wp:positionV>
              <wp:extent cx="5760720" cy="0"/>
              <wp:wrapNone/>
              <wp:docPr id="51" name="Shape 51"/>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70.299999999999997pt;margin-top:49.050000000000004pt;width:453.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4"/>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正文文本 (5)_"/>
    <w:basedOn w:val="DefaultParagraphFont"/>
    <w:link w:val="Style5"/>
    <w:rPr>
      <w:rFonts w:ascii="SimHei" w:eastAsia="SimHei" w:hAnsi="SimHei" w:cs="SimHei"/>
      <w:b/>
      <w:bCs/>
      <w:i w:val="0"/>
      <w:iCs w:val="0"/>
      <w:smallCaps w:val="0"/>
      <w:strike w:val="0"/>
      <w:sz w:val="28"/>
      <w:szCs w:val="28"/>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正文文本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6">
    <w:name w:val="正文文本 (4)_"/>
    <w:basedOn w:val="DefaultParagraphFont"/>
    <w:link w:val="Style15"/>
    <w:rPr>
      <w:rFonts w:ascii="SimSun" w:eastAsia="SimSun" w:hAnsi="SimSun" w:cs="SimSun"/>
      <w:b/>
      <w:bCs/>
      <w:i w:val="0"/>
      <w:iCs w:val="0"/>
      <w:smallCaps w:val="0"/>
      <w:strike w:val="0"/>
      <w:sz w:val="48"/>
      <w:szCs w:val="4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标题 #1_"/>
    <w:basedOn w:val="DefaultParagraphFont"/>
    <w:link w:val="Style21"/>
    <w:rPr>
      <w:rFonts w:ascii="SimSun" w:eastAsia="SimSun" w:hAnsi="SimSun" w:cs="SimSun"/>
      <w:b/>
      <w:bCs/>
      <w:i w:val="0"/>
      <w:iCs w:val="0"/>
      <w:smallCaps w:val="0"/>
      <w:strike w:val="0"/>
      <w:sz w:val="40"/>
      <w:szCs w:val="40"/>
      <w:u w:val="none"/>
      <w:shd w:val="clear" w:color="auto" w:fill="auto"/>
    </w:rPr>
  </w:style>
  <w:style w:type="character" w:customStyle="1" w:styleId="CharStyle24">
    <w:name w:val="表格标题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51">
    <w:name w:val="其他 (2)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正文文本 (2)_"/>
    <w:basedOn w:val="DefaultParagraphFont"/>
    <w:link w:val="Style5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1">
    <w:name w:val="页眉或页脚_"/>
    <w:basedOn w:val="DefaultParagraphFont"/>
    <w:link w:val="Style70"/>
    <w:rPr>
      <w:rFonts w:ascii="SimSun" w:eastAsia="SimSun" w:hAnsi="SimSun" w:cs="SimSun"/>
      <w:b w:val="0"/>
      <w:bCs w:val="0"/>
      <w:i w:val="0"/>
      <w:iCs w:val="0"/>
      <w:smallCaps w:val="0"/>
      <w:strike w:val="0"/>
      <w:sz w:val="15"/>
      <w:szCs w:val="15"/>
      <w:u w:val="none"/>
      <w:shd w:val="clear" w:color="auto" w:fill="auto"/>
    </w:rPr>
  </w:style>
  <w:style w:type="character" w:customStyle="1" w:styleId="CharStyle89">
    <w:name w:val="正文文本 (8)_"/>
    <w:basedOn w:val="DefaultParagraphFont"/>
    <w:link w:val="Style88"/>
    <w:rPr>
      <w:rFonts w:ascii="SimSun" w:eastAsia="SimSun" w:hAnsi="SimSun" w:cs="SimSun"/>
      <w:b w:val="0"/>
      <w:bCs w:val="0"/>
      <w:i w:val="0"/>
      <w:iCs w:val="0"/>
      <w:smallCaps w:val="0"/>
      <w:strike w:val="0"/>
      <w:sz w:val="26"/>
      <w:szCs w:val="26"/>
      <w:u w:val="none"/>
      <w:shd w:val="clear" w:color="auto" w:fill="auto"/>
    </w:rPr>
  </w:style>
  <w:style w:type="paragraph" w:customStyle="1" w:styleId="Style2">
    <w:name w:val="正文文本 (3)"/>
    <w:basedOn w:val="Normal"/>
    <w:link w:val="CharStyle3"/>
    <w:pPr>
      <w:widowControl w:val="0"/>
      <w:shd w:val="clear" w:color="auto" w:fill="auto"/>
      <w:spacing w:after="20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正文文本 (5)"/>
    <w:basedOn w:val="Normal"/>
    <w:link w:val="CharStyle6"/>
    <w:pPr>
      <w:widowControl w:val="0"/>
      <w:shd w:val="clear" w:color="auto" w:fill="auto"/>
      <w:spacing w:after="680"/>
      <w:jc w:val="center"/>
    </w:pPr>
    <w:rPr>
      <w:rFonts w:ascii="SimHei" w:eastAsia="SimHei" w:hAnsi="SimHei" w:cs="SimHei"/>
      <w:b/>
      <w:bCs/>
      <w:i w:val="0"/>
      <w:iCs w:val="0"/>
      <w:smallCaps w:val="0"/>
      <w:strike w:val="0"/>
      <w:sz w:val="28"/>
      <w:szCs w:val="28"/>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正文文本"/>
    <w:basedOn w:val="Normal"/>
    <w:link w:val="CharStyle13"/>
    <w:pPr>
      <w:widowControl w:val="0"/>
      <w:shd w:val="clear" w:color="auto" w:fill="auto"/>
      <w:spacing w:after="100"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5">
    <w:name w:val="正文文本 (4)"/>
    <w:basedOn w:val="Normal"/>
    <w:link w:val="CharStyle16"/>
    <w:pPr>
      <w:widowControl w:val="0"/>
      <w:shd w:val="clear" w:color="auto" w:fill="auto"/>
      <w:spacing w:before="150" w:after="280"/>
      <w:jc w:val="center"/>
    </w:pPr>
    <w:rPr>
      <w:rFonts w:ascii="SimSun" w:eastAsia="SimSun" w:hAnsi="SimSun" w:cs="SimSun"/>
      <w:b/>
      <w:bCs/>
      <w:i w:val="0"/>
      <w:iCs w:val="0"/>
      <w:smallCaps w:val="0"/>
      <w:strike w:val="0"/>
      <w:sz w:val="48"/>
      <w:szCs w:val="48"/>
      <w:u w:val="none"/>
      <w:shd w:val="clear" w:color="auto" w:fill="auto"/>
    </w:rPr>
  </w:style>
  <w:style w:type="paragraph" w:customStyle="1" w:styleId="Style18">
    <w:name w:val="目录"/>
    <w:basedOn w:val="Normal"/>
    <w:link w:val="CharStyle19"/>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21">
    <w:name w:val="标题 #1"/>
    <w:basedOn w:val="Normal"/>
    <w:link w:val="CharStyle22"/>
    <w:pPr>
      <w:widowControl w:val="0"/>
      <w:shd w:val="clear" w:color="auto" w:fill="auto"/>
      <w:spacing w:after="350"/>
      <w:jc w:val="center"/>
      <w:outlineLvl w:val="0"/>
    </w:pPr>
    <w:rPr>
      <w:rFonts w:ascii="SimSun" w:eastAsia="SimSun" w:hAnsi="SimSun" w:cs="SimSun"/>
      <w:b/>
      <w:bCs/>
      <w:i w:val="0"/>
      <w:iCs w:val="0"/>
      <w:smallCaps w:val="0"/>
      <w:strike w:val="0"/>
      <w:sz w:val="40"/>
      <w:szCs w:val="4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6">
    <w:name w:val="其他"/>
    <w:basedOn w:val="Normal"/>
    <w:link w:val="CharStyle27"/>
    <w:pPr>
      <w:widowControl w:val="0"/>
      <w:shd w:val="clear" w:color="auto" w:fill="auto"/>
      <w:spacing w:after="100"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标题 #2"/>
    <w:basedOn w:val="Normal"/>
    <w:link w:val="CharStyle30"/>
    <w:pPr>
      <w:widowControl w:val="0"/>
      <w:shd w:val="clear" w:color="auto" w:fill="auto"/>
      <w:spacing w:after="40" w:line="273" w:lineRule="exact"/>
      <w:ind w:firstLine="48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50">
    <w:name w:val="其他 (2)"/>
    <w:basedOn w:val="Normal"/>
    <w:link w:val="CharStyle51"/>
    <w:pPr>
      <w:widowControl w:val="0"/>
      <w:shd w:val="clear" w:color="auto" w:fill="auto"/>
      <w:spacing w:before="50"/>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正文文本 (2)"/>
    <w:basedOn w:val="Normal"/>
    <w:link w:val="CharStyle54"/>
    <w:pPr>
      <w:widowControl w:val="0"/>
      <w:shd w:val="clear" w:color="auto" w:fill="auto"/>
      <w:spacing w:after="100" w:line="271" w:lineRule="exact"/>
      <w:ind w:left="480" w:firstLine="4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0">
    <w:name w:val="页眉或页脚"/>
    <w:basedOn w:val="Normal"/>
    <w:link w:val="CharStyle71"/>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88">
    <w:name w:val="正文文本 (8)"/>
    <w:basedOn w:val="Normal"/>
    <w:link w:val="CharStyle89"/>
    <w:pPr>
      <w:widowControl w:val="0"/>
      <w:shd w:val="clear" w:color="auto" w:fill="auto"/>
      <w:spacing w:after="380" w:line="379" w:lineRule="exact"/>
      <w:ind w:firstLine="620"/>
    </w:pPr>
    <w:rPr>
      <w:rFonts w:ascii="SimSun" w:eastAsia="SimSun" w:hAnsi="SimSun" w:cs="SimSun"/>
      <w:b w:val="0"/>
      <w:bCs w:val="0"/>
      <w:i w:val="0"/>
      <w:iCs w:val="0"/>
      <w:smallCaps w:val="0"/>
      <w:strike w:val="0"/>
      <w:sz w:val="26"/>
      <w:szCs w:val="2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image" Target="media/image6.jpeg"/><Relationship Id="rId34" Type="http://schemas.openxmlformats.org/officeDocument/2006/relationships/image" Target="media/image6.jpeg" TargetMode="Externa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s>
</file>

<file path=word/_rels/header7.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