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xml" ContentType="application/vnd.openxmlformats-officedocument.wordprocessingml.header+xml"/>
  <Override PartName="/word/footer28.xml" ContentType="application/vnd.openxmlformats-officedocument.wordprocessingml.footer+xml"/>
  <Override PartName="/word/header9.xml" ContentType="application/vnd.openxmlformats-officedocument.wordprocessingml.head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header13.xml" ContentType="application/vnd.openxmlformats-officedocument.wordprocessingml.head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22.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3.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24.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25.xml" ContentType="application/vnd.openxmlformats-officedocument.wordprocessingml.header+xml"/>
  <Override PartName="/word/footer52.xml" ContentType="application/vnd.openxmlformats-officedocument.wordprocessingml.footer+xml"/>
  <Override PartName="/word/header26.xml" ContentType="application/vnd.openxmlformats-officedocument.wordprocessingml.header+xml"/>
  <Override PartName="/word/footer53.xml" ContentType="application/vnd.openxmlformats-officedocument.wordprocessingml.footer+xml"/>
  <Override PartName="/word/header2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5"/>
          <w:szCs w:val="15"/>
        </w:rPr>
      </w:pPr>
    </w:p>
    <w:p>
      <w:pPr>
        <w:spacing w:line="3280" w:lineRule="exact"/>
        <w:ind w:left="275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drawing>
          <wp:inline distT="0" distB="0" distL="0" distR="0">
            <wp:extent cx="2253144" cy="20829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53144" cy="2082927"/>
                    </a:xfrm>
                    <a:prstGeom prst="rect">
                      <a:avLst/>
                    </a:prstGeom>
                  </pic:spPr>
                </pic:pic>
              </a:graphicData>
            </a:graphic>
          </wp:inline>
        </w:drawing>
      </w:r>
      <w:r>
        <w:rPr>
          <w:rFonts w:ascii="Times New Roman" w:hAnsi="Times New Roman" w:cs="Times New Roman" w:eastAsia="Times New Roman" w:hint="default"/>
          <w:position w:val="-6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621" w:lineRule="exact" w:before="0"/>
        <w:ind w:left="1380" w:right="861" w:firstLine="0"/>
        <w:jc w:val="center"/>
        <w:rPr>
          <w:rFonts w:ascii="黑体" w:hAnsi="黑体" w:cs="黑体" w:eastAsia="黑体" w:hint="default"/>
          <w:sz w:val="52"/>
          <w:szCs w:val="52"/>
        </w:rPr>
      </w:pPr>
      <w:r>
        <w:rPr>
          <w:rFonts w:ascii="黑体" w:hAnsi="黑体" w:cs="黑体" w:eastAsia="黑体" w:hint="default"/>
          <w:b/>
          <w:bCs/>
          <w:color w:val="FF0000"/>
          <w:sz w:val="52"/>
          <w:szCs w:val="52"/>
        </w:rPr>
        <w:t>江苏林洋能源股份有限公司</w:t>
      </w:r>
      <w:r>
        <w:rPr>
          <w:rFonts w:ascii="黑体" w:hAnsi="黑体" w:cs="黑体" w:eastAsia="黑体" w:hint="default"/>
          <w:sz w:val="52"/>
          <w:szCs w:val="52"/>
        </w:rPr>
      </w:r>
    </w:p>
    <w:p>
      <w:pPr>
        <w:spacing w:before="332"/>
        <w:ind w:left="1378" w:right="861" w:firstLine="0"/>
        <w:jc w:val="center"/>
        <w:rPr>
          <w:rFonts w:ascii="黑体" w:hAnsi="黑体" w:cs="黑体" w:eastAsia="黑体" w:hint="default"/>
          <w:sz w:val="52"/>
          <w:szCs w:val="52"/>
        </w:rPr>
      </w:pPr>
      <w:r>
        <w:rPr>
          <w:rFonts w:ascii="黑体"/>
          <w:b/>
          <w:color w:val="FF0000"/>
          <w:sz w:val="52"/>
        </w:rPr>
        <w:t>601222</w:t>
      </w:r>
      <w:r>
        <w:rPr>
          <w:rFonts w:ascii="黑体"/>
          <w:sz w:val="52"/>
        </w:rPr>
      </w:r>
    </w:p>
    <w:p>
      <w:pPr>
        <w:spacing w:before="330"/>
        <w:ind w:left="1380" w:right="861" w:firstLine="0"/>
        <w:jc w:val="center"/>
        <w:rPr>
          <w:rFonts w:ascii="黑体" w:hAnsi="黑体" w:cs="黑体" w:eastAsia="黑体" w:hint="default"/>
          <w:sz w:val="52"/>
          <w:szCs w:val="52"/>
        </w:rPr>
      </w:pPr>
      <w:r>
        <w:rPr>
          <w:rFonts w:ascii="黑体" w:hAnsi="黑体" w:cs="黑体" w:eastAsia="黑体" w:hint="default"/>
          <w:b/>
          <w:bCs/>
          <w:color w:val="FF0000"/>
          <w:sz w:val="52"/>
          <w:szCs w:val="52"/>
        </w:rPr>
        <w:t>2018</w:t>
      </w:r>
      <w:r>
        <w:rPr>
          <w:rFonts w:ascii="黑体" w:hAnsi="黑体" w:cs="黑体" w:eastAsia="黑体" w:hint="default"/>
          <w:b/>
          <w:bCs/>
          <w:color w:val="FF0000"/>
          <w:spacing w:val="-133"/>
          <w:sz w:val="52"/>
          <w:szCs w:val="52"/>
        </w:rPr>
        <w:t> </w:t>
      </w:r>
      <w:r>
        <w:rPr>
          <w:rFonts w:ascii="黑体" w:hAnsi="黑体" w:cs="黑体" w:eastAsia="黑体" w:hint="default"/>
          <w:b/>
          <w:bCs/>
          <w:color w:val="FF0000"/>
          <w:sz w:val="52"/>
          <w:szCs w:val="52"/>
        </w:rPr>
        <w:t>年年度报告</w:t>
      </w:r>
      <w:r>
        <w:rPr>
          <w:rFonts w:ascii="黑体" w:hAnsi="黑体" w:cs="黑体" w:eastAsia="黑体" w:hint="default"/>
          <w:sz w:val="52"/>
          <w:szCs w:val="52"/>
        </w:rPr>
      </w:r>
    </w:p>
    <w:p>
      <w:pPr>
        <w:spacing w:after="0"/>
        <w:jc w:val="center"/>
        <w:rPr>
          <w:rFonts w:ascii="黑体" w:hAnsi="黑体" w:cs="黑体" w:eastAsia="黑体" w:hint="default"/>
          <w:sz w:val="52"/>
          <w:szCs w:val="52"/>
        </w:rPr>
        <w:sectPr>
          <w:type w:val="continuous"/>
          <w:pgSz w:w="11910" w:h="16840"/>
          <w:pgMar w:top="1580" w:bottom="280" w:left="1680" w:right="1680"/>
        </w:sectPr>
      </w:pPr>
    </w:p>
    <w:p>
      <w:pPr>
        <w:spacing w:line="240" w:lineRule="auto" w:before="4"/>
        <w:rPr>
          <w:rFonts w:ascii="黑体" w:hAnsi="黑体" w:cs="黑体" w:eastAsia="黑体" w:hint="default"/>
          <w:b/>
          <w:bCs/>
          <w:sz w:val="25"/>
          <w:szCs w:val="25"/>
        </w:rPr>
      </w:pPr>
    </w:p>
    <w:p>
      <w:pPr>
        <w:pStyle w:val="BodyText"/>
        <w:tabs>
          <w:tab w:pos="6240" w:val="left" w:leader="none"/>
        </w:tabs>
        <w:spacing w:line="240" w:lineRule="auto" w:before="36"/>
        <w:ind w:left="45" w:right="0"/>
        <w:jc w:val="center"/>
      </w:pPr>
      <w:r>
        <w:rPr>
          <w:spacing w:val="-1"/>
        </w:rPr>
        <w:t>公司代码：</w:t>
      </w:r>
      <w:r>
        <w:rPr>
          <w:rFonts w:ascii="宋体" w:hAnsi="宋体" w:cs="宋体" w:eastAsia="宋体" w:hint="default"/>
          <w:spacing w:val="-1"/>
        </w:rPr>
        <w:t>601222</w:t>
        <w:tab/>
      </w:r>
      <w:r>
        <w:rPr>
          <w:spacing w:val="-2"/>
        </w:rPr>
        <w:t>公司简称：林洋能源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04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江苏林洋能源股份有限公司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10"/>
        <w:rPr>
          <w:rFonts w:ascii="黑体" w:hAnsi="黑体" w:cs="黑体" w:eastAsia="黑体" w:hint="default"/>
          <w:b/>
          <w:bCs/>
          <w:sz w:val="40"/>
          <w:szCs w:val="40"/>
        </w:rPr>
      </w:pPr>
    </w:p>
    <w:p>
      <w:pPr>
        <w:spacing w:before="0"/>
        <w:ind w:left="42" w:right="0" w:firstLine="0"/>
        <w:jc w:val="center"/>
        <w:rPr>
          <w:rFonts w:ascii="宋体" w:hAnsi="宋体" w:cs="宋体" w:eastAsia="宋体" w:hint="default"/>
          <w:sz w:val="30"/>
          <w:szCs w:val="30"/>
        </w:rPr>
      </w:pPr>
      <w:r>
        <w:rPr>
          <w:rFonts w:ascii="宋体" w:hAnsi="宋体" w:cs="宋体" w:eastAsia="宋体" w:hint="default"/>
          <w:b/>
          <w:bCs/>
          <w:sz w:val="30"/>
          <w:szCs w:val="30"/>
        </w:rPr>
        <w:t>致股东书</w:t>
      </w:r>
      <w:r>
        <w:rPr>
          <w:rFonts w:ascii="宋体" w:hAnsi="宋体" w:cs="宋体" w:eastAsia="宋体" w:hint="default"/>
          <w:sz w:val="30"/>
          <w:szCs w:val="30"/>
        </w:rPr>
      </w:r>
    </w:p>
    <w:p>
      <w:pPr>
        <w:spacing w:line="240" w:lineRule="auto" w:before="1"/>
        <w:rPr>
          <w:rFonts w:ascii="宋体" w:hAnsi="宋体" w:cs="宋体" w:eastAsia="宋体" w:hint="default"/>
          <w:b/>
          <w:bCs/>
          <w:sz w:val="31"/>
          <w:szCs w:val="31"/>
        </w:rPr>
      </w:pPr>
    </w:p>
    <w:p>
      <w:pPr>
        <w:spacing w:before="0"/>
        <w:ind w:left="178" w:right="0" w:firstLine="0"/>
        <w:jc w:val="both"/>
        <w:rPr>
          <w:rFonts w:ascii="宋体" w:hAnsi="宋体" w:cs="宋体" w:eastAsia="宋体" w:hint="default"/>
          <w:sz w:val="28"/>
          <w:szCs w:val="28"/>
        </w:rPr>
      </w:pPr>
      <w:r>
        <w:rPr>
          <w:rFonts w:ascii="宋体" w:hAnsi="宋体" w:cs="宋体" w:eastAsia="宋体" w:hint="default"/>
          <w:sz w:val="28"/>
          <w:szCs w:val="28"/>
        </w:rPr>
        <w:t>尊敬的林洋能源各位股东：</w:t>
      </w:r>
    </w:p>
    <w:p>
      <w:pPr>
        <w:spacing w:line="357" w:lineRule="auto" w:before="178"/>
        <w:ind w:left="178" w:right="132" w:firstLine="559"/>
        <w:jc w:val="both"/>
        <w:rPr>
          <w:rFonts w:ascii="宋体" w:hAnsi="宋体" w:cs="宋体" w:eastAsia="宋体" w:hint="default"/>
          <w:sz w:val="28"/>
          <w:szCs w:val="28"/>
        </w:rPr>
      </w:pPr>
      <w:r>
        <w:rPr>
          <w:rFonts w:ascii="宋体" w:hAnsi="宋体" w:cs="宋体" w:eastAsia="宋体" w:hint="default"/>
          <w:sz w:val="28"/>
          <w:szCs w:val="28"/>
        </w:rPr>
        <w:t>2018</w:t>
      </w:r>
      <w:r>
        <w:rPr>
          <w:rFonts w:ascii="宋体" w:hAnsi="宋体" w:cs="宋体" w:eastAsia="宋体" w:hint="default"/>
          <w:spacing w:val="-63"/>
          <w:sz w:val="28"/>
          <w:szCs w:val="28"/>
        </w:rPr>
        <w:t> </w:t>
      </w:r>
      <w:r>
        <w:rPr>
          <w:rFonts w:ascii="宋体" w:hAnsi="宋体" w:cs="宋体" w:eastAsia="宋体" w:hint="default"/>
          <w:sz w:val="28"/>
          <w:szCs w:val="28"/>
        </w:rPr>
        <w:t>年是中国改革开放</w:t>
      </w:r>
      <w:r>
        <w:rPr>
          <w:rFonts w:ascii="宋体" w:hAnsi="宋体" w:cs="宋体" w:eastAsia="宋体" w:hint="default"/>
          <w:spacing w:val="-62"/>
          <w:sz w:val="28"/>
          <w:szCs w:val="28"/>
        </w:rPr>
        <w:t> </w:t>
      </w:r>
      <w:r>
        <w:rPr>
          <w:rFonts w:ascii="宋体" w:hAnsi="宋体" w:cs="宋体" w:eastAsia="宋体" w:hint="default"/>
          <w:sz w:val="28"/>
          <w:szCs w:val="28"/>
        </w:rPr>
        <w:t>40</w:t>
      </w:r>
      <w:r>
        <w:rPr>
          <w:rFonts w:ascii="宋体" w:hAnsi="宋体" w:cs="宋体" w:eastAsia="宋体" w:hint="default"/>
          <w:spacing w:val="-62"/>
          <w:sz w:val="28"/>
          <w:szCs w:val="28"/>
        </w:rPr>
        <w:t> </w:t>
      </w:r>
      <w:r>
        <w:rPr>
          <w:rFonts w:ascii="宋体" w:hAnsi="宋体" w:cs="宋体" w:eastAsia="宋体" w:hint="default"/>
          <w:spacing w:val="-5"/>
          <w:sz w:val="28"/>
          <w:szCs w:val="28"/>
        </w:rPr>
        <w:t>周年，是开启全面建设社会主义现代化国</w:t>
      </w:r>
      <w:r>
        <w:rPr>
          <w:rFonts w:ascii="宋体" w:hAnsi="宋体" w:cs="宋体" w:eastAsia="宋体" w:hint="default"/>
          <w:w w:val="100"/>
          <w:sz w:val="28"/>
          <w:szCs w:val="28"/>
        </w:rPr>
        <w:t> </w:t>
      </w:r>
      <w:r>
        <w:rPr>
          <w:rFonts w:ascii="宋体" w:hAnsi="宋体" w:cs="宋体" w:eastAsia="宋体" w:hint="default"/>
          <w:spacing w:val="-5"/>
          <w:sz w:val="28"/>
          <w:szCs w:val="28"/>
        </w:rPr>
        <w:t>家新征程的一个重要历史坐标和时间节点。回首过去，中国经历了波澜壮</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阔的改革，中国经济发生了一系列连续性且有深度的变化，同时也面临着</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新的挑战和压力。</w:t>
      </w:r>
    </w:p>
    <w:p>
      <w:pPr>
        <w:spacing w:before="41"/>
        <w:ind w:left="737" w:right="0" w:firstLine="0"/>
        <w:jc w:val="left"/>
        <w:rPr>
          <w:rFonts w:ascii="宋体" w:hAnsi="宋体" w:cs="宋体" w:eastAsia="宋体" w:hint="default"/>
          <w:sz w:val="28"/>
          <w:szCs w:val="28"/>
        </w:rPr>
      </w:pPr>
      <w:r>
        <w:rPr>
          <w:rFonts w:ascii="宋体" w:hAnsi="宋体" w:cs="宋体" w:eastAsia="宋体" w:hint="default"/>
          <w:sz w:val="28"/>
          <w:szCs w:val="28"/>
        </w:rPr>
        <w:t>2018</w:t>
      </w:r>
      <w:r>
        <w:rPr>
          <w:rFonts w:ascii="宋体" w:hAnsi="宋体" w:cs="宋体" w:eastAsia="宋体" w:hint="default"/>
          <w:spacing w:val="-77"/>
          <w:sz w:val="28"/>
          <w:szCs w:val="28"/>
        </w:rPr>
        <w:t> </w:t>
      </w:r>
      <w:r>
        <w:rPr>
          <w:rFonts w:ascii="宋体" w:hAnsi="宋体" w:cs="宋体" w:eastAsia="宋体" w:hint="default"/>
          <w:sz w:val="28"/>
          <w:szCs w:val="28"/>
        </w:rPr>
        <w:t>年对于林洋人来说同样是不平凡的一年。这一年，我们的营业</w:t>
      </w:r>
    </w:p>
    <w:p>
      <w:pPr>
        <w:spacing w:line="357" w:lineRule="auto" w:before="178"/>
        <w:ind w:left="178" w:right="130" w:firstLine="0"/>
        <w:jc w:val="both"/>
        <w:rPr>
          <w:rFonts w:ascii="宋体" w:hAnsi="宋体" w:cs="宋体" w:eastAsia="宋体" w:hint="default"/>
          <w:sz w:val="28"/>
          <w:szCs w:val="28"/>
        </w:rPr>
      </w:pPr>
      <w:r>
        <w:rPr>
          <w:rFonts w:ascii="宋体" w:hAnsi="宋体" w:cs="宋体" w:eastAsia="宋体" w:hint="default"/>
          <w:spacing w:val="-10"/>
          <w:w w:val="100"/>
          <w:sz w:val="28"/>
          <w:szCs w:val="28"/>
        </w:rPr>
        <w:t>收入和净利润再创新高，自上市以来</w:t>
      </w:r>
      <w:r>
        <w:rPr>
          <w:rFonts w:ascii="宋体" w:hAnsi="宋体" w:cs="宋体" w:eastAsia="宋体" w:hint="default"/>
          <w:spacing w:val="-87"/>
          <w:w w:val="100"/>
          <w:sz w:val="28"/>
          <w:szCs w:val="28"/>
        </w:rPr>
        <w:t> </w:t>
      </w:r>
      <w:r>
        <w:rPr>
          <w:rFonts w:ascii="宋体" w:hAnsi="宋体" w:cs="宋体" w:eastAsia="宋体" w:hint="default"/>
          <w:w w:val="100"/>
          <w:sz w:val="28"/>
          <w:szCs w:val="28"/>
        </w:rPr>
        <w:t>8</w:t>
      </w:r>
      <w:r>
        <w:rPr>
          <w:rFonts w:ascii="宋体" w:hAnsi="宋体" w:cs="宋体" w:eastAsia="宋体" w:hint="default"/>
          <w:spacing w:val="-89"/>
          <w:w w:val="100"/>
          <w:sz w:val="28"/>
          <w:szCs w:val="28"/>
        </w:rPr>
        <w:t> </w:t>
      </w:r>
      <w:r>
        <w:rPr>
          <w:rFonts w:ascii="宋体" w:hAnsi="宋体" w:cs="宋体" w:eastAsia="宋体" w:hint="default"/>
          <w:spacing w:val="-1"/>
          <w:w w:val="100"/>
          <w:sz w:val="28"/>
          <w:szCs w:val="28"/>
        </w:rPr>
        <w:t>年净利润年复合增长率实现</w:t>
      </w:r>
      <w:r>
        <w:rPr>
          <w:rFonts w:ascii="宋体" w:hAnsi="宋体" w:cs="宋体" w:eastAsia="宋体" w:hint="default"/>
          <w:spacing w:val="-89"/>
          <w:w w:val="100"/>
          <w:sz w:val="28"/>
          <w:szCs w:val="28"/>
        </w:rPr>
        <w:t> </w:t>
      </w:r>
      <w:r>
        <w:rPr>
          <w:rFonts w:ascii="宋体" w:hAnsi="宋体" w:cs="宋体" w:eastAsia="宋体" w:hint="default"/>
          <w:spacing w:val="-1"/>
          <w:w w:val="100"/>
          <w:sz w:val="28"/>
          <w:szCs w:val="28"/>
        </w:rPr>
        <w:t>19.11%</w:t>
      </w:r>
      <w:r>
        <w:rPr>
          <w:rFonts w:ascii="宋体" w:hAnsi="宋体" w:cs="宋体" w:eastAsia="宋体" w:hint="default"/>
          <w:w w:val="100"/>
          <w:sz w:val="28"/>
          <w:szCs w:val="28"/>
        </w:rPr>
        <w:t> </w:t>
      </w:r>
      <w:r>
        <w:rPr>
          <w:rFonts w:ascii="宋体" w:hAnsi="宋体" w:cs="宋体" w:eastAsia="宋体" w:hint="default"/>
          <w:spacing w:val="-5"/>
          <w:sz w:val="28"/>
          <w:szCs w:val="28"/>
        </w:rPr>
        <w:t>的成绩。面对不断变化的产业环境，我们跳出路径依赖的思维定式，在业</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务发展上深化聚焦，稳健推进，实现了高质量的发展。</w:t>
      </w:r>
    </w:p>
    <w:p>
      <w:pPr>
        <w:spacing w:line="357" w:lineRule="auto" w:before="41"/>
        <w:ind w:left="178" w:right="128" w:firstLine="561"/>
        <w:jc w:val="both"/>
        <w:rPr>
          <w:rFonts w:ascii="宋体" w:hAnsi="宋体" w:cs="宋体" w:eastAsia="宋体" w:hint="default"/>
          <w:sz w:val="28"/>
          <w:szCs w:val="28"/>
        </w:rPr>
      </w:pPr>
      <w:r>
        <w:rPr>
          <w:rFonts w:ascii="宋体" w:hAnsi="宋体" w:cs="宋体" w:eastAsia="宋体" w:hint="default"/>
          <w:b/>
          <w:bCs/>
          <w:sz w:val="28"/>
          <w:szCs w:val="28"/>
        </w:rPr>
        <w:t>智能业务坚守本源，行稳致远。</w:t>
      </w:r>
      <w:r>
        <w:rPr>
          <w:rFonts w:ascii="宋体" w:hAnsi="宋体" w:cs="宋体" w:eastAsia="宋体" w:hint="default"/>
          <w:sz w:val="28"/>
          <w:szCs w:val="28"/>
        </w:rPr>
        <w:t>2018</w:t>
      </w:r>
      <w:r>
        <w:rPr>
          <w:rFonts w:ascii="宋体" w:hAnsi="宋体" w:cs="宋体" w:eastAsia="宋体" w:hint="default"/>
          <w:spacing w:val="-73"/>
          <w:sz w:val="28"/>
          <w:szCs w:val="28"/>
        </w:rPr>
        <w:t> </w:t>
      </w:r>
      <w:r>
        <w:rPr>
          <w:rFonts w:ascii="宋体" w:hAnsi="宋体" w:cs="宋体" w:eastAsia="宋体" w:hint="default"/>
          <w:sz w:val="28"/>
          <w:szCs w:val="28"/>
        </w:rPr>
        <w:t>年，公司根据市场变化适时调</w:t>
      </w:r>
      <w:r>
        <w:rPr>
          <w:rFonts w:ascii="宋体" w:hAnsi="宋体" w:cs="宋体" w:eastAsia="宋体" w:hint="default"/>
          <w:w w:val="100"/>
          <w:sz w:val="28"/>
          <w:szCs w:val="28"/>
        </w:rPr>
        <w:t> </w:t>
      </w:r>
      <w:r>
        <w:rPr>
          <w:rFonts w:ascii="宋体" w:hAnsi="宋体" w:cs="宋体" w:eastAsia="宋体" w:hint="default"/>
          <w:spacing w:val="-5"/>
          <w:sz w:val="28"/>
          <w:szCs w:val="28"/>
        </w:rPr>
        <w:t>整销售策略，在保证国、南网集招份额领先的前提下，一方面加强国内非</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pacing w:val="-5"/>
          <w:sz w:val="28"/>
          <w:szCs w:val="28"/>
        </w:rPr>
        <w:t>集招市场开拓力度，依托公司深厚的技术积累及品牌影响力、高质量的产</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14"/>
          <w:sz w:val="28"/>
          <w:szCs w:val="28"/>
        </w:rPr>
        <w:t>品及服务，在自营销售上取得快速发展；另一方面，公司积极响应国家“走</w:t>
      </w:r>
      <w:r>
        <w:rPr>
          <w:rFonts w:ascii="宋体" w:hAnsi="宋体" w:cs="宋体" w:eastAsia="宋体" w:hint="default"/>
          <w:spacing w:val="-89"/>
          <w:sz w:val="28"/>
          <w:szCs w:val="28"/>
        </w:rPr>
        <w:t> </w:t>
      </w:r>
      <w:r>
        <w:rPr>
          <w:rFonts w:ascii="宋体" w:hAnsi="宋体" w:cs="宋体" w:eastAsia="宋体" w:hint="default"/>
          <w:spacing w:val="-89"/>
          <w:sz w:val="28"/>
          <w:szCs w:val="28"/>
        </w:rPr>
      </w:r>
      <w:r>
        <w:rPr>
          <w:rFonts w:ascii="宋体" w:hAnsi="宋体" w:cs="宋体" w:eastAsia="宋体" w:hint="default"/>
          <w:sz w:val="28"/>
          <w:szCs w:val="28"/>
        </w:rPr>
        <w:t>出去”和“一带一路”发展战略，不断加强海外营销网络建设，</w:t>
      </w:r>
      <w:r>
        <w:rPr>
          <w:rFonts w:ascii="宋体" w:hAnsi="宋体" w:cs="宋体" w:eastAsia="宋体" w:hint="default"/>
          <w:sz w:val="28"/>
          <w:szCs w:val="28"/>
        </w:rPr>
        <w:t>2018</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w w:val="100"/>
          <w:sz w:val="28"/>
          <w:szCs w:val="28"/>
        </w:rPr>
        <w:t> </w:t>
      </w:r>
      <w:r>
        <w:rPr>
          <w:rFonts w:ascii="宋体" w:hAnsi="宋体" w:cs="宋体" w:eastAsia="宋体" w:hint="default"/>
          <w:spacing w:val="-5"/>
          <w:sz w:val="28"/>
          <w:szCs w:val="28"/>
        </w:rPr>
        <w:t>在多个国家和地区设立子公司、合资公司和分支机构，同时新设海外研发</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14"/>
          <w:w w:val="100"/>
          <w:sz w:val="28"/>
          <w:szCs w:val="28"/>
        </w:rPr>
        <w:t>中心，实施本土化战略，深耕细作，稳步提升“林洋智造”的品牌影响力，</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pacing w:val="-5"/>
          <w:sz w:val="28"/>
          <w:szCs w:val="28"/>
        </w:rPr>
        <w:t>实现欧洲、中东、非洲、南亚、东南亚市场同步开拓，海外业务布局基本</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形成。</w:t>
      </w:r>
    </w:p>
    <w:p>
      <w:pPr>
        <w:spacing w:after="0" w:line="357" w:lineRule="auto"/>
        <w:jc w:val="both"/>
        <w:rPr>
          <w:rFonts w:ascii="宋体" w:hAnsi="宋体" w:cs="宋体" w:eastAsia="宋体" w:hint="default"/>
          <w:sz w:val="28"/>
          <w:szCs w:val="28"/>
        </w:rPr>
        <w:sectPr>
          <w:headerReference w:type="default" r:id="rId6"/>
          <w:footerReference w:type="default" r:id="rId7"/>
          <w:pgSz w:w="11910" w:h="16840"/>
          <w:pgMar w:header="728" w:footer="974" w:top="1120" w:bottom="1160" w:left="1620" w:right="1140"/>
          <w:pgNumType w:start="2"/>
        </w:sectPr>
      </w:pPr>
    </w:p>
    <w:p>
      <w:pPr>
        <w:spacing w:line="240" w:lineRule="auto" w:before="11"/>
        <w:rPr>
          <w:rFonts w:ascii="宋体" w:hAnsi="宋体" w:cs="宋体" w:eastAsia="宋体" w:hint="default"/>
          <w:sz w:val="25"/>
          <w:szCs w:val="25"/>
        </w:rPr>
      </w:pPr>
    </w:p>
    <w:p>
      <w:pPr>
        <w:spacing w:line="357" w:lineRule="auto" w:before="14"/>
        <w:ind w:left="178" w:right="249" w:firstLine="561"/>
        <w:jc w:val="both"/>
        <w:rPr>
          <w:rFonts w:ascii="宋体" w:hAnsi="宋体" w:cs="宋体" w:eastAsia="宋体" w:hint="default"/>
          <w:sz w:val="28"/>
          <w:szCs w:val="28"/>
        </w:rPr>
      </w:pPr>
      <w:r>
        <w:rPr>
          <w:rFonts w:ascii="宋体" w:hAnsi="宋体" w:cs="宋体" w:eastAsia="宋体" w:hint="default"/>
          <w:b/>
          <w:bCs/>
          <w:spacing w:val="-8"/>
          <w:sz w:val="28"/>
          <w:szCs w:val="28"/>
        </w:rPr>
        <w:t>新能源业务披坚执锐，步履铿锵。</w:t>
      </w:r>
      <w:r>
        <w:rPr>
          <w:rFonts w:ascii="宋体" w:hAnsi="宋体" w:cs="宋体" w:eastAsia="宋体" w:hint="default"/>
          <w:spacing w:val="-8"/>
          <w:sz w:val="28"/>
          <w:szCs w:val="28"/>
        </w:rPr>
        <w:t>2018</w:t>
      </w:r>
      <w:r>
        <w:rPr>
          <w:rFonts w:ascii="宋体" w:hAnsi="宋体" w:cs="宋体" w:eastAsia="宋体" w:hint="default"/>
          <w:spacing w:val="-52"/>
          <w:sz w:val="28"/>
          <w:szCs w:val="28"/>
        </w:rPr>
        <w:t> </w:t>
      </w:r>
      <w:r>
        <w:rPr>
          <w:rFonts w:ascii="宋体" w:hAnsi="宋体" w:cs="宋体" w:eastAsia="宋体" w:hint="default"/>
          <w:spacing w:val="-7"/>
          <w:sz w:val="28"/>
          <w:szCs w:val="28"/>
        </w:rPr>
        <w:t>年，国内光伏市场跌宕起伏，</w:t>
      </w:r>
      <w:r>
        <w:rPr>
          <w:rFonts w:ascii="宋体" w:hAnsi="宋体" w:cs="宋体" w:eastAsia="宋体" w:hint="default"/>
          <w:w w:val="100"/>
          <w:sz w:val="28"/>
          <w:szCs w:val="28"/>
        </w:rPr>
        <w:t> </w:t>
      </w:r>
      <w:r>
        <w:rPr>
          <w:rFonts w:ascii="宋体" w:hAnsi="宋体" w:cs="宋体" w:eastAsia="宋体" w:hint="default"/>
          <w:spacing w:val="-1"/>
          <w:sz w:val="28"/>
          <w:szCs w:val="28"/>
        </w:rPr>
        <w:t>光伏“531”政策对行业带来短期冲击，在一定程度上影响了公司光伏电</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站当年的建设规模与进度。即便如此，公司仍然积极应对行业变化，充分</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发挥自身项目开发、系统设计与集成、</w:t>
      </w:r>
      <w:r>
        <w:rPr>
          <w:rFonts w:ascii="宋体" w:hAnsi="宋体" w:cs="宋体" w:eastAsia="宋体" w:hint="default"/>
          <w:sz w:val="28"/>
          <w:szCs w:val="28"/>
        </w:rPr>
        <w:t>GW</w:t>
      </w:r>
      <w:r>
        <w:rPr>
          <w:rFonts w:ascii="宋体" w:hAnsi="宋体" w:cs="宋体" w:eastAsia="宋体" w:hint="default"/>
          <w:spacing w:val="-73"/>
          <w:sz w:val="28"/>
          <w:szCs w:val="28"/>
        </w:rPr>
        <w:t> </w:t>
      </w:r>
      <w:r>
        <w:rPr>
          <w:rFonts w:ascii="宋体" w:hAnsi="宋体" w:cs="宋体" w:eastAsia="宋体" w:hint="default"/>
          <w:sz w:val="28"/>
          <w:szCs w:val="28"/>
        </w:rPr>
        <w:t>级电站运营的综合优势，在巩</w:t>
      </w:r>
      <w:r>
        <w:rPr>
          <w:rFonts w:ascii="宋体" w:hAnsi="宋体" w:cs="宋体" w:eastAsia="宋体" w:hint="default"/>
          <w:w w:val="100"/>
          <w:sz w:val="28"/>
          <w:szCs w:val="28"/>
        </w:rPr>
        <w:t> </w:t>
      </w:r>
      <w:r>
        <w:rPr>
          <w:rFonts w:ascii="宋体" w:hAnsi="宋体" w:cs="宋体" w:eastAsia="宋体" w:hint="default"/>
          <w:spacing w:val="-5"/>
          <w:w w:val="100"/>
          <w:sz w:val="28"/>
          <w:szCs w:val="28"/>
        </w:rPr>
        <w:t>固公司分布式光伏电站运营领先地位的同时，积极拓展新的商业模式和盈</w:t>
      </w:r>
      <w:r>
        <w:rPr>
          <w:rFonts w:ascii="宋体" w:hAnsi="宋体" w:cs="宋体" w:eastAsia="宋体" w:hint="default"/>
          <w:spacing w:val="-138"/>
          <w:w w:val="100"/>
          <w:sz w:val="28"/>
          <w:szCs w:val="28"/>
        </w:rPr>
        <w:t> </w:t>
      </w:r>
      <w:r>
        <w:rPr>
          <w:rFonts w:ascii="宋体" w:hAnsi="宋体" w:cs="宋体" w:eastAsia="宋体" w:hint="default"/>
          <w:spacing w:val="-138"/>
          <w:w w:val="100"/>
          <w:sz w:val="28"/>
          <w:szCs w:val="28"/>
        </w:rPr>
      </w:r>
      <w:r>
        <w:rPr>
          <w:rFonts w:ascii="宋体" w:hAnsi="宋体" w:cs="宋体" w:eastAsia="宋体" w:hint="default"/>
          <w:sz w:val="28"/>
          <w:szCs w:val="28"/>
        </w:rPr>
        <w:t>利模式，在</w:t>
      </w:r>
      <w:r>
        <w:rPr>
          <w:rFonts w:ascii="宋体" w:hAnsi="宋体" w:cs="宋体" w:eastAsia="宋体" w:hint="default"/>
          <w:spacing w:val="-74"/>
          <w:sz w:val="28"/>
          <w:szCs w:val="28"/>
        </w:rPr>
        <w:t> </w:t>
      </w:r>
      <w:r>
        <w:rPr>
          <w:rFonts w:ascii="宋体" w:hAnsi="宋体" w:cs="宋体" w:eastAsia="宋体" w:hint="default"/>
          <w:sz w:val="28"/>
          <w:szCs w:val="28"/>
        </w:rPr>
        <w:t>EPC</w:t>
      </w:r>
      <w:r>
        <w:rPr>
          <w:rFonts w:ascii="宋体" w:hAnsi="宋体" w:cs="宋体" w:eastAsia="宋体" w:hint="default"/>
          <w:spacing w:val="-73"/>
          <w:sz w:val="28"/>
          <w:szCs w:val="28"/>
        </w:rPr>
        <w:t> </w:t>
      </w:r>
      <w:r>
        <w:rPr>
          <w:rFonts w:ascii="宋体" w:hAnsi="宋体" w:cs="宋体" w:eastAsia="宋体" w:hint="default"/>
          <w:sz w:val="28"/>
          <w:szCs w:val="28"/>
        </w:rPr>
        <w:t>系统集成业务上取得重大突破。</w:t>
      </w:r>
      <w:r>
        <w:rPr>
          <w:rFonts w:ascii="宋体" w:hAnsi="宋体" w:cs="宋体" w:eastAsia="宋体" w:hint="default"/>
          <w:sz w:val="28"/>
          <w:szCs w:val="28"/>
        </w:rPr>
        <w:t>2018</w:t>
      </w:r>
      <w:r>
        <w:rPr>
          <w:rFonts w:ascii="宋体" w:hAnsi="宋体" w:cs="宋体" w:eastAsia="宋体" w:hint="default"/>
          <w:spacing w:val="-70"/>
          <w:sz w:val="28"/>
          <w:szCs w:val="28"/>
        </w:rPr>
        <w:t> </w:t>
      </w:r>
      <w:r>
        <w:rPr>
          <w:rFonts w:ascii="宋体" w:hAnsi="宋体" w:cs="宋体" w:eastAsia="宋体" w:hint="default"/>
          <w:sz w:val="28"/>
          <w:szCs w:val="28"/>
        </w:rPr>
        <w:t>年，公司</w:t>
      </w:r>
      <w:r>
        <w:rPr>
          <w:rFonts w:ascii="宋体" w:hAnsi="宋体" w:cs="宋体" w:eastAsia="宋体" w:hint="default"/>
          <w:spacing w:val="-71"/>
          <w:sz w:val="28"/>
          <w:szCs w:val="28"/>
        </w:rPr>
        <w:t> </w:t>
      </w:r>
      <w:r>
        <w:rPr>
          <w:rFonts w:ascii="宋体" w:hAnsi="宋体" w:cs="宋体" w:eastAsia="宋体" w:hint="default"/>
          <w:sz w:val="28"/>
          <w:szCs w:val="28"/>
        </w:rPr>
        <w:t>EPC</w:t>
      </w:r>
      <w:r>
        <w:rPr>
          <w:rFonts w:ascii="宋体" w:hAnsi="宋体" w:cs="宋体" w:eastAsia="宋体" w:hint="default"/>
          <w:spacing w:val="-71"/>
          <w:sz w:val="28"/>
          <w:szCs w:val="28"/>
        </w:rPr>
        <w:t> </w:t>
      </w:r>
      <w:r>
        <w:rPr>
          <w:rFonts w:ascii="宋体" w:hAnsi="宋体" w:cs="宋体" w:eastAsia="宋体" w:hint="default"/>
          <w:sz w:val="28"/>
          <w:szCs w:val="28"/>
        </w:rPr>
        <w:t>业务</w:t>
      </w:r>
      <w:r>
        <w:rPr>
          <w:rFonts w:ascii="宋体" w:hAnsi="宋体" w:cs="宋体" w:eastAsia="宋体" w:hint="default"/>
          <w:w w:val="100"/>
          <w:sz w:val="28"/>
          <w:szCs w:val="28"/>
        </w:rPr>
        <w:t> </w:t>
      </w:r>
      <w:r>
        <w:rPr>
          <w:rFonts w:ascii="宋体" w:hAnsi="宋体" w:cs="宋体" w:eastAsia="宋体" w:hint="default"/>
          <w:sz w:val="28"/>
          <w:szCs w:val="28"/>
        </w:rPr>
        <w:t>收入实现</w:t>
      </w:r>
      <w:r>
        <w:rPr>
          <w:rFonts w:ascii="宋体" w:hAnsi="宋体" w:cs="宋体" w:eastAsia="宋体" w:hint="default"/>
          <w:spacing w:val="-61"/>
          <w:sz w:val="28"/>
          <w:szCs w:val="28"/>
        </w:rPr>
        <w:t> </w:t>
      </w:r>
      <w:r>
        <w:rPr>
          <w:rFonts w:ascii="宋体" w:hAnsi="宋体" w:cs="宋体" w:eastAsia="宋体" w:hint="default"/>
          <w:sz w:val="28"/>
          <w:szCs w:val="28"/>
        </w:rPr>
        <w:t>10</w:t>
      </w:r>
      <w:r>
        <w:rPr>
          <w:rFonts w:ascii="宋体" w:hAnsi="宋体" w:cs="宋体" w:eastAsia="宋体" w:hint="default"/>
          <w:spacing w:val="-59"/>
          <w:sz w:val="28"/>
          <w:szCs w:val="28"/>
        </w:rPr>
        <w:t> </w:t>
      </w:r>
      <w:r>
        <w:rPr>
          <w:rFonts w:ascii="宋体" w:hAnsi="宋体" w:cs="宋体" w:eastAsia="宋体" w:hint="default"/>
          <w:spacing w:val="-4"/>
          <w:sz w:val="28"/>
          <w:szCs w:val="28"/>
        </w:rPr>
        <w:t>亿规模，同比增长</w:t>
      </w:r>
      <w:r>
        <w:rPr>
          <w:rFonts w:ascii="宋体" w:hAnsi="宋体" w:cs="宋体" w:eastAsia="宋体" w:hint="default"/>
          <w:spacing w:val="-59"/>
          <w:sz w:val="28"/>
          <w:szCs w:val="28"/>
        </w:rPr>
        <w:t> </w:t>
      </w:r>
      <w:r>
        <w:rPr>
          <w:rFonts w:ascii="宋体" w:hAnsi="宋体" w:cs="宋体" w:eastAsia="宋体" w:hint="default"/>
          <w:spacing w:val="-3"/>
          <w:sz w:val="28"/>
          <w:szCs w:val="28"/>
        </w:rPr>
        <w:t>2016.63%</w:t>
      </w:r>
      <w:r>
        <w:rPr>
          <w:rFonts w:ascii="宋体" w:hAnsi="宋体" w:cs="宋体" w:eastAsia="宋体" w:hint="default"/>
          <w:spacing w:val="-3"/>
          <w:sz w:val="28"/>
          <w:szCs w:val="28"/>
        </w:rPr>
        <w:t>。光伏行业的变化恰好为我们进</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z w:val="28"/>
          <w:szCs w:val="28"/>
        </w:rPr>
        <w:t>入更多领域提供了成长和锻炼自身的机会。</w:t>
      </w:r>
    </w:p>
    <w:p>
      <w:pPr>
        <w:spacing w:line="357" w:lineRule="auto" w:before="41"/>
        <w:ind w:left="178" w:right="0" w:firstLine="561"/>
        <w:jc w:val="left"/>
        <w:rPr>
          <w:rFonts w:ascii="宋体" w:hAnsi="宋体" w:cs="宋体" w:eastAsia="宋体" w:hint="default"/>
          <w:sz w:val="28"/>
          <w:szCs w:val="28"/>
        </w:rPr>
      </w:pPr>
      <w:r>
        <w:rPr>
          <w:rFonts w:ascii="宋体" w:hAnsi="宋体" w:cs="宋体" w:eastAsia="宋体" w:hint="default"/>
          <w:b/>
          <w:bCs/>
          <w:sz w:val="28"/>
          <w:szCs w:val="28"/>
        </w:rPr>
        <w:t>综合能源服务战略引领，创新驱动。</w:t>
      </w:r>
      <w:r>
        <w:rPr>
          <w:rFonts w:ascii="宋体" w:hAnsi="宋体" w:cs="宋体" w:eastAsia="宋体" w:hint="default"/>
          <w:sz w:val="28"/>
          <w:szCs w:val="28"/>
        </w:rPr>
        <w:t>随着互联网信息技术、可再生</w:t>
      </w:r>
      <w:r>
        <w:rPr>
          <w:rFonts w:ascii="宋体" w:hAnsi="宋体" w:cs="宋体" w:eastAsia="宋体" w:hint="default"/>
          <w:w w:val="100"/>
          <w:sz w:val="28"/>
          <w:szCs w:val="28"/>
        </w:rPr>
        <w:t> </w:t>
      </w:r>
      <w:r>
        <w:rPr>
          <w:rFonts w:ascii="宋体" w:hAnsi="宋体" w:cs="宋体" w:eastAsia="宋体" w:hint="default"/>
          <w:spacing w:val="-5"/>
          <w:w w:val="100"/>
          <w:sz w:val="28"/>
          <w:szCs w:val="28"/>
        </w:rPr>
        <w:t>能源技术以及电力改革进程的加快，综合能源服务正迎来快速发展的时代</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pacing w:val="-5"/>
          <w:sz w:val="28"/>
          <w:szCs w:val="28"/>
        </w:rPr>
        <w:t>机遇期。综合能源服务的发展正推动着新兴业态、商业模式、服务方式的</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不断创新。</w:t>
      </w:r>
      <w:r>
        <w:rPr>
          <w:rFonts w:ascii="宋体" w:hAnsi="宋体" w:cs="宋体" w:eastAsia="宋体" w:hint="default"/>
          <w:sz w:val="28"/>
          <w:szCs w:val="28"/>
        </w:rPr>
        <w:t>2018</w:t>
      </w:r>
      <w:r>
        <w:rPr>
          <w:rFonts w:ascii="宋体" w:hAnsi="宋体" w:cs="宋体" w:eastAsia="宋体" w:hint="default"/>
          <w:spacing w:val="-12"/>
          <w:sz w:val="28"/>
          <w:szCs w:val="28"/>
        </w:rPr>
        <w:t> </w:t>
      </w:r>
      <w:r>
        <w:rPr>
          <w:rFonts w:ascii="宋体" w:hAnsi="宋体" w:cs="宋体" w:eastAsia="宋体" w:hint="default"/>
          <w:sz w:val="28"/>
          <w:szCs w:val="28"/>
        </w:rPr>
        <w:t>年，公司从“消费端衍生型</w:t>
      </w:r>
      <w:r>
        <w:rPr>
          <w:rFonts w:ascii="宋体" w:hAnsi="宋体" w:cs="宋体" w:eastAsia="宋体" w:hint="default"/>
          <w:sz w:val="28"/>
          <w:szCs w:val="28"/>
        </w:rPr>
        <w:t>+</w:t>
      </w:r>
      <w:r>
        <w:rPr>
          <w:rFonts w:ascii="宋体" w:hAnsi="宋体" w:cs="宋体" w:eastAsia="宋体" w:hint="default"/>
          <w:sz w:val="28"/>
          <w:szCs w:val="28"/>
        </w:rPr>
        <w:t>技术渗透型”两方面入手，</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10"/>
          <w:w w:val="100"/>
          <w:sz w:val="28"/>
          <w:szCs w:val="28"/>
        </w:rPr>
        <w:t>全面开展综合能源业务。一方面，在“消费端衍生型”的综合能源服务中，</w:t>
      </w:r>
      <w:r>
        <w:rPr>
          <w:rFonts w:ascii="宋体" w:hAnsi="宋体" w:cs="宋体" w:eastAsia="宋体" w:hint="default"/>
          <w:spacing w:val="-110"/>
          <w:w w:val="100"/>
          <w:sz w:val="28"/>
          <w:szCs w:val="28"/>
        </w:rPr>
        <w:t> </w:t>
      </w:r>
      <w:r>
        <w:rPr>
          <w:rFonts w:ascii="宋体" w:hAnsi="宋体" w:cs="宋体" w:eastAsia="宋体" w:hint="default"/>
          <w:spacing w:val="-110"/>
          <w:w w:val="100"/>
          <w:sz w:val="28"/>
          <w:szCs w:val="28"/>
        </w:rPr>
      </w:r>
      <w:r>
        <w:rPr>
          <w:rFonts w:ascii="宋体" w:hAnsi="宋体" w:cs="宋体" w:eastAsia="宋体" w:hint="default"/>
          <w:spacing w:val="-5"/>
          <w:sz w:val="28"/>
          <w:szCs w:val="28"/>
        </w:rPr>
        <w:t>紧紧抓住国网转型发展的关键期，先后与国网下属江苏、山东、上海等综</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合能源服务公司签订战略合作协议，借国网发展增值服务为契机，开展综</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合能源业务合作；另一方面，在“技术渗透型”的综合能源服务中，依托</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pacing w:val="-5"/>
          <w:sz w:val="28"/>
          <w:szCs w:val="28"/>
        </w:rPr>
        <w:t>公司在分布式能源、智慧分布式能源管理云平台技术、节能改造、电能替</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z w:val="28"/>
          <w:szCs w:val="28"/>
        </w:rPr>
        <w:t>代等方面的运营经验和技术优势，以及智慧能效云平台覆盖的近</w:t>
      </w:r>
      <w:r>
        <w:rPr>
          <w:rFonts w:ascii="宋体" w:hAnsi="宋体" w:cs="宋体" w:eastAsia="宋体" w:hint="default"/>
          <w:spacing w:val="-74"/>
          <w:sz w:val="28"/>
          <w:szCs w:val="28"/>
        </w:rPr>
        <w:t> </w:t>
      </w:r>
      <w:r>
        <w:rPr>
          <w:rFonts w:ascii="宋体" w:hAnsi="宋体" w:cs="宋体" w:eastAsia="宋体" w:hint="default"/>
          <w:sz w:val="28"/>
          <w:szCs w:val="28"/>
        </w:rPr>
        <w:t>3500</w:t>
      </w:r>
      <w:r>
        <w:rPr>
          <w:rFonts w:ascii="宋体" w:hAnsi="宋体" w:cs="宋体" w:eastAsia="宋体" w:hint="default"/>
          <w:spacing w:val="-71"/>
          <w:sz w:val="28"/>
          <w:szCs w:val="28"/>
        </w:rPr>
        <w:t> </w:t>
      </w:r>
      <w:r>
        <w:rPr>
          <w:rFonts w:ascii="宋体" w:hAnsi="宋体" w:cs="宋体" w:eastAsia="宋体" w:hint="default"/>
          <w:sz w:val="28"/>
          <w:szCs w:val="28"/>
        </w:rPr>
        <w:t>家</w:t>
      </w:r>
      <w:r>
        <w:rPr>
          <w:rFonts w:ascii="宋体" w:hAnsi="宋体" w:cs="宋体" w:eastAsia="宋体" w:hint="default"/>
          <w:w w:val="100"/>
          <w:sz w:val="28"/>
          <w:szCs w:val="28"/>
        </w:rPr>
        <w:t> </w:t>
      </w:r>
      <w:r>
        <w:rPr>
          <w:rFonts w:ascii="宋体" w:hAnsi="宋体" w:cs="宋体" w:eastAsia="宋体" w:hint="default"/>
          <w:spacing w:val="-5"/>
          <w:sz w:val="28"/>
          <w:szCs w:val="28"/>
        </w:rPr>
        <w:t>高耗能用户的用电数据，有针对性的开展多个综合能源服务项目，进一步</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奠定公司行业能效管理专家的地位。</w:t>
      </w:r>
    </w:p>
    <w:p>
      <w:pPr>
        <w:spacing w:line="357" w:lineRule="auto" w:before="38"/>
        <w:ind w:left="178" w:right="263" w:firstLine="559"/>
        <w:jc w:val="both"/>
        <w:rPr>
          <w:rFonts w:ascii="宋体" w:hAnsi="宋体" w:cs="宋体" w:eastAsia="宋体" w:hint="default"/>
          <w:sz w:val="28"/>
          <w:szCs w:val="28"/>
        </w:rPr>
      </w:pPr>
      <w:r>
        <w:rPr>
          <w:rFonts w:ascii="宋体" w:hAnsi="宋体" w:cs="宋体" w:eastAsia="宋体" w:hint="default"/>
          <w:sz w:val="28"/>
          <w:szCs w:val="28"/>
        </w:rPr>
        <w:t>2018</w:t>
      </w:r>
      <w:r>
        <w:rPr>
          <w:rFonts w:ascii="宋体" w:hAnsi="宋体" w:cs="宋体" w:eastAsia="宋体" w:hint="default"/>
          <w:spacing w:val="-74"/>
          <w:sz w:val="28"/>
          <w:szCs w:val="28"/>
        </w:rPr>
        <w:t> </w:t>
      </w:r>
      <w:r>
        <w:rPr>
          <w:rFonts w:ascii="宋体" w:hAnsi="宋体" w:cs="宋体" w:eastAsia="宋体" w:hint="default"/>
          <w:sz w:val="28"/>
          <w:szCs w:val="28"/>
        </w:rPr>
        <w:t>年，在充满挑战的市场环境下，我们以更开阔的眼光来审视行</w:t>
      </w:r>
      <w:r>
        <w:rPr>
          <w:rFonts w:ascii="宋体" w:hAnsi="宋体" w:cs="宋体" w:eastAsia="宋体" w:hint="default"/>
          <w:w w:val="100"/>
          <w:sz w:val="28"/>
          <w:szCs w:val="28"/>
        </w:rPr>
        <w:t> </w:t>
      </w:r>
      <w:r>
        <w:rPr>
          <w:rFonts w:ascii="宋体" w:hAnsi="宋体" w:cs="宋体" w:eastAsia="宋体" w:hint="default"/>
          <w:spacing w:val="-1"/>
          <w:sz w:val="28"/>
          <w:szCs w:val="28"/>
        </w:rPr>
        <w:t>业与自身</w:t>
      </w:r>
      <w:r>
        <w:rPr>
          <w:rFonts w:ascii="宋体" w:hAnsi="宋体" w:cs="宋体" w:eastAsia="宋体" w:hint="default"/>
          <w:spacing w:val="-1"/>
          <w:sz w:val="28"/>
          <w:szCs w:val="28"/>
        </w:rPr>
        <w:t>,</w:t>
      </w:r>
      <w:r>
        <w:rPr>
          <w:rFonts w:ascii="宋体" w:hAnsi="宋体" w:cs="宋体" w:eastAsia="宋体" w:hint="default"/>
          <w:spacing w:val="-1"/>
          <w:sz w:val="28"/>
          <w:szCs w:val="28"/>
        </w:rPr>
        <w:t>坚定看好“智能、节能、新能源”的产业发展机遇，坚持业务</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定位，顺应时代发展，持续为股东创造价值。</w:t>
      </w:r>
    </w:p>
    <w:p>
      <w:pPr>
        <w:spacing w:before="41"/>
        <w:ind w:left="739" w:right="0" w:firstLine="0"/>
        <w:jc w:val="left"/>
        <w:rPr>
          <w:rFonts w:ascii="宋体" w:hAnsi="宋体" w:cs="宋体" w:eastAsia="宋体" w:hint="default"/>
          <w:sz w:val="28"/>
          <w:szCs w:val="28"/>
        </w:rPr>
      </w:pPr>
      <w:r>
        <w:rPr>
          <w:rFonts w:ascii="宋体" w:hAnsi="宋体" w:cs="宋体" w:eastAsia="宋体" w:hint="default"/>
          <w:b/>
          <w:bCs/>
          <w:sz w:val="28"/>
          <w:szCs w:val="28"/>
        </w:rPr>
        <w:t>2019</w:t>
      </w:r>
      <w:r>
        <w:rPr>
          <w:rFonts w:ascii="宋体" w:hAnsi="宋体" w:cs="宋体" w:eastAsia="宋体" w:hint="default"/>
          <w:b/>
          <w:bCs/>
          <w:spacing w:val="-75"/>
          <w:sz w:val="28"/>
          <w:szCs w:val="28"/>
        </w:rPr>
        <w:t> </w:t>
      </w:r>
      <w:r>
        <w:rPr>
          <w:rFonts w:ascii="宋体" w:hAnsi="宋体" w:cs="宋体" w:eastAsia="宋体" w:hint="default"/>
          <w:b/>
          <w:bCs/>
          <w:sz w:val="28"/>
          <w:szCs w:val="28"/>
        </w:rPr>
        <w:t>年，我们将抓住产业机遇，以卓越技术引领业务新发展。</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28" w:footer="974" w:top="1120" w:bottom="1160" w:left="1620" w:right="1020"/>
        </w:sectPr>
      </w:pPr>
    </w:p>
    <w:p>
      <w:pPr>
        <w:spacing w:line="240" w:lineRule="auto" w:before="11"/>
        <w:rPr>
          <w:rFonts w:ascii="宋体" w:hAnsi="宋体" w:cs="宋体" w:eastAsia="宋体" w:hint="default"/>
          <w:b/>
          <w:bCs/>
          <w:sz w:val="25"/>
          <w:szCs w:val="25"/>
        </w:rPr>
      </w:pPr>
    </w:p>
    <w:p>
      <w:pPr>
        <w:spacing w:line="357" w:lineRule="auto" w:before="14"/>
        <w:ind w:left="178" w:right="249" w:firstLine="559"/>
        <w:jc w:val="both"/>
        <w:rPr>
          <w:rFonts w:ascii="宋体" w:hAnsi="宋体" w:cs="宋体" w:eastAsia="宋体" w:hint="default"/>
          <w:sz w:val="28"/>
          <w:szCs w:val="28"/>
        </w:rPr>
      </w:pPr>
      <w:r>
        <w:rPr>
          <w:rFonts w:ascii="宋体" w:hAnsi="宋体" w:cs="宋体" w:eastAsia="宋体" w:hint="default"/>
          <w:spacing w:val="-15"/>
          <w:sz w:val="28"/>
          <w:szCs w:val="28"/>
        </w:rPr>
        <w:t>今年年初，国网正式提出“三型两网”战略布局，充分应用“大、云、</w:t>
      </w:r>
      <w:r>
        <w:rPr>
          <w:rFonts w:ascii="宋体" w:hAnsi="宋体" w:cs="宋体" w:eastAsia="宋体" w:hint="default"/>
          <w:w w:val="100"/>
          <w:sz w:val="28"/>
          <w:szCs w:val="28"/>
        </w:rPr>
        <w:t> </w:t>
      </w:r>
      <w:r>
        <w:rPr>
          <w:rFonts w:ascii="宋体" w:hAnsi="宋体" w:cs="宋体" w:eastAsia="宋体" w:hint="default"/>
          <w:spacing w:val="-5"/>
          <w:sz w:val="28"/>
          <w:szCs w:val="28"/>
        </w:rPr>
        <w:t>物、移、智”等现代信息技术，全面打造“泛在电力物联网”，而智能电</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6"/>
          <w:sz w:val="28"/>
          <w:szCs w:val="28"/>
        </w:rPr>
        <w:t>表作为稳定可靠的智能终端设备将全面受益于此次升级。同时，“泛在电</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pacing w:val="-5"/>
          <w:w w:val="100"/>
          <w:sz w:val="28"/>
          <w:szCs w:val="28"/>
        </w:rPr>
        <w:t>力物联网”的提出将促进新一代智能物联设备与电力系统间的相互渗透和</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z w:val="28"/>
          <w:szCs w:val="28"/>
        </w:rPr>
        <w:t>深度融合。</w:t>
      </w:r>
      <w:r>
        <w:rPr>
          <w:rFonts w:ascii="宋体" w:hAnsi="宋体" w:cs="宋体" w:eastAsia="宋体" w:hint="default"/>
          <w:sz w:val="28"/>
          <w:szCs w:val="28"/>
        </w:rPr>
        <w:t>2019</w:t>
      </w:r>
      <w:r>
        <w:rPr>
          <w:rFonts w:ascii="宋体" w:hAnsi="宋体" w:cs="宋体" w:eastAsia="宋体" w:hint="default"/>
          <w:spacing w:val="-72"/>
          <w:sz w:val="28"/>
          <w:szCs w:val="28"/>
        </w:rPr>
        <w:t> </w:t>
      </w:r>
      <w:r>
        <w:rPr>
          <w:rFonts w:ascii="宋体" w:hAnsi="宋体" w:cs="宋体" w:eastAsia="宋体" w:hint="default"/>
          <w:sz w:val="28"/>
          <w:szCs w:val="28"/>
        </w:rPr>
        <w:t>年，公司将充分利用自身技术优势，以智能配用电为核</w:t>
      </w:r>
      <w:r>
        <w:rPr>
          <w:rFonts w:ascii="宋体" w:hAnsi="宋体" w:cs="宋体" w:eastAsia="宋体" w:hint="default"/>
          <w:w w:val="100"/>
          <w:sz w:val="28"/>
          <w:szCs w:val="28"/>
        </w:rPr>
        <w:t> </w:t>
      </w:r>
      <w:r>
        <w:rPr>
          <w:rFonts w:ascii="宋体" w:hAnsi="宋体" w:cs="宋体" w:eastAsia="宋体" w:hint="default"/>
          <w:spacing w:val="-5"/>
          <w:sz w:val="28"/>
          <w:szCs w:val="28"/>
        </w:rPr>
        <w:t>心，聚焦于新型智能终端及相关应用平台，提供面向电网侧及用户侧的能</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源物联网系统解决方案。在能源物联网的支撑下，综合能源服务解决方案</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5"/>
          <w:sz w:val="28"/>
          <w:szCs w:val="28"/>
        </w:rPr>
        <w:t>将是践行供给侧改革、推动需求侧响应的关键手段，也是未来各类能源公</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9"/>
          <w:sz w:val="28"/>
          <w:szCs w:val="28"/>
        </w:rPr>
        <w:t>司的发展重点。公司将继续跟随能源发展大趋势，以“平台</w:t>
      </w:r>
      <w:r>
        <w:rPr>
          <w:rFonts w:ascii="宋体" w:hAnsi="宋体" w:cs="宋体" w:eastAsia="宋体" w:hint="default"/>
          <w:spacing w:val="-9"/>
          <w:sz w:val="28"/>
          <w:szCs w:val="28"/>
        </w:rPr>
        <w:t>+</w:t>
      </w:r>
      <w:r>
        <w:rPr>
          <w:rFonts w:ascii="宋体" w:hAnsi="宋体" w:cs="宋体" w:eastAsia="宋体" w:hint="default"/>
          <w:spacing w:val="-9"/>
          <w:sz w:val="28"/>
          <w:szCs w:val="28"/>
        </w:rPr>
        <w:t>服务”模式，</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深化国、南网综合能源服务战略合作，加强行业示范推广，提升该领域核</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心竞争力，实现客户与公司的双赢。</w:t>
      </w:r>
    </w:p>
    <w:p>
      <w:pPr>
        <w:spacing w:before="41"/>
        <w:ind w:left="739" w:right="0" w:firstLine="0"/>
        <w:jc w:val="left"/>
        <w:rPr>
          <w:rFonts w:ascii="宋体" w:hAnsi="宋体" w:cs="宋体" w:eastAsia="宋体" w:hint="default"/>
          <w:sz w:val="28"/>
          <w:szCs w:val="28"/>
        </w:rPr>
      </w:pPr>
      <w:r>
        <w:rPr>
          <w:rFonts w:ascii="宋体" w:hAnsi="宋体" w:cs="宋体" w:eastAsia="宋体" w:hint="default"/>
          <w:b/>
          <w:bCs/>
          <w:sz w:val="28"/>
          <w:szCs w:val="28"/>
        </w:rPr>
        <w:t>2019</w:t>
      </w:r>
      <w:r>
        <w:rPr>
          <w:rFonts w:ascii="宋体" w:hAnsi="宋体" w:cs="宋体" w:eastAsia="宋体" w:hint="default"/>
          <w:b/>
          <w:bCs/>
          <w:spacing w:val="-75"/>
          <w:sz w:val="28"/>
          <w:szCs w:val="28"/>
        </w:rPr>
        <w:t> </w:t>
      </w:r>
      <w:r>
        <w:rPr>
          <w:rFonts w:ascii="宋体" w:hAnsi="宋体" w:cs="宋体" w:eastAsia="宋体" w:hint="default"/>
          <w:b/>
          <w:bCs/>
          <w:sz w:val="28"/>
          <w:szCs w:val="28"/>
        </w:rPr>
        <w:t>年，我们将把握资源优势，以高效协同巩固提升竞争力。</w:t>
      </w:r>
      <w:r>
        <w:rPr>
          <w:rFonts w:ascii="宋体" w:hAnsi="宋体" w:cs="宋体" w:eastAsia="宋体" w:hint="default"/>
          <w:sz w:val="28"/>
          <w:szCs w:val="28"/>
        </w:rPr>
      </w:r>
    </w:p>
    <w:p>
      <w:pPr>
        <w:spacing w:line="357" w:lineRule="auto" w:before="178"/>
        <w:ind w:left="178" w:right="248" w:firstLine="559"/>
        <w:jc w:val="both"/>
        <w:rPr>
          <w:rFonts w:ascii="宋体" w:hAnsi="宋体" w:cs="宋体" w:eastAsia="宋体" w:hint="default"/>
          <w:sz w:val="28"/>
          <w:szCs w:val="28"/>
        </w:rPr>
      </w:pPr>
      <w:r>
        <w:rPr>
          <w:rFonts w:ascii="宋体" w:hAnsi="宋体" w:cs="宋体" w:eastAsia="宋体" w:hint="default"/>
          <w:sz w:val="28"/>
          <w:szCs w:val="28"/>
        </w:rPr>
        <w:t>2019</w:t>
      </w:r>
      <w:r>
        <w:rPr>
          <w:rFonts w:ascii="宋体" w:hAnsi="宋体" w:cs="宋体" w:eastAsia="宋体" w:hint="default"/>
          <w:spacing w:val="-74"/>
          <w:sz w:val="28"/>
          <w:szCs w:val="28"/>
        </w:rPr>
        <w:t> </w:t>
      </w:r>
      <w:r>
        <w:rPr>
          <w:rFonts w:ascii="宋体" w:hAnsi="宋体" w:cs="宋体" w:eastAsia="宋体" w:hint="default"/>
          <w:sz w:val="28"/>
          <w:szCs w:val="28"/>
        </w:rPr>
        <w:t>年的光伏相关政策已经基本确定，新一阶段的光伏产业发展大</w:t>
      </w:r>
      <w:r>
        <w:rPr>
          <w:rFonts w:ascii="宋体" w:hAnsi="宋体" w:cs="宋体" w:eastAsia="宋体" w:hint="default"/>
          <w:w w:val="100"/>
          <w:sz w:val="28"/>
          <w:szCs w:val="28"/>
        </w:rPr>
        <w:t> </w:t>
      </w:r>
      <w:r>
        <w:rPr>
          <w:rFonts w:ascii="宋体" w:hAnsi="宋体" w:cs="宋体" w:eastAsia="宋体" w:hint="default"/>
          <w:spacing w:val="-5"/>
          <w:sz w:val="28"/>
          <w:szCs w:val="28"/>
        </w:rPr>
        <w:t>幕已经拉开。技术加持、成本降低、系统优化、资源储备等将是光伏产业</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在新形势下需要持续关注的方面。</w:t>
      </w:r>
      <w:r>
        <w:rPr>
          <w:rFonts w:ascii="宋体" w:hAnsi="宋体" w:cs="宋体" w:eastAsia="宋体" w:hint="default"/>
          <w:sz w:val="28"/>
          <w:szCs w:val="28"/>
        </w:rPr>
        <w:t>2019</w:t>
      </w:r>
      <w:r>
        <w:rPr>
          <w:rFonts w:ascii="宋体" w:hAnsi="宋体" w:cs="宋体" w:eastAsia="宋体" w:hint="default"/>
          <w:spacing w:val="-72"/>
          <w:sz w:val="28"/>
          <w:szCs w:val="28"/>
        </w:rPr>
        <w:t> </w:t>
      </w:r>
      <w:r>
        <w:rPr>
          <w:rFonts w:ascii="宋体" w:hAnsi="宋体" w:cs="宋体" w:eastAsia="宋体" w:hint="default"/>
          <w:sz w:val="28"/>
          <w:szCs w:val="28"/>
        </w:rPr>
        <w:t>年，公司将继续优化新能源业务</w:t>
      </w:r>
      <w:r>
        <w:rPr>
          <w:rFonts w:ascii="宋体" w:hAnsi="宋体" w:cs="宋体" w:eastAsia="宋体" w:hint="default"/>
          <w:w w:val="100"/>
          <w:sz w:val="28"/>
          <w:szCs w:val="28"/>
        </w:rPr>
        <w:t> </w:t>
      </w:r>
      <w:r>
        <w:rPr>
          <w:rFonts w:ascii="宋体" w:hAnsi="宋体" w:cs="宋体" w:eastAsia="宋体" w:hint="default"/>
          <w:spacing w:val="-5"/>
          <w:sz w:val="28"/>
          <w:szCs w:val="28"/>
        </w:rPr>
        <w:t>结构，凭借公司多年来在光伏电站开发、建设、运营上积累的丰富经验和</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5"/>
          <w:sz w:val="28"/>
          <w:szCs w:val="28"/>
        </w:rPr>
        <w:t>资源优势，持续开发平价项目，加速储备平价资源；另一方面，将公司在</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N</w:t>
      </w:r>
      <w:r>
        <w:rPr>
          <w:rFonts w:ascii="宋体" w:hAnsi="宋体" w:cs="宋体" w:eastAsia="宋体" w:hint="default"/>
          <w:spacing w:val="-54"/>
          <w:sz w:val="28"/>
          <w:szCs w:val="28"/>
        </w:rPr>
        <w:t> </w:t>
      </w:r>
      <w:r>
        <w:rPr>
          <w:rFonts w:ascii="宋体" w:hAnsi="宋体" w:cs="宋体" w:eastAsia="宋体" w:hint="default"/>
          <w:spacing w:val="-8"/>
          <w:sz w:val="28"/>
          <w:szCs w:val="28"/>
        </w:rPr>
        <w:t>型高效产品研发及生产、电站系统设计、</w:t>
      </w:r>
      <w:r>
        <w:rPr>
          <w:rFonts w:ascii="宋体" w:hAnsi="宋体" w:cs="宋体" w:eastAsia="宋体" w:hint="default"/>
          <w:spacing w:val="-8"/>
          <w:sz w:val="28"/>
          <w:szCs w:val="28"/>
        </w:rPr>
        <w:t>GW</w:t>
      </w:r>
      <w:r>
        <w:rPr>
          <w:rFonts w:ascii="宋体" w:hAnsi="宋体" w:cs="宋体" w:eastAsia="宋体" w:hint="default"/>
          <w:spacing w:val="-57"/>
          <w:sz w:val="28"/>
          <w:szCs w:val="28"/>
        </w:rPr>
        <w:t> </w:t>
      </w:r>
      <w:r>
        <w:rPr>
          <w:rFonts w:ascii="宋体" w:hAnsi="宋体" w:cs="宋体" w:eastAsia="宋体" w:hint="default"/>
          <w:sz w:val="28"/>
          <w:szCs w:val="28"/>
        </w:rPr>
        <w:t>级电站运维的差异化竞争优</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1"/>
          <w:sz w:val="28"/>
          <w:szCs w:val="28"/>
        </w:rPr>
        <w:t>势进行高效协同，以“国内</w:t>
      </w:r>
      <w:r>
        <w:rPr>
          <w:rFonts w:ascii="宋体" w:hAnsi="宋体" w:cs="宋体" w:eastAsia="宋体" w:hint="default"/>
          <w:spacing w:val="-1"/>
          <w:sz w:val="28"/>
          <w:szCs w:val="28"/>
        </w:rPr>
        <w:t>+</w:t>
      </w:r>
      <w:r>
        <w:rPr>
          <w:rFonts w:ascii="宋体" w:hAnsi="宋体" w:cs="宋体" w:eastAsia="宋体" w:hint="default"/>
          <w:spacing w:val="-1"/>
          <w:sz w:val="28"/>
          <w:szCs w:val="28"/>
        </w:rPr>
        <w:t>海外”两个方向，为战略合作伙伴和全球客</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1"/>
          <w:w w:val="100"/>
          <w:sz w:val="28"/>
          <w:szCs w:val="28"/>
        </w:rPr>
        <w:t>户提供高效优质的</w:t>
      </w:r>
      <w:r>
        <w:rPr>
          <w:rFonts w:ascii="宋体" w:hAnsi="宋体" w:cs="宋体" w:eastAsia="宋体" w:hint="default"/>
          <w:spacing w:val="-69"/>
          <w:w w:val="100"/>
          <w:sz w:val="28"/>
          <w:szCs w:val="28"/>
        </w:rPr>
        <w:t> </w:t>
      </w:r>
      <w:r>
        <w:rPr>
          <w:rFonts w:ascii="宋体" w:hAnsi="宋体" w:cs="宋体" w:eastAsia="宋体" w:hint="default"/>
          <w:spacing w:val="-1"/>
          <w:w w:val="100"/>
          <w:sz w:val="28"/>
          <w:szCs w:val="28"/>
        </w:rPr>
        <w:t>EPC</w:t>
      </w:r>
      <w:r>
        <w:rPr>
          <w:rFonts w:ascii="宋体" w:hAnsi="宋体" w:cs="宋体" w:eastAsia="宋体" w:hint="default"/>
          <w:spacing w:val="-64"/>
          <w:w w:val="100"/>
          <w:sz w:val="28"/>
          <w:szCs w:val="28"/>
        </w:rPr>
        <w:t> </w:t>
      </w:r>
      <w:r>
        <w:rPr>
          <w:rFonts w:ascii="宋体" w:hAnsi="宋体" w:cs="宋体" w:eastAsia="宋体" w:hint="default"/>
          <w:spacing w:val="-7"/>
          <w:w w:val="100"/>
          <w:sz w:val="28"/>
          <w:szCs w:val="28"/>
        </w:rPr>
        <w:t>系统集成服务，为公司新能源业务发展提供更广阔</w:t>
      </w:r>
      <w:r>
        <w:rPr>
          <w:rFonts w:ascii="宋体" w:hAnsi="宋体" w:cs="宋体" w:eastAsia="宋体" w:hint="default"/>
          <w:w w:val="100"/>
          <w:sz w:val="28"/>
          <w:szCs w:val="28"/>
        </w:rPr>
        <w:t> </w:t>
      </w:r>
      <w:r>
        <w:rPr>
          <w:rFonts w:ascii="宋体" w:hAnsi="宋体" w:cs="宋体" w:eastAsia="宋体" w:hint="default"/>
          <w:sz w:val="28"/>
          <w:szCs w:val="28"/>
        </w:rPr>
        <w:t>的空间。</w:t>
      </w:r>
    </w:p>
    <w:p>
      <w:pPr>
        <w:spacing w:line="357" w:lineRule="auto" w:before="41"/>
        <w:ind w:left="178" w:right="113" w:firstLine="559"/>
        <w:jc w:val="both"/>
        <w:rPr>
          <w:rFonts w:ascii="宋体" w:hAnsi="宋体" w:cs="宋体" w:eastAsia="宋体" w:hint="default"/>
          <w:sz w:val="28"/>
          <w:szCs w:val="28"/>
        </w:rPr>
      </w:pPr>
      <w:r>
        <w:rPr>
          <w:rFonts w:ascii="宋体" w:hAnsi="宋体" w:cs="宋体" w:eastAsia="宋体" w:hint="default"/>
          <w:sz w:val="28"/>
          <w:szCs w:val="28"/>
        </w:rPr>
        <w:t>可以预见，在未来</w:t>
      </w:r>
      <w:r>
        <w:rPr>
          <w:rFonts w:ascii="宋体" w:hAnsi="宋体" w:cs="宋体" w:eastAsia="宋体" w:hint="default"/>
          <w:spacing w:val="-74"/>
          <w:sz w:val="28"/>
          <w:szCs w:val="28"/>
        </w:rPr>
        <w:t> </w:t>
      </w:r>
      <w:r>
        <w:rPr>
          <w:rFonts w:ascii="宋体" w:hAnsi="宋体" w:cs="宋体" w:eastAsia="宋体" w:hint="default"/>
          <w:sz w:val="28"/>
          <w:szCs w:val="28"/>
        </w:rPr>
        <w:t>2-3</w:t>
      </w:r>
      <w:r>
        <w:rPr>
          <w:rFonts w:ascii="宋体" w:hAnsi="宋体" w:cs="宋体" w:eastAsia="宋体" w:hint="default"/>
          <w:spacing w:val="-71"/>
          <w:sz w:val="28"/>
          <w:szCs w:val="28"/>
        </w:rPr>
        <w:t> </w:t>
      </w:r>
      <w:r>
        <w:rPr>
          <w:rFonts w:ascii="宋体" w:hAnsi="宋体" w:cs="宋体" w:eastAsia="宋体" w:hint="default"/>
          <w:sz w:val="28"/>
          <w:szCs w:val="28"/>
        </w:rPr>
        <w:t>年的时间里</w:t>
      </w:r>
      <w:r>
        <w:rPr>
          <w:rFonts w:ascii="宋体" w:hAnsi="宋体" w:cs="宋体" w:eastAsia="宋体" w:hint="default"/>
          <w:sz w:val="28"/>
          <w:szCs w:val="28"/>
        </w:rPr>
        <w:t>,</w:t>
      </w:r>
      <w:r>
        <w:rPr>
          <w:rFonts w:ascii="宋体" w:hAnsi="宋体" w:cs="宋体" w:eastAsia="宋体" w:hint="default"/>
          <w:sz w:val="28"/>
          <w:szCs w:val="28"/>
        </w:rPr>
        <w:t>我们将逐渐告别在政策助力下带</w:t>
      </w:r>
      <w:r>
        <w:rPr>
          <w:rFonts w:ascii="宋体" w:hAnsi="宋体" w:cs="宋体" w:eastAsia="宋体" w:hint="default"/>
          <w:w w:val="100"/>
          <w:sz w:val="28"/>
          <w:szCs w:val="28"/>
        </w:rPr>
        <w:t> </w:t>
      </w:r>
      <w:r>
        <w:rPr>
          <w:rFonts w:ascii="宋体" w:hAnsi="宋体" w:cs="宋体" w:eastAsia="宋体" w:hint="default"/>
          <w:spacing w:val="-5"/>
          <w:sz w:val="28"/>
          <w:szCs w:val="28"/>
        </w:rPr>
        <w:t>来的产业发展的舒适区，而进入差异化竞争的低容错时代，这对我们来说</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未必是坏事。因为我们笃信，无论时代变局带来怎样的挑战，能源行业逐</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pacing w:val="-1"/>
          <w:sz w:val="28"/>
          <w:szCs w:val="28"/>
        </w:rPr>
        <w:t>步向绿色、低碳、高效、互联的方向发展是不会变的。正所谓“凡战者，</w:t>
      </w:r>
    </w:p>
    <w:p>
      <w:pPr>
        <w:spacing w:after="0" w:line="357" w:lineRule="auto"/>
        <w:jc w:val="both"/>
        <w:rPr>
          <w:rFonts w:ascii="宋体" w:hAnsi="宋体" w:cs="宋体" w:eastAsia="宋体" w:hint="default"/>
          <w:sz w:val="28"/>
          <w:szCs w:val="28"/>
        </w:rPr>
        <w:sectPr>
          <w:pgSz w:w="11910" w:h="16840"/>
          <w:pgMar w:header="728" w:footer="974" w:top="1120" w:bottom="1160" w:left="1620" w:right="1020"/>
        </w:sectPr>
      </w:pPr>
    </w:p>
    <w:p>
      <w:pPr>
        <w:spacing w:line="240" w:lineRule="auto" w:before="11"/>
        <w:rPr>
          <w:rFonts w:ascii="宋体" w:hAnsi="宋体" w:cs="宋体" w:eastAsia="宋体" w:hint="default"/>
          <w:sz w:val="25"/>
          <w:szCs w:val="25"/>
        </w:rPr>
      </w:pPr>
    </w:p>
    <w:p>
      <w:pPr>
        <w:spacing w:line="357" w:lineRule="auto" w:before="14"/>
        <w:ind w:left="178" w:right="128" w:firstLine="0"/>
        <w:jc w:val="both"/>
        <w:rPr>
          <w:rFonts w:ascii="宋体" w:hAnsi="宋体" w:cs="宋体" w:eastAsia="宋体" w:hint="default"/>
          <w:sz w:val="28"/>
          <w:szCs w:val="28"/>
        </w:rPr>
      </w:pPr>
      <w:r>
        <w:rPr>
          <w:rFonts w:ascii="宋体" w:hAnsi="宋体" w:cs="宋体" w:eastAsia="宋体" w:hint="default"/>
          <w:spacing w:val="-1"/>
          <w:sz w:val="28"/>
          <w:szCs w:val="28"/>
        </w:rPr>
        <w:t>以正合，以奇胜”，纵观全球历史大变局</w:t>
      </w:r>
      <w:r>
        <w:rPr>
          <w:rFonts w:ascii="宋体" w:hAnsi="宋体" w:cs="宋体" w:eastAsia="宋体" w:hint="default"/>
          <w:spacing w:val="-1"/>
          <w:sz w:val="28"/>
          <w:szCs w:val="28"/>
        </w:rPr>
        <w:t>,</w:t>
      </w:r>
      <w:r>
        <w:rPr>
          <w:rFonts w:ascii="宋体" w:hAnsi="宋体" w:cs="宋体" w:eastAsia="宋体" w:hint="default"/>
          <w:spacing w:val="-1"/>
          <w:sz w:val="28"/>
          <w:szCs w:val="28"/>
        </w:rPr>
        <w:t>唯有抱朴守拙，坚持以客户至</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14"/>
          <w:w w:val="100"/>
          <w:sz w:val="28"/>
          <w:szCs w:val="28"/>
        </w:rPr>
        <w:t>上、至诚至信的企业，则可能在行业洗礼中“无穷如天地，不竭如江河”，</w:t>
      </w:r>
      <w:r>
        <w:rPr>
          <w:rFonts w:ascii="宋体" w:hAnsi="宋体" w:cs="宋体" w:eastAsia="宋体" w:hint="default"/>
          <w:spacing w:val="-112"/>
          <w:w w:val="100"/>
          <w:sz w:val="28"/>
          <w:szCs w:val="28"/>
        </w:rPr>
        <w:t> </w:t>
      </w:r>
      <w:r>
        <w:rPr>
          <w:rFonts w:ascii="宋体" w:hAnsi="宋体" w:cs="宋体" w:eastAsia="宋体" w:hint="default"/>
          <w:spacing w:val="-112"/>
          <w:w w:val="100"/>
          <w:sz w:val="28"/>
          <w:szCs w:val="28"/>
        </w:rPr>
      </w:r>
      <w:r>
        <w:rPr>
          <w:rFonts w:ascii="宋体" w:hAnsi="宋体" w:cs="宋体" w:eastAsia="宋体" w:hint="default"/>
          <w:sz w:val="28"/>
          <w:szCs w:val="28"/>
        </w:rPr>
        <w:t>锻造出更加卓越的竞争力。</w:t>
      </w:r>
    </w:p>
    <w:p>
      <w:pPr>
        <w:spacing w:line="357" w:lineRule="auto" w:before="41"/>
        <w:ind w:left="178" w:right="133" w:firstLine="559"/>
        <w:jc w:val="both"/>
        <w:rPr>
          <w:rFonts w:ascii="宋体" w:hAnsi="宋体" w:cs="宋体" w:eastAsia="宋体" w:hint="default"/>
          <w:sz w:val="28"/>
          <w:szCs w:val="28"/>
        </w:rPr>
      </w:pPr>
      <w:r>
        <w:rPr>
          <w:rFonts w:ascii="宋体" w:hAnsi="宋体" w:cs="宋体" w:eastAsia="宋体" w:hint="default"/>
          <w:sz w:val="28"/>
          <w:szCs w:val="28"/>
        </w:rPr>
        <w:t>大道至简，实干为要。</w:t>
      </w:r>
      <w:r>
        <w:rPr>
          <w:rFonts w:ascii="宋体" w:hAnsi="宋体" w:cs="宋体" w:eastAsia="宋体" w:hint="default"/>
          <w:sz w:val="28"/>
          <w:szCs w:val="28"/>
        </w:rPr>
        <w:t>2019</w:t>
      </w:r>
      <w:r>
        <w:rPr>
          <w:rFonts w:ascii="宋体" w:hAnsi="宋体" w:cs="宋体" w:eastAsia="宋体" w:hint="default"/>
          <w:spacing w:val="-72"/>
          <w:sz w:val="28"/>
          <w:szCs w:val="28"/>
        </w:rPr>
        <w:t> </w:t>
      </w:r>
      <w:r>
        <w:rPr>
          <w:rFonts w:ascii="宋体" w:hAnsi="宋体" w:cs="宋体" w:eastAsia="宋体" w:hint="default"/>
          <w:sz w:val="28"/>
          <w:szCs w:val="28"/>
        </w:rPr>
        <w:t>年，林洋人将继续砥砺前行，在稳健经</w:t>
      </w:r>
      <w:r>
        <w:rPr>
          <w:rFonts w:ascii="宋体" w:hAnsi="宋体" w:cs="宋体" w:eastAsia="宋体" w:hint="default"/>
          <w:w w:val="100"/>
          <w:sz w:val="28"/>
          <w:szCs w:val="28"/>
        </w:rPr>
        <w:t> </w:t>
      </w:r>
      <w:r>
        <w:rPr>
          <w:rFonts w:ascii="宋体" w:hAnsi="宋体" w:cs="宋体" w:eastAsia="宋体" w:hint="default"/>
          <w:spacing w:val="-5"/>
          <w:sz w:val="28"/>
          <w:szCs w:val="28"/>
        </w:rPr>
        <w:t>营的基础上厚积薄发，以兵不卸甲、满弓紧弦的奋斗姿态不断巩固和发展</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公司在核心领域的竞争优势，为股东和社会创造更大价值！</w:t>
      </w:r>
    </w:p>
    <w:p>
      <w:pPr>
        <w:spacing w:line="240" w:lineRule="auto" w:before="0"/>
        <w:rPr>
          <w:rFonts w:ascii="宋体" w:hAnsi="宋体" w:cs="宋体" w:eastAsia="宋体" w:hint="default"/>
          <w:sz w:val="28"/>
          <w:szCs w:val="28"/>
        </w:rPr>
      </w:pPr>
    </w:p>
    <w:p>
      <w:pPr>
        <w:spacing w:before="220"/>
        <w:ind w:left="0" w:right="131" w:firstLine="0"/>
        <w:jc w:val="right"/>
        <w:rPr>
          <w:rFonts w:ascii="宋体" w:hAnsi="宋体" w:cs="宋体" w:eastAsia="宋体" w:hint="default"/>
          <w:sz w:val="28"/>
          <w:szCs w:val="28"/>
        </w:rPr>
      </w:pPr>
      <w:r>
        <w:rPr>
          <w:rFonts w:ascii="宋体" w:hAnsi="宋体" w:cs="宋体" w:eastAsia="宋体" w:hint="default"/>
          <w:spacing w:val="-1"/>
          <w:sz w:val="28"/>
          <w:szCs w:val="28"/>
        </w:rPr>
        <w:t>江苏林洋能源股份有限公司</w:t>
      </w:r>
    </w:p>
    <w:p>
      <w:pPr>
        <w:tabs>
          <w:tab w:pos="8171" w:val="left" w:leader="none"/>
        </w:tabs>
        <w:spacing w:line="357" w:lineRule="auto" w:before="178"/>
        <w:ind w:left="6841" w:right="130" w:firstLine="208"/>
        <w:jc w:val="right"/>
        <w:rPr>
          <w:rFonts w:ascii="宋体" w:hAnsi="宋体" w:cs="宋体" w:eastAsia="宋体" w:hint="default"/>
          <w:sz w:val="28"/>
          <w:szCs w:val="28"/>
        </w:rPr>
      </w:pPr>
      <w:r>
        <w:rPr>
          <w:rFonts w:ascii="宋体" w:hAnsi="宋体" w:cs="宋体" w:eastAsia="宋体" w:hint="default"/>
          <w:sz w:val="28"/>
          <w:szCs w:val="28"/>
        </w:rPr>
        <w:t>董事长</w:t>
        <w:tab/>
        <w:t>陆永华</w:t>
      </w:r>
      <w:r>
        <w:rPr>
          <w:rFonts w:ascii="宋体" w:hAnsi="宋体" w:cs="宋体" w:eastAsia="宋体" w:hint="default"/>
          <w:w w:val="100"/>
          <w:sz w:val="28"/>
          <w:szCs w:val="28"/>
        </w:rPr>
        <w:t> </w:t>
      </w:r>
      <w:r>
        <w:rPr>
          <w:rFonts w:ascii="宋体" w:hAnsi="宋体" w:cs="宋体" w:eastAsia="宋体" w:hint="default"/>
          <w:sz w:val="28"/>
          <w:szCs w:val="28"/>
        </w:rPr>
        <w:t>2019</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4</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25</w:t>
      </w:r>
      <w:r>
        <w:rPr>
          <w:rFonts w:ascii="宋体" w:hAnsi="宋体" w:cs="宋体" w:eastAsia="宋体" w:hint="default"/>
          <w:spacing w:val="-72"/>
          <w:sz w:val="28"/>
          <w:szCs w:val="28"/>
        </w:rPr>
        <w:t> </w:t>
      </w:r>
      <w:r>
        <w:rPr>
          <w:rFonts w:ascii="宋体" w:hAnsi="宋体" w:cs="宋体" w:eastAsia="宋体" w:hint="default"/>
          <w:sz w:val="28"/>
          <w:szCs w:val="28"/>
        </w:rPr>
        <w:t>日</w:t>
      </w:r>
    </w:p>
    <w:p>
      <w:pPr>
        <w:spacing w:after="0" w:line="357" w:lineRule="auto"/>
        <w:jc w:val="right"/>
        <w:rPr>
          <w:rFonts w:ascii="宋体" w:hAnsi="宋体" w:cs="宋体" w:eastAsia="宋体" w:hint="default"/>
          <w:sz w:val="28"/>
          <w:szCs w:val="28"/>
        </w:rPr>
        <w:sectPr>
          <w:pgSz w:w="11910" w:h="16840"/>
          <w:pgMar w:header="728" w:footer="974" w:top="1120" w:bottom="1160" w:left="1620" w:right="1140"/>
        </w:sectPr>
      </w:pPr>
    </w:p>
    <w:p>
      <w:pPr>
        <w:spacing w:line="240" w:lineRule="auto" w:before="0"/>
        <w:rPr>
          <w:rFonts w:ascii="宋体" w:hAnsi="宋体" w:cs="宋体" w:eastAsia="宋体" w:hint="default"/>
          <w:sz w:val="26"/>
          <w:szCs w:val="26"/>
        </w:rPr>
      </w:pPr>
    </w:p>
    <w:p>
      <w:pPr>
        <w:spacing w:before="14"/>
        <w:ind w:left="0" w:right="3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2"/>
        <w:spacing w:line="357" w:lineRule="auto" w:before="0"/>
        <w:ind w:left="545" w:right="104"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
        <w:rPr>
          <w:rFonts w:ascii="宋体" w:hAnsi="宋体" w:cs="宋体" w:eastAsia="宋体" w:hint="default"/>
          <w:b/>
          <w:bCs/>
          <w:sz w:val="23"/>
          <w:szCs w:val="23"/>
        </w:rPr>
      </w:pPr>
    </w:p>
    <w:p>
      <w:pPr>
        <w:pStyle w:val="Heading2"/>
        <w:spacing w:line="240" w:lineRule="auto" w:before="0"/>
        <w:ind w:left="178" w:right="104"/>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78" w:right="104"/>
        <w:jc w:val="left"/>
        <w:rPr>
          <w:b w:val="0"/>
          <w:bCs w:val="0"/>
        </w:rPr>
      </w:pPr>
      <w:r>
        <w:rPr/>
        <w:t>三、</w:t>
      </w:r>
      <w:r>
        <w:rPr>
          <w:spacing w:val="-14"/>
        </w:rPr>
        <w:t> </w:t>
      </w:r>
      <w:r>
        <w:rPr/>
        <w:t>立信会计师事务所（特殊普通合伙）为本公司出具了标准无保留意见的审计报告。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5"/>
        <w:ind w:left="545" w:right="104" w:hanging="368"/>
        <w:jc w:val="left"/>
        <w:rPr>
          <w:b w:val="0"/>
          <w:bCs w:val="0"/>
        </w:rPr>
      </w:pPr>
      <w:r>
        <w:rPr>
          <w:spacing w:val="-1"/>
        </w:rPr>
        <w:t>四、公司负责人陆永华、主管会计工作负责人虞海娟及会计机构负责人（会计主管人员）周辉声</w:t>
      </w:r>
      <w:r>
        <w:rPr>
          <w:spacing w:val="-88"/>
        </w:rPr>
        <w:t> </w:t>
      </w:r>
      <w:r>
        <w:rPr>
          <w:spacing w:val="-88"/>
        </w:rPr>
      </w:r>
      <w:r>
        <w:rPr/>
        <w:t>明：保证年度报告中财务报告的真实、准确、完整。</w:t>
      </w:r>
      <w:r>
        <w:rPr>
          <w:b w:val="0"/>
          <w:bCs w:val="0"/>
        </w:rPr>
      </w:r>
    </w:p>
    <w:p>
      <w:pPr>
        <w:spacing w:line="480" w:lineRule="atLeast" w:before="98"/>
        <w:ind w:left="598" w:right="104"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经立信会计师事务所（特殊普通合伙）审计，公司</w:t>
      </w:r>
      <w:r>
        <w:rPr>
          <w:rFonts w:ascii="宋体" w:hAnsi="宋体" w:cs="宋体" w:eastAsia="宋体" w:hint="default"/>
          <w:spacing w:val="-2"/>
          <w:sz w:val="21"/>
          <w:szCs w:val="21"/>
        </w:rPr>
        <w:t>2018</w:t>
      </w:r>
      <w:r>
        <w:rPr>
          <w:rFonts w:ascii="宋体" w:hAnsi="宋体" w:cs="宋体" w:eastAsia="宋体" w:hint="default"/>
          <w:spacing w:val="-2"/>
          <w:sz w:val="21"/>
          <w:szCs w:val="21"/>
        </w:rPr>
        <w:t>年度实现营业收入</w:t>
      </w:r>
      <w:r>
        <w:rPr>
          <w:rFonts w:ascii="宋体" w:hAnsi="宋体" w:cs="宋体" w:eastAsia="宋体" w:hint="default"/>
          <w:spacing w:val="-2"/>
          <w:sz w:val="21"/>
          <w:szCs w:val="21"/>
        </w:rPr>
        <w:t>4,016,739,559.85</w:t>
      </w:r>
    </w:p>
    <w:p>
      <w:pPr>
        <w:pStyle w:val="BodyText"/>
        <w:spacing w:line="314" w:lineRule="auto" w:before="85"/>
        <w:ind w:left="178" w:right="104"/>
        <w:jc w:val="left"/>
      </w:pPr>
      <w:r>
        <w:rPr>
          <w:spacing w:val="-2"/>
        </w:rPr>
        <w:t>元，利润总额</w:t>
      </w:r>
      <w:r>
        <w:rPr>
          <w:rFonts w:ascii="宋体" w:hAnsi="宋体" w:cs="宋体" w:eastAsia="宋体" w:hint="default"/>
          <w:spacing w:val="-2"/>
        </w:rPr>
        <w:t>805,078,158.09</w:t>
      </w:r>
      <w:r>
        <w:rPr>
          <w:spacing w:val="-2"/>
        </w:rPr>
        <w:t>元，归属于母公司净利润</w:t>
      </w:r>
      <w:r>
        <w:rPr>
          <w:rFonts w:ascii="宋体" w:hAnsi="宋体" w:cs="宋体" w:eastAsia="宋体" w:hint="default"/>
          <w:spacing w:val="-2"/>
        </w:rPr>
        <w:t>760,512,374.73</w:t>
      </w:r>
      <w:r>
        <w:rPr>
          <w:spacing w:val="-2"/>
        </w:rPr>
        <w:t>元。其中母公司实现净利</w:t>
      </w:r>
      <w:r>
        <w:rPr>
          <w:spacing w:val="-6"/>
        </w:rPr>
        <w:t> </w:t>
      </w:r>
      <w:r>
        <w:rPr>
          <w:spacing w:val="-6"/>
        </w:rPr>
      </w:r>
      <w:r>
        <w:rPr/>
        <w:t>润</w:t>
      </w:r>
      <w:r>
        <w:rPr>
          <w:rFonts w:ascii="宋体" w:hAnsi="宋体" w:cs="宋体" w:eastAsia="宋体" w:hint="default"/>
        </w:rPr>
        <w:t>67,847,151.94</w:t>
      </w:r>
      <w:r>
        <w:rPr/>
        <w:t>元，计提</w:t>
      </w:r>
      <w:r>
        <w:rPr>
          <w:rFonts w:ascii="宋体" w:hAnsi="宋体" w:cs="宋体" w:eastAsia="宋体" w:hint="default"/>
        </w:rPr>
        <w:t>10%</w:t>
      </w:r>
      <w:r>
        <w:rPr/>
        <w:t>的法定盈余公积</w:t>
      </w:r>
      <w:r>
        <w:rPr>
          <w:rFonts w:ascii="宋体" w:hAnsi="宋体" w:cs="宋体" w:eastAsia="宋体" w:hint="default"/>
        </w:rPr>
        <w:t>6,784,715.19</w:t>
      </w:r>
      <w:r>
        <w:rPr/>
        <w:t>元，加年初未分配利润</w:t>
      </w:r>
      <w:r>
        <w:rPr>
          <w:w w:val="100"/>
        </w:rPr>
        <w:t> </w:t>
      </w:r>
      <w:r>
        <w:rPr>
          <w:rFonts w:ascii="宋体" w:hAnsi="宋体" w:cs="宋体" w:eastAsia="宋体" w:hint="default"/>
        </w:rPr>
        <w:t>1,287,039,863.11</w:t>
      </w:r>
      <w:r>
        <w:rPr/>
        <w:t>元，扣除</w:t>
      </w:r>
      <w:r>
        <w:rPr>
          <w:rFonts w:ascii="宋体" w:hAnsi="宋体" w:cs="宋体" w:eastAsia="宋体" w:hint="default"/>
        </w:rPr>
        <w:t>2017</w:t>
      </w:r>
      <w:r>
        <w:rPr/>
        <w:t>年末已分配的</w:t>
      </w:r>
      <w:r>
        <w:rPr>
          <w:rFonts w:ascii="宋体" w:hAnsi="宋体" w:cs="宋体" w:eastAsia="宋体" w:hint="default"/>
        </w:rPr>
        <w:t>70,616,406.36</w:t>
      </w:r>
      <w:r>
        <w:rPr/>
        <w:t>元，期末可供分配的利润为</w:t>
      </w:r>
    </w:p>
    <w:p>
      <w:pPr>
        <w:pStyle w:val="BodyText"/>
        <w:spacing w:line="240" w:lineRule="auto" w:before="20"/>
        <w:ind w:left="178" w:right="104"/>
        <w:jc w:val="left"/>
      </w:pPr>
      <w:r>
        <w:rPr>
          <w:rFonts w:ascii="宋体" w:hAnsi="宋体" w:cs="宋体" w:eastAsia="宋体" w:hint="default"/>
        </w:rPr>
        <w:t>1,277,485,893.50</w:t>
      </w:r>
      <w:r>
        <w:rPr/>
        <w:t>元。</w:t>
      </w:r>
    </w:p>
    <w:p>
      <w:pPr>
        <w:pStyle w:val="BodyText"/>
        <w:spacing w:line="314" w:lineRule="auto" w:before="85"/>
        <w:ind w:left="178" w:right="104" w:firstLine="419"/>
        <w:jc w:val="left"/>
      </w:pPr>
      <w:r>
        <w:rPr>
          <w:spacing w:val="-2"/>
        </w:rPr>
        <w:t>报告期内公司控股股东提出以下利润分配预案：以本次利润实施方案股权登记日总股本扣除</w:t>
      </w:r>
      <w:r>
        <w:rPr>
          <w:w w:val="100"/>
        </w:rPr>
        <w:t> </w:t>
      </w:r>
      <w:r>
        <w:rPr>
          <w:spacing w:val="-2"/>
        </w:rPr>
        <w:t>不参与利润分配的回购股份</w:t>
      </w:r>
      <w:r>
        <w:rPr>
          <w:rFonts w:ascii="宋体" w:hAnsi="宋体" w:cs="宋体" w:eastAsia="宋体" w:hint="default"/>
          <w:spacing w:val="-2"/>
        </w:rPr>
        <w:t>29,177,999</w:t>
      </w:r>
      <w:r>
        <w:rPr>
          <w:spacing w:val="-2"/>
        </w:rPr>
        <w:t>股（包含股份回购计划回购专用账户</w:t>
      </w:r>
      <w:r>
        <w:rPr>
          <w:rFonts w:ascii="宋体" w:hAnsi="宋体" w:cs="宋体" w:eastAsia="宋体" w:hint="default"/>
          <w:spacing w:val="-2"/>
        </w:rPr>
        <w:t>21,956,999</w:t>
      </w:r>
      <w:r>
        <w:rPr>
          <w:spacing w:val="-2"/>
        </w:rPr>
        <w:t>股和第二</w:t>
      </w:r>
      <w:r>
        <w:rPr>
          <w:spacing w:val="-9"/>
        </w:rPr>
        <w:t> </w:t>
      </w:r>
      <w:r>
        <w:rPr>
          <w:spacing w:val="-9"/>
        </w:rPr>
      </w:r>
      <w:r>
        <w:rPr/>
        <w:t>期股权激励待回购注销限制性股份</w:t>
      </w:r>
      <w:r>
        <w:rPr>
          <w:rFonts w:ascii="宋体" w:hAnsi="宋体" w:cs="宋体" w:eastAsia="宋体" w:hint="default"/>
        </w:rPr>
        <w:t>7,221,000</w:t>
      </w:r>
      <w:r>
        <w:rPr/>
        <w:t>股）为基数，向全体股东每</w:t>
      </w:r>
      <w:r>
        <w:rPr>
          <w:rFonts w:ascii="宋体" w:hAnsi="宋体" w:cs="宋体" w:eastAsia="宋体" w:hint="default"/>
        </w:rPr>
        <w:t>10</w:t>
      </w:r>
      <w:r>
        <w:rPr/>
        <w:t>股派发现金红利</w:t>
      </w:r>
      <w:r>
        <w:rPr>
          <w:rFonts w:ascii="宋体" w:hAnsi="宋体" w:cs="宋体" w:eastAsia="宋体" w:hint="default"/>
        </w:rPr>
        <w:t>1.75</w:t>
      </w:r>
      <w:r>
        <w:rPr>
          <w:rFonts w:ascii="宋体" w:hAnsi="宋体" w:cs="宋体" w:eastAsia="宋体" w:hint="default"/>
          <w:w w:val="100"/>
        </w:rPr>
        <w:t> </w:t>
      </w:r>
      <w:r>
        <w:rPr/>
        <w:t>元（含税），剩余利润结转下年度。本次利润分配不进行资本公积金转增股本。</w:t>
      </w:r>
    </w:p>
    <w:p>
      <w:pPr>
        <w:pStyle w:val="BodyText"/>
        <w:spacing w:line="314" w:lineRule="auto" w:before="20"/>
        <w:ind w:left="178" w:right="104" w:firstLine="419"/>
        <w:jc w:val="left"/>
      </w:pP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4</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日，公司股份回购计划累计支付</w:t>
      </w:r>
      <w:r>
        <w:rPr>
          <w:rFonts w:ascii="宋体" w:hAnsi="宋体" w:cs="宋体" w:eastAsia="宋体" w:hint="default"/>
          <w:spacing w:val="-2"/>
        </w:rPr>
        <w:t>100,484,111.64</w:t>
      </w:r>
      <w:r>
        <w:rPr>
          <w:spacing w:val="-2"/>
        </w:rPr>
        <w:t>元（不含佣金、</w:t>
      </w:r>
      <w:r>
        <w:rPr>
          <w:w w:val="100"/>
        </w:rPr>
        <w:t> </w:t>
      </w:r>
      <w:r>
        <w:rPr/>
        <w:t>过户费等交易费用），根据《上海证券交易所上市公司回购股份实施细则》的规定，报告期内公</w:t>
      </w:r>
      <w:r>
        <w:rPr>
          <w:w w:val="100"/>
        </w:rPr>
        <w:t> </w:t>
      </w:r>
      <w:r>
        <w:rPr/>
        <w:t>司回购股份支付金额</w:t>
      </w:r>
      <w:r>
        <w:rPr>
          <w:rFonts w:ascii="宋体" w:hAnsi="宋体" w:cs="宋体" w:eastAsia="宋体" w:hint="default"/>
        </w:rPr>
        <w:t>99,594,711.64</w:t>
      </w:r>
      <w:r>
        <w:rPr/>
        <w:t>元视同现金分红。</w:t>
      </w:r>
    </w:p>
    <w:p>
      <w:pPr>
        <w:spacing w:line="240" w:lineRule="auto" w:before="2"/>
        <w:rPr>
          <w:rFonts w:ascii="宋体" w:hAnsi="宋体" w:cs="宋体" w:eastAsia="宋体" w:hint="default"/>
          <w:sz w:val="23"/>
          <w:szCs w:val="23"/>
        </w:rPr>
      </w:pPr>
    </w:p>
    <w:p>
      <w:pPr>
        <w:pStyle w:val="Heading2"/>
        <w:spacing w:line="240" w:lineRule="auto" w:before="0"/>
        <w:ind w:left="178" w:right="104"/>
        <w:jc w:val="left"/>
        <w:rPr>
          <w:b w:val="0"/>
          <w:bCs w:val="0"/>
        </w:rPr>
      </w:pPr>
      <w:r>
        <w:rPr/>
        <w:t>六、</w:t>
      </w:r>
      <w:r>
        <w:rPr>
          <w:spacing w:val="-24"/>
        </w:rPr>
        <w:t> </w:t>
      </w:r>
      <w:r>
        <w:rPr/>
        <w:t>前瞻性陈述的风险声明</w:t>
      </w:r>
      <w:r>
        <w:rPr>
          <w:b w:val="0"/>
          <w:bCs w:val="0"/>
        </w:rPr>
      </w:r>
    </w:p>
    <w:p>
      <w:pPr>
        <w:pStyle w:val="BodyText"/>
        <w:spacing w:line="272" w:lineRule="exact" w:before="161"/>
        <w:ind w:left="598" w:right="104" w:hanging="420"/>
        <w:jc w:val="left"/>
      </w:pPr>
      <w:r>
        <w:rPr/>
        <w:t>√适用</w:t>
      </w:r>
      <w:r>
        <w:rPr>
          <w:spacing w:val="-2"/>
        </w:rPr>
        <w:t> </w:t>
      </w:r>
      <w:r>
        <w:rPr/>
        <w:t>□不适用</w:t>
      </w:r>
      <w:r>
        <w:rPr>
          <w:w w:val="100"/>
        </w:rPr>
        <w:t> </w:t>
      </w:r>
      <w:r>
        <w:rPr>
          <w:spacing w:val="-2"/>
        </w:rPr>
        <w:t>本报告中所涉及的未来计划、发展战略等前瞻性描述不构成公司对投资者的实质承诺，敬请</w:t>
      </w:r>
    </w:p>
    <w:p>
      <w:pPr>
        <w:pStyle w:val="BodyText"/>
        <w:spacing w:line="240" w:lineRule="auto" w:before="110"/>
        <w:ind w:left="178" w:right="104"/>
        <w:jc w:val="left"/>
      </w:pPr>
      <w:r>
        <w:rPr/>
        <w:t>投资者注意投资风险。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422" w:lineRule="auto" w:before="0"/>
        <w:ind w:left="178" w:right="354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821" w:val="left" w:leader="none"/>
        </w:tabs>
        <w:spacing w:line="357" w:lineRule="auto" w:before="0"/>
        <w:ind w:left="178" w:right="376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57" w:lineRule="auto"/>
        <w:jc w:val="left"/>
        <w:rPr>
          <w:rFonts w:ascii="宋体" w:hAnsi="宋体" w:cs="宋体" w:eastAsia="宋体" w:hint="default"/>
        </w:rPr>
        <w:sectPr>
          <w:pgSz w:w="11910" w:h="16840"/>
          <w:pgMar w:header="728" w:footer="974" w:top="1120" w:bottom="1160" w:left="1620" w:right="1060"/>
        </w:sectPr>
      </w:pPr>
    </w:p>
    <w:p>
      <w:pPr>
        <w:spacing w:line="240" w:lineRule="auto" w:before="4"/>
        <w:rPr>
          <w:rFonts w:ascii="宋体" w:hAnsi="宋体" w:cs="宋体" w:eastAsia="宋体" w:hint="default"/>
          <w:sz w:val="25"/>
          <w:szCs w:val="25"/>
        </w:rPr>
      </w:pPr>
    </w:p>
    <w:p>
      <w:pPr>
        <w:pStyle w:val="BodyText"/>
        <w:tabs>
          <w:tab w:pos="821" w:val="left" w:leader="none"/>
        </w:tabs>
        <w:spacing w:line="357" w:lineRule="auto" w:before="36"/>
        <w:ind w:left="598" w:right="243" w:hanging="420"/>
        <w:jc w:val="left"/>
        <w:rPr>
          <w:rFonts w:ascii="宋体" w:hAnsi="宋体" w:cs="宋体" w:eastAsia="宋体" w:hint="default"/>
        </w:rPr>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公司已在本年度报告中详细描述公司面临的风险，敬请投资者予以关注，详见本年度报告</w:t>
      </w:r>
      <w:r>
        <w:rPr>
          <w:rFonts w:ascii="宋体" w:hAnsi="宋体" w:cs="宋体" w:eastAsia="宋体" w:hint="default"/>
          <w:spacing w:val="-2"/>
        </w:rPr>
        <w:t>"</w:t>
      </w:r>
    </w:p>
    <w:p>
      <w:pPr>
        <w:pStyle w:val="BodyText"/>
        <w:spacing w:line="240" w:lineRule="auto" w:before="30"/>
        <w:ind w:left="178" w:right="0"/>
        <w:jc w:val="left"/>
      </w:pPr>
      <w:r>
        <w:rPr/>
        <w:t>经营情况讨论与分析</w:t>
      </w:r>
      <w:r>
        <w:rPr>
          <w:rFonts w:ascii="宋体" w:hAnsi="宋体" w:cs="宋体" w:eastAsia="宋体" w:hint="default"/>
        </w:rPr>
        <w:t>"</w:t>
      </w:r>
      <w:r>
        <w:rPr/>
        <w:t>等有关章节中关于公司可能面对的风险部分的内容。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17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78" w:right="0"/>
        <w:jc w:val="left"/>
      </w:pPr>
      <w:r>
        <w:rPr/>
        <w:t>□适用</w:t>
      </w:r>
      <w:r>
        <w:rPr>
          <w:spacing w:val="-1"/>
        </w:rPr>
        <w:t> </w:t>
      </w:r>
      <w:r>
        <w:rPr/>
        <w:t>√不适用</w:t>
      </w:r>
    </w:p>
    <w:p>
      <w:pPr>
        <w:spacing w:after="0" w:line="240" w:lineRule="auto"/>
        <w:jc w:val="left"/>
        <w:sectPr>
          <w:pgSz w:w="11910" w:h="16840"/>
          <w:pgMar w:header="728" w:footer="974" w:top="1120" w:bottom="1160" w:left="1620" w:right="1140"/>
        </w:sectPr>
      </w:pPr>
    </w:p>
    <w:p>
      <w:pPr>
        <w:spacing w:line="240" w:lineRule="auto" w:before="0"/>
        <w:rPr>
          <w:rFonts w:ascii="宋体" w:hAnsi="宋体" w:cs="宋体" w:eastAsia="宋体" w:hint="default"/>
          <w:sz w:val="26"/>
          <w:szCs w:val="26"/>
        </w:rPr>
      </w:pPr>
    </w:p>
    <w:p>
      <w:pPr>
        <w:spacing w:before="14"/>
        <w:ind w:left="4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437" w:val="left" w:leader="none"/>
              <w:tab w:pos="900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437" w:val="left" w:leader="none"/>
              <w:tab w:pos="898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437" w:val="left" w:leader="none"/>
              <w:tab w:pos="900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spacing w:val="-1"/>
              </w:rPr>
              <w:t>第十二节</w:t>
              <w:tab/>
            </w:r>
            <w:r>
              <w:rPr/>
              <w:t>备查文件目录</w:t>
            </w:r>
            <w:r>
              <w:rPr>
                <w:rFonts w:ascii="Times New Roman" w:hAnsi="Times New Roman" w:cs="Times New Roman" w:eastAsia="Times New Roman" w:hint="default"/>
              </w:rPr>
              <w:tab/>
              <w:t>199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28" w:footer="974" w:top="1120" w:bottom="1160" w:left="1620" w:right="1140"/>
        </w:sectPr>
      </w:pPr>
    </w:p>
    <w:p>
      <w:pPr>
        <w:pStyle w:val="Heading1"/>
        <w:tabs>
          <w:tab w:pos="1361" w:val="left" w:leader="none"/>
        </w:tabs>
        <w:spacing w:line="240" w:lineRule="auto" w:before="900"/>
        <w:ind w:left="101" w:right="0"/>
        <w:jc w:val="center"/>
        <w:rPr>
          <w:b w:val="0"/>
          <w:bCs w:val="0"/>
        </w:rPr>
      </w:pPr>
      <w:r>
        <w:rPr/>
        <w:pict>
          <v:group style="position:absolute;margin-left:67.650002pt;margin-top:36.399982pt;width:457.6pt;height:19.9pt;mso-position-horizontal-relative:page;mso-position-vertical-relative:page;z-index:-1113856" coordorigin="1353,728" coordsize="9152,398">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53;top:728;width:465;height:393" type="#_x0000_t75" stroked="false">
                <v:imagedata r:id="rId10" o:title=""/>
              </v:shape>
            </v:group>
            <w10:wrap type="none"/>
          </v:group>
        </w:pict>
      </w:r>
      <w:bookmarkStart w:name="_TOC_250011" w:id="1"/>
      <w:r>
        <w:rPr>
          <w:w w:val="95"/>
        </w:rPr>
        <w:t>第一节</w:t>
        <w:tab/>
      </w:r>
      <w:r>
        <w:rPr/>
        <w:t>释义</w:t>
      </w:r>
      <w:bookmarkEnd w:id="1"/>
      <w:r>
        <w:rPr>
          <w:b w:val="0"/>
          <w:bCs w:val="0"/>
        </w:rPr>
      </w:r>
    </w:p>
    <w:p>
      <w:pPr>
        <w:pStyle w:val="BodyText"/>
        <w:spacing w:line="324" w:lineRule="auto" w:before="219"/>
        <w:ind w:right="2585"/>
        <w:jc w:val="left"/>
      </w:pPr>
      <w:r>
        <w:rPr/>
        <w:pict>
          <v:shape style="position:absolute;margin-left:65.304001pt;margin-top:45.773682pt;width:453.2pt;height:595.3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919"/>
                    <w:gridCol w:w="5113"/>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公司、本公司、林洋能源</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华虹电子</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启东市华虹电子有限公司，公司控股股东</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华强投资</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林洋新能源</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林洋光伏</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江苏林洋光伏科技有限公司，公司全资孙公司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光伏运维</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江苏林洋光伏运维有限公司，公司全资子公司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林洋照明</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电力服务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林洋电力</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林洋能源科技（上海）有限公司，公司全资子公司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永安电子</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河南林洋新能源科技有限公司，公司全资子公司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河北林洋微网新能源科技有限公司，公司全资子公司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云南林洋能源有限公司，公司全资子公司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辽宁林洋新能源科技有限公司，公司全资子公司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北京林洋能源科技有限公司，公司全资子公司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澳洲林洋新能源有限公司，公司全资子公司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新加坡林洋能源科技有限公司，公司全资子公司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林洋微网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江苏林洋微网科技有限公司，公司控股子公司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武汉奥统电气有限公司，公司控股子公司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w:t>
                        </w:r>
                        <w:r>
                          <w:rPr>
                            <w:rFonts w:ascii="宋体" w:hAnsi="宋体" w:cs="宋体" w:eastAsia="宋体" w:hint="default"/>
                            <w:spacing w:val="-52"/>
                            <w:sz w:val="21"/>
                            <w:szCs w:val="21"/>
                          </w:rPr>
                          <w:t> </w:t>
                        </w:r>
                        <w:r>
                          <w:rPr>
                            <w:rFonts w:ascii="宋体" w:hAnsi="宋体" w:cs="宋体" w:eastAsia="宋体" w:hint="default"/>
                            <w:sz w:val="21"/>
                            <w:szCs w:val="21"/>
                          </w:rPr>
                          <w:t>ELGAMA</w:t>
                        </w:r>
                        <w:r>
                          <w:rPr>
                            <w:rFonts w:ascii="宋体" w:hAnsi="宋体" w:cs="宋体" w:eastAsia="宋体" w:hint="default"/>
                            <w:spacing w:val="-54"/>
                            <w:sz w:val="21"/>
                            <w:szCs w:val="21"/>
                          </w:rPr>
                          <w:t> </w:t>
                        </w:r>
                        <w:r>
                          <w:rPr>
                            <w:rFonts w:ascii="宋体" w:hAnsi="宋体" w:cs="宋体" w:eastAsia="宋体" w:hint="default"/>
                            <w:sz w:val="21"/>
                            <w:szCs w:val="21"/>
                          </w:rPr>
                          <w:t>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ELGAMA-ELEKTRONIKALtd</w:t>
                        </w:r>
                        <w:r>
                          <w:rPr>
                            <w:rFonts w:ascii="宋体" w:hAnsi="宋体" w:cs="宋体" w:eastAsia="宋体" w:hint="default"/>
                            <w:sz w:val="21"/>
                            <w:szCs w:val="21"/>
                          </w:rPr>
                          <w:t>，公司控股子公司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江苏华源仪器仪表有限公司，公司参股公司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华电华林</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江苏华电华林新能源有限公司，公司参股公司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法凯涞玛</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法凯涞玛冷暖设备（杭州）有限公司，公司参股公司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英大综合能源</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英大（苏州）综合能源投资中心（有限合伙），公司</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参股公司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感知金服</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无锡感知金服物联网科技有限公司，公司参股公司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中广核林洋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中广核林洋新能源泗洪有限公司，公司参股公司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中广核太阳能开发有限公司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智能电能表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智能电网的终端设备，提供互动性服务、具有智能化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自适应处理能力的一种电子式电能表</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用电信息管理系统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集厂站电能采集、大用户负荷控制、配变监测、低压</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headerReference w:type="default" r:id="rId8"/>
          <w:footerReference w:type="default" r:id="rId9"/>
          <w:pgSz w:w="11910" w:h="16840"/>
          <w:pgMar w:header="880" w:footer="974" w:top="108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017"/>
        <w:gridCol w:w="919"/>
        <w:gridCol w:w="5113"/>
      </w:tblGrid>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电力集中抄表、预付费控制等功能为一体的用电一体</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化、自动化管理系统</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智能用电信息管理终端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一种具备电压、电流、功率因数采集计算并能根据用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户用电历史信息进行用电优化提示的终端</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国网、国家电网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中国国家电网公司，负责投资、建设和经营管理除南</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方电网辖区以外的国内其他省（区）的区域电网</w:t>
            </w:r>
          </w:p>
        </w:tc>
      </w:tr>
      <w:tr>
        <w:trPr>
          <w:trHeight w:val="94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南网、南方电网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中国南方电网有限责任公司，负责投资、建设和经营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管理广东省、广西省、云南省、贵州省和海南省五省</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（区）南方区域电网</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兆瓦、</w:t>
            </w:r>
            <w:r>
              <w:rPr>
                <w:rFonts w:ascii="宋体" w:hAnsi="宋体" w:cs="宋体" w:eastAsia="宋体" w:hint="default"/>
                <w:sz w:val="21"/>
                <w:szCs w:val="21"/>
              </w:rPr>
              <w:t>MW</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兆瓦＝</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千瓦</w:t>
            </w:r>
            <w:r>
              <w:rPr>
                <w:rFonts w:ascii="宋体" w:hAnsi="宋体" w:cs="宋体" w:eastAsia="宋体" w:hint="default"/>
                <w:sz w:val="21"/>
                <w:szCs w:val="21"/>
              </w:rPr>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吉瓦、</w:t>
            </w:r>
            <w:r>
              <w:rPr>
                <w:rFonts w:ascii="宋体" w:hAnsi="宋体" w:cs="宋体" w:eastAsia="宋体" w:hint="default"/>
                <w:sz w:val="21"/>
                <w:szCs w:val="21"/>
              </w:rPr>
              <w:t>GW</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吉瓦＝</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兆瓦</w:t>
            </w:r>
            <w:r>
              <w:rPr>
                <w:rFonts w:ascii="宋体" w:hAnsi="宋体" w:cs="宋体" w:eastAsia="宋体" w:hint="default"/>
                <w:sz w:val="21"/>
                <w:szCs w:val="21"/>
              </w:rPr>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单晶硅</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整块硅晶体中的硅原子按周期性排列的单晶体，是用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高纯多晶硅为原料，主要通过直拉法和区熔法制得</w:t>
            </w:r>
          </w:p>
        </w:tc>
      </w:tr>
      <w:tr>
        <w:trPr>
          <w:trHeight w:val="94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多晶硅</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由具有一定尺寸的硅晶粒组成的多晶体，各个硅晶粒</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的晶体取向不同。用于制备硅单晶的高纯多晶硅主要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是由改良的西门子法将冶金级多晶硅纯化而来</w:t>
            </w:r>
          </w:p>
        </w:tc>
      </w:tr>
      <w:tr>
        <w:trPr>
          <w:trHeight w:val="125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z w:val="21"/>
                <w:szCs w:val="21"/>
              </w:rPr>
              <w:t>、</w:t>
            </w:r>
            <w:r>
              <w:rPr>
                <w:rFonts w:ascii="宋体" w:hAnsi="宋体" w:cs="宋体" w:eastAsia="宋体" w:hint="default"/>
                <w:sz w:val="21"/>
                <w:szCs w:val="21"/>
              </w:rPr>
              <w:t>LED</w:t>
            </w:r>
            <w:r>
              <w:rPr>
                <w:rFonts w:ascii="宋体" w:hAnsi="宋体" w:cs="宋体" w:eastAsia="宋体" w:hint="default"/>
                <w:spacing w:val="-51"/>
                <w:sz w:val="21"/>
                <w:szCs w:val="21"/>
              </w:rPr>
              <w:t> </w:t>
            </w:r>
            <w:r>
              <w:rPr>
                <w:rFonts w:ascii="宋体" w:hAnsi="宋体" w:cs="宋体" w:eastAsia="宋体" w:hint="default"/>
                <w:sz w:val="21"/>
                <w:szCs w:val="21"/>
              </w:rPr>
              <w:t>照明</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又称发光二极管照明，是利用固体半导体芯片作为发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光材料，在半导体中通过载流子发生复合放出过剩的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能量而引起光子发射，直接发出红、黄、蓝、绿、青、</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橙、紫、白色的光</w:t>
            </w:r>
          </w:p>
        </w:tc>
      </w:tr>
      <w:tr>
        <w:trPr>
          <w:trHeight w:val="94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微电网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也称为微网，是指由分布式电源、储能装置、能量转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换装置、负荷、监控和保护装置等组成的小型发配电</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系统</w:t>
            </w:r>
          </w:p>
        </w:tc>
      </w:tr>
      <w:tr>
        <w:trPr>
          <w:trHeight w:val="15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能源互联网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是指综合运用先进的电力电子技术，信息技术和智能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管理技术，将大量由分布式能量采集装置，分布式能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量储存装置和各种类型负载构成的新型电力网络、石</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油网络、天然气网络等能源节点互联起来，以实现能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量双向流动的能量对等交换与共享网络</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EPC</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Engineering Procurement Construction</w:t>
            </w:r>
            <w:r>
              <w:rPr>
                <w:rFonts w:ascii="宋体" w:hAnsi="宋体" w:cs="宋体" w:eastAsia="宋体" w:hint="default"/>
                <w:spacing w:val="-46"/>
                <w:sz w:val="21"/>
                <w:szCs w:val="21"/>
              </w:rPr>
              <w:t> </w:t>
            </w:r>
            <w:r>
              <w:rPr>
                <w:rFonts w:ascii="宋体" w:hAnsi="宋体" w:cs="宋体" w:eastAsia="宋体" w:hint="default"/>
                <w:sz w:val="21"/>
                <w:szCs w:val="21"/>
              </w:rPr>
              <w:t>的简称，即</w:t>
            </w:r>
            <w:r>
              <w:rPr>
                <w:rFonts w:ascii="宋体" w:hAnsi="宋体" w:cs="宋体" w:eastAsia="宋体" w:hint="default"/>
                <w:w w:val="100"/>
                <w:sz w:val="21"/>
                <w:szCs w:val="21"/>
              </w:rPr>
              <w:t> </w:t>
            </w:r>
            <w:r>
              <w:rPr>
                <w:rFonts w:ascii="宋体" w:hAnsi="宋体" w:cs="宋体" w:eastAsia="宋体" w:hint="default"/>
                <w:sz w:val="21"/>
                <w:szCs w:val="21"/>
              </w:rPr>
              <w:t>工程总承包，是光伏电站项目建设的一种方式</w:t>
            </w:r>
          </w:p>
        </w:tc>
      </w:tr>
      <w:tr>
        <w:trPr>
          <w:trHeight w:val="94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光伏组件、太阳能组件、组件</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由不同规格的太阳能电池组合在一起构成，其作用是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将太阳能转化为电能，是太阳能发电系统中的核心部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分</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高效太阳光伏电池</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21"/>
                <w:sz w:val="21"/>
                <w:szCs w:val="21"/>
              </w:rPr>
              <w:t> </w:t>
            </w:r>
            <w:r>
              <w:rPr>
                <w:rFonts w:ascii="宋体" w:hAnsi="宋体" w:cs="宋体" w:eastAsia="宋体" w:hint="default"/>
                <w:spacing w:val="-6"/>
                <w:sz w:val="21"/>
                <w:szCs w:val="21"/>
              </w:rPr>
              <w:t>型单晶双面太阳能电池，具有温度系数低、光衰减系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数低、光电转换效率高等优良特性</w:t>
            </w:r>
          </w:p>
        </w:tc>
      </w:tr>
      <w:tr>
        <w:trPr>
          <w:trHeight w:val="15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泛在电力物联网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4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围绕电力系统各环节，充分应用移动互联、人工智能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等现代信息技术、先进通信技术，实现电力系统各环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节万物互联、人机交互，具有状态全面感知、信息高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效处理、应用便捷灵活特征的智慧服务系统，包含感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知层、网络层、平台层、应用层四层结构。</w:t>
            </w:r>
          </w:p>
        </w:tc>
      </w:tr>
    </w:tbl>
    <w:p>
      <w:pPr>
        <w:spacing w:after="0" w:line="273" w:lineRule="auto"/>
        <w:jc w:val="both"/>
        <w:rPr>
          <w:rFonts w:ascii="宋体" w:hAnsi="宋体" w:cs="宋体" w:eastAsia="宋体" w:hint="default"/>
          <w:sz w:val="21"/>
          <w:szCs w:val="21"/>
        </w:rPr>
        <w:sectPr>
          <w:headerReference w:type="default" r:id="rId11"/>
          <w:footerReference w:type="default" r:id="rId12"/>
          <w:pgSz w:w="11910" w:h="16840"/>
          <w:pgMar w:header="728" w:footer="974" w:top="112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pStyle w:val="Heading1"/>
        <w:tabs>
          <w:tab w:pos="3838" w:val="left" w:leader="none"/>
        </w:tabs>
        <w:spacing w:line="240" w:lineRule="auto"/>
        <w:ind w:left="2578"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right="2585"/>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林洋能源</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Jiangsu Linyang Energy Co.,</w:t>
            </w:r>
            <w:r>
              <w:rPr>
                <w:rFonts w:ascii="宋体"/>
                <w:spacing w:val="-4"/>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Linyang</w:t>
            </w:r>
            <w:r>
              <w:rPr>
                <w:rFonts w:ascii="宋体"/>
                <w:spacing w:val="1"/>
                <w:sz w:val="21"/>
              </w:rPr>
              <w:t> </w:t>
            </w:r>
            <w:r>
              <w:rPr>
                <w:rFonts w:ascii="宋体"/>
                <w:sz w:val="21"/>
              </w:rPr>
              <w:t>Energy</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陆永华</w:t>
            </w:r>
          </w:p>
        </w:tc>
      </w:tr>
    </w:tbl>
    <w:p>
      <w:pPr>
        <w:spacing w:line="240" w:lineRule="auto" w:before="9"/>
        <w:rPr>
          <w:rFonts w:ascii="宋体" w:hAnsi="宋体" w:cs="宋体" w:eastAsia="宋体" w:hint="default"/>
          <w:b/>
          <w:bCs/>
          <w:sz w:val="24"/>
          <w:szCs w:val="24"/>
        </w:rPr>
      </w:pPr>
    </w:p>
    <w:p>
      <w:pPr>
        <w:pStyle w:val="Heading2"/>
        <w:spacing w:line="240" w:lineRule="auto"/>
        <w:ind w:right="2585"/>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崔东旭</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洋路</w:t>
            </w:r>
            <w:r>
              <w:rPr>
                <w:rFonts w:ascii="宋体" w:hAnsi="宋体" w:cs="宋体" w:eastAsia="宋体" w:hint="default"/>
                <w:sz w:val="21"/>
                <w:szCs w:val="21"/>
              </w:rPr>
              <w:t>666</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0513-83356525</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0513-83356525</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4">
              <w:r>
                <w:rPr>
                  <w:rFonts w:ascii="宋体"/>
                  <w:sz w:val="21"/>
                </w:rPr>
                <w:t>dsh@linyang.com.cn</w:t>
              </w:r>
            </w:hyperlink>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24"/>
          <w:szCs w:val="24"/>
        </w:rPr>
      </w:pPr>
    </w:p>
    <w:p>
      <w:pPr>
        <w:pStyle w:val="Heading2"/>
        <w:spacing w:line="240" w:lineRule="auto"/>
        <w:ind w:right="2585"/>
        <w:jc w:val="left"/>
        <w:rPr>
          <w:b w:val="0"/>
          <w:bCs w:val="0"/>
        </w:rPr>
      </w:pPr>
      <w:r>
        <w:rPr/>
        <w:t>三、</w:t>
      </w:r>
      <w:r>
        <w:rPr>
          <w:spacing w:val="-30"/>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226200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226200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5">
              <w:r>
                <w:rPr>
                  <w:rFonts w:ascii="宋体"/>
                  <w:sz w:val="21"/>
                </w:rPr>
                <w:t>www.linyang.com.cn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4">
              <w:r>
                <w:rPr>
                  <w:rFonts w:ascii="宋体"/>
                  <w:sz w:val="21"/>
                </w:rPr>
                <w:t>dsh@linyang.com.cn</w:t>
              </w:r>
            </w:hyperlink>
          </w:p>
        </w:tc>
      </w:tr>
    </w:tbl>
    <w:p>
      <w:pPr>
        <w:spacing w:line="240" w:lineRule="auto" w:before="9"/>
        <w:rPr>
          <w:rFonts w:ascii="宋体" w:hAnsi="宋体" w:cs="宋体" w:eastAsia="宋体" w:hint="default"/>
          <w:b/>
          <w:bCs/>
          <w:sz w:val="24"/>
          <w:szCs w:val="24"/>
        </w:rPr>
      </w:pPr>
    </w:p>
    <w:p>
      <w:pPr>
        <w:pStyle w:val="Heading2"/>
        <w:spacing w:line="240" w:lineRule="auto"/>
        <w:ind w:right="2585"/>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6">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Heading2"/>
        <w:spacing w:line="240" w:lineRule="auto"/>
        <w:ind w:right="2585"/>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林洋能源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601222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林洋电子</w:t>
            </w:r>
          </w:p>
        </w:tc>
      </w:tr>
    </w:tbl>
    <w:p>
      <w:pPr>
        <w:spacing w:line="240" w:lineRule="auto" w:before="9"/>
        <w:rPr>
          <w:rFonts w:ascii="宋体" w:hAnsi="宋体" w:cs="宋体" w:eastAsia="宋体" w:hint="default"/>
          <w:b/>
          <w:bCs/>
          <w:sz w:val="24"/>
          <w:szCs w:val="24"/>
        </w:rPr>
      </w:pPr>
    </w:p>
    <w:p>
      <w:pPr>
        <w:pStyle w:val="Heading2"/>
        <w:spacing w:line="240" w:lineRule="auto"/>
        <w:ind w:right="2585"/>
        <w:jc w:val="left"/>
        <w:rPr>
          <w:b w:val="0"/>
          <w:bCs w:val="0"/>
        </w:rPr>
      </w:pPr>
      <w:r>
        <w:rPr/>
        <w:t>六、</w:t>
      </w:r>
      <w:r>
        <w:rPr>
          <w:spacing w:val="-30"/>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2993"/>
        <w:gridCol w:w="1795"/>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2993"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严劼、孙玮</w:t>
            </w:r>
          </w:p>
        </w:tc>
      </w:tr>
      <w:tr>
        <w:trPr>
          <w:trHeight w:val="32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bl>
    <w:p>
      <w:pPr>
        <w:spacing w:after="0" w:line="262" w:lineRule="exact"/>
        <w:jc w:val="left"/>
        <w:rPr>
          <w:rFonts w:ascii="宋体" w:hAnsi="宋体" w:cs="宋体" w:eastAsia="宋体" w:hint="default"/>
          <w:sz w:val="21"/>
          <w:szCs w:val="21"/>
        </w:rPr>
        <w:sectPr>
          <w:footerReference w:type="default" r:id="rId13"/>
          <w:pgSz w:w="11910" w:h="16840"/>
          <w:pgMar w:footer="974" w:header="728" w:top="1120" w:bottom="1160" w:left="1200" w:right="1300"/>
          <w:pgNumType w:start="11"/>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346" w:type="dxa"/>
        <w:tblLayout w:type="fixed"/>
        <w:tblCellMar>
          <w:top w:w="0" w:type="dxa"/>
          <w:left w:w="0" w:type="dxa"/>
          <w:bottom w:w="0" w:type="dxa"/>
          <w:right w:w="0" w:type="dxa"/>
        </w:tblCellMar>
        <w:tblLook w:val="01E0"/>
      </w:tblPr>
      <w:tblGrid>
        <w:gridCol w:w="2993"/>
        <w:gridCol w:w="1795"/>
        <w:gridCol w:w="4261"/>
      </w:tblGrid>
      <w:tr>
        <w:trPr>
          <w:trHeight w:val="636" w:hRule="exact"/>
        </w:trPr>
        <w:tc>
          <w:tcPr>
            <w:tcW w:w="2993"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广州市天河区马场路 </w:t>
            </w:r>
            <w:r>
              <w:rPr>
                <w:rFonts w:ascii="宋体" w:hAnsi="宋体" w:cs="宋体" w:eastAsia="宋体" w:hint="default"/>
                <w:sz w:val="21"/>
                <w:szCs w:val="21"/>
              </w:rPr>
              <w:t>26 </w:t>
            </w:r>
            <w:r>
              <w:rPr>
                <w:rFonts w:ascii="宋体" w:hAnsi="宋体" w:cs="宋体" w:eastAsia="宋体" w:hint="default"/>
                <w:sz w:val="21"/>
                <w:szCs w:val="21"/>
              </w:rPr>
              <w:t>号广发证券大厦</w:t>
            </w:r>
            <w:r>
              <w:rPr>
                <w:rFonts w:ascii="宋体" w:hAnsi="宋体" w:cs="宋体" w:eastAsia="宋体" w:hint="default"/>
                <w:spacing w:val="-51"/>
                <w:sz w:val="21"/>
                <w:szCs w:val="21"/>
              </w:rPr>
              <w:t> </w:t>
            </w:r>
            <w:r>
              <w:rPr>
                <w:rFonts w:ascii="宋体" w:hAnsi="宋体" w:cs="宋体" w:eastAsia="宋体" w:hint="default"/>
                <w:sz w:val="21"/>
                <w:szCs w:val="21"/>
              </w:rPr>
              <w:t>41</w:t>
            </w:r>
            <w:r>
              <w:rPr>
                <w:rFonts w:ascii="宋体" w:hAnsi="宋体" w:cs="宋体" w:eastAsia="宋体" w:hint="default"/>
                <w:w w:val="100"/>
                <w:sz w:val="21"/>
                <w:szCs w:val="21"/>
              </w:rPr>
              <w:t> </w:t>
            </w:r>
            <w:r>
              <w:rPr>
                <w:rFonts w:ascii="宋体" w:hAnsi="宋体" w:cs="宋体" w:eastAsia="宋体" w:hint="default"/>
                <w:sz w:val="21"/>
                <w:szCs w:val="21"/>
              </w:rPr>
              <w:t>楼</w:t>
            </w:r>
          </w:p>
        </w:tc>
      </w:tr>
      <w:tr>
        <w:trPr>
          <w:trHeight w:val="634" w:hRule="exact"/>
        </w:trPr>
        <w:tc>
          <w:tcPr>
            <w:tcW w:w="2993"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孟晓翔、李宗贵</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28" w:footer="974" w:top="1120" w:bottom="1160" w:left="960" w:right="960"/>
        </w:sectPr>
      </w:pPr>
    </w:p>
    <w:p>
      <w:pPr>
        <w:pStyle w:val="Heading2"/>
        <w:spacing w:line="240" w:lineRule="auto"/>
        <w:ind w:left="45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97"/>
        <w:ind w:left="45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3908" w:space="2851"/>
            <w:col w:w="3231"/>
          </w:cols>
        </w:sectPr>
      </w:pPr>
    </w:p>
    <w:p>
      <w:pPr>
        <w:spacing w:line="240" w:lineRule="auto" w:before="8"/>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163"/>
        <w:gridCol w:w="2055"/>
        <w:gridCol w:w="2057"/>
        <w:gridCol w:w="1421"/>
        <w:gridCol w:w="2053"/>
      </w:tblGrid>
      <w:tr>
        <w:trPr>
          <w:trHeight w:val="608"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24" w:right="127" w:firstLine="52"/>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4,016,739,559.85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3,588,198,201.68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sz w:val="21"/>
              </w:rPr>
              <w:t>11.94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3,137,442,385.85</w:t>
            </w:r>
          </w:p>
        </w:tc>
      </w:tr>
      <w:tr>
        <w:trPr>
          <w:trHeight w:val="557"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760,512,374.73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686,022,146.29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10.86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466,484,137.90</w:t>
            </w:r>
          </w:p>
        </w:tc>
      </w:tr>
      <w:tr>
        <w:trPr>
          <w:trHeight w:val="826"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的扣除非经常性损益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的净利润</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743,778,607.14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678,666,134.71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9.59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463,489,619.11</w:t>
            </w:r>
          </w:p>
        </w:tc>
      </w:tr>
      <w:tr>
        <w:trPr>
          <w:trHeight w:val="55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452,239,041.22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806,223,637.92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-43.91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-345,411,400.09</w:t>
            </w:r>
          </w:p>
        </w:tc>
      </w:tr>
      <w:tr>
        <w:trPr>
          <w:trHeight w:val="828" w:hRule="exact"/>
        </w:trPr>
        <w:tc>
          <w:tcPr>
            <w:tcW w:w="2163"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35" w:right="177"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9,930,477,265.91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9,322,166,273.29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6.53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8,463,728,629.91</w:t>
            </w:r>
          </w:p>
        </w:tc>
      </w:tr>
      <w:tr>
        <w:trPr>
          <w:trHeight w:val="295"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17,468,564,492.57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16,773,809,899.63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sz w:val="21"/>
              </w:rPr>
              <w:t>4.14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12,999,140,581.07</w:t>
            </w:r>
          </w:p>
        </w:tc>
      </w:tr>
    </w:tbl>
    <w:p>
      <w:pPr>
        <w:spacing w:line="240" w:lineRule="auto" w:before="9"/>
        <w:rPr>
          <w:rFonts w:ascii="宋体" w:hAnsi="宋体" w:cs="宋体" w:eastAsia="宋体" w:hint="default"/>
          <w:sz w:val="24"/>
          <w:szCs w:val="24"/>
        </w:rPr>
      </w:pPr>
    </w:p>
    <w:p>
      <w:pPr>
        <w:pStyle w:val="Heading2"/>
        <w:tabs>
          <w:tab w:pos="1298" w:val="left" w:leader="none"/>
        </w:tabs>
        <w:spacing w:line="240" w:lineRule="auto"/>
        <w:ind w:left="458" w:right="44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346" w:type="dxa"/>
        <w:tblLayout w:type="fixed"/>
        <w:tblCellMar>
          <w:top w:w="0" w:type="dxa"/>
          <w:left w:w="0" w:type="dxa"/>
          <w:bottom w:w="0" w:type="dxa"/>
          <w:right w:w="0" w:type="dxa"/>
        </w:tblCellMar>
        <w:tblLook w:val="01E0"/>
      </w:tblPr>
      <w:tblGrid>
        <w:gridCol w:w="3111"/>
        <w:gridCol w:w="1222"/>
        <w:gridCol w:w="1306"/>
        <w:gridCol w:w="2475"/>
        <w:gridCol w:w="1174"/>
      </w:tblGrid>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本期比上年同期增减</w:t>
            </w:r>
            <w:r>
              <w:rPr>
                <w:rFonts w:ascii="宋体" w:hAnsi="宋体" w:cs="宋体" w:eastAsia="宋体" w:hint="default"/>
                <w:spacing w:val="-1"/>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1"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0.27</w:t>
            </w:r>
          </w:p>
        </w:tc>
      </w:tr>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0.36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0.38</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0.27</w:t>
            </w:r>
          </w:p>
        </w:tc>
      </w:tr>
      <w:tr>
        <w:trPr>
          <w:trHeight w:val="555"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0.39</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7.69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0.27</w:t>
            </w:r>
          </w:p>
        </w:tc>
      </w:tr>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7.78</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0.08</w:t>
            </w:r>
            <w:r>
              <w:rPr>
                <w:rFonts w:ascii="宋体" w:hAnsi="宋体" w:cs="宋体" w:eastAsia="宋体" w:hint="default"/>
                <w:spacing w:val="-1"/>
                <w:sz w:val="21"/>
                <w:szCs w:val="21"/>
              </w:rPr>
              <w:t>个百分点</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7.70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7.70</w:t>
            </w:r>
          </w:p>
        </w:tc>
        <w:tc>
          <w:tcPr>
            <w:tcW w:w="247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6.57</w:t>
            </w:r>
          </w:p>
        </w:tc>
      </w:tr>
    </w:tbl>
    <w:p>
      <w:pPr>
        <w:spacing w:line="240" w:lineRule="auto" w:before="2"/>
        <w:rPr>
          <w:rFonts w:ascii="宋体" w:hAnsi="宋体" w:cs="宋体" w:eastAsia="宋体" w:hint="default"/>
          <w:b/>
          <w:bCs/>
          <w:sz w:val="20"/>
          <w:szCs w:val="20"/>
        </w:rPr>
      </w:pPr>
    </w:p>
    <w:p>
      <w:pPr>
        <w:pStyle w:val="BodyText"/>
        <w:spacing w:line="240" w:lineRule="auto" w:before="36"/>
        <w:ind w:left="458" w:right="440"/>
        <w:jc w:val="left"/>
      </w:pPr>
      <w:r>
        <w:rPr/>
        <w:t>报告期末公司前三年主要会计数据和财务指标的说明</w:t>
      </w:r>
    </w:p>
    <w:p>
      <w:pPr>
        <w:pStyle w:val="BodyText"/>
        <w:spacing w:line="240" w:lineRule="auto" w:before="37"/>
        <w:ind w:left="458" w:right="44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58" w:right="440"/>
        <w:jc w:val="left"/>
        <w:rPr>
          <w:b w:val="0"/>
          <w:bCs w:val="0"/>
        </w:rPr>
      </w:pPr>
      <w:r>
        <w:rPr/>
        <w:t>八、</w:t>
      </w:r>
      <w:r>
        <w:rPr>
          <w:spacing w:val="-32"/>
        </w:rPr>
        <w:t> </w:t>
      </w:r>
      <w:r>
        <w:rPr/>
        <w:t>境内外会计准则下会计数据差异</w:t>
      </w:r>
      <w:r>
        <w:rPr>
          <w:b w:val="0"/>
          <w:bCs w:val="0"/>
        </w:rPr>
      </w:r>
    </w:p>
    <w:p>
      <w:pPr>
        <w:pStyle w:val="Heading2"/>
        <w:spacing w:line="249" w:lineRule="auto" w:before="97"/>
        <w:ind w:left="878" w:right="44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同时按照国际会计准则与按中国会计准则披露的财务报告中净利润和归属于上市公司股东的净</w:t>
      </w:r>
      <w:r>
        <w:rPr>
          <w:w w:val="100"/>
        </w:rPr>
        <w:t> </w:t>
      </w:r>
      <w:r>
        <w:rPr/>
        <w:t>资产差异情况</w:t>
      </w:r>
      <w:r>
        <w:rPr>
          <w:b w:val="0"/>
          <w:bCs w:val="0"/>
        </w:rPr>
      </w:r>
    </w:p>
    <w:p>
      <w:pPr>
        <w:pStyle w:val="BodyText"/>
        <w:spacing w:line="240" w:lineRule="auto" w:before="88"/>
        <w:ind w:left="458" w:right="440"/>
        <w:jc w:val="left"/>
      </w:pPr>
      <w:r>
        <w:rPr/>
        <w:t>□适用 √不适用</w:t>
      </w:r>
    </w:p>
    <w:p>
      <w:pPr>
        <w:spacing w:after="0" w:line="240" w:lineRule="auto"/>
        <w:jc w:val="left"/>
        <w:sectPr>
          <w:type w:val="continuous"/>
          <w:pgSz w:w="11910" w:h="16840"/>
          <w:pgMar w:top="1580" w:bottom="280" w:left="960" w:right="960"/>
        </w:sectPr>
      </w:pPr>
    </w:p>
    <w:p>
      <w:pPr>
        <w:spacing w:line="240" w:lineRule="auto" w:before="10"/>
        <w:rPr>
          <w:rFonts w:ascii="宋体" w:hAnsi="宋体" w:cs="宋体" w:eastAsia="宋体" w:hint="default"/>
          <w:sz w:val="26"/>
          <w:szCs w:val="26"/>
        </w:rPr>
      </w:pPr>
    </w:p>
    <w:p>
      <w:pPr>
        <w:pStyle w:val="Heading2"/>
        <w:spacing w:line="247" w:lineRule="auto"/>
        <w:ind w:left="1126" w:right="0"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同时按照境外会计准则与按中国会计准则披露的财务报告中净利润和归属于上市公司股东的净</w:t>
      </w:r>
      <w:r>
        <w:rPr>
          <w:spacing w:val="-72"/>
        </w:rPr>
        <w:t> </w:t>
      </w:r>
      <w:r>
        <w:rPr>
          <w:spacing w:val="-72"/>
        </w:rPr>
      </w:r>
      <w:r>
        <w:rPr/>
        <w:t>资产差异情况</w:t>
      </w:r>
      <w:r>
        <w:rPr>
          <w:b w:val="0"/>
          <w:bCs w:val="0"/>
        </w:rPr>
      </w:r>
    </w:p>
    <w:p>
      <w:pPr>
        <w:pStyle w:val="BodyText"/>
        <w:spacing w:line="240" w:lineRule="auto" w:before="91"/>
        <w:ind w:left="758" w:right="0"/>
        <w:jc w:val="left"/>
      </w:pPr>
      <w:r>
        <w:rPr/>
        <w:t>□适用 √不适用</w:t>
      </w:r>
    </w:p>
    <w:p>
      <w:pPr>
        <w:pStyle w:val="Heading2"/>
        <w:spacing w:line="240" w:lineRule="auto" w:before="97"/>
        <w:ind w:left="7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758" w:right="0"/>
        <w:jc w:val="left"/>
      </w:pPr>
      <w:r>
        <w:rPr/>
        <w:t>□适用 √不适用</w:t>
      </w:r>
    </w:p>
    <w:p>
      <w:pPr>
        <w:spacing w:line="240" w:lineRule="auto" w:before="7"/>
        <w:rPr>
          <w:rFonts w:ascii="宋体" w:hAnsi="宋体" w:cs="宋体" w:eastAsia="宋体" w:hint="default"/>
          <w:sz w:val="28"/>
          <w:szCs w:val="28"/>
        </w:rPr>
      </w:pPr>
    </w:p>
    <w:p>
      <w:pPr>
        <w:pStyle w:val="Heading2"/>
        <w:spacing w:line="240" w:lineRule="auto"/>
        <w:ind w:left="758" w:right="0"/>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751"/>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674" w:type="dxa"/>
        <w:tblLayout w:type="fixed"/>
        <w:tblCellMar>
          <w:top w:w="0" w:type="dxa"/>
          <w:left w:w="0" w:type="dxa"/>
          <w:bottom w:w="0" w:type="dxa"/>
          <w:right w:w="0" w:type="dxa"/>
        </w:tblCellMar>
        <w:tblLook w:val="01E0"/>
      </w:tblPr>
      <w:tblGrid>
        <w:gridCol w:w="1853"/>
        <w:gridCol w:w="1685"/>
        <w:gridCol w:w="1896"/>
        <w:gridCol w:w="1896"/>
        <w:gridCol w:w="1897"/>
      </w:tblGrid>
      <w:tr>
        <w:trPr>
          <w:trHeight w:val="637" w:hRule="exact"/>
        </w:trPr>
        <w:tc>
          <w:tcPr>
            <w:tcW w:w="185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2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583,231,100.90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1,029,997,437.65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1,130,896,764.72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1,272,614,256.58</w:t>
            </w:r>
          </w:p>
        </w:tc>
      </w:tr>
      <w:tr>
        <w:trPr>
          <w:trHeight w:val="63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4"/>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146,717,516.63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249,915,607.85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250,498,347.62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113,380,902.63</w:t>
            </w:r>
          </w:p>
        </w:tc>
      </w:tr>
      <w:tr>
        <w:trPr>
          <w:trHeight w:val="1258"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4"/>
              <w:jc w:val="both"/>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常性损益后的净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141,132,781.79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252,874,451.23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236,123,197.19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113,648,176.93</w:t>
            </w:r>
          </w:p>
        </w:tc>
      </w:tr>
      <w:tr>
        <w:trPr>
          <w:trHeight w:val="63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4"/>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90,637,450.99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-50,549,438.65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329,151,859.94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82,999,168.94</w:t>
            </w:r>
          </w:p>
        </w:tc>
      </w:tr>
    </w:tbl>
    <w:p>
      <w:pPr>
        <w:pStyle w:val="BodyText"/>
        <w:spacing w:line="262" w:lineRule="exact"/>
        <w:ind w:left="758" w:right="0"/>
        <w:jc w:val="left"/>
      </w:pPr>
      <w:r>
        <w:rPr/>
        <w:t>季度数据与已披露定期报告数据差异说明</w:t>
      </w:r>
    </w:p>
    <w:p>
      <w:pPr>
        <w:pStyle w:val="BodyText"/>
        <w:spacing w:line="240" w:lineRule="auto" w:before="37"/>
        <w:ind w:left="75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28" w:footer="974" w:top="1120" w:bottom="1160" w:left="660" w:right="660"/>
        </w:sectPr>
      </w:pPr>
    </w:p>
    <w:p>
      <w:pPr>
        <w:pStyle w:val="Heading2"/>
        <w:spacing w:line="240" w:lineRule="auto"/>
        <w:ind w:left="758" w:right="-17"/>
        <w:jc w:val="left"/>
        <w:rPr>
          <w:b w:val="0"/>
          <w:bCs w:val="0"/>
        </w:rPr>
      </w:pPr>
      <w:r>
        <w:rPr/>
        <w:t>十、</w:t>
      </w:r>
      <w:r>
        <w:rPr>
          <w:spacing w:val="-31"/>
        </w:rPr>
        <w:t> </w:t>
      </w:r>
      <w:r>
        <w:rPr/>
        <w:t>非经常性损益项目和金额</w:t>
      </w:r>
      <w:r>
        <w:rPr>
          <w:b w:val="0"/>
          <w:bCs w:val="0"/>
        </w:rPr>
      </w:r>
    </w:p>
    <w:p>
      <w:pPr>
        <w:pStyle w:val="BodyText"/>
        <w:spacing w:line="240" w:lineRule="auto" w:before="97"/>
        <w:ind w:left="75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704" w:val="left" w:leader="none"/>
        </w:tabs>
        <w:spacing w:line="240" w:lineRule="auto"/>
        <w:ind w:left="7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660" w:right="660"/>
          <w:cols w:num="2" w:equalWidth="0">
            <w:col w:w="3577" w:space="3393"/>
            <w:col w:w="3620"/>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232"/>
        <w:gridCol w:w="1623"/>
        <w:gridCol w:w="1027"/>
        <w:gridCol w:w="1731"/>
        <w:gridCol w:w="1728"/>
      </w:tblGrid>
      <w:tr>
        <w:trPr>
          <w:trHeight w:val="636"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27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98" w:hanging="89"/>
              <w:jc w:val="left"/>
              <w:rPr>
                <w:rFonts w:ascii="宋体" w:hAnsi="宋体" w:cs="宋体" w:eastAsia="宋体" w:hint="default"/>
                <w:sz w:val="21"/>
                <w:szCs w:val="21"/>
              </w:rPr>
            </w:pPr>
            <w:r>
              <w:rPr>
                <w:rFonts w:ascii="宋体" w:hAnsi="宋体" w:cs="宋体" w:eastAsia="宋体" w:hint="default"/>
                <w:spacing w:val="-8"/>
                <w:sz w:val="21"/>
                <w:szCs w:val="21"/>
              </w:rPr>
              <w:t>附注（如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适用）</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0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-651,082.13</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-684,988.98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9" w:right="0"/>
              <w:jc w:val="left"/>
              <w:rPr>
                <w:rFonts w:ascii="宋体" w:hAnsi="宋体" w:cs="宋体" w:eastAsia="宋体" w:hint="default"/>
                <w:sz w:val="21"/>
                <w:szCs w:val="21"/>
              </w:rPr>
            </w:pPr>
            <w:r>
              <w:rPr>
                <w:rFonts w:ascii="宋体"/>
                <w:sz w:val="21"/>
              </w:rPr>
              <w:t>-1,399,955.38</w:t>
            </w: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越权审批，或无正式批准文件，或偶发性的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税收返还、减免</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营业务密切相关，符合国家政策规定、按照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一定标准定额或定量持续享受的政府补助除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外</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27,235,874.69</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17,191,535.13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sz w:val="21"/>
              </w:rPr>
              <w:t>28,505,177.59</w:t>
            </w: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计入当期损益的对非金融企业收取的资金占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用费</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资成本小于取得投资时应享有被投资单位可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辨认净资产公允价值产生的收益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sz w:val="21"/>
              </w:rPr>
              <w:t>2,248,492.24</w:t>
            </w:r>
          </w:p>
        </w:tc>
      </w:tr>
      <w:tr>
        <w:trPr>
          <w:trHeight w:val="32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974,668.99</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7,460,821.94</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66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232"/>
        <w:gridCol w:w="1623"/>
        <w:gridCol w:w="1027"/>
        <w:gridCol w:w="1731"/>
        <w:gridCol w:w="1728"/>
      </w:tblGrid>
      <w:tr>
        <w:trPr>
          <w:trHeight w:val="32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各项资产减值准备</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企业重组费用，如安置职工的支出、整合费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用等</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值部分的损益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并日的当期净损益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-1,013,889.23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-7,940,683.31</w:t>
            </w: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与公司正常经营业务无关的或有事项产生的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573"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业务外，持有交易性金融资产、交易性金融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负债产生的公允价值变动损益，以及处置交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易性金融资产、交易性金融负债和可供出售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金融资产取得的投资收益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地产公允价值变动产生的损益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损益进行一次性调整对当期损益的影响</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-9,160,853.16</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-14,113,779.94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-13,756,026.14</w:t>
            </w: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-106,632.06</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38,778.83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-2,269,526.49</w:t>
            </w: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-1,558,208.74</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-1,522,466.17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-2,392,959.72</w:t>
            </w:r>
          </w:p>
        </w:tc>
      </w:tr>
      <w:tr>
        <w:trPr>
          <w:trHeight w:val="322" w:hRule="exact"/>
        </w:trPr>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16,733,767.59</w:t>
            </w:r>
          </w:p>
        </w:tc>
        <w:tc>
          <w:tcPr>
            <w:tcW w:w="102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7,356,011.58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2,994,518.79</w:t>
            </w:r>
          </w:p>
        </w:tc>
      </w:tr>
    </w:tbl>
    <w:p>
      <w:pPr>
        <w:spacing w:line="240" w:lineRule="auto" w:before="9"/>
        <w:rPr>
          <w:rFonts w:ascii="宋体" w:hAnsi="宋体" w:cs="宋体" w:eastAsia="宋体" w:hint="default"/>
          <w:sz w:val="24"/>
          <w:szCs w:val="24"/>
        </w:rPr>
      </w:pPr>
    </w:p>
    <w:p>
      <w:pPr>
        <w:pStyle w:val="Heading2"/>
        <w:tabs>
          <w:tab w:pos="1598" w:val="left" w:leader="none"/>
        </w:tabs>
        <w:spacing w:line="240" w:lineRule="auto"/>
        <w:ind w:left="758" w:right="0"/>
        <w:jc w:val="left"/>
        <w:rPr>
          <w:b w:val="0"/>
          <w:bCs w:val="0"/>
        </w:rPr>
      </w:pPr>
      <w:r>
        <w:rPr/>
        <w:t>十一、</w:t>
        <w:tab/>
        <w:t>采用公允价值计量的项目</w:t>
      </w:r>
      <w:r>
        <w:rPr>
          <w:b w:val="0"/>
          <w:bCs w:val="0"/>
        </w:rPr>
      </w:r>
    </w:p>
    <w:p>
      <w:pPr>
        <w:pStyle w:val="BodyText"/>
        <w:spacing w:line="240" w:lineRule="auto" w:before="97"/>
        <w:ind w:left="758" w:right="0"/>
        <w:jc w:val="left"/>
      </w:pPr>
      <w:r>
        <w:rPr/>
        <w:t>□适用 √不适用</w:t>
      </w:r>
    </w:p>
    <w:p>
      <w:pPr>
        <w:spacing w:line="240" w:lineRule="auto" w:before="0"/>
        <w:rPr>
          <w:rFonts w:ascii="宋体" w:hAnsi="宋体" w:cs="宋体" w:eastAsia="宋体" w:hint="default"/>
          <w:sz w:val="20"/>
          <w:szCs w:val="20"/>
        </w:rPr>
      </w:pPr>
    </w:p>
    <w:p>
      <w:pPr>
        <w:pStyle w:val="Heading2"/>
        <w:tabs>
          <w:tab w:pos="1598" w:val="left" w:leader="none"/>
        </w:tabs>
        <w:spacing w:line="240" w:lineRule="auto" w:before="148"/>
        <w:ind w:left="758" w:right="0"/>
        <w:jc w:val="left"/>
        <w:rPr>
          <w:b w:val="0"/>
          <w:bCs w:val="0"/>
        </w:rPr>
      </w:pPr>
      <w:r>
        <w:rPr/>
        <w:t>十二、</w:t>
        <w:tab/>
        <w:t>其他</w:t>
      </w:r>
      <w:r>
        <w:rPr>
          <w:b w:val="0"/>
          <w:bCs w:val="0"/>
        </w:rPr>
      </w:r>
    </w:p>
    <w:p>
      <w:pPr>
        <w:pStyle w:val="BodyText"/>
        <w:spacing w:line="240" w:lineRule="auto" w:before="97"/>
        <w:ind w:left="758" w:right="0"/>
        <w:jc w:val="left"/>
      </w:pPr>
      <w:r>
        <w:rPr/>
        <w:t>□适用 √不适用</w:t>
      </w:r>
    </w:p>
    <w:p>
      <w:pPr>
        <w:spacing w:after="0" w:line="240" w:lineRule="auto"/>
        <w:jc w:val="left"/>
        <w:sectPr>
          <w:pgSz w:w="11910" w:h="16840"/>
          <w:pgMar w:header="728" w:footer="974" w:top="1120" w:bottom="1160" w:left="660" w:right="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1319" w:val="left" w:leader="none"/>
        </w:tabs>
        <w:spacing w:line="240" w:lineRule="auto"/>
        <w:ind w:left="59" w:right="0"/>
        <w:jc w:val="center"/>
        <w:rPr>
          <w:b w:val="0"/>
          <w:bCs w:val="0"/>
        </w:rPr>
      </w:pPr>
      <w:bookmarkStart w:name="_TOC_250009" w:id="3"/>
      <w:r>
        <w:rPr>
          <w:w w:val="95"/>
        </w:rPr>
        <w:t>第三节</w:t>
        <w:tab/>
      </w:r>
      <w:r>
        <w:rPr/>
        <w:t>公司业务概要</w:t>
      </w:r>
      <w:bookmarkEnd w:id="3"/>
      <w:r>
        <w:rPr>
          <w:b w:val="0"/>
          <w:bCs w:val="0"/>
        </w:rPr>
      </w:r>
    </w:p>
    <w:p>
      <w:pPr>
        <w:spacing w:line="408" w:lineRule="auto" w:before="219"/>
        <w:ind w:left="598" w:right="1815"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、公司所从事的主要业务与经营模式：</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报告期内，公司主要从事智能、节能、新能源三个板块业务，具体如下：</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智能板块：</w:t>
      </w:r>
      <w:r>
        <w:rPr>
          <w:rFonts w:ascii="宋体" w:hAnsi="宋体" w:cs="宋体" w:eastAsia="宋体" w:hint="default"/>
          <w:sz w:val="21"/>
          <w:szCs w:val="21"/>
        </w:rPr>
      </w:r>
    </w:p>
    <w:p>
      <w:pPr>
        <w:pStyle w:val="BodyText"/>
        <w:spacing w:line="273" w:lineRule="auto" w:before="46"/>
        <w:ind w:left="178" w:right="109" w:firstLine="420"/>
        <w:jc w:val="both"/>
      </w:pPr>
      <w:r>
        <w:rPr>
          <w:spacing w:val="-2"/>
        </w:rPr>
        <w:t>公司智能板块主营产品覆盖智能电表、用电信息采集终端、智能用电信息管理系统解决方案、</w:t>
      </w:r>
      <w:r>
        <w:rPr>
          <w:w w:val="100"/>
        </w:rPr>
        <w:t> </w:t>
      </w:r>
      <w:r>
        <w:rPr>
          <w:spacing w:val="-2"/>
        </w:rPr>
        <w:t>电力运维服务、微电网及储能系统解决方案、智能配用电产品解决方案、多表合一采集系统等，是</w:t>
      </w:r>
      <w:r>
        <w:rPr>
          <w:spacing w:val="-25"/>
        </w:rPr>
        <w:t> </w:t>
      </w:r>
      <w:r>
        <w:rPr>
          <w:spacing w:val="-25"/>
        </w:rPr>
      </w:r>
      <w:r>
        <w:rPr>
          <w:spacing w:val="-2"/>
        </w:rPr>
        <w:t>领先的智能配用电整体解决方案提供商。包括但不限于：单相电能表系列、三相电能表系列、直流</w:t>
      </w:r>
      <w:r>
        <w:rPr>
          <w:spacing w:val="-25"/>
        </w:rPr>
        <w:t> </w:t>
      </w:r>
      <w:r>
        <w:rPr>
          <w:spacing w:val="-25"/>
        </w:rPr>
      </w:r>
      <w:r>
        <w:rPr>
          <w:spacing w:val="-2"/>
        </w:rPr>
        <w:t>电能表以及数字化变电站表、采集器、专变采集终端、集中器、负控及配变终端、各类通讯模块、</w:t>
      </w:r>
      <w:r>
        <w:rPr>
          <w:spacing w:val="-25"/>
        </w:rPr>
        <w:t> </w:t>
      </w:r>
      <w:r>
        <w:rPr>
          <w:spacing w:val="-25"/>
        </w:rPr>
      </w:r>
      <w:r>
        <w:rPr>
          <w:spacing w:val="-3"/>
        </w:rPr>
        <w:t>能效终端、售电终端、储能双向变流器（</w:t>
      </w:r>
      <w:r>
        <w:rPr>
          <w:rFonts w:ascii="宋体" w:hAnsi="宋体" w:cs="宋体" w:eastAsia="宋体" w:hint="default"/>
          <w:spacing w:val="-3"/>
        </w:rPr>
        <w:t>PCS</w:t>
      </w:r>
      <w:r>
        <w:rPr>
          <w:spacing w:val="-3"/>
        </w:rPr>
        <w:t>）、智能水表、多表集抄设备等产品以及智能用电信息</w:t>
      </w:r>
      <w:r>
        <w:rPr>
          <w:spacing w:val="-47"/>
        </w:rPr>
        <w:t> </w:t>
      </w:r>
      <w:r>
        <w:rPr>
          <w:spacing w:val="-47"/>
        </w:rPr>
      </w:r>
      <w:r>
        <w:rPr>
          <w:spacing w:val="-1"/>
        </w:rPr>
        <w:t>管理和</w:t>
      </w:r>
      <w:r>
        <w:rPr>
          <w:spacing w:val="2"/>
        </w:rPr>
        <w:t> </w:t>
      </w:r>
      <w:r>
        <w:rPr>
          <w:rFonts w:ascii="宋体" w:hAnsi="宋体" w:cs="宋体" w:eastAsia="宋体" w:hint="default"/>
          <w:spacing w:val="-2"/>
        </w:rPr>
        <w:t>AMI</w:t>
      </w:r>
      <w:r>
        <w:rPr>
          <w:spacing w:val="-2"/>
        </w:rPr>
        <w:t>（先进计量体系架构）系统主站软件等软件解决方案。</w:t>
      </w:r>
    </w:p>
    <w:p>
      <w:pPr>
        <w:pStyle w:val="BodyText"/>
        <w:spacing w:line="273" w:lineRule="auto" w:before="163"/>
        <w:ind w:left="178" w:right="147" w:firstLine="420"/>
        <w:jc w:val="both"/>
      </w:pPr>
      <w:r>
        <w:rPr>
          <w:spacing w:val="-2"/>
        </w:rPr>
        <w:t>公司经营模式主要包括：参加国网、南网、地方电力公司以及海外各国电力公司集中招投标；</w:t>
      </w:r>
      <w:r>
        <w:rPr>
          <w:w w:val="100"/>
        </w:rPr>
        <w:t> </w:t>
      </w:r>
      <w:r>
        <w:rPr>
          <w:spacing w:val="-2"/>
        </w:rPr>
        <w:t>通过全国各地子公司及营销机构获得地方电力公司及非电力公司客户订单；通过自主开拓、战略合</w:t>
      </w:r>
      <w:r>
        <w:rPr>
          <w:spacing w:val="-25"/>
        </w:rPr>
        <w:t> </w:t>
      </w:r>
      <w:r>
        <w:rPr>
          <w:spacing w:val="-25"/>
        </w:rPr>
      </w:r>
      <w:r>
        <w:rPr/>
        <w:t>作、收购兼并等方式开拓海外业务。</w:t>
      </w:r>
    </w:p>
    <w:p>
      <w:pPr>
        <w:pStyle w:val="BodyText"/>
        <w:spacing w:line="240" w:lineRule="auto" w:before="163"/>
        <w:ind w:left="598" w:right="0"/>
        <w:jc w:val="left"/>
      </w:pPr>
      <w:r>
        <w:rPr/>
        <w:t>经过 </w:t>
      </w:r>
      <w:r>
        <w:rPr>
          <w:rFonts w:ascii="宋体" w:hAnsi="宋体" w:cs="宋体" w:eastAsia="宋体" w:hint="default"/>
        </w:rPr>
        <w:t>20</w:t>
      </w:r>
      <w:r>
        <w:rPr>
          <w:rFonts w:ascii="宋体" w:hAnsi="宋体" w:cs="宋体" w:eastAsia="宋体" w:hint="default"/>
          <w:spacing w:val="-28"/>
        </w:rPr>
        <w:t> </w:t>
      </w:r>
      <w:r>
        <w:rPr>
          <w:spacing w:val="-4"/>
        </w:rPr>
        <w:t>多年的发展，公司产品已经遍布全国各个地区，并远销欧洲、中东、南亚、东南亚、非</w:t>
      </w:r>
    </w:p>
    <w:p>
      <w:pPr>
        <w:pStyle w:val="BodyText"/>
        <w:spacing w:line="273" w:lineRule="auto" w:before="37"/>
        <w:ind w:left="178" w:right="0"/>
        <w:jc w:val="left"/>
      </w:pPr>
      <w:r>
        <w:rPr>
          <w:spacing w:val="-4"/>
        </w:rPr>
        <w:t>洲、南美洲等</w:t>
      </w:r>
      <w:r>
        <w:rPr>
          <w:spacing w:val="-30"/>
        </w:rPr>
        <w:t> </w:t>
      </w:r>
      <w:r>
        <w:rPr>
          <w:rFonts w:ascii="宋体" w:hAnsi="宋体" w:cs="宋体" w:eastAsia="宋体" w:hint="default"/>
        </w:rPr>
        <w:t>30</w:t>
      </w:r>
      <w:r>
        <w:rPr>
          <w:rFonts w:ascii="宋体" w:hAnsi="宋体" w:cs="宋体" w:eastAsia="宋体" w:hint="default"/>
          <w:spacing w:val="-33"/>
        </w:rPr>
        <w:t> </w:t>
      </w:r>
      <w:r>
        <w:rPr>
          <w:spacing w:val="-3"/>
        </w:rPr>
        <w:t>多个国家和地区。客户主要为国家电网、南方电网、各地方电力公司、非电力行业</w:t>
      </w:r>
      <w:r>
        <w:rPr>
          <w:spacing w:val="-94"/>
        </w:rPr>
        <w:t> </w:t>
      </w:r>
      <w:r>
        <w:rPr>
          <w:spacing w:val="-94"/>
        </w:rPr>
      </w:r>
      <w:r>
        <w:rPr/>
        <w:t>用户，以及海外电力公司及相关客户。</w:t>
      </w:r>
    </w:p>
    <w:p>
      <w:pPr>
        <w:pStyle w:val="BodyText"/>
        <w:spacing w:line="468" w:lineRule="exact" w:before="35"/>
        <w:ind w:left="598" w:right="0" w:firstLine="2"/>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新能源板块：</w:t>
      </w:r>
      <w:r>
        <w:rPr>
          <w:rFonts w:ascii="宋体" w:hAnsi="宋体" w:cs="宋体" w:eastAsia="宋体" w:hint="default"/>
          <w:b/>
          <w:bCs/>
          <w:w w:val="100"/>
        </w:rPr>
        <w:t> </w:t>
      </w:r>
      <w:r>
        <w:rPr>
          <w:spacing w:val="-2"/>
        </w:rPr>
        <w:t>公司新能源板块主要业务为开发、投资、设计、建设、运营及服务各类分布式光伏电站，包括</w:t>
      </w:r>
    </w:p>
    <w:p>
      <w:pPr>
        <w:pStyle w:val="BodyText"/>
        <w:spacing w:line="248" w:lineRule="exact"/>
        <w:ind w:left="178" w:right="0"/>
        <w:jc w:val="left"/>
      </w:pPr>
      <w:r>
        <w:rPr/>
        <w:t>大中小型工商业屋顶电站、地面分布式光伏电站、光伏建筑一体化、光充储微网等，光伏电站运维</w:t>
      </w:r>
    </w:p>
    <w:p>
      <w:pPr>
        <w:pStyle w:val="BodyText"/>
        <w:spacing w:line="240" w:lineRule="auto" w:before="37"/>
        <w:ind w:left="178" w:right="1815"/>
        <w:jc w:val="left"/>
      </w:pPr>
      <w:r>
        <w:rPr/>
        <w:t>服务以及</w:t>
      </w:r>
      <w:r>
        <w:rPr>
          <w:spacing w:val="-53"/>
        </w:rPr>
        <w:t> </w:t>
      </w:r>
      <w:r>
        <w:rPr>
          <w:rFonts w:ascii="宋体" w:hAnsi="宋体" w:cs="宋体" w:eastAsia="宋体" w:hint="default"/>
        </w:rPr>
        <w:t>N</w:t>
      </w:r>
      <w:r>
        <w:rPr>
          <w:rFonts w:ascii="宋体" w:hAnsi="宋体" w:cs="宋体" w:eastAsia="宋体" w:hint="default"/>
          <w:spacing w:val="-55"/>
        </w:rPr>
        <w:t> </w:t>
      </w:r>
      <w:r>
        <w:rPr/>
        <w:t>型高效双面单晶光伏电池、组件的研发、制造和销售。</w:t>
      </w:r>
    </w:p>
    <w:p>
      <w:pPr>
        <w:spacing w:line="240" w:lineRule="auto" w:before="10"/>
        <w:rPr>
          <w:rFonts w:ascii="宋体" w:hAnsi="宋体" w:cs="宋体" w:eastAsia="宋体" w:hint="default"/>
          <w:sz w:val="14"/>
          <w:szCs w:val="14"/>
        </w:rPr>
      </w:pPr>
    </w:p>
    <w:p>
      <w:pPr>
        <w:pStyle w:val="BodyText"/>
        <w:spacing w:line="273" w:lineRule="auto"/>
        <w:ind w:left="178" w:right="0" w:firstLine="420"/>
        <w:jc w:val="left"/>
      </w:pPr>
      <w:r>
        <w:rPr>
          <w:spacing w:val="-3"/>
        </w:rPr>
        <w:t>近年来，公司新能源板块快速发展，光伏电站装机量持续增长。截止 </w:t>
      </w:r>
      <w:r>
        <w:rPr>
          <w:rFonts w:ascii="宋体" w:hAnsi="宋体" w:cs="宋体" w:eastAsia="宋体" w:hint="default"/>
        </w:rPr>
        <w:t>2018</w:t>
      </w:r>
      <w:r>
        <w:rPr>
          <w:rFonts w:ascii="宋体" w:hAnsi="宋体" w:cs="宋体" w:eastAsia="宋体" w:hint="default"/>
          <w:spacing w:val="-57"/>
        </w:rPr>
        <w:t> </w:t>
      </w:r>
      <w:r>
        <w:rPr>
          <w:spacing w:val="-4"/>
        </w:rPr>
        <w:t>年底，公司各类光伏</w:t>
      </w:r>
      <w:r>
        <w:rPr>
          <w:w w:val="100"/>
        </w:rPr>
        <w:t> </w:t>
      </w:r>
      <w:r>
        <w:rPr/>
        <w:t>电站并网容量累计约</w:t>
      </w:r>
      <w:r>
        <w:rPr>
          <w:spacing w:val="-56"/>
        </w:rPr>
        <w:t> </w:t>
      </w:r>
      <w:r>
        <w:rPr>
          <w:rFonts w:ascii="宋体" w:hAnsi="宋体" w:cs="宋体" w:eastAsia="宋体" w:hint="default"/>
        </w:rPr>
        <w:t>1.5GW</w:t>
      </w:r>
      <w:r>
        <w:rPr/>
        <w:t>，主要集中在江苏、安徽、山东、河南、河北等中东部地区和内蒙呼和</w:t>
      </w:r>
      <w:r>
        <w:rPr>
          <w:w w:val="100"/>
        </w:rPr>
        <w:t> </w:t>
      </w:r>
      <w:r>
        <w:rPr/>
        <w:t>浩特地区。</w:t>
      </w:r>
    </w:p>
    <w:p>
      <w:pPr>
        <w:pStyle w:val="BodyText"/>
        <w:spacing w:line="273" w:lineRule="auto" w:before="163"/>
        <w:ind w:left="178" w:right="111" w:firstLine="420"/>
        <w:jc w:val="both"/>
      </w:pPr>
      <w:r>
        <w:rPr/>
        <w:t>在自主开发、投资分布式电站的同时，公司自主研发的</w:t>
      </w:r>
      <w:r>
        <w:rPr>
          <w:spacing w:val="-54"/>
        </w:rPr>
        <w:t> </w:t>
      </w:r>
      <w:r>
        <w:rPr>
          <w:rFonts w:ascii="宋体" w:hAnsi="宋体" w:cs="宋体" w:eastAsia="宋体" w:hint="default"/>
        </w:rPr>
        <w:t>400MW</w:t>
      </w:r>
      <w:r>
        <w:rPr>
          <w:rFonts w:ascii="宋体" w:hAnsi="宋体" w:cs="宋体" w:eastAsia="宋体" w:hint="default"/>
          <w:spacing w:val="-4"/>
        </w:rPr>
        <w:t> </w:t>
      </w:r>
      <w:r>
        <w:rPr>
          <w:rFonts w:ascii="宋体" w:hAnsi="宋体" w:cs="宋体" w:eastAsia="宋体" w:hint="default"/>
        </w:rPr>
        <w:t>N</w:t>
      </w:r>
      <w:r>
        <w:rPr>
          <w:rFonts w:ascii="宋体" w:hAnsi="宋体" w:cs="宋体" w:eastAsia="宋体" w:hint="default"/>
          <w:spacing w:val="-54"/>
        </w:rPr>
        <w:t> </w:t>
      </w:r>
      <w:r>
        <w:rPr/>
        <w:t>型高效双面单晶电池、组件已</w:t>
      </w:r>
      <w:r>
        <w:rPr>
          <w:w w:val="100"/>
        </w:rPr>
        <w:t> </w:t>
      </w:r>
      <w:r>
        <w:rPr/>
        <w:t>实现量产，结合</w:t>
      </w:r>
      <w:r>
        <w:rPr>
          <w:spacing w:val="-55"/>
        </w:rPr>
        <w:t> </w:t>
      </w:r>
      <w:r>
        <w:rPr>
          <w:rFonts w:ascii="宋体" w:hAnsi="宋体" w:cs="宋体" w:eastAsia="宋体" w:hint="default"/>
        </w:rPr>
        <w:t>N</w:t>
      </w:r>
      <w:r>
        <w:rPr>
          <w:rFonts w:ascii="宋体" w:hAnsi="宋体" w:cs="宋体" w:eastAsia="宋体" w:hint="default"/>
          <w:spacing w:val="-55"/>
        </w:rPr>
        <w:t> </w:t>
      </w:r>
      <w:r>
        <w:rPr/>
        <w:t>型高效双面单晶光伏产品和研究院电站系统设计等优势，积极开拓光伏电站系统</w:t>
      </w:r>
      <w:r>
        <w:rPr>
          <w:w w:val="100"/>
        </w:rPr>
        <w:t> </w:t>
      </w:r>
      <w:r>
        <w:rPr>
          <w:spacing w:val="-2"/>
        </w:rPr>
        <w:t>集成业务，战略合作伙伴包括中广核、中电建、中能建、中国通建、大唐、华为、国网电商等。凭</w:t>
      </w:r>
      <w:r>
        <w:rPr>
          <w:spacing w:val="-25"/>
        </w:rPr>
        <w:t> </w:t>
      </w:r>
      <w:r>
        <w:rPr>
          <w:spacing w:val="-25"/>
        </w:rPr>
      </w:r>
      <w:r>
        <w:rPr>
          <w:spacing w:val="-6"/>
        </w:rPr>
        <w:t>借多年在光伏新能源行业的不断探索，公司已成为分布式光伏电站研究、设计、开发、投资、建设、</w:t>
      </w:r>
      <w:r>
        <w:rPr>
          <w:spacing w:val="-20"/>
        </w:rPr>
        <w:t> </w:t>
      </w:r>
      <w:r>
        <w:rPr>
          <w:spacing w:val="-20"/>
        </w:rPr>
      </w:r>
      <w:r>
        <w:rPr/>
        <w:t>运营为一体的全球化新能源高新技术企业，并成立了海外中心开拓海外光伏市场和高效</w:t>
      </w:r>
      <w:r>
        <w:rPr>
          <w:spacing w:val="-53"/>
        </w:rPr>
        <w:t> </w:t>
      </w:r>
      <w:r>
        <w:rPr>
          <w:rFonts w:ascii="宋体" w:hAnsi="宋体" w:cs="宋体" w:eastAsia="宋体" w:hint="default"/>
        </w:rPr>
        <w:t>EPC</w:t>
      </w:r>
      <w:r>
        <w:rPr>
          <w:rFonts w:ascii="宋体" w:hAnsi="宋体" w:cs="宋体" w:eastAsia="宋体" w:hint="default"/>
          <w:spacing w:val="-56"/>
        </w:rPr>
        <w:t> </w:t>
      </w:r>
      <w:r>
        <w:rPr/>
        <w:t>系统集</w:t>
      </w:r>
      <w:r>
        <w:rPr>
          <w:w w:val="100"/>
        </w:rPr>
        <w:t> </w:t>
      </w:r>
      <w:r>
        <w:rPr/>
        <w:t>成业务。</w:t>
      </w:r>
    </w:p>
    <w:p>
      <w:pPr>
        <w:pStyle w:val="BodyText"/>
        <w:spacing w:line="273" w:lineRule="auto" w:before="163"/>
        <w:ind w:left="178" w:right="109" w:firstLine="420"/>
        <w:jc w:val="both"/>
      </w:pPr>
      <w:r>
        <w:rPr>
          <w:spacing w:val="-2"/>
        </w:rPr>
        <w:t>为了保障公司各类分布式光伏电站的安全可靠运行，</w:t>
      </w:r>
      <w:r>
        <w:rPr>
          <w:rFonts w:ascii="宋体" w:hAnsi="宋体" w:cs="宋体" w:eastAsia="宋体" w:hint="default"/>
          <w:spacing w:val="-2"/>
        </w:rPr>
        <w:t>2018</w:t>
      </w:r>
      <w:r>
        <w:rPr>
          <w:rFonts w:ascii="宋体" w:hAnsi="宋体" w:cs="宋体" w:eastAsia="宋体" w:hint="default"/>
          <w:spacing w:val="-6"/>
        </w:rPr>
        <w:t> </w:t>
      </w:r>
      <w:r>
        <w:rPr>
          <w:spacing w:val="-2"/>
        </w:rPr>
        <w:t>年公司光伏电站运维团队专业运维人</w:t>
      </w:r>
      <w:r>
        <w:rPr>
          <w:w w:val="100"/>
        </w:rPr>
        <w:t> </w:t>
      </w:r>
      <w:r>
        <w:rPr/>
        <w:t>员近</w:t>
      </w:r>
      <w:r>
        <w:rPr>
          <w:spacing w:val="-55"/>
        </w:rPr>
        <w:t> </w:t>
      </w:r>
      <w:r>
        <w:rPr>
          <w:rFonts w:ascii="宋体" w:hAnsi="宋体" w:cs="宋体" w:eastAsia="宋体" w:hint="default"/>
        </w:rPr>
        <w:t>300</w:t>
      </w:r>
      <w:r>
        <w:rPr>
          <w:rFonts w:ascii="宋体" w:hAnsi="宋体" w:cs="宋体" w:eastAsia="宋体" w:hint="default"/>
          <w:spacing w:val="-55"/>
        </w:rPr>
        <w:t> </w:t>
      </w:r>
      <w:r>
        <w:rPr/>
        <w:t>人。公司已搭建光伏电站智能运维管理平台，可实现光伏电站集中调控、综合数据分析、</w:t>
      </w:r>
      <w:r>
        <w:rPr>
          <w:w w:val="100"/>
        </w:rPr>
        <w:t> </w:t>
      </w:r>
      <w:r>
        <w:rPr>
          <w:spacing w:val="-2"/>
        </w:rPr>
        <w:t>统一运维管理、人员集中培训、事故案例处理分析等，并实现光伏电站“少人值守或无人值班”的</w:t>
      </w:r>
      <w:r>
        <w:rPr>
          <w:spacing w:val="-25"/>
        </w:rPr>
        <w:t> </w:t>
      </w:r>
      <w:r>
        <w:rPr>
          <w:spacing w:val="-25"/>
        </w:rPr>
      </w:r>
      <w:r>
        <w:rPr>
          <w:spacing w:val="-2"/>
        </w:rPr>
        <w:t>运行模式，减少电站运维对人员的要求，降低光伏电站的运维成本。以“安全第一、运行可靠、效</w:t>
      </w:r>
      <w:r>
        <w:rPr>
          <w:spacing w:val="-25"/>
        </w:rPr>
        <w:t> </w:t>
      </w:r>
      <w:r>
        <w:rPr>
          <w:spacing w:val="-25"/>
        </w:rPr>
      </w:r>
      <w:r>
        <w:rPr>
          <w:spacing w:val="-2"/>
        </w:rPr>
        <w:t>益为先、长期受控”十六字方针为准则，立足于光伏运维广阔市场，通过科学、智能、高效的解决</w:t>
      </w:r>
      <w:r>
        <w:rPr>
          <w:spacing w:val="-26"/>
        </w:rPr>
        <w:t> </w:t>
      </w:r>
      <w:r>
        <w:rPr>
          <w:spacing w:val="-26"/>
        </w:rPr>
      </w:r>
      <w:r>
        <w:rPr>
          <w:spacing w:val="-2"/>
        </w:rPr>
        <w:t>手段提高光伏电站的发电收益和系统稳定性，最大程度提高电站的运维水平，确保电站的高效运作</w:t>
      </w:r>
      <w:r>
        <w:rPr>
          <w:spacing w:val="-25"/>
        </w:rPr>
        <w:t> </w:t>
      </w:r>
      <w:r>
        <w:rPr>
          <w:spacing w:val="-25"/>
        </w:rPr>
      </w:r>
      <w:r>
        <w:rPr/>
        <w:t>和资源的优化利用，实现光伏电站综合利用效益最大化。</w:t>
      </w:r>
    </w:p>
    <w:p>
      <w:pPr>
        <w:spacing w:after="0" w:line="273" w:lineRule="auto"/>
        <w:jc w:val="both"/>
        <w:sectPr>
          <w:pgSz w:w="11910" w:h="16840"/>
          <w:pgMar w:header="728" w:footer="974" w:top="1120" w:bottom="1160" w:left="1240" w:right="1300"/>
        </w:sectPr>
      </w:pPr>
    </w:p>
    <w:p>
      <w:pPr>
        <w:spacing w:line="240" w:lineRule="auto" w:before="10"/>
        <w:rPr>
          <w:rFonts w:ascii="宋体" w:hAnsi="宋体" w:cs="宋体" w:eastAsia="宋体" w:hint="default"/>
          <w:sz w:val="26"/>
          <w:szCs w:val="26"/>
        </w:rPr>
      </w:pPr>
    </w:p>
    <w:p>
      <w:pPr>
        <w:pStyle w:val="Heading2"/>
        <w:spacing w:line="240" w:lineRule="auto"/>
        <w:ind w:left="601" w:right="1815"/>
        <w:jc w:val="left"/>
        <w:rPr>
          <w:b w:val="0"/>
          <w:bCs w:val="0"/>
        </w:rPr>
      </w:pPr>
      <w:r>
        <w:rPr>
          <w:rFonts w:ascii="宋体" w:hAnsi="宋体" w:cs="宋体" w:eastAsia="宋体" w:hint="default"/>
        </w:rPr>
        <w:t>3</w:t>
      </w:r>
      <w:r>
        <w:rPr/>
        <w:t>）</w:t>
      </w:r>
      <w:r>
        <w:rPr>
          <w:spacing w:val="-4"/>
        </w:rPr>
        <w:t> </w:t>
      </w:r>
      <w:r>
        <w:rPr/>
        <w:t>节能板块：</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148" w:firstLine="420"/>
        <w:jc w:val="right"/>
      </w:pPr>
      <w:r>
        <w:rPr>
          <w:spacing w:val="-2"/>
        </w:rPr>
        <w:t>公司节能板块主要业务为综合能源服务业务，该业务板块依托公司在智慧能效平台、为用户提</w:t>
      </w:r>
      <w:r>
        <w:rPr>
          <w:w w:val="100"/>
        </w:rPr>
        <w:t> </w:t>
      </w:r>
      <w:r>
        <w:rPr>
          <w:spacing w:val="-2"/>
        </w:rPr>
        <w:t>供定制的一站式综合能源服务解决方案，包括分布式光伏及微网储能、清洁高效电供暖、蓄冷蓄热</w:t>
      </w:r>
      <w:r>
        <w:rPr>
          <w:spacing w:val="-44"/>
        </w:rPr>
        <w:t> </w:t>
      </w:r>
      <w:r>
        <w:rPr>
          <w:spacing w:val="-44"/>
        </w:rPr>
      </w:r>
      <w:r>
        <w:rPr>
          <w:spacing w:val="-2"/>
        </w:rPr>
        <w:t>空调节能、工业余热余压利用、电机及空压机等设备改造、多能互补冷热电三联供的系统解决方案</w:t>
      </w:r>
      <w:r>
        <w:rPr>
          <w:spacing w:val="-44"/>
        </w:rPr>
        <w:t> </w:t>
      </w:r>
      <w:r>
        <w:rPr>
          <w:spacing w:val="-44"/>
        </w:rPr>
      </w:r>
      <w:r>
        <w:rPr/>
        <w:t>及产品的生产与销售、电能质量治理、</w:t>
      </w:r>
      <w:r>
        <w:rPr>
          <w:rFonts w:ascii="宋体" w:hAnsi="宋体" w:cs="宋体" w:eastAsia="宋体" w:hint="default"/>
        </w:rPr>
        <w:t>LED</w:t>
      </w:r>
      <w:r>
        <w:rPr>
          <w:rFonts w:ascii="宋体" w:hAnsi="宋体" w:cs="宋体" w:eastAsia="宋体" w:hint="default"/>
          <w:spacing w:val="-56"/>
        </w:rPr>
        <w:t> </w:t>
      </w:r>
      <w:r>
        <w:rPr/>
        <w:t>节能照明改造、城市及交通照明</w:t>
      </w:r>
      <w:r>
        <w:rPr>
          <w:spacing w:val="-58"/>
        </w:rPr>
        <w:t> </w:t>
      </w:r>
      <w:r>
        <w:rPr>
          <w:rFonts w:ascii="宋体" w:hAnsi="宋体" w:cs="宋体" w:eastAsia="宋体" w:hint="default"/>
        </w:rPr>
        <w:t>EMC</w:t>
      </w:r>
      <w:r>
        <w:rPr>
          <w:rFonts w:ascii="宋体" w:hAnsi="宋体" w:cs="宋体" w:eastAsia="宋体" w:hint="default"/>
          <w:spacing w:val="-56"/>
        </w:rPr>
        <w:t> </w:t>
      </w:r>
      <w:r>
        <w:rPr/>
        <w:t>合同能源管理等。</w:t>
      </w:r>
    </w:p>
    <w:p>
      <w:pPr>
        <w:pStyle w:val="BodyText"/>
        <w:spacing w:line="273" w:lineRule="auto" w:before="163"/>
        <w:ind w:left="178" w:right="109" w:firstLine="420"/>
        <w:jc w:val="both"/>
      </w:pPr>
      <w:r>
        <w:rPr>
          <w:spacing w:val="-2"/>
        </w:rPr>
        <w:t>公司已在江苏、安徽、河北、山东等地设立相关能效管理公司，针对公司智慧能效管理云平台</w:t>
      </w:r>
      <w:r>
        <w:rPr>
          <w:w w:val="100"/>
        </w:rPr>
        <w:t> </w:t>
      </w:r>
      <w:r>
        <w:rPr/>
        <w:t>已上线的</w:t>
      </w:r>
      <w:r>
        <w:rPr>
          <w:spacing w:val="-21"/>
        </w:rPr>
        <w:t> </w:t>
      </w:r>
      <w:r>
        <w:rPr>
          <w:rFonts w:ascii="宋体" w:hAnsi="宋体" w:cs="宋体" w:eastAsia="宋体" w:hint="default"/>
        </w:rPr>
        <w:t>3000</w:t>
      </w:r>
      <w:r>
        <w:rPr>
          <w:rFonts w:ascii="宋体" w:hAnsi="宋体" w:cs="宋体" w:eastAsia="宋体" w:hint="default"/>
          <w:spacing w:val="-24"/>
        </w:rPr>
        <w:t> </w:t>
      </w:r>
      <w:r>
        <w:rPr>
          <w:spacing w:val="-4"/>
        </w:rPr>
        <w:t>多家的高能耗企业，通过在能源消费端用能点布署能效采集终端，将工业、商业、建</w:t>
      </w:r>
      <w:r>
        <w:rPr>
          <w:spacing w:val="-92"/>
        </w:rPr>
        <w:t> </w:t>
      </w:r>
      <w:r>
        <w:rPr>
          <w:spacing w:val="-92"/>
        </w:rPr>
      </w:r>
      <w:r>
        <w:rPr>
          <w:spacing w:val="-2"/>
        </w:rPr>
        <w:t>筑、楼宇等的电、水、气、热等能源消耗大数据通过互联网采集到智慧能效云服务中心，从而为客</w:t>
      </w:r>
      <w:r>
        <w:rPr>
          <w:spacing w:val="-25"/>
        </w:rPr>
        <w:t> </w:t>
      </w:r>
      <w:r>
        <w:rPr>
          <w:spacing w:val="-25"/>
        </w:rPr>
      </w:r>
      <w:r>
        <w:rPr>
          <w:spacing w:val="-2"/>
        </w:rPr>
        <w:t>户提供全面的能效分析和预警，并基于能源消费大数据的深度发掘、分析和利用，为用户提供线上</w:t>
      </w:r>
      <w:r>
        <w:rPr>
          <w:spacing w:val="-25"/>
        </w:rPr>
        <w:t> </w:t>
      </w:r>
      <w:r>
        <w:rPr>
          <w:spacing w:val="-25"/>
        </w:rPr>
      </w:r>
      <w:r>
        <w:rPr>
          <w:spacing w:val="-2"/>
        </w:rPr>
        <w:t>线下的一站式综合能源服务，推动安全、经济、高效和绿色用能，更为未来国家放开售电侧及能源</w:t>
      </w:r>
      <w:r>
        <w:rPr>
          <w:spacing w:val="-25"/>
        </w:rPr>
        <w:t> </w:t>
      </w:r>
      <w:r>
        <w:rPr>
          <w:spacing w:val="-25"/>
        </w:rPr>
      </w:r>
      <w:r>
        <w:rPr/>
        <w:t>交易培育更好的盈利增长点。</w:t>
      </w:r>
    </w:p>
    <w:p>
      <w:pPr>
        <w:pStyle w:val="BodyText"/>
        <w:spacing w:line="273" w:lineRule="auto" w:before="163"/>
        <w:ind w:left="178" w:right="109" w:firstLine="420"/>
        <w:jc w:val="both"/>
      </w:pPr>
      <w:r>
        <w:rPr/>
        <w:t>另外，公司通过全资子公司江苏林洋照明科技有限公司开展</w:t>
      </w:r>
      <w:r>
        <w:rPr>
          <w:spacing w:val="-55"/>
        </w:rPr>
        <w:t> </w:t>
      </w:r>
      <w:r>
        <w:rPr>
          <w:rFonts w:ascii="宋体" w:hAnsi="宋体" w:cs="宋体" w:eastAsia="宋体" w:hint="default"/>
        </w:rPr>
        <w:t>LED</w:t>
      </w:r>
      <w:r>
        <w:rPr>
          <w:rFonts w:ascii="宋体" w:hAnsi="宋体" w:cs="宋体" w:eastAsia="宋体" w:hint="default"/>
          <w:spacing w:val="-55"/>
        </w:rPr>
        <w:t> </w:t>
      </w:r>
      <w:r>
        <w:rPr/>
        <w:t>相关业务，其业务的主要经营</w:t>
      </w:r>
      <w:r>
        <w:rPr>
          <w:w w:val="100"/>
        </w:rPr>
        <w:t> </w:t>
      </w:r>
      <w:r>
        <w:rPr>
          <w:spacing w:val="-3"/>
        </w:rPr>
        <w:t>模式为以下几点：（</w:t>
      </w:r>
      <w:r>
        <w:rPr>
          <w:rFonts w:ascii="宋体" w:hAnsi="宋体" w:cs="宋体" w:eastAsia="宋体" w:hint="default"/>
          <w:spacing w:val="-3"/>
        </w:rPr>
        <w:t>1</w:t>
      </w:r>
      <w:r>
        <w:rPr>
          <w:spacing w:val="-3"/>
        </w:rPr>
        <w:t>）公司拥有建设部城市道路照明二级施工资质，从事城市路灯改造及景观亮化</w:t>
      </w:r>
      <w:r>
        <w:rPr>
          <w:spacing w:val="-47"/>
        </w:rPr>
        <w:t> </w:t>
      </w:r>
      <w:r>
        <w:rPr>
          <w:spacing w:val="-47"/>
        </w:rPr>
      </w:r>
      <w:r>
        <w:rPr>
          <w:spacing w:val="-3"/>
        </w:rPr>
        <w:t>工程、市政公用设施工程、太阳能光伏工程、景观照明工程设计、施工、安装等业务。（</w:t>
      </w:r>
      <w:r>
        <w:rPr>
          <w:rFonts w:ascii="宋体" w:hAnsi="宋体" w:cs="宋体" w:eastAsia="宋体" w:hint="default"/>
          <w:spacing w:val="-3"/>
        </w:rPr>
        <w:t>2</w:t>
      </w:r>
      <w:r>
        <w:rPr>
          <w:spacing w:val="-3"/>
        </w:rPr>
        <w:t>）基于国</w:t>
      </w:r>
      <w:r>
        <w:rPr>
          <w:spacing w:val="-52"/>
        </w:rPr>
        <w:t> </w:t>
      </w:r>
      <w:r>
        <w:rPr>
          <w:spacing w:val="-52"/>
        </w:rPr>
      </w:r>
      <w:r>
        <w:rPr/>
        <w:t>家发改委节能备案资质，从事城市路灯照明</w:t>
      </w:r>
      <w:r>
        <w:rPr>
          <w:spacing w:val="-55"/>
        </w:rPr>
        <w:t> </w:t>
      </w:r>
      <w:r>
        <w:rPr>
          <w:rFonts w:ascii="宋体" w:hAnsi="宋体" w:cs="宋体" w:eastAsia="宋体" w:hint="default"/>
        </w:rPr>
        <w:t>EMC</w:t>
      </w:r>
      <w:r>
        <w:rPr>
          <w:rFonts w:ascii="宋体" w:hAnsi="宋体" w:cs="宋体" w:eastAsia="宋体" w:hint="default"/>
          <w:spacing w:val="-55"/>
        </w:rPr>
        <w:t> </w:t>
      </w:r>
      <w:r>
        <w:rPr/>
        <w:t>节能改造，路灯智能控制系统维护管理、商超照明</w:t>
      </w:r>
      <w:r>
        <w:rPr>
          <w:w w:val="100"/>
        </w:rPr>
        <w:t> </w:t>
      </w:r>
      <w:r>
        <w:rPr/>
        <w:t>系统</w:t>
      </w:r>
      <w:r>
        <w:rPr>
          <w:spacing w:val="-20"/>
        </w:rPr>
        <w:t> </w:t>
      </w:r>
      <w:r>
        <w:rPr>
          <w:rFonts w:ascii="宋体" w:hAnsi="宋体" w:cs="宋体" w:eastAsia="宋体" w:hint="default"/>
        </w:rPr>
        <w:t>EMC</w:t>
      </w:r>
      <w:r>
        <w:rPr>
          <w:rFonts w:ascii="宋体" w:hAnsi="宋体" w:cs="宋体" w:eastAsia="宋体" w:hint="default"/>
          <w:spacing w:val="-20"/>
        </w:rPr>
        <w:t> </w:t>
      </w:r>
      <w:r>
        <w:rPr>
          <w:spacing w:val="-4"/>
        </w:rPr>
        <w:t>节能改造等相关节能业务。（</w:t>
      </w:r>
      <w:r>
        <w:rPr>
          <w:rFonts w:ascii="宋体" w:hAnsi="宋体" w:cs="宋体" w:eastAsia="宋体" w:hint="default"/>
          <w:spacing w:val="-4"/>
        </w:rPr>
        <w:t>3</w:t>
      </w:r>
      <w:r>
        <w:rPr>
          <w:spacing w:val="-4"/>
        </w:rPr>
        <w:t>）拥有自主的研发与管理团队，通过精益生产和管理，进行</w:t>
      </w:r>
      <w:r>
        <w:rPr>
          <w:spacing w:val="-89"/>
        </w:rPr>
        <w:t> </w:t>
      </w:r>
      <w:r>
        <w:rPr>
          <w:spacing w:val="-89"/>
        </w:rPr>
      </w:r>
      <w:r>
        <w:rPr>
          <w:rFonts w:ascii="宋体" w:hAnsi="宋体" w:cs="宋体" w:eastAsia="宋体" w:hint="default"/>
        </w:rPr>
        <w:t>LED</w:t>
      </w:r>
      <w:r>
        <w:rPr>
          <w:rFonts w:ascii="宋体" w:hAnsi="宋体" w:cs="宋体" w:eastAsia="宋体" w:hint="default"/>
          <w:spacing w:val="-54"/>
        </w:rPr>
        <w:t> </w:t>
      </w:r>
      <w:r>
        <w:rPr/>
        <w:t>照明产品</w:t>
      </w:r>
      <w:r>
        <w:rPr>
          <w:spacing w:val="-54"/>
        </w:rPr>
        <w:t> </w:t>
      </w:r>
      <w:r>
        <w:rPr>
          <w:rFonts w:ascii="宋体" w:hAnsi="宋体" w:cs="宋体" w:eastAsia="宋体" w:hint="default"/>
        </w:rPr>
        <w:t>OEM</w:t>
      </w:r>
      <w:r>
        <w:rPr/>
        <w:t>、</w:t>
      </w:r>
      <w:r>
        <w:rPr>
          <w:rFonts w:ascii="宋体" w:hAnsi="宋体" w:cs="宋体" w:eastAsia="宋体" w:hint="default"/>
        </w:rPr>
        <w:t>ODM</w:t>
      </w:r>
      <w:r>
        <w:rPr>
          <w:rFonts w:ascii="宋体" w:hAnsi="宋体" w:cs="宋体" w:eastAsia="宋体" w:hint="default"/>
          <w:spacing w:val="-56"/>
        </w:rPr>
        <w:t> </w:t>
      </w:r>
      <w:r>
        <w:rPr/>
        <w:t>业务。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before="0"/>
        <w:ind w:left="601" w:right="1815"/>
        <w:jc w:val="left"/>
        <w:rPr>
          <w:b w:val="0"/>
          <w:bCs w:val="0"/>
        </w:rPr>
      </w:pPr>
      <w:r>
        <w:rPr>
          <w:rFonts w:ascii="宋体" w:hAnsi="宋体" w:cs="宋体" w:eastAsia="宋体" w:hint="default"/>
        </w:rPr>
        <w:t>2</w:t>
      </w:r>
      <w:r>
        <w:rPr/>
        <w:t>、行业情况说明：</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before="0"/>
        <w:ind w:left="601" w:right="1815"/>
        <w:jc w:val="left"/>
        <w:rPr>
          <w:b w:val="0"/>
          <w:bCs w:val="0"/>
        </w:rPr>
      </w:pPr>
      <w:r>
        <w:rPr>
          <w:rFonts w:ascii="宋体" w:hAnsi="宋体" w:cs="宋体" w:eastAsia="宋体" w:hint="default"/>
        </w:rPr>
        <w:t>1</w:t>
      </w:r>
      <w:r>
        <w:rPr/>
        <w:t>）智能电网领域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112" w:firstLine="420"/>
        <w:jc w:val="both"/>
      </w:pPr>
      <w:r>
        <w:rPr>
          <w:rFonts w:ascii="宋体" w:hAnsi="宋体" w:cs="宋体" w:eastAsia="宋体" w:hint="default"/>
        </w:rPr>
        <w:t>2019</w:t>
      </w:r>
      <w:r>
        <w:rPr>
          <w:rFonts w:ascii="宋体" w:hAnsi="宋体" w:cs="宋体" w:eastAsia="宋体" w:hint="default"/>
          <w:spacing w:val="-34"/>
        </w:rPr>
        <w:t> </w:t>
      </w:r>
      <w:r>
        <w:rPr/>
        <w:t>年</w:t>
      </w:r>
      <w:r>
        <w:rPr>
          <w:spacing w:val="-31"/>
        </w:rPr>
        <w:t> </w:t>
      </w:r>
      <w:r>
        <w:rPr>
          <w:rFonts w:ascii="宋体" w:hAnsi="宋体" w:cs="宋体" w:eastAsia="宋体" w:hint="default"/>
        </w:rPr>
        <w:t>1</w:t>
      </w:r>
      <w:r>
        <w:rPr>
          <w:rFonts w:ascii="宋体" w:hAnsi="宋体" w:cs="宋体" w:eastAsia="宋体" w:hint="default"/>
          <w:spacing w:val="-34"/>
        </w:rPr>
        <w:t> </w:t>
      </w:r>
      <w:r>
        <w:rPr>
          <w:spacing w:val="-8"/>
        </w:rPr>
        <w:t>月，中国国家电网公司提出了建设“三型两网”的目标，“三型”是指打造“枢纽型、</w:t>
      </w:r>
      <w:r>
        <w:rPr>
          <w:w w:val="100"/>
        </w:rPr>
        <w:t> </w:t>
      </w:r>
      <w:r>
        <w:rPr>
          <w:spacing w:val="-6"/>
        </w:rPr>
        <w:t>平台型、共享型”企业，而“两网”是指“坚强智能电网”和“泛在电力物联网”。国网公司提出，</w:t>
      </w:r>
      <w:r>
        <w:rPr>
          <w:spacing w:val="-27"/>
        </w:rPr>
        <w:t> </w:t>
      </w:r>
      <w:r>
        <w:rPr>
          <w:spacing w:val="-27"/>
        </w:rPr>
      </w:r>
      <w:r>
        <w:rPr>
          <w:spacing w:val="-2"/>
        </w:rPr>
        <w:t>要在未来几年继续建设运营好以特高压为骨干网架、各级电网协调发展的坚强智能电网，不断提升</w:t>
      </w:r>
      <w:r>
        <w:rPr>
          <w:spacing w:val="-26"/>
        </w:rPr>
        <w:t> </w:t>
      </w:r>
      <w:r>
        <w:rPr>
          <w:spacing w:val="-26"/>
        </w:rPr>
      </w:r>
      <w:r>
        <w:rPr>
          <w:spacing w:val="-2"/>
        </w:rPr>
        <w:t>能源资源配臵能力和智能化水平；同时，充分应用“大、云、物、移、智”等现代信息技术，打造</w:t>
      </w:r>
      <w:r>
        <w:rPr>
          <w:spacing w:val="-25"/>
        </w:rPr>
        <w:t> </w:t>
      </w:r>
      <w:r>
        <w:rPr>
          <w:spacing w:val="-25"/>
        </w:rPr>
      </w:r>
      <w:r>
        <w:rPr/>
        <w:t>状态全面感知、信息高效处理、应用便捷灵活的泛在电力物联网。</w:t>
      </w:r>
    </w:p>
    <w:p>
      <w:pPr>
        <w:pStyle w:val="BodyText"/>
        <w:spacing w:line="273" w:lineRule="auto" w:before="163"/>
        <w:ind w:left="178" w:right="147" w:firstLine="420"/>
        <w:jc w:val="both"/>
      </w:pPr>
      <w:r>
        <w:rPr>
          <w:spacing w:val="-2"/>
        </w:rPr>
        <w:t>智能电表和用电信息采集系统产品作为“两网”建设的关键智能终端产品之一，对于电网实现</w:t>
      </w:r>
      <w:r>
        <w:rPr>
          <w:w w:val="100"/>
        </w:rPr>
        <w:t> </w:t>
      </w:r>
      <w:r>
        <w:rPr/>
        <w:t>信息化、自动化、智能化具有重要支撑作用。据统计，目前国网系统接入的终端设备超过</w:t>
      </w:r>
      <w:r>
        <w:rPr>
          <w:spacing w:val="-54"/>
        </w:rPr>
        <w:t> </w:t>
      </w:r>
      <w:r>
        <w:rPr>
          <w:rFonts w:ascii="宋体" w:hAnsi="宋体" w:cs="宋体" w:eastAsia="宋体" w:hint="default"/>
        </w:rPr>
        <w:t>5</w:t>
      </w:r>
      <w:r>
        <w:rPr>
          <w:rFonts w:ascii="宋体" w:hAnsi="宋体" w:cs="宋体" w:eastAsia="宋体" w:hint="default"/>
          <w:spacing w:val="-57"/>
        </w:rPr>
        <w:t> </w:t>
      </w:r>
      <w:r>
        <w:rPr/>
        <w:t>亿只，</w:t>
      </w:r>
    </w:p>
    <w:p>
      <w:pPr>
        <w:pStyle w:val="BodyText"/>
        <w:spacing w:line="273" w:lineRule="auto" w:before="8"/>
        <w:ind w:left="178" w:right="145"/>
        <w:jc w:val="left"/>
      </w:pPr>
      <w:r>
        <w:rPr/>
        <w:t>其中</w:t>
      </w:r>
      <w:r>
        <w:rPr>
          <w:spacing w:val="-56"/>
        </w:rPr>
        <w:t> </w:t>
      </w:r>
      <w:r>
        <w:rPr>
          <w:rFonts w:ascii="宋体" w:hAnsi="宋体" w:cs="宋体" w:eastAsia="宋体" w:hint="default"/>
        </w:rPr>
        <w:t>4.7</w:t>
      </w:r>
      <w:r>
        <w:rPr>
          <w:rFonts w:ascii="宋体" w:hAnsi="宋体" w:cs="宋体" w:eastAsia="宋体" w:hint="default"/>
          <w:spacing w:val="-56"/>
        </w:rPr>
        <w:t> </w:t>
      </w:r>
      <w:r>
        <w:rPr/>
        <w:t>亿只电表。随着“泛在电力物联网”建设的推进和落实，包括智能电表在内的新一代智能</w:t>
      </w:r>
      <w:r>
        <w:rPr>
          <w:w w:val="100"/>
        </w:rPr>
        <w:t> </w:t>
      </w:r>
      <w:r>
        <w:rPr/>
        <w:t>终端产品的覆盖率有望进一步提升。</w:t>
      </w:r>
    </w:p>
    <w:p>
      <w:pPr>
        <w:pStyle w:val="BodyText"/>
        <w:spacing w:line="273" w:lineRule="auto" w:before="163"/>
        <w:ind w:left="178" w:right="148" w:firstLine="420"/>
        <w:jc w:val="both"/>
      </w:pPr>
      <w:r>
        <w:rPr/>
        <w:t>在海外市场，智能电表、用电信息采集以及</w:t>
      </w:r>
      <w:r>
        <w:rPr>
          <w:spacing w:val="-56"/>
        </w:rPr>
        <w:t> </w:t>
      </w:r>
      <w:r>
        <w:rPr>
          <w:rFonts w:ascii="宋体" w:hAnsi="宋体" w:cs="宋体" w:eastAsia="宋体" w:hint="default"/>
        </w:rPr>
        <w:t>AMI</w:t>
      </w:r>
      <w:r>
        <w:rPr/>
        <w:t>（先进计量系统架构）系统正处于持续快速增</w:t>
      </w:r>
      <w:r>
        <w:rPr>
          <w:w w:val="100"/>
        </w:rPr>
        <w:t> </w:t>
      </w:r>
      <w:r>
        <w:rPr/>
        <w:t>长和布署阶段。随着智能电表和整体</w:t>
      </w:r>
      <w:r>
        <w:rPr>
          <w:spacing w:val="-55"/>
        </w:rPr>
        <w:t> </w:t>
      </w:r>
      <w:r>
        <w:rPr>
          <w:rFonts w:ascii="宋体" w:hAnsi="宋体" w:cs="宋体" w:eastAsia="宋体" w:hint="default"/>
        </w:rPr>
        <w:t>AMI</w:t>
      </w:r>
      <w:r>
        <w:rPr>
          <w:rFonts w:ascii="宋体" w:hAnsi="宋体" w:cs="宋体" w:eastAsia="宋体" w:hint="default"/>
          <w:spacing w:val="-57"/>
        </w:rPr>
        <w:t> </w:t>
      </w:r>
      <w:r>
        <w:rPr/>
        <w:t>解决方案的推广和应用，越来越多的国家正在启动大规模</w:t>
      </w:r>
      <w:r>
        <w:rPr>
          <w:w w:val="100"/>
        </w:rPr>
        <w:t> </w:t>
      </w:r>
      <w:r>
        <w:rPr/>
        <w:t>智能电表和</w:t>
      </w:r>
      <w:r>
        <w:rPr>
          <w:spacing w:val="-54"/>
        </w:rPr>
        <w:t> </w:t>
      </w:r>
      <w:r>
        <w:rPr>
          <w:rFonts w:ascii="宋体" w:hAnsi="宋体" w:cs="宋体" w:eastAsia="宋体" w:hint="default"/>
        </w:rPr>
        <w:t>AMI</w:t>
      </w:r>
      <w:r>
        <w:rPr>
          <w:rFonts w:ascii="宋体" w:hAnsi="宋体" w:cs="宋体" w:eastAsia="宋体" w:hint="default"/>
          <w:spacing w:val="-56"/>
        </w:rPr>
        <w:t> </w:t>
      </w:r>
      <w:r>
        <w:rPr/>
        <w:t>的布署计划。预计到</w:t>
      </w:r>
      <w:r>
        <w:rPr>
          <w:spacing w:val="-53"/>
        </w:rPr>
        <w:t> </w:t>
      </w:r>
      <w:r>
        <w:rPr>
          <w:rFonts w:ascii="宋体" w:hAnsi="宋体" w:cs="宋体" w:eastAsia="宋体" w:hint="default"/>
        </w:rPr>
        <w:t>2021</w:t>
      </w:r>
      <w:r>
        <w:rPr>
          <w:rFonts w:ascii="宋体" w:hAnsi="宋体" w:cs="宋体" w:eastAsia="宋体" w:hint="default"/>
          <w:spacing w:val="-54"/>
        </w:rPr>
        <w:t> </w:t>
      </w:r>
      <w:r>
        <w:rPr/>
        <w:t>年全球将安装近</w:t>
      </w:r>
      <w:r>
        <w:rPr>
          <w:spacing w:val="-54"/>
        </w:rPr>
        <w:t> </w:t>
      </w:r>
      <w:r>
        <w:rPr>
          <w:rFonts w:ascii="宋体" w:hAnsi="宋体" w:cs="宋体" w:eastAsia="宋体" w:hint="default"/>
        </w:rPr>
        <w:t>20</w:t>
      </w:r>
      <w:r>
        <w:rPr>
          <w:rFonts w:ascii="宋体" w:hAnsi="宋体" w:cs="宋体" w:eastAsia="宋体" w:hint="default"/>
          <w:spacing w:val="-56"/>
        </w:rPr>
        <w:t> </w:t>
      </w:r>
      <w:r>
        <w:rPr/>
        <w:t>亿台智能电表，智能电表渗透率达到</w:t>
      </w:r>
      <w:r>
        <w:rPr>
          <w:w w:val="100"/>
        </w:rPr>
        <w:t> </w:t>
      </w:r>
      <w:r>
        <w:rPr>
          <w:rFonts w:ascii="宋体" w:hAnsi="宋体" w:cs="宋体" w:eastAsia="宋体" w:hint="default"/>
        </w:rPr>
        <w:t>60%</w:t>
      </w:r>
      <w:r>
        <w:rPr/>
        <w:t>。全球智能电表市场营收规模将达到</w:t>
      </w:r>
      <w:r>
        <w:rPr>
          <w:spacing w:val="-56"/>
        </w:rPr>
        <w:t> </w:t>
      </w:r>
      <w:r>
        <w:rPr>
          <w:rFonts w:ascii="宋体" w:hAnsi="宋体" w:cs="宋体" w:eastAsia="宋体" w:hint="default"/>
        </w:rPr>
        <w:t>175</w:t>
      </w:r>
      <w:r>
        <w:rPr>
          <w:rFonts w:ascii="宋体" w:hAnsi="宋体" w:cs="宋体" w:eastAsia="宋体" w:hint="default"/>
          <w:spacing w:val="-56"/>
        </w:rPr>
        <w:t> </w:t>
      </w:r>
      <w:r>
        <w:rPr/>
        <w:t>亿美元，年均复合增长率为</w:t>
      </w:r>
      <w:r>
        <w:rPr>
          <w:spacing w:val="-56"/>
        </w:rPr>
        <w:t> </w:t>
      </w:r>
      <w:r>
        <w:rPr>
          <w:rFonts w:ascii="宋体" w:hAnsi="宋体" w:cs="宋体" w:eastAsia="宋体" w:hint="default"/>
        </w:rPr>
        <w:t>15%</w:t>
      </w:r>
      <w:r>
        <w:rPr/>
        <w:t>。</w:t>
      </w:r>
    </w:p>
    <w:p>
      <w:pPr>
        <w:pStyle w:val="BodyText"/>
        <w:spacing w:line="273" w:lineRule="auto" w:before="163"/>
        <w:ind w:left="178" w:right="114" w:firstLine="420"/>
        <w:jc w:val="both"/>
      </w:pPr>
      <w:r>
        <w:rPr/>
        <w:t>当前，全球能源需求增速正在放缓，但从现在到</w:t>
      </w:r>
      <w:r>
        <w:rPr>
          <w:spacing w:val="-59"/>
        </w:rPr>
        <w:t> </w:t>
      </w:r>
      <w:r>
        <w:rPr>
          <w:rFonts w:ascii="宋体" w:hAnsi="宋体" w:cs="宋体" w:eastAsia="宋体" w:hint="default"/>
        </w:rPr>
        <w:t>2040</w:t>
      </w:r>
      <w:r>
        <w:rPr>
          <w:rFonts w:ascii="宋体" w:hAnsi="宋体" w:cs="宋体" w:eastAsia="宋体" w:hint="default"/>
          <w:spacing w:val="-56"/>
        </w:rPr>
        <w:t> </w:t>
      </w:r>
      <w:r>
        <w:rPr/>
        <w:t>年，能源总需求量增幅依然可达</w:t>
      </w:r>
      <w:r>
        <w:rPr>
          <w:spacing w:val="-57"/>
        </w:rPr>
        <w:t> </w:t>
      </w:r>
      <w:r>
        <w:rPr>
          <w:rFonts w:ascii="宋体" w:hAnsi="宋体" w:cs="宋体" w:eastAsia="宋体" w:hint="default"/>
          <w:spacing w:val="-3"/>
        </w:rPr>
        <w:t>30%</w:t>
      </w:r>
      <w:r>
        <w:rPr>
          <w:spacing w:val="-3"/>
        </w:rPr>
        <w:t>。在</w:t>
      </w:r>
      <w:r>
        <w:rPr>
          <w:spacing w:val="-3"/>
          <w:w w:val="100"/>
        </w:rPr>
        <w:t> </w:t>
      </w:r>
      <w:r>
        <w:rPr>
          <w:spacing w:val="-2"/>
        </w:rPr>
        <w:t>全世界各种能源的终端用途中，电力将愈发重要，占比将达到近四分之一，电力还越来越多地被用</w:t>
      </w:r>
      <w:r>
        <w:rPr>
          <w:spacing w:val="-25"/>
        </w:rPr>
        <w:t> </w:t>
      </w:r>
      <w:r>
        <w:rPr>
          <w:spacing w:val="-25"/>
        </w:rPr>
      </w:r>
      <w:r>
        <w:rPr/>
        <w:t>于采暖和交通。能源投资累计将达到</w:t>
      </w:r>
      <w:r>
        <w:rPr>
          <w:spacing w:val="-55"/>
        </w:rPr>
        <w:t> </w:t>
      </w:r>
      <w:r>
        <w:rPr>
          <w:rFonts w:ascii="宋体" w:hAnsi="宋体" w:cs="宋体" w:eastAsia="宋体" w:hint="default"/>
        </w:rPr>
        <w:t>60</w:t>
      </w:r>
      <w:r>
        <w:rPr>
          <w:rFonts w:ascii="宋体" w:hAnsi="宋体" w:cs="宋体" w:eastAsia="宋体" w:hint="default"/>
          <w:spacing w:val="-57"/>
        </w:rPr>
        <w:t> </w:t>
      </w:r>
      <w:r>
        <w:rPr/>
        <w:t>万亿美元</w:t>
      </w:r>
      <w:r>
        <w:rPr>
          <w:rFonts w:ascii="宋体" w:hAnsi="宋体" w:cs="宋体" w:eastAsia="宋体" w:hint="default"/>
        </w:rPr>
        <w:t>,</w:t>
      </w:r>
      <w:r>
        <w:rPr/>
        <w:t>其中电力投资占近一半。若将环保、积极应对气</w:t>
      </w:r>
    </w:p>
    <w:p>
      <w:pPr>
        <w:pStyle w:val="BodyText"/>
        <w:spacing w:line="273" w:lineRule="auto" w:before="7"/>
        <w:ind w:left="178" w:right="147"/>
        <w:jc w:val="left"/>
      </w:pPr>
      <w:r>
        <w:rPr/>
        <w:t>候变化、电力普遍服务等领域结合</w:t>
      </w:r>
      <w:r>
        <w:rPr>
          <w:rFonts w:ascii="宋体" w:hAnsi="宋体" w:cs="宋体" w:eastAsia="宋体" w:hint="default"/>
        </w:rPr>
        <w:t>,</w:t>
      </w:r>
      <w:r>
        <w:rPr/>
        <w:t>投资累计将达到</w:t>
      </w:r>
      <w:r>
        <w:rPr>
          <w:spacing w:val="-56"/>
        </w:rPr>
        <w:t> </w:t>
      </w:r>
      <w:r>
        <w:rPr>
          <w:rFonts w:ascii="宋体" w:hAnsi="宋体" w:cs="宋体" w:eastAsia="宋体" w:hint="default"/>
        </w:rPr>
        <w:t>69</w:t>
      </w:r>
      <w:r>
        <w:rPr>
          <w:rFonts w:ascii="宋体" w:hAnsi="宋体" w:cs="宋体" w:eastAsia="宋体" w:hint="default"/>
          <w:spacing w:val="-58"/>
        </w:rPr>
        <w:t> </w:t>
      </w:r>
      <w:r>
        <w:rPr/>
        <w:t>万亿美元，其中电力投资占近三分之二，相</w:t>
      </w:r>
      <w:r>
        <w:rPr>
          <w:w w:val="100"/>
        </w:rPr>
        <w:t> </w:t>
      </w:r>
      <w:r>
        <w:rPr/>
        <w:t>比近年来</w:t>
      </w:r>
      <w:r>
        <w:rPr>
          <w:spacing w:val="-54"/>
        </w:rPr>
        <w:t> </w:t>
      </w:r>
      <w:r>
        <w:rPr>
          <w:rFonts w:ascii="宋体" w:hAnsi="宋体" w:cs="宋体" w:eastAsia="宋体" w:hint="default"/>
        </w:rPr>
        <w:t>40%</w:t>
      </w:r>
      <w:r>
        <w:rPr/>
        <w:t>的平均水平大幅上升。</w:t>
      </w:r>
    </w:p>
    <w:p>
      <w:pPr>
        <w:spacing w:after="0" w:line="273" w:lineRule="auto"/>
        <w:jc w:val="left"/>
        <w:sectPr>
          <w:pgSz w:w="11910" w:h="16840"/>
          <w:pgMar w:header="728" w:footer="974" w:top="1120" w:bottom="1160" w:left="1240" w:right="1300"/>
        </w:sectPr>
      </w:pPr>
    </w:p>
    <w:p>
      <w:pPr>
        <w:spacing w:line="240" w:lineRule="auto" w:before="10"/>
        <w:rPr>
          <w:rFonts w:ascii="宋体" w:hAnsi="宋体" w:cs="宋体" w:eastAsia="宋体" w:hint="default"/>
          <w:sz w:val="26"/>
          <w:szCs w:val="26"/>
        </w:rPr>
      </w:pPr>
    </w:p>
    <w:p>
      <w:pPr>
        <w:pStyle w:val="BodyText"/>
        <w:spacing w:line="273" w:lineRule="auto" w:before="36"/>
        <w:ind w:left="178" w:right="209" w:firstLine="420"/>
        <w:jc w:val="both"/>
      </w:pPr>
      <w:r>
        <w:rPr/>
        <w:t>公司通过 </w:t>
      </w:r>
      <w:r>
        <w:rPr>
          <w:rFonts w:ascii="宋体" w:hAnsi="宋体" w:cs="宋体" w:eastAsia="宋体" w:hint="default"/>
        </w:rPr>
        <w:t>20</w:t>
      </w:r>
      <w:r>
        <w:rPr>
          <w:rFonts w:ascii="宋体" w:hAnsi="宋体" w:cs="宋体" w:eastAsia="宋体" w:hint="default"/>
          <w:spacing w:val="-46"/>
        </w:rPr>
        <w:t> </w:t>
      </w:r>
      <w:r>
        <w:rPr>
          <w:spacing w:val="-4"/>
        </w:rPr>
        <w:t>多年来在电力系统的深耕细作，始终保持国内集招市场前三的市场地位，同时公司</w:t>
      </w:r>
      <w:r>
        <w:rPr>
          <w:w w:val="100"/>
        </w:rPr>
        <w:t> </w:t>
      </w:r>
      <w:r>
        <w:rPr/>
        <w:t>不断扩大国内非集招市场和海外市场，有效确保公司该业务板块的稳步增长。</w:t>
      </w:r>
    </w:p>
    <w:p>
      <w:pPr>
        <w:pStyle w:val="Heading2"/>
        <w:spacing w:line="240" w:lineRule="auto" w:before="163"/>
        <w:ind w:left="601" w:right="207"/>
        <w:jc w:val="left"/>
        <w:rPr>
          <w:b w:val="0"/>
          <w:bCs w:val="0"/>
        </w:rPr>
      </w:pPr>
      <w:r>
        <w:rPr>
          <w:rFonts w:ascii="宋体" w:hAnsi="宋体" w:cs="宋体" w:eastAsia="宋体" w:hint="default"/>
        </w:rPr>
        <w:t>2</w:t>
      </w:r>
      <w:r>
        <w:rPr/>
        <w:t>）新能源领域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207" w:firstLine="420"/>
        <w:jc w:val="left"/>
      </w:pPr>
      <w:r>
        <w:rPr/>
        <w:t>截止</w:t>
      </w:r>
      <w:r>
        <w:rPr>
          <w:spacing w:val="-45"/>
        </w:rPr>
        <w:t> </w:t>
      </w:r>
      <w:r>
        <w:rPr>
          <w:rFonts w:ascii="宋体" w:hAnsi="宋体" w:cs="宋体" w:eastAsia="宋体" w:hint="default"/>
        </w:rPr>
        <w:t>2018</w:t>
      </w:r>
      <w:r>
        <w:rPr>
          <w:rFonts w:ascii="宋体" w:hAnsi="宋体" w:cs="宋体" w:eastAsia="宋体" w:hint="default"/>
          <w:spacing w:val="-47"/>
        </w:rPr>
        <w:t> </w:t>
      </w:r>
      <w:r>
        <w:rPr>
          <w:spacing w:val="-4"/>
        </w:rPr>
        <w:t>年，我国光伏发电新增装机规模连续</w:t>
      </w:r>
      <w:r>
        <w:rPr>
          <w:spacing w:val="-45"/>
        </w:rPr>
        <w:t> </w:t>
      </w:r>
      <w:r>
        <w:rPr>
          <w:rFonts w:ascii="宋体" w:hAnsi="宋体" w:cs="宋体" w:eastAsia="宋体" w:hint="default"/>
        </w:rPr>
        <w:t>5</w:t>
      </w:r>
      <w:r>
        <w:rPr>
          <w:rFonts w:ascii="宋体" w:hAnsi="宋体" w:cs="宋体" w:eastAsia="宋体" w:hint="default"/>
          <w:spacing w:val="-45"/>
        </w:rPr>
        <w:t> </w:t>
      </w:r>
      <w:r>
        <w:rPr>
          <w:spacing w:val="-4"/>
        </w:rPr>
        <w:t>年全球第一，累计装机规模连续</w:t>
      </w:r>
      <w:r>
        <w:rPr>
          <w:spacing w:val="-44"/>
        </w:rPr>
        <w:t> </w:t>
      </w:r>
      <w:r>
        <w:rPr>
          <w:rFonts w:ascii="宋体" w:hAnsi="宋体" w:cs="宋体" w:eastAsia="宋体" w:hint="default"/>
        </w:rPr>
        <w:t>3</w:t>
      </w:r>
      <w:r>
        <w:rPr>
          <w:rFonts w:ascii="宋体" w:hAnsi="宋体" w:cs="宋体" w:eastAsia="宋体" w:hint="default"/>
          <w:spacing w:val="-47"/>
        </w:rPr>
        <w:t> </w:t>
      </w:r>
      <w:r>
        <w:rPr/>
        <w:t>年位居全球</w:t>
      </w:r>
      <w:r>
        <w:rPr>
          <w:w w:val="100"/>
        </w:rPr>
        <w:t> </w:t>
      </w:r>
      <w:r>
        <w:rPr>
          <w:spacing w:val="-2"/>
        </w:rPr>
        <w:t>第一。光伏技术不断创新突破、全球领先，并已形成具有国际竞争力的完整的光伏产业链。根据中</w:t>
      </w:r>
      <w:r>
        <w:rPr>
          <w:spacing w:val="-25"/>
        </w:rPr>
        <w:t> </w:t>
      </w:r>
      <w:r>
        <w:rPr>
          <w:spacing w:val="-25"/>
        </w:rPr>
      </w:r>
      <w:r>
        <w:rPr/>
        <w:t>国光伏行业协会的数据显示，</w:t>
      </w:r>
      <w:r>
        <w:rPr>
          <w:rFonts w:ascii="宋体" w:hAnsi="宋体" w:cs="宋体" w:eastAsia="宋体" w:hint="default"/>
        </w:rPr>
        <w:t>2018</w:t>
      </w:r>
      <w:r>
        <w:rPr>
          <w:rFonts w:ascii="宋体" w:hAnsi="宋体" w:cs="宋体" w:eastAsia="宋体" w:hint="default"/>
          <w:spacing w:val="-57"/>
        </w:rPr>
        <w:t> </w:t>
      </w:r>
      <w:r>
        <w:rPr/>
        <w:t>年，我国多晶硅产量超过</w:t>
      </w:r>
      <w:r>
        <w:rPr>
          <w:spacing w:val="-55"/>
        </w:rPr>
        <w:t> </w:t>
      </w:r>
      <w:r>
        <w:rPr>
          <w:rFonts w:ascii="宋体" w:hAnsi="宋体" w:cs="宋体" w:eastAsia="宋体" w:hint="default"/>
        </w:rPr>
        <w:t>25</w:t>
      </w:r>
      <w:r>
        <w:rPr>
          <w:rFonts w:ascii="宋体" w:hAnsi="宋体" w:cs="宋体" w:eastAsia="宋体" w:hint="default"/>
          <w:spacing w:val="-55"/>
        </w:rPr>
        <w:t> </w:t>
      </w:r>
      <w:r>
        <w:rPr/>
        <w:t>万吨，同比增长</w:t>
      </w:r>
      <w:r>
        <w:rPr>
          <w:spacing w:val="-55"/>
        </w:rPr>
        <w:t> </w:t>
      </w:r>
      <w:r>
        <w:rPr>
          <w:rFonts w:ascii="宋体" w:hAnsi="宋体" w:cs="宋体" w:eastAsia="宋体" w:hint="default"/>
        </w:rPr>
        <w:t>3.3%</w:t>
      </w:r>
      <w:r>
        <w:rPr/>
        <w:t>；硅片产量约</w:t>
      </w:r>
      <w:r>
        <w:rPr>
          <w:w w:val="100"/>
        </w:rPr>
        <w:t> </w:t>
      </w:r>
      <w:r>
        <w:rPr/>
        <w:t>为</w:t>
      </w:r>
      <w:r>
        <w:rPr>
          <w:spacing w:val="-55"/>
        </w:rPr>
        <w:t> </w:t>
      </w:r>
      <w:r>
        <w:rPr>
          <w:rFonts w:ascii="宋体" w:hAnsi="宋体" w:cs="宋体" w:eastAsia="宋体" w:hint="default"/>
        </w:rPr>
        <w:t>109.2GW</w:t>
      </w:r>
      <w:r>
        <w:rPr/>
        <w:t>，同比增长</w:t>
      </w:r>
      <w:r>
        <w:rPr>
          <w:spacing w:val="-55"/>
        </w:rPr>
        <w:t> </w:t>
      </w:r>
      <w:r>
        <w:rPr>
          <w:rFonts w:ascii="宋体" w:hAnsi="宋体" w:cs="宋体" w:eastAsia="宋体" w:hint="default"/>
        </w:rPr>
        <w:t>19.1%</w:t>
      </w:r>
      <w:r>
        <w:rPr/>
        <w:t>；电池片产量约为</w:t>
      </w:r>
      <w:r>
        <w:rPr>
          <w:spacing w:val="-55"/>
        </w:rPr>
        <w:t> </w:t>
      </w:r>
      <w:r>
        <w:rPr>
          <w:rFonts w:ascii="宋体" w:hAnsi="宋体" w:cs="宋体" w:eastAsia="宋体" w:hint="default"/>
        </w:rPr>
        <w:t>87.2GW</w:t>
      </w:r>
      <w:r>
        <w:rPr/>
        <w:t>，同比增长</w:t>
      </w:r>
      <w:r>
        <w:rPr>
          <w:spacing w:val="-55"/>
        </w:rPr>
        <w:t> </w:t>
      </w:r>
      <w:r>
        <w:rPr>
          <w:rFonts w:ascii="宋体" w:hAnsi="宋体" w:cs="宋体" w:eastAsia="宋体" w:hint="default"/>
        </w:rPr>
        <w:t>21.1%</w:t>
      </w:r>
      <w:r>
        <w:rPr/>
        <w:t>；组件产量达到</w:t>
      </w:r>
      <w:r>
        <w:rPr>
          <w:spacing w:val="-54"/>
        </w:rPr>
        <w:t> </w:t>
      </w:r>
      <w:r>
        <w:rPr>
          <w:rFonts w:ascii="宋体" w:hAnsi="宋体" w:cs="宋体" w:eastAsia="宋体" w:hint="default"/>
        </w:rPr>
        <w:t>85.7GW</w:t>
      </w:r>
      <w:r>
        <w:rPr/>
        <w:t>，</w:t>
      </w:r>
      <w:r>
        <w:rPr>
          <w:w w:val="100"/>
        </w:rPr>
        <w:t> </w:t>
      </w:r>
      <w:r>
        <w:rPr/>
        <w:t>同比增长</w:t>
      </w:r>
      <w:r>
        <w:rPr>
          <w:spacing w:val="-60"/>
        </w:rPr>
        <w:t> </w:t>
      </w:r>
      <w:r>
        <w:rPr>
          <w:rFonts w:ascii="宋体" w:hAnsi="宋体" w:cs="宋体" w:eastAsia="宋体" w:hint="default"/>
        </w:rPr>
        <w:t>14.3%</w:t>
      </w:r>
      <w:r>
        <w:rPr/>
        <w:t>，并连续</w:t>
      </w:r>
      <w:r>
        <w:rPr>
          <w:spacing w:val="-60"/>
        </w:rPr>
        <w:t> </w:t>
      </w:r>
      <w:r>
        <w:rPr>
          <w:rFonts w:ascii="宋体" w:hAnsi="宋体" w:cs="宋体" w:eastAsia="宋体" w:hint="default"/>
        </w:rPr>
        <w:t>12</w:t>
      </w:r>
      <w:r>
        <w:rPr>
          <w:rFonts w:ascii="宋体" w:hAnsi="宋体" w:cs="宋体" w:eastAsia="宋体" w:hint="default"/>
          <w:spacing w:val="-59"/>
        </w:rPr>
        <w:t> </w:t>
      </w:r>
      <w:r>
        <w:rPr/>
        <w:t>年位居世界第一位。与此同时，光伏装机容量不断提高，据国家能源局</w:t>
      </w:r>
      <w:r>
        <w:rPr>
          <w:w w:val="100"/>
        </w:rPr>
        <w:t> </w:t>
      </w:r>
      <w:r>
        <w:rPr/>
        <w:t>数据显示，</w:t>
      </w:r>
      <w:r>
        <w:rPr>
          <w:rFonts w:ascii="宋体" w:hAnsi="宋体" w:cs="宋体" w:eastAsia="宋体" w:hint="default"/>
        </w:rPr>
        <w:t>2018</w:t>
      </w:r>
      <w:r>
        <w:rPr>
          <w:rFonts w:ascii="宋体" w:hAnsi="宋体" w:cs="宋体" w:eastAsia="宋体" w:hint="default"/>
          <w:spacing w:val="-54"/>
        </w:rPr>
        <w:t> </w:t>
      </w:r>
      <w:r>
        <w:rPr/>
        <w:t>年光伏发电新增装机</w:t>
      </w:r>
      <w:r>
        <w:rPr>
          <w:spacing w:val="-53"/>
        </w:rPr>
        <w:t> </w:t>
      </w:r>
      <w:r>
        <w:rPr>
          <w:rFonts w:ascii="宋体" w:hAnsi="宋体" w:cs="宋体" w:eastAsia="宋体" w:hint="default"/>
        </w:rPr>
        <w:t>4426</w:t>
      </w:r>
      <w:r>
        <w:rPr>
          <w:rFonts w:ascii="宋体" w:hAnsi="宋体" w:cs="宋体" w:eastAsia="宋体" w:hint="default"/>
          <w:spacing w:val="-54"/>
        </w:rPr>
        <w:t> </w:t>
      </w:r>
      <w:r>
        <w:rPr/>
        <w:t>万千瓦，截止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月底，全国光伏发电装机达到</w:t>
      </w:r>
    </w:p>
    <w:p>
      <w:pPr>
        <w:pStyle w:val="BodyText"/>
        <w:spacing w:line="240" w:lineRule="auto" w:before="7"/>
        <w:ind w:left="178" w:right="207"/>
        <w:jc w:val="left"/>
      </w:pPr>
      <w:r>
        <w:rPr>
          <w:rFonts w:ascii="宋体" w:hAnsi="宋体" w:cs="宋体" w:eastAsia="宋体" w:hint="default"/>
        </w:rPr>
        <w:t>1.74</w:t>
      </w:r>
      <w:r>
        <w:rPr>
          <w:rFonts w:ascii="宋体" w:hAnsi="宋体" w:cs="宋体" w:eastAsia="宋体" w:hint="default"/>
          <w:spacing w:val="-56"/>
        </w:rPr>
        <w:t> </w:t>
      </w:r>
      <w:r>
        <w:rPr/>
        <w:t>亿千瓦，是全球光伏第一大市场。</w:t>
      </w:r>
    </w:p>
    <w:p>
      <w:pPr>
        <w:spacing w:line="240" w:lineRule="auto" w:before="11"/>
        <w:rPr>
          <w:rFonts w:ascii="宋体" w:hAnsi="宋体" w:cs="宋体" w:eastAsia="宋体" w:hint="default"/>
          <w:sz w:val="14"/>
          <w:szCs w:val="14"/>
        </w:rPr>
      </w:pPr>
    </w:p>
    <w:p>
      <w:pPr>
        <w:pStyle w:val="BodyText"/>
        <w:spacing w:line="273" w:lineRule="auto"/>
        <w:ind w:left="178" w:right="212" w:firstLine="420"/>
        <w:jc w:val="both"/>
      </w:pPr>
      <w:r>
        <w:rPr>
          <w:rFonts w:ascii="宋体" w:hAnsi="宋体" w:cs="宋体" w:eastAsia="宋体" w:hint="default"/>
        </w:rPr>
        <w:t>2018</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3"/>
        </w:rPr>
        <w:t>日，国家发改委、财政部、国家能源局联合下发《关于</w:t>
      </w:r>
      <w:r>
        <w:rPr>
          <w:spacing w:val="-45"/>
        </w:rPr>
        <w:t> </w:t>
      </w:r>
      <w:r>
        <w:rPr>
          <w:rFonts w:ascii="宋体" w:hAnsi="宋体" w:cs="宋体" w:eastAsia="宋体" w:hint="default"/>
        </w:rPr>
        <w:t>2018</w:t>
      </w:r>
      <w:r>
        <w:rPr>
          <w:rFonts w:ascii="宋体" w:hAnsi="宋体" w:cs="宋体" w:eastAsia="宋体" w:hint="default"/>
          <w:spacing w:val="-48"/>
        </w:rPr>
        <w:t> </w:t>
      </w:r>
      <w:r>
        <w:rPr/>
        <w:t>年光伏发电有关事</w:t>
      </w:r>
      <w:r>
        <w:rPr>
          <w:w w:val="100"/>
        </w:rPr>
        <w:t> </w:t>
      </w:r>
      <w:r>
        <w:rPr>
          <w:spacing w:val="-2"/>
        </w:rPr>
        <w:t>项的通知》，新政的发布推动了光伏制造企业优胜劣汰，加速了行业落后产能和低效产线的淘汰。</w:t>
      </w:r>
      <w:r>
        <w:rPr>
          <w:spacing w:val="-25"/>
        </w:rPr>
        <w:t> </w:t>
      </w:r>
      <w:r>
        <w:rPr>
          <w:spacing w:val="-25"/>
        </w:rPr>
      </w:r>
      <w:r>
        <w:rPr>
          <w:spacing w:val="-2"/>
        </w:rPr>
        <w:t>虽然从短期看对传统光伏制造业带来了不利因素，但从长远看将加速光伏制造业的技术创新，加大</w:t>
      </w:r>
      <w:r>
        <w:rPr>
          <w:spacing w:val="-25"/>
        </w:rPr>
        <w:t> </w:t>
      </w:r>
      <w:r>
        <w:rPr>
          <w:spacing w:val="-25"/>
        </w:rPr>
      </w:r>
      <w:r>
        <w:rPr/>
        <w:t>光伏制造成本的持续下降，加快光伏发电平价上网进程。</w:t>
      </w:r>
    </w:p>
    <w:p>
      <w:pPr>
        <w:pStyle w:val="BodyText"/>
        <w:spacing w:line="273" w:lineRule="auto" w:before="163"/>
        <w:ind w:left="178" w:right="209" w:firstLine="420"/>
        <w:jc w:val="both"/>
      </w:pPr>
      <w:r>
        <w:rPr>
          <w:rFonts w:ascii="宋体" w:hAnsi="宋体" w:cs="宋体" w:eastAsia="宋体" w:hint="default"/>
        </w:rPr>
        <w:t>2019</w:t>
      </w:r>
      <w:r>
        <w:rPr>
          <w:rFonts w:ascii="宋体" w:hAnsi="宋体" w:cs="宋体" w:eastAsia="宋体" w:hint="default"/>
          <w:spacing w:val="-11"/>
        </w:rPr>
        <w:t> </w:t>
      </w:r>
      <w:r>
        <w:rPr>
          <w:spacing w:val="-2"/>
        </w:rPr>
        <w:t>年，我国光伏产业的发展将进入关键的调整期，整个行业的发展趋向于有序，且全产业链</w:t>
      </w:r>
      <w:r>
        <w:rPr>
          <w:w w:val="100"/>
        </w:rPr>
        <w:t> </w:t>
      </w:r>
      <w:r>
        <w:rPr>
          <w:spacing w:val="-2"/>
        </w:rPr>
        <w:t>都将面临质量、技术、效益的全方位蜕变。目前来看，近年我国光伏产业在技术、工艺、效率等各</w:t>
      </w:r>
      <w:r>
        <w:rPr>
          <w:spacing w:val="-25"/>
        </w:rPr>
        <w:t> </w:t>
      </w:r>
      <w:r>
        <w:rPr>
          <w:spacing w:val="-25"/>
        </w:rPr>
      </w:r>
      <w:r>
        <w:rPr>
          <w:spacing w:val="-2"/>
        </w:rPr>
        <w:t>方面都达成了长足的进步，而且政策方面也开始着力于降低行业的非技术成本，推动国内市场向平</w:t>
      </w:r>
      <w:r>
        <w:rPr>
          <w:spacing w:val="-25"/>
        </w:rPr>
        <w:t> </w:t>
      </w:r>
      <w:r>
        <w:rPr>
          <w:spacing w:val="-25"/>
        </w:rPr>
      </w:r>
      <w:r>
        <w:rPr>
          <w:spacing w:val="-2"/>
        </w:rPr>
        <w:t>价上网发展。</w:t>
      </w:r>
      <w:r>
        <w:rPr>
          <w:rFonts w:ascii="宋体" w:hAnsi="宋体" w:cs="宋体" w:eastAsia="宋体" w:hint="default"/>
          <w:spacing w:val="-2"/>
        </w:rPr>
        <w:t>"</w:t>
      </w:r>
      <w:r>
        <w:rPr>
          <w:spacing w:val="-2"/>
        </w:rPr>
        <w:t>十三五</w:t>
      </w:r>
      <w:r>
        <w:rPr>
          <w:rFonts w:ascii="宋体" w:hAnsi="宋体" w:cs="宋体" w:eastAsia="宋体" w:hint="default"/>
          <w:spacing w:val="-2"/>
        </w:rPr>
        <w:t>"</w:t>
      </w:r>
      <w:r>
        <w:rPr>
          <w:spacing w:val="-2"/>
        </w:rPr>
        <w:t>后期，我国光伏将围绕高质量发展，着力推动技术进步与降本增效，加快摆</w:t>
      </w:r>
      <w:r>
        <w:rPr>
          <w:spacing w:val="-25"/>
        </w:rPr>
        <w:t> </w:t>
      </w:r>
      <w:r>
        <w:rPr>
          <w:spacing w:val="-25"/>
        </w:rPr>
      </w:r>
      <w:r>
        <w:rPr/>
        <w:t>脱补贴依赖，实现行业的健康可持续发展，从中长期看我国新能源仍将快速发展。</w:t>
      </w:r>
    </w:p>
    <w:p>
      <w:pPr>
        <w:pStyle w:val="BodyText"/>
        <w:spacing w:line="273" w:lineRule="auto" w:before="164"/>
        <w:ind w:left="178" w:right="209" w:firstLine="420"/>
        <w:jc w:val="left"/>
      </w:pPr>
      <w:r>
        <w:rPr/>
        <w:t>全球光伏市场前景乐观，据彭博财经统计，</w:t>
      </w:r>
      <w:r>
        <w:rPr>
          <w:rFonts w:ascii="宋体" w:hAnsi="宋体" w:cs="宋体" w:eastAsia="宋体" w:hint="default"/>
        </w:rPr>
        <w:t>2019</w:t>
      </w:r>
      <w:r>
        <w:rPr>
          <w:rFonts w:ascii="宋体" w:hAnsi="宋体" w:cs="宋体" w:eastAsia="宋体" w:hint="default"/>
          <w:spacing w:val="-56"/>
        </w:rPr>
        <w:t> </w:t>
      </w:r>
      <w:r>
        <w:rPr/>
        <w:t>年，全球新增装机超过</w:t>
      </w:r>
      <w:r>
        <w:rPr>
          <w:spacing w:val="-54"/>
        </w:rPr>
        <w:t> </w:t>
      </w:r>
      <w:r>
        <w:rPr>
          <w:rFonts w:ascii="宋体" w:hAnsi="宋体" w:cs="宋体" w:eastAsia="宋体" w:hint="default"/>
        </w:rPr>
        <w:t>1GW</w:t>
      </w:r>
      <w:r>
        <w:rPr>
          <w:rFonts w:ascii="宋体" w:hAnsi="宋体" w:cs="宋体" w:eastAsia="宋体" w:hint="default"/>
          <w:spacing w:val="-56"/>
        </w:rPr>
        <w:t> </w:t>
      </w:r>
      <w:r>
        <w:rPr/>
        <w:t>的市场将达到</w:t>
      </w:r>
      <w:r>
        <w:rPr>
          <w:spacing w:val="-53"/>
        </w:rPr>
        <w:t> </w:t>
      </w:r>
      <w:r>
        <w:rPr>
          <w:rFonts w:ascii="宋体" w:hAnsi="宋体" w:cs="宋体" w:eastAsia="宋体" w:hint="default"/>
          <w:spacing w:val="-3"/>
        </w:rPr>
        <w:t>14</w:t>
      </w:r>
      <w:r>
        <w:rPr>
          <w:rFonts w:ascii="宋体" w:hAnsi="宋体" w:cs="宋体" w:eastAsia="宋体" w:hint="default"/>
          <w:spacing w:val="-3"/>
          <w:w w:val="100"/>
        </w:rPr>
        <w:t> </w:t>
      </w:r>
      <w:r>
        <w:rPr/>
        <w:t>个，</w:t>
      </w:r>
      <w:r>
        <w:rPr>
          <w:rFonts w:ascii="宋体" w:hAnsi="宋体" w:cs="宋体" w:eastAsia="宋体" w:hint="default"/>
        </w:rPr>
        <w:t>2019-2020</w:t>
      </w:r>
      <w:r>
        <w:rPr>
          <w:rFonts w:ascii="宋体" w:hAnsi="宋体" w:cs="宋体" w:eastAsia="宋体" w:hint="default"/>
          <w:spacing w:val="-47"/>
        </w:rPr>
        <w:t> </w:t>
      </w:r>
      <w:r>
        <w:rPr/>
        <w:t>期间，年度新增装机同比增长平均速度约为</w:t>
      </w:r>
      <w:r>
        <w:rPr>
          <w:spacing w:val="-46"/>
        </w:rPr>
        <w:t> </w:t>
      </w:r>
      <w:r>
        <w:rPr>
          <w:rFonts w:ascii="宋体" w:hAnsi="宋体" w:cs="宋体" w:eastAsia="宋体" w:hint="default"/>
          <w:spacing w:val="-5"/>
        </w:rPr>
        <w:t>20%</w:t>
      </w:r>
      <w:r>
        <w:rPr>
          <w:spacing w:val="-5"/>
        </w:rPr>
        <w:t>，同时，中、印、美、欧、日以外的</w:t>
      </w:r>
      <w:r>
        <w:rPr>
          <w:spacing w:val="-102"/>
        </w:rPr>
        <w:t> </w:t>
      </w:r>
      <w:r>
        <w:rPr>
          <w:spacing w:val="-102"/>
        </w:rPr>
      </w:r>
      <w:r>
        <w:rPr/>
        <w:t>年度需求占比将达到</w:t>
      </w:r>
      <w:r>
        <w:rPr>
          <w:spacing w:val="-44"/>
        </w:rPr>
        <w:t> </w:t>
      </w:r>
      <w:r>
        <w:rPr>
          <w:rFonts w:ascii="宋体" w:hAnsi="宋体" w:cs="宋体" w:eastAsia="宋体" w:hint="default"/>
          <w:spacing w:val="-5"/>
        </w:rPr>
        <w:t>40%</w:t>
      </w:r>
      <w:r>
        <w:rPr>
          <w:spacing w:val="-5"/>
        </w:rPr>
        <w:t>。</w:t>
      </w:r>
      <w:r>
        <w:rPr>
          <w:rFonts w:ascii="宋体" w:hAnsi="宋体" w:cs="宋体" w:eastAsia="宋体" w:hint="default"/>
          <w:spacing w:val="-5"/>
        </w:rPr>
        <w:t>2019</w:t>
      </w:r>
      <w:r>
        <w:rPr>
          <w:rFonts w:ascii="宋体" w:hAnsi="宋体" w:cs="宋体" w:eastAsia="宋体" w:hint="default"/>
          <w:spacing w:val="-46"/>
        </w:rPr>
        <w:t> </w:t>
      </w:r>
      <w:r>
        <w:rPr/>
        <w:t>年将是自</w:t>
      </w:r>
      <w:r>
        <w:rPr>
          <w:spacing w:val="-44"/>
        </w:rPr>
        <w:t> </w:t>
      </w:r>
      <w:r>
        <w:rPr>
          <w:rFonts w:ascii="宋体" w:hAnsi="宋体" w:cs="宋体" w:eastAsia="宋体" w:hint="default"/>
        </w:rPr>
        <w:t>2011</w:t>
      </w:r>
      <w:r>
        <w:rPr>
          <w:rFonts w:ascii="宋体" w:hAnsi="宋体" w:cs="宋体" w:eastAsia="宋体" w:hint="default"/>
          <w:spacing w:val="-46"/>
        </w:rPr>
        <w:t> </w:t>
      </w:r>
      <w:r>
        <w:rPr>
          <w:spacing w:val="-3"/>
        </w:rPr>
        <w:t>年以来，全球所有六个地区的光伏发电装机容量首次</w:t>
      </w:r>
      <w:r>
        <w:rPr>
          <w:spacing w:val="-102"/>
        </w:rPr>
        <w:t> </w:t>
      </w:r>
      <w:r>
        <w:rPr>
          <w:spacing w:val="-102"/>
        </w:rPr>
      </w:r>
      <w:r>
        <w:rPr/>
        <w:t>实现增长。欧洲、中东、北美、南美和中美洲、非洲和亚太地区的经济将同比增长</w:t>
      </w:r>
      <w:r>
        <w:rPr>
          <w:spacing w:val="-54"/>
        </w:rPr>
        <w:t> </w:t>
      </w:r>
      <w:r>
        <w:rPr>
          <w:rFonts w:ascii="宋体" w:hAnsi="宋体" w:cs="宋体" w:eastAsia="宋体" w:hint="default"/>
        </w:rPr>
        <w:t>18%</w:t>
      </w:r>
      <w:r>
        <w:rPr/>
        <w:t>。（数据来</w:t>
      </w:r>
      <w:r>
        <w:rPr>
          <w:w w:val="100"/>
        </w:rPr>
        <w:t> </w:t>
      </w:r>
      <w:r>
        <w:rPr/>
        <w:t>源：</w:t>
      </w:r>
      <w:r>
        <w:rPr>
          <w:rFonts w:ascii="宋体" w:hAnsi="宋体" w:cs="宋体" w:eastAsia="宋体" w:hint="default"/>
        </w:rPr>
        <w:t>IHS Markit</w:t>
      </w:r>
      <w:r>
        <w:rPr/>
        <w:t>《</w:t>
      </w:r>
      <w:r>
        <w:rPr>
          <w:rFonts w:ascii="宋体" w:hAnsi="宋体" w:cs="宋体" w:eastAsia="宋体" w:hint="default"/>
        </w:rPr>
        <w:t>2019</w:t>
      </w:r>
      <w:r>
        <w:rPr>
          <w:rFonts w:ascii="宋体" w:hAnsi="宋体" w:cs="宋体" w:eastAsia="宋体" w:hint="default"/>
          <w:spacing w:val="-73"/>
        </w:rPr>
        <w:t> </w:t>
      </w:r>
      <w:r>
        <w:rPr/>
        <w:t>年光伏产业预测白皮书》）在光伏发电成本持续下降和新兴市场拉动等有利</w:t>
      </w:r>
      <w:r>
        <w:rPr>
          <w:w w:val="100"/>
        </w:rPr>
        <w:t> </w:t>
      </w:r>
      <w:r>
        <w:rPr/>
        <w:t>因素的推动下，全球光伏市场仍将保持增长，预计全年全球光伏新增装机量将超过</w:t>
      </w:r>
      <w:r>
        <w:rPr>
          <w:spacing w:val="-55"/>
        </w:rPr>
        <w:t> </w:t>
      </w:r>
      <w:r>
        <w:rPr>
          <w:rFonts w:ascii="宋体" w:hAnsi="宋体" w:cs="宋体" w:eastAsia="宋体" w:hint="default"/>
        </w:rPr>
        <w:t>110GW</w:t>
      </w:r>
      <w:r>
        <w:rPr/>
        <w:t>，乐观情</w:t>
      </w:r>
      <w:r>
        <w:rPr>
          <w:w w:val="100"/>
        </w:rPr>
        <w:t> </w:t>
      </w:r>
      <w:r>
        <w:rPr/>
        <w:t>形下甚至达到</w:t>
      </w:r>
      <w:r>
        <w:rPr>
          <w:spacing w:val="-55"/>
        </w:rPr>
        <w:t> </w:t>
      </w:r>
      <w:r>
        <w:rPr>
          <w:rFonts w:ascii="宋体" w:hAnsi="宋体" w:cs="宋体" w:eastAsia="宋体" w:hint="default"/>
        </w:rPr>
        <w:t>120GW</w:t>
      </w:r>
      <w:r>
        <w:rPr/>
        <w:t>。（预测数据来源：中国光伏行业协会）</w:t>
      </w:r>
    </w:p>
    <w:p>
      <w:pPr>
        <w:pStyle w:val="Heading2"/>
        <w:spacing w:line="240" w:lineRule="auto" w:before="163"/>
        <w:ind w:left="601" w:right="207"/>
        <w:jc w:val="left"/>
        <w:rPr>
          <w:b w:val="0"/>
          <w:bCs w:val="0"/>
        </w:rPr>
      </w:pPr>
      <w:r>
        <w:rPr>
          <w:rFonts w:ascii="宋体" w:hAnsi="宋体" w:cs="宋体" w:eastAsia="宋体" w:hint="default"/>
        </w:rPr>
        <w:t>3</w:t>
      </w:r>
      <w:r>
        <w:rPr/>
        <w:t>）节能领域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0" w:firstLine="420"/>
        <w:jc w:val="left"/>
      </w:pPr>
      <w:r>
        <w:rPr>
          <w:w w:val="100"/>
        </w:rPr>
        <w:t>自</w:t>
      </w:r>
      <w:r>
        <w:rPr>
          <w:spacing w:val="-50"/>
          <w:w w:val="100"/>
        </w:rPr>
        <w:t> </w:t>
      </w:r>
      <w:r>
        <w:rPr>
          <w:rFonts w:ascii="宋体" w:hAnsi="宋体" w:cs="宋体" w:eastAsia="宋体" w:hint="default"/>
          <w:spacing w:val="-1"/>
          <w:w w:val="100"/>
        </w:rPr>
        <w:t>2015</w:t>
      </w:r>
      <w:r>
        <w:rPr>
          <w:rFonts w:ascii="宋体" w:hAnsi="宋体" w:cs="宋体" w:eastAsia="宋体" w:hint="default"/>
          <w:spacing w:val="-50"/>
          <w:w w:val="100"/>
        </w:rPr>
        <w:t> </w:t>
      </w:r>
      <w:r>
        <w:rPr>
          <w:spacing w:val="-6"/>
          <w:w w:val="100"/>
        </w:rPr>
        <w:t>年中国启动新一轮电力体制改革以来，传统能源行业边界逐渐消退，市场主体更为多元、</w:t>
      </w:r>
      <w:r>
        <w:rPr>
          <w:w w:val="100"/>
        </w:rPr>
        <w:t> </w:t>
      </w:r>
      <w:r>
        <w:rPr/>
        <w:t>市场竞争也更为激烈。在机遇与挑战面前，电力企业正在纷纷向综合能源服务企业转型。综合能源</w:t>
      </w:r>
      <w:r>
        <w:rPr>
          <w:w w:val="100"/>
        </w:rPr>
        <w:t> </w:t>
      </w:r>
      <w:r>
        <w:rPr/>
        <w:t>服务的兴起，标志着中国能源行业重心已从保障供应转移到以用户为中心的能源服务。</w:t>
      </w:r>
    </w:p>
    <w:p>
      <w:pPr>
        <w:pStyle w:val="BodyText"/>
        <w:spacing w:line="273" w:lineRule="auto" w:before="163"/>
        <w:ind w:left="178" w:right="210" w:firstLine="420"/>
        <w:jc w:val="both"/>
      </w:pPr>
      <w:r>
        <w:rPr/>
        <w:t>国家电网公司近期印发了《推进综合能源服务业务发展</w:t>
      </w:r>
      <w:r>
        <w:rPr>
          <w:spacing w:val="-55"/>
        </w:rPr>
        <w:t> </w:t>
      </w:r>
      <w:r>
        <w:rPr>
          <w:rFonts w:ascii="宋体" w:hAnsi="宋体" w:cs="宋体" w:eastAsia="宋体" w:hint="default"/>
        </w:rPr>
        <w:t>2019-2020</w:t>
      </w:r>
      <w:r>
        <w:rPr>
          <w:rFonts w:ascii="宋体" w:hAnsi="宋体" w:cs="宋体" w:eastAsia="宋体" w:hint="default"/>
          <w:spacing w:val="-56"/>
        </w:rPr>
        <w:t> </w:t>
      </w:r>
      <w:r>
        <w:rPr/>
        <w:t>年行动计划》，明确指出，</w:t>
      </w:r>
      <w:r>
        <w:rPr>
          <w:w w:val="100"/>
        </w:rPr>
        <w:t> </w:t>
      </w:r>
      <w:r>
        <w:rPr>
          <w:spacing w:val="-2"/>
        </w:rPr>
        <w:t>未来两年将紧紧抓住新一轮能源技术革命、信息通讯技术革命和产业融合发展的新机遇，践行公司</w:t>
      </w:r>
      <w:r>
        <w:rPr>
          <w:spacing w:val="-25"/>
        </w:rPr>
        <w:t> </w:t>
      </w:r>
      <w:r>
        <w:rPr>
          <w:spacing w:val="-25"/>
        </w:rPr>
      </w:r>
      <w:r>
        <w:rPr>
          <w:spacing w:val="-2"/>
        </w:rPr>
        <w:t>“三型两网、世界一流”战略目标，将建设成为综合能源服务领域主要践行者、深度参与者、重要</w:t>
      </w:r>
      <w:r>
        <w:rPr>
          <w:spacing w:val="-26"/>
        </w:rPr>
        <w:t> </w:t>
      </w:r>
      <w:r>
        <w:rPr>
          <w:spacing w:val="-26"/>
        </w:rPr>
      </w:r>
      <w:r>
        <w:rPr>
          <w:spacing w:val="-4"/>
        </w:rPr>
        <w:t>推动者和示范引领者。南方电网公司于</w:t>
      </w:r>
      <w:r>
        <w:rPr>
          <w:spacing w:val="-25"/>
        </w:rPr>
        <w:t> </w:t>
      </w:r>
      <w:r>
        <w:rPr>
          <w:rFonts w:ascii="宋体" w:hAnsi="宋体" w:cs="宋体" w:eastAsia="宋体" w:hint="default"/>
        </w:rPr>
        <w:t>2019</w:t>
      </w:r>
      <w:r>
        <w:rPr>
          <w:rFonts w:ascii="宋体" w:hAnsi="宋体" w:cs="宋体" w:eastAsia="宋体" w:hint="default"/>
          <w:spacing w:val="-28"/>
        </w:rPr>
        <w:t> </w:t>
      </w:r>
      <w:r>
        <w:rPr>
          <w:spacing w:val="-3"/>
        </w:rPr>
        <w:t>年初印发了《关于明确公司综合能源服务发展有关事项</w:t>
      </w:r>
      <w:r>
        <w:rPr>
          <w:spacing w:val="-93"/>
        </w:rPr>
        <w:t> </w:t>
      </w:r>
      <w:r>
        <w:rPr>
          <w:spacing w:val="-93"/>
        </w:rPr>
      </w:r>
      <w:r>
        <w:rPr>
          <w:spacing w:val="-6"/>
        </w:rPr>
        <w:t>的通知》，提出向智能电网运营商、能源产业价值链整合商、能源生态系统服务商转型的战略取向，</w:t>
      </w:r>
      <w:r>
        <w:rPr>
          <w:spacing w:val="-21"/>
        </w:rPr>
        <w:t> </w:t>
      </w:r>
      <w:r>
        <w:rPr>
          <w:spacing w:val="-21"/>
        </w:rPr>
      </w:r>
      <w:r>
        <w:rPr>
          <w:spacing w:val="-4"/>
        </w:rPr>
        <w:t>主要聚焦新能源、节能服务、能源综合利用、电能替代、储能、科技装备、创新服务、“互联网+”</w:t>
      </w:r>
      <w:r>
        <w:rPr>
          <w:spacing w:val="-11"/>
        </w:rPr>
        <w:t> </w:t>
      </w:r>
      <w:r>
        <w:rPr>
          <w:spacing w:val="-11"/>
        </w:rPr>
      </w:r>
      <w:r>
        <w:rPr/>
        <w:t>等八大业务。</w:t>
      </w:r>
    </w:p>
    <w:p>
      <w:pPr>
        <w:pStyle w:val="BodyText"/>
        <w:spacing w:line="273" w:lineRule="auto" w:before="164"/>
        <w:ind w:left="178" w:right="248" w:firstLine="420"/>
        <w:jc w:val="both"/>
      </w:pPr>
      <w:r>
        <w:rPr>
          <w:spacing w:val="-2"/>
        </w:rPr>
        <w:t>目前我国综合能源发展处于起步阶段，工业园区、大能耗企业、公共建筑等是我国未来开展综</w:t>
      </w:r>
      <w:r>
        <w:rPr>
          <w:w w:val="100"/>
        </w:rPr>
        <w:t> </w:t>
      </w:r>
      <w:r>
        <w:rPr/>
        <w:t>合能源的主要对象。各类园区集中了我国</w:t>
      </w:r>
      <w:r>
        <w:rPr>
          <w:spacing w:val="-56"/>
        </w:rPr>
        <w:t> </w:t>
      </w:r>
      <w:r>
        <w:rPr>
          <w:rFonts w:ascii="宋体" w:hAnsi="宋体" w:cs="宋体" w:eastAsia="宋体" w:hint="default"/>
        </w:rPr>
        <w:t>70%</w:t>
      </w:r>
      <w:r>
        <w:rPr/>
        <w:t>的工业用能，而且这类负荷基本都在存在电、冷、热</w:t>
      </w:r>
      <w:r>
        <w:rPr>
          <w:w w:val="100"/>
        </w:rPr>
        <w:t> </w:t>
      </w:r>
      <w:r>
        <w:rPr>
          <w:spacing w:val="-2"/>
        </w:rPr>
        <w:t>多种能源需求，具有很强的提升空间。通过多能互补、集成优化、监控管理等方式，经济、绿色、</w:t>
      </w:r>
    </w:p>
    <w:p>
      <w:pPr>
        <w:spacing w:after="0" w:line="273" w:lineRule="auto"/>
        <w:jc w:val="both"/>
        <w:sectPr>
          <w:pgSz w:w="11910" w:h="16840"/>
          <w:pgMar w:header="728" w:footer="974" w:top="1120" w:bottom="1160" w:left="1240" w:right="1200"/>
        </w:sectPr>
      </w:pPr>
    </w:p>
    <w:p>
      <w:pPr>
        <w:spacing w:line="240" w:lineRule="auto" w:before="10"/>
        <w:rPr>
          <w:rFonts w:ascii="宋体" w:hAnsi="宋体" w:cs="宋体" w:eastAsia="宋体" w:hint="default"/>
          <w:sz w:val="26"/>
          <w:szCs w:val="26"/>
        </w:rPr>
      </w:pPr>
    </w:p>
    <w:p>
      <w:pPr>
        <w:pStyle w:val="BodyText"/>
        <w:spacing w:line="273" w:lineRule="auto" w:before="36"/>
        <w:ind w:left="178" w:right="214"/>
        <w:jc w:val="both"/>
      </w:pPr>
      <w:r>
        <w:rPr>
          <w:spacing w:val="-2"/>
        </w:rPr>
        <w:t>高效地满足多种能源需求。同时，基于互联网信息技术的智能一体化管理平台能够有效的提高能源</w:t>
      </w:r>
      <w:r>
        <w:rPr>
          <w:spacing w:val="-25"/>
        </w:rPr>
        <w:t> </w:t>
      </w:r>
      <w:r>
        <w:rPr>
          <w:spacing w:val="-25"/>
        </w:rPr>
      </w:r>
      <w:r>
        <w:rPr>
          <w:spacing w:val="-2"/>
        </w:rPr>
        <w:t>系统的运行效率和安全稳定运行能力，利用平台的数据分析能力持续提高能源利用效率，深度挖掘</w:t>
      </w:r>
      <w:r>
        <w:rPr>
          <w:spacing w:val="-25"/>
        </w:rPr>
        <w:t> </w:t>
      </w:r>
      <w:r>
        <w:rPr>
          <w:spacing w:val="-25"/>
        </w:rPr>
      </w:r>
      <w:r>
        <w:rPr>
          <w:spacing w:val="-6"/>
          <w:w w:val="100"/>
        </w:rPr>
        <w:t>节能空间。综合能源服务将加快推进能源领域体制机制改革，加快能源消费向“市场化”转型升级。</w:t>
      </w:r>
      <w:r>
        <w:rPr>
          <w:w w:val="100"/>
        </w:rPr>
      </w:r>
    </w:p>
    <w:p>
      <w:pPr>
        <w:spacing w:line="240" w:lineRule="auto" w:before="0"/>
        <w:rPr>
          <w:rFonts w:ascii="宋体" w:hAnsi="宋体" w:cs="宋体" w:eastAsia="宋体" w:hint="default"/>
          <w:sz w:val="29"/>
          <w:szCs w:val="29"/>
        </w:rPr>
      </w:pPr>
    </w:p>
    <w:p>
      <w:pPr>
        <w:pStyle w:val="Heading2"/>
        <w:spacing w:line="240" w:lineRule="auto" w:before="0"/>
        <w:ind w:left="178" w:right="0"/>
        <w:jc w:val="both"/>
        <w:rPr>
          <w:b w:val="0"/>
          <w:bCs w:val="0"/>
        </w:rPr>
      </w:pPr>
      <w:r>
        <w:rPr/>
        <w:t>二、报告期内公司主要资产发生重大变化情况的说明</w:t>
      </w:r>
      <w:r>
        <w:rPr>
          <w:b w:val="0"/>
          <w:bCs w:val="0"/>
        </w:rPr>
      </w:r>
    </w:p>
    <w:p>
      <w:pPr>
        <w:pStyle w:val="BodyText"/>
        <w:spacing w:line="240" w:lineRule="auto" w:before="97"/>
        <w:ind w:left="1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0"/>
        <w:jc w:val="both"/>
        <w:rPr>
          <w:b w:val="0"/>
          <w:bCs w:val="0"/>
        </w:rPr>
      </w:pPr>
      <w:r>
        <w:rPr/>
        <w:t>三、报告期内核心竞争力分析</w:t>
      </w:r>
      <w:r>
        <w:rPr>
          <w:b w:val="0"/>
          <w:bCs w:val="0"/>
        </w:rPr>
      </w:r>
    </w:p>
    <w:p>
      <w:pPr>
        <w:pStyle w:val="BodyText"/>
        <w:spacing w:line="240" w:lineRule="auto" w:before="97"/>
        <w:ind w:left="178" w:right="0"/>
        <w:jc w:val="both"/>
      </w:pPr>
      <w:r>
        <w:rPr/>
        <w:t>√适用 □不适用</w:t>
      </w:r>
    </w:p>
    <w:p>
      <w:pPr>
        <w:spacing w:line="240" w:lineRule="auto" w:before="11"/>
        <w:rPr>
          <w:rFonts w:ascii="宋体" w:hAnsi="宋体" w:cs="宋体" w:eastAsia="宋体" w:hint="default"/>
          <w:sz w:val="14"/>
          <w:szCs w:val="14"/>
        </w:rPr>
      </w:pPr>
    </w:p>
    <w:p>
      <w:pPr>
        <w:pStyle w:val="BodyText"/>
        <w:spacing w:line="273" w:lineRule="auto"/>
        <w:ind w:left="178" w:right="248" w:firstLine="420"/>
        <w:jc w:val="both"/>
      </w:pPr>
      <w:r>
        <w:rPr>
          <w:spacing w:val="-2"/>
        </w:rPr>
        <w:t>公司自成立二十多年以来，一直以“打造绿色环境、创造美好生活”为使命，以“增强运营效</w:t>
      </w:r>
      <w:r>
        <w:rPr>
          <w:w w:val="100"/>
        </w:rPr>
        <w:t> </w:t>
      </w:r>
      <w:r>
        <w:rPr>
          <w:spacing w:val="-2"/>
        </w:rPr>
        <w:t>率、全力降本增效”为管理抓手。通过不断创新和发展，现公司规模、产能、销量与质量均列行业</w:t>
      </w:r>
      <w:r>
        <w:rPr>
          <w:spacing w:val="-25"/>
        </w:rPr>
        <w:t> </w:t>
      </w:r>
      <w:r>
        <w:rPr>
          <w:spacing w:val="-25"/>
        </w:rPr>
      </w:r>
      <w:r>
        <w:rPr>
          <w:spacing w:val="-2"/>
        </w:rPr>
        <w:t>前茅，系统类产品与服务得到行业主流客户认同；在分布式光伏电站的开发、投资、建设和运营上</w:t>
      </w:r>
      <w:r>
        <w:rPr>
          <w:spacing w:val="-25"/>
        </w:rPr>
        <w:t> </w:t>
      </w:r>
      <w:r>
        <w:rPr>
          <w:spacing w:val="-25"/>
        </w:rPr>
      </w:r>
      <w:r>
        <w:rPr/>
        <w:t>也取得一系列成就。</w:t>
      </w:r>
    </w:p>
    <w:p>
      <w:pPr>
        <w:pStyle w:val="BodyText"/>
        <w:spacing w:line="273" w:lineRule="auto" w:before="163"/>
        <w:ind w:left="178" w:right="248" w:firstLine="420"/>
        <w:jc w:val="both"/>
      </w:pPr>
      <w:r>
        <w:rPr>
          <w:spacing w:val="-2"/>
        </w:rPr>
        <w:t>近年来，公司董事会紧跟国家产业政策，通过原有资源的整合、现有模式的创新和核心技术的</w:t>
      </w:r>
      <w:r>
        <w:rPr>
          <w:w w:val="100"/>
        </w:rPr>
        <w:t> </w:t>
      </w:r>
      <w:r>
        <w:rPr>
          <w:spacing w:val="-2"/>
        </w:rPr>
        <w:t>积累，充分发挥公司在品牌、技术、营销、运维、质量、规模、融资渠道和项目资源等方面优势，</w:t>
      </w:r>
      <w:r>
        <w:rPr>
          <w:spacing w:val="-25"/>
        </w:rPr>
        <w:t> </w:t>
      </w:r>
      <w:r>
        <w:rPr>
          <w:spacing w:val="-25"/>
        </w:rPr>
      </w:r>
      <w:r>
        <w:rPr>
          <w:spacing w:val="-2"/>
        </w:rPr>
        <w:t>深化“智能、节能、新能源”三大板块内涵，明确致力于“成为全球分布式能源、能效管理领域最</w:t>
      </w:r>
      <w:r>
        <w:rPr>
          <w:spacing w:val="-25"/>
        </w:rPr>
        <w:t> </w:t>
      </w:r>
      <w:r>
        <w:rPr>
          <w:spacing w:val="-25"/>
        </w:rPr>
      </w:r>
      <w:r>
        <w:rPr/>
        <w:t>大的互联运营和服务商之一”的战略定位，全面升级公司产业结构，增强整体竞争力。</w:t>
      </w:r>
    </w:p>
    <w:p>
      <w:pPr>
        <w:pStyle w:val="BodyText"/>
        <w:spacing w:line="240" w:lineRule="auto" w:before="163"/>
        <w:ind w:left="598" w:right="207"/>
        <w:jc w:val="left"/>
      </w:pPr>
      <w:r>
        <w:rPr/>
        <w:t>公司报告期内核心竞争力主要体现在如下几个方面：</w:t>
      </w:r>
    </w:p>
    <w:p>
      <w:pPr>
        <w:pStyle w:val="BodyText"/>
        <w:spacing w:line="470" w:lineRule="atLeast"/>
        <w:ind w:left="598" w:right="207"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）品牌优势</w:t>
      </w:r>
      <w:r>
        <w:rPr>
          <w:rFonts w:ascii="宋体" w:hAnsi="宋体" w:cs="宋体" w:eastAsia="宋体" w:hint="default"/>
          <w:b/>
          <w:bCs/>
          <w:w w:val="100"/>
        </w:rPr>
        <w:t> </w:t>
      </w:r>
      <w:r>
        <w:rPr>
          <w:spacing w:val="-2"/>
        </w:rPr>
        <w:t>公司自成立以来，凭借过硬的产品质量、创新的技术研发能力、完善的客户服务体系、“以客</w:t>
      </w:r>
    </w:p>
    <w:p>
      <w:pPr>
        <w:pStyle w:val="BodyText"/>
        <w:spacing w:line="273" w:lineRule="auto" w:before="37"/>
        <w:ind w:left="0" w:right="212"/>
        <w:jc w:val="right"/>
      </w:pPr>
      <w:r>
        <w:rPr>
          <w:spacing w:val="-2"/>
        </w:rPr>
        <w:t>户为中心”的经营理念，打造出具有竞争力的品牌优势。公司“KD”商标被评为江苏省著名商标。</w:t>
      </w:r>
      <w:r>
        <w:rPr>
          <w:spacing w:val="-80"/>
        </w:rPr>
        <w:t> </w:t>
      </w:r>
      <w:r>
        <w:rPr>
          <w:spacing w:val="-80"/>
        </w:rPr>
      </w:r>
      <w:r>
        <w:rPr>
          <w:spacing w:val="-2"/>
        </w:rPr>
        <w:t>“林洋”商标被认定为中国驰名商标，已经在国内外享有了较高的知名度，并先后取得了品牌江苏</w:t>
      </w:r>
      <w:r>
        <w:rPr>
          <w:spacing w:val="-80"/>
        </w:rPr>
        <w:t> </w:t>
      </w:r>
      <w:r>
        <w:rPr>
          <w:spacing w:val="-80"/>
        </w:rPr>
      </w:r>
      <w:r>
        <w:rPr>
          <w:spacing w:val="-2"/>
        </w:rPr>
        <w:t>建设“金帆奖”、“江苏省重点培育和发展的国际知名品牌”、“中国名牌产品”、“全国质量稳</w:t>
      </w:r>
      <w:r>
        <w:rPr>
          <w:spacing w:val="-82"/>
        </w:rPr>
        <w:t> </w:t>
      </w:r>
      <w:r>
        <w:rPr>
          <w:spacing w:val="-82"/>
        </w:rPr>
      </w:r>
      <w:r>
        <w:rPr/>
        <w:t>定合格产品”、</w:t>
      </w:r>
      <w:r>
        <w:rPr>
          <w:rFonts w:ascii="宋体" w:hAnsi="宋体" w:cs="宋体" w:eastAsia="宋体" w:hint="default"/>
        </w:rPr>
        <w:t>2018</w:t>
      </w:r>
      <w:r>
        <w:rPr>
          <w:rFonts w:ascii="宋体" w:hAnsi="宋体" w:cs="宋体" w:eastAsia="宋体" w:hint="default"/>
          <w:spacing w:val="-56"/>
        </w:rPr>
        <w:t> </w:t>
      </w:r>
      <w:r>
        <w:rPr/>
        <w:t>年“我最喜爱的南通十佳商标”及</w:t>
      </w:r>
      <w:r>
        <w:rPr>
          <w:spacing w:val="-55"/>
        </w:rPr>
        <w:t> </w:t>
      </w:r>
      <w:r>
        <w:rPr>
          <w:rFonts w:ascii="宋体" w:hAnsi="宋体" w:cs="宋体" w:eastAsia="宋体" w:hint="default"/>
        </w:rPr>
        <w:t>2018</w:t>
      </w:r>
      <w:r>
        <w:rPr>
          <w:rFonts w:ascii="宋体" w:hAnsi="宋体" w:cs="宋体" w:eastAsia="宋体" w:hint="default"/>
          <w:spacing w:val="-58"/>
        </w:rPr>
        <w:t> </w:t>
      </w:r>
      <w:r>
        <w:rPr/>
        <w:t>年度“仪器仪表十大品牌”等荣誉。</w:t>
      </w:r>
    </w:p>
    <w:p>
      <w:pPr>
        <w:pStyle w:val="BodyText"/>
        <w:spacing w:line="273" w:lineRule="auto" w:before="163"/>
        <w:ind w:left="178" w:right="212" w:firstLine="420"/>
        <w:jc w:val="both"/>
      </w:pPr>
      <w:r>
        <w:rPr>
          <w:spacing w:val="-8"/>
          <w:w w:val="100"/>
        </w:rPr>
        <w:t>公司作为江苏的民营企业，</w:t>
      </w:r>
      <w:r>
        <w:rPr>
          <w:rFonts w:ascii="宋体" w:hAnsi="宋体" w:cs="宋体" w:eastAsia="宋体" w:hint="default"/>
          <w:spacing w:val="-8"/>
          <w:w w:val="100"/>
        </w:rPr>
        <w:t>2018</w:t>
      </w:r>
      <w:r>
        <w:rPr>
          <w:rFonts w:ascii="宋体" w:hAnsi="宋体" w:cs="宋体" w:eastAsia="宋体" w:hint="default"/>
          <w:spacing w:val="-49"/>
          <w:w w:val="100"/>
        </w:rPr>
        <w:t> </w:t>
      </w:r>
      <w:r>
        <w:rPr>
          <w:spacing w:val="-6"/>
          <w:w w:val="100"/>
        </w:rPr>
        <w:t>年公司先后获得了“江苏省厂务公开民主管理示范单位”、“南</w:t>
      </w:r>
      <w:r>
        <w:rPr>
          <w:w w:val="100"/>
        </w:rPr>
        <w:t> </w:t>
      </w:r>
      <w:r>
        <w:rPr>
          <w:spacing w:val="-2"/>
        </w:rPr>
        <w:t>通市五一劳动奖状”、</w:t>
      </w:r>
      <w:r>
        <w:rPr>
          <w:rFonts w:ascii="宋体" w:hAnsi="宋体" w:cs="宋体" w:eastAsia="宋体" w:hint="default"/>
          <w:spacing w:val="-2"/>
        </w:rPr>
        <w:t>2018</w:t>
      </w:r>
      <w:r>
        <w:rPr>
          <w:rFonts w:ascii="宋体" w:hAnsi="宋体" w:cs="宋体" w:eastAsia="宋体" w:hint="default"/>
        </w:rPr>
        <w:t> </w:t>
      </w:r>
      <w:r>
        <w:rPr>
          <w:spacing w:val="-2"/>
        </w:rPr>
        <w:t>年度“两化融合优秀企业”等荣誉。</w:t>
      </w:r>
    </w:p>
    <w:p>
      <w:pPr>
        <w:pStyle w:val="BodyText"/>
        <w:spacing w:line="273" w:lineRule="auto" w:before="163"/>
        <w:ind w:left="178" w:right="0" w:firstLine="420"/>
        <w:jc w:val="left"/>
      </w:pPr>
      <w:r>
        <w:rPr>
          <w:rFonts w:ascii="宋体" w:hAnsi="宋体" w:cs="宋体" w:eastAsia="宋体" w:hint="default"/>
        </w:rPr>
        <w:t>2018</w:t>
      </w:r>
      <w:r>
        <w:rPr>
          <w:rFonts w:ascii="宋体" w:hAnsi="宋体" w:cs="宋体" w:eastAsia="宋体" w:hint="default"/>
          <w:spacing w:val="-60"/>
        </w:rPr>
        <w:t> </w:t>
      </w:r>
      <w:r>
        <w:rPr/>
        <w:t>年度，公司成为新能源商会副会长单位，公司董事长陆永华成为商会副会长。凭借公司在</w:t>
      </w:r>
      <w:r>
        <w:rPr>
          <w:w w:val="100"/>
        </w:rPr>
        <w:t> </w:t>
      </w:r>
      <w:r>
        <w:rPr/>
        <w:t>能源领域的持续贡献及不断创新，公司获得了“中华新能源企业创新奖”、“2018</w:t>
      </w:r>
      <w:r>
        <w:rPr>
          <w:spacing w:val="-59"/>
        </w:rPr>
        <w:t> </w:t>
      </w:r>
      <w:r>
        <w:rPr/>
        <w:t>中国光伏产业十</w:t>
      </w:r>
      <w:r>
        <w:rPr>
          <w:w w:val="100"/>
        </w:rPr>
        <w:t> </w:t>
      </w:r>
      <w:r>
        <w:rPr/>
        <w:t>大领跑企业”、“2018</w:t>
      </w:r>
      <w:r>
        <w:rPr>
          <w:spacing w:val="-56"/>
        </w:rPr>
        <w:t> </w:t>
      </w:r>
      <w:r>
        <w:rPr/>
        <w:t>中国光伏产业十大卓越贡献企业”、“2018</w:t>
      </w:r>
      <w:r>
        <w:rPr>
          <w:spacing w:val="-54"/>
        </w:rPr>
        <w:t> </w:t>
      </w:r>
      <w:r>
        <w:rPr/>
        <w:t>年度最佳光伏电站投资商”、</w:t>
      </w:r>
      <w:r>
        <w:rPr>
          <w:w w:val="100"/>
        </w:rPr>
        <w:t> </w:t>
      </w:r>
      <w:r>
        <w:rPr>
          <w:spacing w:val="-1"/>
          <w:w w:val="100"/>
        </w:rPr>
        <w:t>“2018</w:t>
      </w:r>
      <w:r>
        <w:rPr>
          <w:spacing w:val="-41"/>
          <w:w w:val="100"/>
        </w:rPr>
        <w:t> </w:t>
      </w:r>
      <w:r>
        <w:rPr>
          <w:spacing w:val="-5"/>
          <w:w w:val="100"/>
        </w:rPr>
        <w:t>年十大光伏技术领跑企业”等。公司全资子公司林洋新能源获得“中国能源技术领跑企业”、</w:t>
      </w:r>
      <w:r>
        <w:rPr>
          <w:spacing w:val="-91"/>
          <w:w w:val="100"/>
        </w:rPr>
        <w:t> </w:t>
      </w:r>
      <w:r>
        <w:rPr>
          <w:spacing w:val="-91"/>
          <w:w w:val="100"/>
        </w:rPr>
      </w:r>
      <w:r>
        <w:rPr/>
        <w:t>“光能杯年度光伏投资企业”等荣誉。子公司林洋光伏全面升级产业结构，积极发展绿色事业，入</w:t>
      </w:r>
      <w:r>
        <w:rPr>
          <w:w w:val="100"/>
        </w:rPr>
        <w:t> </w:t>
      </w:r>
      <w:r>
        <w:rPr/>
        <w:t>选省“绿色工厂”，并凭借卓越的研发实力入围“江苏省企业技术中心”名录，成为江苏省技术创</w:t>
      </w:r>
      <w:r>
        <w:rPr>
          <w:w w:val="100"/>
        </w:rPr>
        <w:t> </w:t>
      </w:r>
      <w:r>
        <w:rPr/>
        <w:t>新体系的重要组成部分。</w:t>
      </w:r>
    </w:p>
    <w:p>
      <w:pPr>
        <w:pStyle w:val="BodyText"/>
        <w:spacing w:line="468" w:lineRule="exact" w:before="34"/>
        <w:ind w:left="598" w:right="207"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）技术研发优势</w:t>
      </w:r>
      <w:r>
        <w:rPr>
          <w:rFonts w:ascii="宋体" w:hAnsi="宋体" w:cs="宋体" w:eastAsia="宋体" w:hint="default"/>
          <w:b/>
          <w:bCs/>
          <w:w w:val="100"/>
        </w:rPr>
        <w:t> </w:t>
      </w:r>
      <w:r>
        <w:rPr>
          <w:spacing w:val="-2"/>
        </w:rPr>
        <w:t>公司秉承以科技带动效益、以创新增强竞争力的研发理念。报告期内不断加大对技术研发的投</w:t>
      </w:r>
    </w:p>
    <w:p>
      <w:pPr>
        <w:pStyle w:val="BodyText"/>
        <w:spacing w:line="248" w:lineRule="exact"/>
        <w:ind w:left="178" w:right="0"/>
        <w:jc w:val="both"/>
      </w:pPr>
      <w:r>
        <w:rPr/>
        <w:t>入与支持，建立了以市场为导向、产学研相结合的技术创新体系。公司是科技部认定的国家火炬计</w:t>
      </w:r>
    </w:p>
    <w:p>
      <w:pPr>
        <w:pStyle w:val="BodyText"/>
        <w:spacing w:line="273" w:lineRule="auto" w:before="37"/>
        <w:ind w:left="178" w:right="248"/>
        <w:jc w:val="both"/>
      </w:pPr>
      <w:r>
        <w:rPr>
          <w:spacing w:val="-2"/>
        </w:rPr>
        <w:t>划重点高新技术企业、中国电子信息百强企业、中电联常务理事单位、全国电工仪器仪表标准化委</w:t>
      </w:r>
      <w:r>
        <w:rPr>
          <w:spacing w:val="-25"/>
        </w:rPr>
        <w:t> </w:t>
      </w:r>
      <w:r>
        <w:rPr>
          <w:spacing w:val="-25"/>
        </w:rPr>
      </w:r>
      <w:r>
        <w:rPr>
          <w:spacing w:val="-2"/>
        </w:rPr>
        <w:t>员会国家标准修订组成员、江苏省知识产权先进企业、国家级认定企业技术中心。公司建有“国家</w:t>
      </w:r>
      <w:r>
        <w:rPr>
          <w:spacing w:val="-25"/>
        </w:rPr>
        <w:t> </w:t>
      </w:r>
      <w:r>
        <w:rPr>
          <w:spacing w:val="-25"/>
        </w:rPr>
      </w:r>
      <w:r>
        <w:rPr>
          <w:spacing w:val="-2"/>
        </w:rPr>
        <w:t>博士后科研工作站”、“国家级电能表检测与校准实验室”、“江苏省电力电子应用工程技术研究</w:t>
      </w:r>
    </w:p>
    <w:p>
      <w:pPr>
        <w:spacing w:after="0" w:line="273" w:lineRule="auto"/>
        <w:jc w:val="both"/>
        <w:sectPr>
          <w:pgSz w:w="11910" w:h="16840"/>
          <w:pgMar w:header="728" w:footer="974" w:top="1120" w:bottom="1160" w:left="1240" w:right="1200"/>
        </w:sectPr>
      </w:pPr>
    </w:p>
    <w:p>
      <w:pPr>
        <w:spacing w:line="240" w:lineRule="auto" w:before="10"/>
        <w:rPr>
          <w:rFonts w:ascii="宋体" w:hAnsi="宋体" w:cs="宋体" w:eastAsia="宋体" w:hint="default"/>
          <w:sz w:val="26"/>
          <w:szCs w:val="26"/>
        </w:rPr>
      </w:pPr>
    </w:p>
    <w:p>
      <w:pPr>
        <w:pStyle w:val="BodyText"/>
        <w:spacing w:line="273" w:lineRule="auto" w:before="36"/>
        <w:ind w:left="178" w:right="248"/>
        <w:jc w:val="both"/>
      </w:pPr>
      <w:r>
        <w:rPr>
          <w:spacing w:val="-2"/>
        </w:rPr>
        <w:t>中心”等高规格、高水平研发平台，先后承担过多项国家、省级科技攻关项目，具备强大的研发技</w:t>
      </w:r>
      <w:r>
        <w:rPr>
          <w:spacing w:val="-25"/>
        </w:rPr>
        <w:t> </w:t>
      </w:r>
      <w:r>
        <w:rPr>
          <w:spacing w:val="-25"/>
        </w:rPr>
      </w:r>
      <w:r>
        <w:rPr/>
        <w:t>术实力和成果转化能力。报告期内，公司及子公司新增取得授权专利</w:t>
      </w:r>
      <w:r>
        <w:rPr>
          <w:spacing w:val="-55"/>
        </w:rPr>
        <w:t> </w:t>
      </w:r>
      <w:r>
        <w:rPr>
          <w:rFonts w:ascii="宋体" w:hAnsi="宋体" w:cs="宋体" w:eastAsia="宋体" w:hint="default"/>
        </w:rPr>
        <w:t>22</w:t>
      </w:r>
      <w:r>
        <w:rPr>
          <w:rFonts w:ascii="宋体" w:hAnsi="宋体" w:cs="宋体" w:eastAsia="宋体" w:hint="default"/>
          <w:spacing w:val="-55"/>
        </w:rPr>
        <w:t> </w:t>
      </w:r>
      <w:r>
        <w:rPr/>
        <w:t>件，其中发明专利</w:t>
      </w:r>
      <w:r>
        <w:rPr>
          <w:spacing w:val="-54"/>
        </w:rPr>
        <w:t> </w:t>
      </w:r>
      <w:r>
        <w:rPr>
          <w:rFonts w:ascii="宋体" w:hAnsi="宋体" w:cs="宋体" w:eastAsia="宋体" w:hint="default"/>
        </w:rPr>
        <w:t>11</w:t>
      </w:r>
      <w:r>
        <w:rPr>
          <w:rFonts w:ascii="宋体" w:hAnsi="宋体" w:cs="宋体" w:eastAsia="宋体" w:hint="default"/>
          <w:spacing w:val="-55"/>
        </w:rPr>
        <w:t> </w:t>
      </w:r>
      <w:r>
        <w:rPr>
          <w:spacing w:val="-3"/>
        </w:rPr>
        <w:t>件；</w:t>
      </w:r>
      <w:r>
        <w:rPr/>
      </w:r>
    </w:p>
    <w:p>
      <w:pPr>
        <w:pStyle w:val="BodyText"/>
        <w:spacing w:line="240" w:lineRule="auto" w:before="7"/>
        <w:ind w:left="178" w:right="0"/>
        <w:jc w:val="both"/>
      </w:pPr>
      <w:r>
        <w:rPr/>
        <w:t>累计授权专利</w:t>
      </w:r>
      <w:r>
        <w:rPr>
          <w:spacing w:val="-53"/>
        </w:rPr>
        <w:t> </w:t>
      </w:r>
      <w:r>
        <w:rPr>
          <w:rFonts w:ascii="宋体" w:hAnsi="宋体" w:cs="宋体" w:eastAsia="宋体" w:hint="default"/>
        </w:rPr>
        <w:t>205</w:t>
      </w:r>
      <w:r>
        <w:rPr>
          <w:rFonts w:ascii="宋体" w:hAnsi="宋体" w:cs="宋体" w:eastAsia="宋体" w:hint="default"/>
          <w:spacing w:val="-53"/>
        </w:rPr>
        <w:t> </w:t>
      </w:r>
      <w:r>
        <w:rPr/>
        <w:t>件，其中发明专利</w:t>
      </w:r>
      <w:r>
        <w:rPr>
          <w:spacing w:val="-52"/>
        </w:rPr>
        <w:t> </w:t>
      </w:r>
      <w:r>
        <w:rPr>
          <w:rFonts w:ascii="宋体" w:hAnsi="宋体" w:cs="宋体" w:eastAsia="宋体" w:hint="default"/>
        </w:rPr>
        <w:t>45</w:t>
      </w:r>
      <w:r>
        <w:rPr>
          <w:rFonts w:ascii="宋体" w:hAnsi="宋体" w:cs="宋体" w:eastAsia="宋体" w:hint="default"/>
          <w:spacing w:val="-55"/>
        </w:rPr>
        <w:t> </w:t>
      </w:r>
      <w:r>
        <w:rPr/>
        <w:t>件。</w:t>
      </w:r>
    </w:p>
    <w:p>
      <w:pPr>
        <w:spacing w:line="240" w:lineRule="auto" w:before="10"/>
        <w:rPr>
          <w:rFonts w:ascii="宋体" w:hAnsi="宋体" w:cs="宋体" w:eastAsia="宋体" w:hint="default"/>
          <w:sz w:val="14"/>
          <w:szCs w:val="14"/>
        </w:rPr>
      </w:pPr>
    </w:p>
    <w:p>
      <w:pPr>
        <w:pStyle w:val="BodyText"/>
        <w:spacing w:line="273" w:lineRule="auto"/>
        <w:ind w:left="178" w:right="207" w:firstLine="420"/>
        <w:jc w:val="left"/>
      </w:pPr>
      <w:r>
        <w:rPr>
          <w:spacing w:val="-2"/>
        </w:rPr>
        <w:t>公司新能源研究院拥有电力行业工程设计资质专业乙级证书，有能力同时面向国内、国际市场</w:t>
      </w:r>
      <w:r>
        <w:rPr>
          <w:w w:val="100"/>
        </w:rPr>
        <w:t> </w:t>
      </w:r>
      <w:r>
        <w:rPr>
          <w:spacing w:val="-2"/>
        </w:rPr>
        <w:t>提供专业的光伏电站设计和项目管理服务。研究院研发实力雄厚，最大限度发挥出双面组件的发电</w:t>
      </w:r>
      <w:r>
        <w:rPr>
          <w:spacing w:val="-25"/>
        </w:rPr>
        <w:t> </w:t>
      </w:r>
      <w:r>
        <w:rPr>
          <w:spacing w:val="-25"/>
        </w:rPr>
      </w:r>
      <w:r>
        <w:rPr>
          <w:spacing w:val="-6"/>
        </w:rPr>
        <w:t>能力，提高用户投资收益率。林洋新能源全资子公司林洋光伏，专注于高效光伏电池、组件的研发、</w:t>
      </w:r>
      <w:r>
        <w:rPr>
          <w:spacing w:val="-20"/>
        </w:rPr>
        <w:t> </w:t>
      </w:r>
      <w:r>
        <w:rPr>
          <w:spacing w:val="-20"/>
        </w:rPr>
      </w:r>
      <w:r>
        <w:rPr/>
        <w:t>制造。自主研发生产的</w:t>
      </w:r>
      <w:r>
        <w:rPr>
          <w:spacing w:val="-55"/>
        </w:rPr>
        <w:t> </w:t>
      </w:r>
      <w:r>
        <w:rPr>
          <w:rFonts w:ascii="宋体" w:hAnsi="宋体" w:cs="宋体" w:eastAsia="宋体" w:hint="default"/>
        </w:rPr>
        <w:t>400MW</w:t>
      </w:r>
      <w:r>
        <w:rPr>
          <w:rFonts w:ascii="宋体" w:hAnsi="宋体" w:cs="宋体" w:eastAsia="宋体" w:hint="default"/>
          <w:spacing w:val="-54"/>
        </w:rPr>
        <w:t> </w:t>
      </w:r>
      <w:r>
        <w:rPr/>
        <w:t>全新一代</w:t>
      </w:r>
      <w:r>
        <w:rPr>
          <w:spacing w:val="-55"/>
        </w:rPr>
        <w:t> </w:t>
      </w:r>
      <w:r>
        <w:rPr>
          <w:rFonts w:ascii="宋体" w:hAnsi="宋体" w:cs="宋体" w:eastAsia="宋体" w:hint="default"/>
        </w:rPr>
        <w:t>N</w:t>
      </w:r>
      <w:r>
        <w:rPr>
          <w:rFonts w:ascii="宋体" w:hAnsi="宋体" w:cs="宋体" w:eastAsia="宋体" w:hint="default"/>
          <w:spacing w:val="-57"/>
        </w:rPr>
        <w:t> </w:t>
      </w:r>
      <w:r>
        <w:rPr/>
        <w:t>型单晶高效双面电池组件，具有双面发电、高安全性、高</w:t>
      </w:r>
      <w:r>
        <w:rPr>
          <w:w w:val="100"/>
        </w:rPr>
        <w:t> </w:t>
      </w:r>
      <w:r>
        <w:rPr/>
        <w:t>可靠性的特点。产品由于背面的增发可使整体发电量提高</w:t>
      </w:r>
      <w:r>
        <w:rPr>
          <w:spacing w:val="-55"/>
        </w:rPr>
        <w:t> </w:t>
      </w:r>
      <w:r>
        <w:rPr>
          <w:rFonts w:ascii="宋体" w:hAnsi="宋体" w:cs="宋体" w:eastAsia="宋体" w:hint="default"/>
        </w:rPr>
        <w:t>10%-30%</w:t>
      </w:r>
      <w:r>
        <w:rPr/>
        <w:t>。其独特的无边框设计，可自清</w:t>
      </w:r>
      <w:r>
        <w:rPr>
          <w:w w:val="100"/>
        </w:rPr>
        <w:t> </w:t>
      </w:r>
      <w:r>
        <w:rPr/>
        <w:t>洗，免运维。</w:t>
      </w:r>
    </w:p>
    <w:p>
      <w:pPr>
        <w:pStyle w:val="BodyText"/>
        <w:spacing w:line="273" w:lineRule="auto" w:before="163"/>
        <w:ind w:left="178" w:right="207" w:firstLine="420"/>
        <w:jc w:val="left"/>
      </w:pPr>
      <w:r>
        <w:rPr>
          <w:rFonts w:ascii="宋体" w:hAnsi="宋体" w:cs="宋体" w:eastAsia="宋体" w:hint="default"/>
        </w:rPr>
        <w:t>2018</w:t>
      </w:r>
      <w:r>
        <w:rPr>
          <w:rFonts w:ascii="宋体" w:hAnsi="宋体" w:cs="宋体" w:eastAsia="宋体" w:hint="default"/>
          <w:spacing w:val="-11"/>
        </w:rPr>
        <w:t> </w:t>
      </w:r>
      <w:r>
        <w:rPr>
          <w:spacing w:val="-2"/>
        </w:rPr>
        <w:t>年，国家第三批光伏发电应用领跑基地项目中，林洋、中广核联合体中标泗洪光伏发电应</w:t>
      </w:r>
      <w:r>
        <w:rPr>
          <w:w w:val="100"/>
        </w:rPr>
        <w:t> </w:t>
      </w:r>
      <w:r>
        <w:rPr/>
        <w:t>用领跑基地</w:t>
      </w:r>
      <w:r>
        <w:rPr>
          <w:spacing w:val="-54"/>
        </w:rPr>
        <w:t> </w:t>
      </w:r>
      <w:r>
        <w:rPr>
          <w:rFonts w:ascii="宋体" w:hAnsi="宋体" w:cs="宋体" w:eastAsia="宋体" w:hint="default"/>
        </w:rPr>
        <w:t>200MW</w:t>
      </w:r>
      <w:r>
        <w:rPr/>
        <w:t>，该项目全部由林洋采用</w:t>
      </w:r>
      <w:r>
        <w:rPr>
          <w:spacing w:val="-53"/>
        </w:rPr>
        <w:t> </w:t>
      </w:r>
      <w:r>
        <w:rPr>
          <w:rFonts w:ascii="宋体" w:hAnsi="宋体" w:cs="宋体" w:eastAsia="宋体" w:hint="default"/>
        </w:rPr>
        <w:t>EPC</w:t>
      </w:r>
      <w:r>
        <w:rPr>
          <w:rFonts w:ascii="宋体" w:hAnsi="宋体" w:cs="宋体" w:eastAsia="宋体" w:hint="default"/>
          <w:spacing w:val="-54"/>
        </w:rPr>
        <w:t> </w:t>
      </w:r>
      <w:r>
        <w:rPr/>
        <w:t>业务模式承建，采用了公司自主研发生产的</w:t>
      </w:r>
      <w:r>
        <w:rPr>
          <w:spacing w:val="-53"/>
        </w:rPr>
        <w:t> </w:t>
      </w:r>
      <w:r>
        <w:rPr>
          <w:rFonts w:ascii="宋体" w:hAnsi="宋体" w:cs="宋体" w:eastAsia="宋体" w:hint="default"/>
        </w:rPr>
        <w:t>N</w:t>
      </w:r>
      <w:r>
        <w:rPr>
          <w:rFonts w:ascii="宋体" w:hAnsi="宋体" w:cs="宋体" w:eastAsia="宋体" w:hint="default"/>
          <w:spacing w:val="-54"/>
        </w:rPr>
        <w:t> </w:t>
      </w:r>
      <w:r>
        <w:rPr>
          <w:spacing w:val="-3"/>
        </w:rPr>
        <w:t>型双</w:t>
      </w:r>
      <w:r>
        <w:rPr>
          <w:spacing w:val="-3"/>
          <w:w w:val="100"/>
        </w:rPr>
        <w:t> </w:t>
      </w:r>
      <w:r>
        <w:rPr>
          <w:spacing w:val="-2"/>
        </w:rPr>
        <w:t>面高效光伏组件。领跑者基地的运营效果良好。通过林洋强大的研发、系统化设计、高集成化、高</w:t>
      </w:r>
      <w:r>
        <w:rPr>
          <w:spacing w:val="-25"/>
        </w:rPr>
        <w:t> </w:t>
      </w:r>
      <w:r>
        <w:rPr>
          <w:spacing w:val="-25"/>
        </w:rPr>
      </w:r>
      <w:r>
        <w:rPr>
          <w:spacing w:val="-2"/>
        </w:rPr>
        <w:t>性价比的方案，使得领跑者基地项目成为成本低、系统效率高、发电收益好的真正的国家领跑示范</w:t>
      </w:r>
      <w:r>
        <w:rPr>
          <w:spacing w:val="-25"/>
        </w:rPr>
        <w:t> </w:t>
      </w:r>
      <w:r>
        <w:rPr>
          <w:spacing w:val="-25"/>
        </w:rPr>
      </w:r>
      <w:r>
        <w:rPr/>
        <w:t>项目，同时也奠定林洋未来在</w:t>
      </w:r>
      <w:r>
        <w:rPr>
          <w:spacing w:val="-54"/>
        </w:rPr>
        <w:t> </w:t>
      </w:r>
      <w:r>
        <w:rPr>
          <w:rFonts w:ascii="宋体" w:hAnsi="宋体" w:cs="宋体" w:eastAsia="宋体" w:hint="default"/>
        </w:rPr>
        <w:t>EPC</w:t>
      </w:r>
      <w:r>
        <w:rPr>
          <w:rFonts w:ascii="宋体" w:hAnsi="宋体" w:cs="宋体" w:eastAsia="宋体" w:hint="default"/>
          <w:spacing w:val="-54"/>
        </w:rPr>
        <w:t> </w:t>
      </w:r>
      <w:r>
        <w:rPr/>
        <w:t>光伏系统集成业务的竞争地位。</w:t>
      </w:r>
    </w:p>
    <w:p>
      <w:pPr>
        <w:spacing w:line="468" w:lineRule="exact" w:before="34"/>
        <w:ind w:left="598" w:right="2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）营销网络及运维服务优势</w:t>
      </w:r>
      <w:r>
        <w:rPr>
          <w:rFonts w:ascii="宋体" w:hAnsi="宋体" w:cs="宋体" w:eastAsia="宋体" w:hint="default"/>
          <w:b/>
          <w:bCs/>
          <w:w w:val="100"/>
          <w:sz w:val="21"/>
          <w:szCs w:val="21"/>
        </w:rPr>
        <w:t> </w:t>
      </w:r>
      <w:r>
        <w:rPr>
          <w:rFonts w:ascii="宋体" w:hAnsi="宋体" w:cs="宋体" w:eastAsia="宋体" w:hint="default"/>
          <w:spacing w:val="-4"/>
          <w:sz w:val="21"/>
          <w:szCs w:val="21"/>
        </w:rPr>
        <w:t>目前，公司智能板块相关业务已形成完善的营销网络及技术服务，业务遍及全国 </w:t>
      </w:r>
      <w:r>
        <w:rPr>
          <w:rFonts w:ascii="宋体" w:hAnsi="宋体" w:cs="宋体" w:eastAsia="宋体" w:hint="default"/>
          <w:sz w:val="21"/>
          <w:szCs w:val="21"/>
        </w:rPr>
        <w:t>30</w:t>
      </w:r>
      <w:r>
        <w:rPr>
          <w:rFonts w:ascii="宋体" w:hAnsi="宋体" w:cs="宋体" w:eastAsia="宋体" w:hint="default"/>
          <w:spacing w:val="-33"/>
          <w:sz w:val="21"/>
          <w:szCs w:val="21"/>
        </w:rPr>
        <w:t> </w:t>
      </w:r>
      <w:r>
        <w:rPr>
          <w:rFonts w:ascii="宋体" w:hAnsi="宋体" w:cs="宋体" w:eastAsia="宋体" w:hint="default"/>
          <w:sz w:val="21"/>
          <w:szCs w:val="21"/>
        </w:rPr>
        <w:t>多个省和直</w:t>
      </w:r>
    </w:p>
    <w:p>
      <w:pPr>
        <w:pStyle w:val="BodyText"/>
        <w:spacing w:line="248" w:lineRule="exact"/>
        <w:ind w:left="178" w:right="0"/>
        <w:jc w:val="both"/>
      </w:pPr>
      <w:r>
        <w:rPr/>
        <w:t>辖市。公司服务团队技术能力强、专业水平高，现有各类人员</w:t>
      </w:r>
      <w:r>
        <w:rPr>
          <w:spacing w:val="-55"/>
        </w:rPr>
        <w:t> </w:t>
      </w:r>
      <w:r>
        <w:rPr>
          <w:rFonts w:ascii="宋体" w:hAnsi="宋体" w:cs="宋体" w:eastAsia="宋体" w:hint="default"/>
        </w:rPr>
        <w:t>300</w:t>
      </w:r>
      <w:r>
        <w:rPr>
          <w:rFonts w:ascii="宋体" w:hAnsi="宋体" w:cs="宋体" w:eastAsia="宋体" w:hint="default"/>
          <w:spacing w:val="-57"/>
        </w:rPr>
        <w:t> </w:t>
      </w:r>
      <w:r>
        <w:rPr/>
        <w:t>多名，是国内知名的智能电网、</w:t>
      </w:r>
    </w:p>
    <w:p>
      <w:pPr>
        <w:pStyle w:val="BodyText"/>
        <w:spacing w:line="273" w:lineRule="auto" w:before="37"/>
        <w:ind w:left="178" w:right="248"/>
        <w:jc w:val="both"/>
      </w:pPr>
      <w:r>
        <w:rPr>
          <w:spacing w:val="-2"/>
        </w:rPr>
        <w:t>智能配用电领域领先的产品和系统解决方案提供商。在保持国内营销优势地位的同时，公司大力拓</w:t>
      </w:r>
      <w:r>
        <w:rPr>
          <w:spacing w:val="-25"/>
        </w:rPr>
        <w:t> </w:t>
      </w:r>
      <w:r>
        <w:rPr>
          <w:spacing w:val="-25"/>
        </w:rPr>
      </w:r>
      <w:r>
        <w:rPr>
          <w:spacing w:val="-2"/>
        </w:rPr>
        <w:t>展海外营销网络，通过自主开拓、战略合作、收购兼并等渠道开展业务，强化海外竞争优势，市场</w:t>
      </w:r>
      <w:r>
        <w:rPr>
          <w:spacing w:val="-25"/>
        </w:rPr>
        <w:t> </w:t>
      </w:r>
      <w:r>
        <w:rPr>
          <w:spacing w:val="-25"/>
        </w:rPr>
      </w:r>
      <w:r>
        <w:rPr/>
        <w:t>已遍布欧洲、中东、南亚和东南亚、南美洲、非洲等多个地区。</w:t>
      </w:r>
    </w:p>
    <w:p>
      <w:pPr>
        <w:pStyle w:val="BodyText"/>
        <w:spacing w:line="273" w:lineRule="auto" w:before="163"/>
        <w:ind w:left="178" w:right="0" w:firstLine="420"/>
        <w:jc w:val="left"/>
      </w:pPr>
      <w:r>
        <w:rPr/>
        <w:t>随着公司设计、在建及运营的光伏电站装机容量不断扩大，公司新能源团队综合能力进一步增</w:t>
      </w:r>
      <w:r>
        <w:rPr>
          <w:w w:val="100"/>
        </w:rPr>
        <w:t> </w:t>
      </w:r>
      <w:r>
        <w:rPr/>
        <w:t>强，项目开发、建设及并网速度获得全面提升。公司已投资运营各类分布式光伏电站约</w:t>
      </w:r>
      <w:r>
        <w:rPr>
          <w:spacing w:val="-54"/>
        </w:rPr>
        <w:t> </w:t>
      </w:r>
      <w:r>
        <w:rPr>
          <w:rFonts w:ascii="宋体" w:hAnsi="宋体" w:cs="宋体" w:eastAsia="宋体" w:hint="default"/>
        </w:rPr>
        <w:t>1.5GW</w:t>
      </w:r>
      <w:r>
        <w:rPr/>
        <w:t>，在</w:t>
      </w:r>
      <w:r>
        <w:rPr>
          <w:spacing w:val="-3"/>
          <w:w w:val="100"/>
        </w:rPr>
        <w:t> </w:t>
      </w:r>
      <w:r>
        <w:rPr/>
        <w:t>光伏电站研究、设计、开发、建设及运营各个环节均拥有丰富的经验。目前公司拥有一支近</w:t>
      </w:r>
      <w:r>
        <w:rPr>
          <w:spacing w:val="-54"/>
        </w:rPr>
        <w:t> </w:t>
      </w:r>
      <w:r>
        <w:rPr>
          <w:rFonts w:ascii="宋体" w:hAnsi="宋体" w:cs="宋体" w:eastAsia="宋体" w:hint="default"/>
        </w:rPr>
        <w:t>300</w:t>
      </w:r>
      <w:r>
        <w:rPr>
          <w:rFonts w:ascii="宋体" w:hAnsi="宋体" w:cs="宋体" w:eastAsia="宋体" w:hint="default"/>
          <w:spacing w:val="-56"/>
        </w:rPr>
        <w:t> </w:t>
      </w:r>
      <w:r>
        <w:rPr/>
        <w:t>人</w:t>
      </w:r>
      <w:r>
        <w:rPr>
          <w:w w:val="100"/>
        </w:rPr>
        <w:t> </w:t>
      </w:r>
      <w:r>
        <w:rPr/>
        <w:t>专业化光伏电站运维团队，通过科学、智能、高效的管控制度提高光伏电站的发电收益和系统稳定</w:t>
      </w:r>
      <w:r>
        <w:rPr>
          <w:w w:val="100"/>
        </w:rPr>
        <w:t> </w:t>
      </w:r>
      <w:r>
        <w:rPr/>
        <w:t>性，确保电站的高效运作和资源的优化利用，实现光伏电站综合利用效益最大化。同时依托</w:t>
      </w:r>
      <w:r>
        <w:rPr>
          <w:w w:val="100"/>
        </w:rPr>
        <w:t> </w:t>
      </w:r>
      <w:r>
        <w:rPr>
          <w:spacing w:val="-1"/>
        </w:rPr>
        <w:t>“EasySolar”智慧光伏云平台，在做好自身运维的同时，具备承接第三方电站运维的能力及优势，</w:t>
      </w:r>
      <w:r>
        <w:rPr>
          <w:spacing w:val="-26"/>
        </w:rPr>
        <w:t> </w:t>
      </w:r>
      <w:r>
        <w:rPr>
          <w:spacing w:val="-26"/>
        </w:rPr>
      </w:r>
      <w:r>
        <w:rPr/>
        <w:t>平台现接入约</w:t>
      </w:r>
      <w:r>
        <w:rPr>
          <w:spacing w:val="-52"/>
        </w:rPr>
        <w:t> </w:t>
      </w:r>
      <w:r>
        <w:rPr>
          <w:rFonts w:ascii="宋体" w:hAnsi="宋体" w:cs="宋体" w:eastAsia="宋体" w:hint="default"/>
        </w:rPr>
        <w:t>1.7GW</w:t>
      </w:r>
      <w:r>
        <w:rPr>
          <w:rFonts w:ascii="宋体" w:hAnsi="宋体" w:cs="宋体" w:eastAsia="宋体" w:hint="default"/>
          <w:spacing w:val="-54"/>
        </w:rPr>
        <w:t> </w:t>
      </w:r>
      <w:r>
        <w:rPr/>
        <w:t>各类光伏电站。</w:t>
      </w:r>
    </w:p>
    <w:p>
      <w:pPr>
        <w:pStyle w:val="BodyText"/>
        <w:spacing w:line="273" w:lineRule="auto" w:before="163"/>
        <w:ind w:left="178" w:right="248" w:firstLine="420"/>
        <w:jc w:val="both"/>
      </w:pPr>
      <w:r>
        <w:rPr>
          <w:spacing w:val="-2"/>
        </w:rPr>
        <w:t>在资质方面，南京林洋电力具有高新技术企业、软件企业、系统集成三级、</w:t>
      </w:r>
      <w:r>
        <w:rPr>
          <w:rFonts w:ascii="宋体" w:hAnsi="宋体" w:cs="宋体" w:eastAsia="宋体" w:hint="default"/>
          <w:spacing w:val="-2"/>
        </w:rPr>
        <w:t>CMMI-3</w:t>
      </w:r>
      <w:r>
        <w:rPr>
          <w:spacing w:val="-2"/>
        </w:rPr>
        <w:t>、建筑机电</w:t>
      </w:r>
      <w:r>
        <w:rPr>
          <w:w w:val="100"/>
        </w:rPr>
        <w:t> </w:t>
      </w:r>
      <w:r>
        <w:rPr>
          <w:spacing w:val="-2"/>
        </w:rPr>
        <w:t>安装工程专业承包叁级、建筑业企业电子与智能化工程专业承包贰级、工业领域电力需求侧管理服</w:t>
      </w:r>
      <w:r>
        <w:rPr>
          <w:spacing w:val="-25"/>
        </w:rPr>
        <w:t> </w:t>
      </w:r>
      <w:r>
        <w:rPr>
          <w:spacing w:val="-25"/>
        </w:rPr>
      </w:r>
      <w:r>
        <w:rPr>
          <w:spacing w:val="-2"/>
        </w:rPr>
        <w:t>务机构一级等资质，子公司电力服务具备电力工程施工总承包三级及承装（修、试）电力设施四级</w:t>
      </w:r>
      <w:r>
        <w:rPr>
          <w:spacing w:val="-25"/>
        </w:rPr>
        <w:t> </w:t>
      </w:r>
      <w:r>
        <w:rPr>
          <w:spacing w:val="-25"/>
        </w:rPr>
      </w:r>
      <w:r>
        <w:rPr>
          <w:spacing w:val="-2"/>
        </w:rPr>
        <w:t>资质，子公司林洋照明具备建筑业企业城市及道路照明工程专业承包贰级资质，子公司林洋新能源</w:t>
      </w:r>
      <w:r>
        <w:rPr>
          <w:spacing w:val="-25"/>
        </w:rPr>
        <w:t> </w:t>
      </w:r>
      <w:r>
        <w:rPr>
          <w:spacing w:val="-25"/>
        </w:rPr>
      </w:r>
      <w:r>
        <w:rPr/>
        <w:t>具备电力行业专业乙级工程设计资质证书、电力工程施工总承包资质。</w:t>
      </w:r>
    </w:p>
    <w:p>
      <w:pPr>
        <w:pStyle w:val="BodyText"/>
        <w:spacing w:line="273" w:lineRule="auto" w:before="163"/>
        <w:ind w:left="178" w:right="204" w:firstLine="420"/>
        <w:jc w:val="left"/>
      </w:pPr>
      <w:r>
        <w:rPr/>
        <w:t>报告期内，公司先后与</w:t>
      </w:r>
      <w:r>
        <w:rPr>
          <w:spacing w:val="-58"/>
        </w:rPr>
        <w:t> </w:t>
      </w:r>
      <w:r>
        <w:rPr>
          <w:rFonts w:ascii="宋体" w:hAnsi="宋体" w:cs="宋体" w:eastAsia="宋体" w:hint="default"/>
        </w:rPr>
        <w:t>ENGIE</w:t>
      </w:r>
      <w:r>
        <w:rPr>
          <w:rFonts w:ascii="宋体" w:hAnsi="宋体" w:cs="宋体" w:eastAsia="宋体" w:hint="default"/>
          <w:spacing w:val="-59"/>
        </w:rPr>
        <w:t> </w:t>
      </w:r>
      <w:r>
        <w:rPr/>
        <w:t>中国、</w:t>
      </w:r>
      <w:r>
        <w:rPr>
          <w:rFonts w:ascii="宋体" w:hAnsi="宋体" w:cs="宋体" w:eastAsia="宋体" w:hint="default"/>
        </w:rPr>
        <w:t>Greencells</w:t>
      </w:r>
      <w:r>
        <w:rPr>
          <w:rFonts w:ascii="宋体" w:hAnsi="宋体" w:cs="宋体" w:eastAsia="宋体" w:hint="default"/>
          <w:spacing w:val="-59"/>
        </w:rPr>
        <w:t> </w:t>
      </w:r>
      <w:r>
        <w:rPr/>
        <w:t>集团、中广核及中国电建等国内外知名企业展</w:t>
      </w:r>
      <w:r>
        <w:rPr>
          <w:w w:val="100"/>
        </w:rPr>
        <w:t> </w:t>
      </w:r>
      <w:r>
        <w:rPr/>
        <w:t>开战略合作，进一步拓展公司在国内外光伏电站的开发、建设、运营等业务。</w:t>
      </w:r>
    </w:p>
    <w:p>
      <w:pPr>
        <w:pStyle w:val="BodyText"/>
        <w:spacing w:line="468" w:lineRule="exact" w:before="34"/>
        <w:ind w:left="598" w:right="207"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）产品质量优势</w:t>
      </w:r>
      <w:r>
        <w:rPr>
          <w:rFonts w:ascii="宋体" w:hAnsi="宋体" w:cs="宋体" w:eastAsia="宋体" w:hint="default"/>
          <w:b/>
          <w:bCs/>
          <w:w w:val="100"/>
        </w:rPr>
        <w:t> </w:t>
      </w:r>
      <w:r>
        <w:rPr>
          <w:spacing w:val="-2"/>
        </w:rPr>
        <w:t>公司成立至今，始终坚持“质量是林洋人的生命”的理念，以质量零缺陷为目标、管理精细化</w:t>
      </w:r>
    </w:p>
    <w:p>
      <w:pPr>
        <w:pStyle w:val="BodyText"/>
        <w:spacing w:line="248" w:lineRule="exact"/>
        <w:ind w:left="178" w:right="0"/>
        <w:jc w:val="both"/>
      </w:pPr>
      <w:r>
        <w:rPr/>
        <w:t>为准则、生产精益化为手段，逐步建立并完善适合自己的一套质量管理和控制体系。多年来，凭借</w:t>
      </w:r>
    </w:p>
    <w:p>
      <w:pPr>
        <w:pStyle w:val="BodyText"/>
        <w:spacing w:line="273" w:lineRule="auto" w:before="37"/>
        <w:ind w:left="178" w:right="209"/>
        <w:jc w:val="both"/>
      </w:pPr>
      <w:r>
        <w:rPr/>
        <w:t>高水平的质量管理体系和高标准的产品质量控制，公司及公司主要产品陆续获得荷兰</w:t>
      </w:r>
      <w:r>
        <w:rPr>
          <w:spacing w:val="-50"/>
        </w:rPr>
        <w:t> </w:t>
      </w:r>
      <w:r>
        <w:rPr>
          <w:rFonts w:ascii="宋体" w:hAnsi="宋体" w:cs="宋体" w:eastAsia="宋体" w:hint="default"/>
          <w:spacing w:val="-3"/>
        </w:rPr>
        <w:t>KEMA</w:t>
      </w:r>
      <w:r>
        <w:rPr>
          <w:spacing w:val="-3"/>
        </w:rPr>
        <w:t>、德国国</w:t>
      </w:r>
      <w:r>
        <w:rPr>
          <w:w w:val="100"/>
        </w:rPr>
        <w:t> </w:t>
      </w:r>
      <w:r>
        <w:rPr/>
        <w:t>家实验室</w:t>
      </w:r>
      <w:r>
        <w:rPr>
          <w:spacing w:val="-56"/>
        </w:rPr>
        <w:t> </w:t>
      </w:r>
      <w:r>
        <w:rPr>
          <w:rFonts w:ascii="宋体" w:hAnsi="宋体" w:cs="宋体" w:eastAsia="宋体" w:hint="default"/>
        </w:rPr>
        <w:t>PTB</w:t>
      </w:r>
      <w:r>
        <w:rPr/>
        <w:t>、国际电力认证机构</w:t>
      </w:r>
      <w:r>
        <w:rPr>
          <w:spacing w:val="-55"/>
        </w:rPr>
        <w:t> </w:t>
      </w:r>
      <w:r>
        <w:rPr>
          <w:rFonts w:ascii="宋体" w:hAnsi="宋体" w:cs="宋体" w:eastAsia="宋体" w:hint="default"/>
        </w:rPr>
        <w:t>SGS</w:t>
      </w:r>
      <w:r>
        <w:rPr/>
        <w:t>、中国质量认证中心</w:t>
      </w:r>
      <w:r>
        <w:rPr>
          <w:spacing w:val="-56"/>
        </w:rPr>
        <w:t> </w:t>
      </w:r>
      <w:r>
        <w:rPr>
          <w:rFonts w:ascii="宋体" w:hAnsi="宋体" w:cs="宋体" w:eastAsia="宋体" w:hint="default"/>
        </w:rPr>
        <w:t>3C</w:t>
      </w:r>
      <w:r>
        <w:rPr>
          <w:rFonts w:ascii="宋体" w:hAnsi="宋体" w:cs="宋体" w:eastAsia="宋体" w:hint="default"/>
          <w:spacing w:val="-56"/>
        </w:rPr>
        <w:t> </w:t>
      </w:r>
      <w:r>
        <w:rPr/>
        <w:t>等国内外质量检测、评定机构的多项</w:t>
      </w:r>
      <w:r>
        <w:rPr>
          <w:spacing w:val="-3"/>
          <w:w w:val="100"/>
        </w:rPr>
        <w:t> </w:t>
      </w:r>
      <w:r>
        <w:rPr/>
        <w:t>权威认证。</w:t>
      </w:r>
    </w:p>
    <w:p>
      <w:pPr>
        <w:spacing w:after="0" w:line="273" w:lineRule="auto"/>
        <w:jc w:val="both"/>
        <w:sectPr>
          <w:pgSz w:w="11910" w:h="16840"/>
          <w:pgMar w:header="728" w:footer="974" w:top="1120" w:bottom="1160" w:left="1240" w:right="1200"/>
        </w:sectPr>
      </w:pPr>
    </w:p>
    <w:p>
      <w:pPr>
        <w:spacing w:line="240" w:lineRule="auto" w:before="10"/>
        <w:rPr>
          <w:rFonts w:ascii="宋体" w:hAnsi="宋体" w:cs="宋体" w:eastAsia="宋体" w:hint="default"/>
          <w:sz w:val="26"/>
          <w:szCs w:val="26"/>
        </w:rPr>
      </w:pPr>
    </w:p>
    <w:p>
      <w:pPr>
        <w:pStyle w:val="BodyText"/>
        <w:spacing w:line="273" w:lineRule="auto" w:before="36"/>
        <w:ind w:left="178" w:right="0" w:firstLine="420"/>
        <w:jc w:val="left"/>
      </w:pPr>
      <w:r>
        <w:rPr>
          <w:spacing w:val="-2"/>
        </w:rPr>
        <w:t>报告期内，继去年林洋电能表获得全国用户满意产品后，公司的集中器又获得了全国市场质量</w:t>
      </w:r>
      <w:r>
        <w:rPr>
          <w:w w:val="100"/>
        </w:rPr>
        <w:t> </w:t>
      </w:r>
      <w:r>
        <w:rPr/>
        <w:t>信用</w:t>
      </w:r>
      <w:r>
        <w:rPr>
          <w:spacing w:val="-55"/>
        </w:rPr>
        <w:t> </w:t>
      </w:r>
      <w:r>
        <w:rPr>
          <w:rFonts w:ascii="宋体" w:hAnsi="宋体" w:cs="宋体" w:eastAsia="宋体" w:hint="default"/>
        </w:rPr>
        <w:t>AA</w:t>
      </w:r>
      <w:r>
        <w:rPr>
          <w:rFonts w:ascii="宋体" w:hAnsi="宋体" w:cs="宋体" w:eastAsia="宋体" w:hint="default"/>
          <w:spacing w:val="-55"/>
        </w:rPr>
        <w:t> </w:t>
      </w:r>
      <w:r>
        <w:rPr/>
        <w:t>级用户满意产品的称号；公司研发的</w:t>
      </w:r>
      <w:r>
        <w:rPr>
          <w:spacing w:val="-55"/>
        </w:rPr>
        <w:t> </w:t>
      </w:r>
      <w:r>
        <w:rPr>
          <w:rFonts w:ascii="宋体" w:hAnsi="宋体" w:cs="宋体" w:eastAsia="宋体" w:hint="default"/>
        </w:rPr>
        <w:t>SM120</w:t>
      </w:r>
      <w:r>
        <w:rPr/>
        <w:t>、</w:t>
      </w:r>
      <w:r>
        <w:rPr>
          <w:rFonts w:ascii="宋体" w:hAnsi="宋体" w:cs="宋体" w:eastAsia="宋体" w:hint="default"/>
        </w:rPr>
        <w:t>SM150</w:t>
      </w:r>
      <w:r>
        <w:rPr/>
        <w:t>、</w:t>
      </w:r>
      <w:r>
        <w:rPr>
          <w:rFonts w:ascii="宋体" w:hAnsi="宋体" w:cs="宋体" w:eastAsia="宋体" w:hint="default"/>
        </w:rPr>
        <w:t>SM350</w:t>
      </w:r>
      <w:r>
        <w:rPr>
          <w:rFonts w:ascii="宋体" w:hAnsi="宋体" w:cs="宋体" w:eastAsia="宋体" w:hint="default"/>
          <w:spacing w:val="-55"/>
        </w:rPr>
        <w:t> </w:t>
      </w:r>
      <w:r>
        <w:rPr/>
        <w:t>三款国际智能表产品顺利通过</w:t>
      </w:r>
      <w:r>
        <w:rPr>
          <w:w w:val="100"/>
        </w:rPr>
        <w:t> </w:t>
      </w:r>
      <w:r>
        <w:rPr>
          <w:rFonts w:ascii="宋体" w:hAnsi="宋体" w:cs="宋体" w:eastAsia="宋体" w:hint="default"/>
        </w:rPr>
        <w:t>IDIS </w:t>
      </w:r>
      <w:r>
        <w:rPr>
          <w:spacing w:val="-2"/>
        </w:rPr>
        <w:t>国际认证，成为亚洲首家通过该国际认证的电能表企业。公司自主生产的单晶组件荣获行业领</w:t>
      </w:r>
      <w:r>
        <w:rPr>
          <w:spacing w:val="-95"/>
        </w:rPr>
        <w:t> </w:t>
      </w:r>
      <w:r>
        <w:rPr>
          <w:spacing w:val="-95"/>
        </w:rPr>
      </w:r>
      <w:r>
        <w:rPr>
          <w:spacing w:val="-4"/>
        </w:rPr>
        <w:t>跑者认证，双玻组件产品取得</w:t>
      </w:r>
      <w:r>
        <w:rPr>
          <w:spacing w:val="-47"/>
        </w:rPr>
        <w:t> </w:t>
      </w:r>
      <w:r>
        <w:rPr/>
        <w:t>TüV</w:t>
      </w:r>
      <w:r>
        <w:rPr>
          <w:spacing w:val="-47"/>
        </w:rPr>
        <w:t> </w:t>
      </w:r>
      <w:r>
        <w:rPr/>
        <w:t>莱茵和</w:t>
      </w:r>
      <w:r>
        <w:rPr>
          <w:spacing w:val="-47"/>
        </w:rPr>
        <w:t> </w:t>
      </w:r>
      <w:r>
        <w:rPr>
          <w:rFonts w:ascii="宋体" w:hAnsi="宋体" w:cs="宋体" w:eastAsia="宋体" w:hint="default"/>
        </w:rPr>
        <w:t>CQC</w:t>
      </w:r>
      <w:r>
        <w:rPr>
          <w:rFonts w:ascii="宋体" w:hAnsi="宋体" w:cs="宋体" w:eastAsia="宋体" w:hint="default"/>
          <w:spacing w:val="-49"/>
        </w:rPr>
        <w:t> </w:t>
      </w:r>
      <w:r>
        <w:rPr>
          <w:spacing w:val="-5"/>
        </w:rPr>
        <w:t>等产品认证。公司通过了</w:t>
      </w:r>
      <w:r>
        <w:rPr>
          <w:spacing w:val="-47"/>
        </w:rPr>
        <w:t> </w:t>
      </w:r>
      <w:r>
        <w:rPr>
          <w:rFonts w:ascii="宋体" w:hAnsi="宋体" w:cs="宋体" w:eastAsia="宋体" w:hint="default"/>
        </w:rPr>
        <w:t>2018</w:t>
      </w:r>
      <w:r>
        <w:rPr>
          <w:rFonts w:ascii="宋体" w:hAnsi="宋体" w:cs="宋体" w:eastAsia="宋体" w:hint="default"/>
          <w:spacing w:val="-49"/>
        </w:rPr>
        <w:t> </w:t>
      </w:r>
      <w:r>
        <w:rPr/>
        <w:t>年度优秀“测量管理体</w:t>
      </w:r>
      <w:r>
        <w:rPr>
          <w:spacing w:val="-103"/>
        </w:rPr>
        <w:t> </w:t>
      </w:r>
      <w:r>
        <w:rPr>
          <w:spacing w:val="-103"/>
        </w:rPr>
      </w:r>
      <w:r>
        <w:rPr/>
        <w:t>系认证(AAA)”企业认定。</w:t>
      </w:r>
    </w:p>
    <w:p>
      <w:pPr>
        <w:spacing w:line="468" w:lineRule="exact" w:before="34"/>
        <w:ind w:left="59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）资源及平台优势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公司自成立以来，一直以电能计量管理、清洁能源生产、能源高效利用为立足点，打造公司智</w:t>
      </w:r>
      <w:r>
        <w:rPr>
          <w:rFonts w:ascii="宋体" w:hAnsi="宋体" w:cs="宋体" w:eastAsia="宋体" w:hint="default"/>
          <w:sz w:val="21"/>
          <w:szCs w:val="21"/>
        </w:rPr>
      </w:r>
    </w:p>
    <w:p>
      <w:pPr>
        <w:pStyle w:val="BodyText"/>
        <w:spacing w:line="248" w:lineRule="exact"/>
        <w:ind w:left="178" w:right="0"/>
        <w:jc w:val="both"/>
      </w:pPr>
      <w:r>
        <w:rPr>
          <w:spacing w:val="-2"/>
        </w:rPr>
        <w:t>能、节能、新能源三大板块业务。</w:t>
      </w:r>
      <w:r>
        <w:rPr>
          <w:rFonts w:ascii="宋体" w:hAnsi="宋体" w:cs="宋体" w:eastAsia="宋体" w:hint="default"/>
          <w:spacing w:val="-2"/>
        </w:rPr>
        <w:t>20</w:t>
      </w:r>
      <w:r>
        <w:rPr>
          <w:rFonts w:ascii="宋体" w:hAnsi="宋体" w:cs="宋体" w:eastAsia="宋体" w:hint="default"/>
          <w:spacing w:val="15"/>
        </w:rPr>
        <w:t> </w:t>
      </w:r>
      <w:r>
        <w:rPr>
          <w:spacing w:val="-2"/>
        </w:rPr>
        <w:t>多年来，公司凭借综合竞争实力，与国家电网、南方电网及地</w:t>
      </w:r>
    </w:p>
    <w:p>
      <w:pPr>
        <w:pStyle w:val="BodyText"/>
        <w:spacing w:line="273" w:lineRule="auto" w:before="37"/>
        <w:ind w:left="0" w:right="109"/>
        <w:jc w:val="right"/>
      </w:pPr>
      <w:r>
        <w:rPr>
          <w:spacing w:val="-2"/>
        </w:rPr>
        <w:t>方大客户一直保持着亲密的合作关系。随着国家近几年高度重视节能减排及国家电网加大做强综合</w:t>
      </w:r>
      <w:r>
        <w:rPr>
          <w:spacing w:val="-83"/>
        </w:rPr>
        <w:t> </w:t>
      </w:r>
      <w:r>
        <w:rPr>
          <w:spacing w:val="-83"/>
        </w:rPr>
      </w:r>
      <w:r>
        <w:rPr>
          <w:spacing w:val="-2"/>
        </w:rPr>
        <w:t>能源服务业务的战略定位，公司依托几年来节能领域取得的成果，先后与国网下属江苏、山东、上</w:t>
      </w:r>
      <w:r>
        <w:rPr>
          <w:spacing w:val="-83"/>
        </w:rPr>
        <w:t> </w:t>
      </w:r>
      <w:r>
        <w:rPr>
          <w:spacing w:val="-83"/>
        </w:rPr>
      </w:r>
      <w:r>
        <w:rPr>
          <w:spacing w:val="-2"/>
        </w:rPr>
        <w:t>海等综合能源服务公司签订战略合作协议，加强业务合作，充分利用资源，培育新的利润增长点。</w:t>
      </w:r>
    </w:p>
    <w:p>
      <w:pPr>
        <w:pStyle w:val="BodyText"/>
        <w:spacing w:line="273" w:lineRule="auto" w:before="163"/>
        <w:ind w:left="178" w:right="109" w:firstLine="420"/>
        <w:jc w:val="both"/>
      </w:pPr>
      <w:r>
        <w:rPr>
          <w:spacing w:val="-3"/>
        </w:rPr>
        <w:t>同时，公司将智能、节能、新能源三大业务板块有机地融合在一起，以“互联网+”智慧能源作</w:t>
      </w:r>
      <w:r>
        <w:rPr>
          <w:w w:val="100"/>
        </w:rPr>
        <w:t> </w:t>
      </w:r>
      <w:r>
        <w:rPr>
          <w:spacing w:val="-2"/>
        </w:rPr>
        <w:t>为重要的战略发展方向，打造了智慧光伏云平台、智慧能效云平台、智慧微网云平台并依托这些智</w:t>
      </w:r>
      <w:r>
        <w:rPr>
          <w:spacing w:val="-25"/>
        </w:rPr>
        <w:t> </w:t>
      </w:r>
      <w:r>
        <w:rPr>
          <w:spacing w:val="-25"/>
        </w:rPr>
      </w:r>
      <w:r>
        <w:rPr>
          <w:spacing w:val="-2"/>
        </w:rPr>
        <w:t>慧能源平台积极拓展涵盖了分布式发电、用电以及储能和微电网领域的创新业务。智慧能效管理云</w:t>
      </w:r>
      <w:r>
        <w:rPr>
          <w:spacing w:val="-25"/>
        </w:rPr>
        <w:t> </w:t>
      </w:r>
      <w:r>
        <w:rPr>
          <w:spacing w:val="-25"/>
        </w:rPr>
      </w:r>
      <w:r>
        <w:rPr>
          <w:spacing w:val="-2"/>
        </w:rPr>
        <w:t>平台经过多年的技术积累，结合市场反馈的需求和发展趋势，不断的迭代升级。</w:t>
      </w:r>
      <w:r>
        <w:rPr>
          <w:rFonts w:ascii="宋体" w:hAnsi="宋体" w:cs="宋体" w:eastAsia="宋体" w:hint="default"/>
          <w:spacing w:val="-2"/>
        </w:rPr>
        <w:t>2018</w:t>
      </w:r>
      <w:r>
        <w:rPr>
          <w:rFonts w:ascii="宋体" w:hAnsi="宋体" w:cs="宋体" w:eastAsia="宋体" w:hint="default"/>
        </w:rPr>
        <w:t> </w:t>
      </w:r>
      <w:r>
        <w:rPr>
          <w:spacing w:val="-2"/>
        </w:rPr>
        <w:t>年智慧能效平</w:t>
      </w:r>
      <w:r>
        <w:rPr>
          <w:spacing w:val="-88"/>
        </w:rPr>
        <w:t> </w:t>
      </w:r>
      <w:r>
        <w:rPr>
          <w:spacing w:val="-88"/>
        </w:rPr>
      </w:r>
      <w:r>
        <w:rPr>
          <w:spacing w:val="-2"/>
        </w:rPr>
        <w:t>台在持续完善功能，提高用户体验的同时，针对综合能源、环保应用、交通系统的行业用户做了定</w:t>
      </w:r>
      <w:r>
        <w:rPr>
          <w:spacing w:val="-25"/>
        </w:rPr>
        <w:t> </w:t>
      </w:r>
      <w:r>
        <w:rPr>
          <w:spacing w:val="-25"/>
        </w:rPr>
      </w:r>
      <w:r>
        <w:rPr/>
        <w:t>制应用开发，不断提高用户接入量和行业用户类型。</w:t>
      </w:r>
    </w:p>
    <w:p>
      <w:pPr>
        <w:spacing w:line="468" w:lineRule="exact" w:before="34"/>
        <w:ind w:left="59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）资金及融资渠道优势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公司自上市以来，持续增长的利润为公司各类业务的开展提供强有力的资金保障。与此同时，</w:t>
      </w:r>
    </w:p>
    <w:p>
      <w:pPr>
        <w:pStyle w:val="BodyText"/>
        <w:spacing w:line="248" w:lineRule="exact"/>
        <w:ind w:left="178" w:right="0"/>
        <w:jc w:val="both"/>
        <w:rPr>
          <w:rFonts w:ascii="宋体" w:hAnsi="宋体" w:cs="宋体" w:eastAsia="宋体" w:hint="default"/>
        </w:rPr>
      </w:pPr>
      <w:r>
        <w:rPr>
          <w:spacing w:val="-5"/>
        </w:rPr>
        <w:t>公司始终秉承稳健经营的原则，在业绩持续稳定增长的同时，公司资产负债率保持在较低水平，</w:t>
      </w:r>
      <w:r>
        <w:rPr>
          <w:rFonts w:ascii="宋体" w:hAnsi="宋体" w:cs="宋体" w:eastAsia="宋体" w:hint="default"/>
          <w:spacing w:val="-5"/>
        </w:rPr>
        <w:t>2016</w:t>
      </w:r>
    </w:p>
    <w:p>
      <w:pPr>
        <w:pStyle w:val="BodyText"/>
        <w:spacing w:line="273" w:lineRule="auto" w:before="37"/>
        <w:ind w:left="178" w:right="112"/>
        <w:jc w:val="both"/>
      </w:pPr>
      <w:r>
        <w:rPr/>
        <w:t>年底至</w:t>
      </w:r>
      <w:r>
        <w:rPr>
          <w:spacing w:val="-46"/>
        </w:rPr>
        <w:t> </w:t>
      </w:r>
      <w:r>
        <w:rPr>
          <w:rFonts w:ascii="宋体" w:hAnsi="宋体" w:cs="宋体" w:eastAsia="宋体" w:hint="default"/>
        </w:rPr>
        <w:t>2018</w:t>
      </w:r>
      <w:r>
        <w:rPr>
          <w:rFonts w:ascii="宋体" w:hAnsi="宋体" w:cs="宋体" w:eastAsia="宋体" w:hint="default"/>
          <w:spacing w:val="-46"/>
        </w:rPr>
        <w:t> </w:t>
      </w:r>
      <w:r>
        <w:rPr/>
        <w:t>年底资产负债率比例分别为</w:t>
      </w:r>
      <w:r>
        <w:rPr>
          <w:spacing w:val="-46"/>
        </w:rPr>
        <w:t> </w:t>
      </w:r>
      <w:r>
        <w:rPr>
          <w:rFonts w:ascii="宋体" w:hAnsi="宋体" w:cs="宋体" w:eastAsia="宋体" w:hint="default"/>
          <w:spacing w:val="-3"/>
        </w:rPr>
        <w:t>34.59%</w:t>
      </w:r>
      <w:r>
        <w:rPr>
          <w:spacing w:val="-3"/>
        </w:rPr>
        <w:t>、</w:t>
      </w:r>
      <w:r>
        <w:rPr>
          <w:rFonts w:ascii="宋体" w:hAnsi="宋体" w:cs="宋体" w:eastAsia="宋体" w:hint="default"/>
          <w:spacing w:val="-3"/>
        </w:rPr>
        <w:t>43.59%</w:t>
      </w:r>
      <w:r>
        <w:rPr>
          <w:spacing w:val="-3"/>
        </w:rPr>
        <w:t>和</w:t>
      </w:r>
      <w:r>
        <w:rPr>
          <w:spacing w:val="-48"/>
        </w:rPr>
        <w:t> </w:t>
      </w:r>
      <w:r>
        <w:rPr>
          <w:rFonts w:ascii="宋体" w:hAnsi="宋体" w:cs="宋体" w:eastAsia="宋体" w:hint="default"/>
          <w:spacing w:val="-3"/>
        </w:rPr>
        <w:t>43.01%</w:t>
      </w:r>
      <w:r>
        <w:rPr>
          <w:spacing w:val="-3"/>
        </w:rPr>
        <w:t>（含</w:t>
      </w:r>
      <w:r>
        <w:rPr>
          <w:spacing w:val="-46"/>
        </w:rPr>
        <w:t> </w:t>
      </w:r>
      <w:r>
        <w:rPr>
          <w:rFonts w:ascii="宋体" w:hAnsi="宋体" w:cs="宋体" w:eastAsia="宋体" w:hint="default"/>
        </w:rPr>
        <w:t>30</w:t>
      </w:r>
      <w:r>
        <w:rPr>
          <w:rFonts w:ascii="宋体" w:hAnsi="宋体" w:cs="宋体" w:eastAsia="宋体" w:hint="default"/>
          <w:spacing w:val="-48"/>
        </w:rPr>
        <w:t> </w:t>
      </w:r>
      <w:r>
        <w:rPr>
          <w:spacing w:val="-5"/>
        </w:rPr>
        <w:t>亿可转债），表现出良好</w:t>
      </w:r>
      <w:r>
        <w:rPr>
          <w:spacing w:val="-102"/>
        </w:rPr>
        <w:t> </w:t>
      </w:r>
      <w:r>
        <w:rPr>
          <w:spacing w:val="-102"/>
        </w:rPr>
      </w:r>
      <w:r>
        <w:rPr>
          <w:spacing w:val="-2"/>
        </w:rPr>
        <w:t>的偿债能力和抗风险能力。稳健的财务状况及良好的信誉度使得公司与多家国有及商业银行建立了</w:t>
      </w:r>
      <w:r>
        <w:rPr>
          <w:spacing w:val="-25"/>
        </w:rPr>
        <w:t> </w:t>
      </w:r>
      <w:r>
        <w:rPr>
          <w:spacing w:val="-25"/>
        </w:rPr>
      </w:r>
      <w:r>
        <w:rPr/>
        <w:t>长期紧密的合作关系，</w:t>
      </w:r>
      <w:r>
        <w:rPr>
          <w:rFonts w:ascii="宋体" w:hAnsi="宋体" w:cs="宋体" w:eastAsia="宋体" w:hint="default"/>
        </w:rPr>
        <w:t>2018</w:t>
      </w:r>
      <w:r>
        <w:rPr>
          <w:rFonts w:ascii="宋体" w:hAnsi="宋体" w:cs="宋体" w:eastAsia="宋体" w:hint="default"/>
          <w:spacing w:val="-56"/>
        </w:rPr>
        <w:t> </w:t>
      </w:r>
      <w:r>
        <w:rPr/>
        <w:t>年度取得银行贷款授信总额度约</w:t>
      </w:r>
      <w:r>
        <w:rPr>
          <w:spacing w:val="-57"/>
        </w:rPr>
        <w:t> </w:t>
      </w:r>
      <w:r>
        <w:rPr>
          <w:rFonts w:ascii="宋体" w:hAnsi="宋体" w:cs="宋体" w:eastAsia="宋体" w:hint="default"/>
        </w:rPr>
        <w:t>65</w:t>
      </w:r>
      <w:r>
        <w:rPr>
          <w:rFonts w:ascii="宋体" w:hAnsi="宋体" w:cs="宋体" w:eastAsia="宋体" w:hint="default"/>
          <w:spacing w:val="-57"/>
        </w:rPr>
        <w:t> </w:t>
      </w:r>
      <w:r>
        <w:rPr/>
        <w:t>亿元，融资渠道畅通。</w:t>
      </w:r>
    </w:p>
    <w:p>
      <w:pPr>
        <w:pStyle w:val="BodyText"/>
        <w:spacing w:line="273" w:lineRule="auto" w:before="163"/>
        <w:ind w:left="178" w:right="0" w:firstLine="420"/>
        <w:jc w:val="left"/>
      </w:pPr>
      <w:r>
        <w:rPr>
          <w:spacing w:val="-2"/>
        </w:rPr>
        <w:t>基于上市公司、行业地位等优势，公司相继完成两次非公开发行股票和一次公开发行可转换公</w:t>
      </w:r>
      <w:r>
        <w:rPr>
          <w:w w:val="100"/>
        </w:rPr>
        <w:t> </w:t>
      </w:r>
      <w:r>
        <w:rPr>
          <w:spacing w:val="-4"/>
        </w:rPr>
        <w:t>司债券，募集资金</w:t>
      </w:r>
      <w:r>
        <w:rPr>
          <w:spacing w:val="-46"/>
        </w:rPr>
        <w:t> </w:t>
      </w:r>
      <w:r>
        <w:rPr>
          <w:rFonts w:ascii="宋体" w:hAnsi="宋体" w:cs="宋体" w:eastAsia="宋体" w:hint="default"/>
        </w:rPr>
        <w:t>76</w:t>
      </w:r>
      <w:r>
        <w:rPr>
          <w:rFonts w:ascii="宋体" w:hAnsi="宋体" w:cs="宋体" w:eastAsia="宋体" w:hint="default"/>
          <w:spacing w:val="-48"/>
        </w:rPr>
        <w:t> </w:t>
      </w:r>
      <w:r>
        <w:rPr>
          <w:spacing w:val="-4"/>
        </w:rPr>
        <w:t>亿元人民币。截止</w:t>
      </w:r>
      <w:r>
        <w:rPr>
          <w:spacing w:val="-45"/>
        </w:rPr>
        <w:t> </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spacing w:val="-3"/>
        </w:rPr>
        <w:t>月底，公司总资产为</w:t>
      </w:r>
      <w:r>
        <w:rPr>
          <w:spacing w:val="-48"/>
        </w:rPr>
        <w:t> </w:t>
      </w:r>
      <w:r>
        <w:rPr>
          <w:rFonts w:ascii="宋体" w:hAnsi="宋体" w:cs="宋体" w:eastAsia="宋体" w:hint="default"/>
        </w:rPr>
        <w:t>175</w:t>
      </w:r>
      <w:r>
        <w:rPr>
          <w:rFonts w:ascii="宋体" w:hAnsi="宋体" w:cs="宋体" w:eastAsia="宋体" w:hint="default"/>
          <w:spacing w:val="-48"/>
        </w:rPr>
        <w:t> </w:t>
      </w:r>
      <w:r>
        <w:rPr>
          <w:spacing w:val="-3"/>
        </w:rPr>
        <w:t>亿元，归属于上市公司</w:t>
      </w:r>
    </w:p>
    <w:p>
      <w:pPr>
        <w:pStyle w:val="BodyText"/>
        <w:spacing w:line="240" w:lineRule="auto" w:before="7"/>
        <w:ind w:left="178" w:right="0"/>
        <w:jc w:val="both"/>
      </w:pPr>
      <w:r>
        <w:rPr/>
        <w:t>股东的净资产为</w:t>
      </w:r>
      <w:r>
        <w:rPr>
          <w:spacing w:val="-53"/>
        </w:rPr>
        <w:t> </w:t>
      </w:r>
      <w:r>
        <w:rPr>
          <w:rFonts w:ascii="宋体" w:hAnsi="宋体" w:cs="宋体" w:eastAsia="宋体" w:hint="default"/>
        </w:rPr>
        <w:t>99</w:t>
      </w:r>
      <w:r>
        <w:rPr>
          <w:rFonts w:ascii="宋体" w:hAnsi="宋体" w:cs="宋体" w:eastAsia="宋体" w:hint="default"/>
          <w:spacing w:val="-55"/>
        </w:rPr>
        <w:t> </w:t>
      </w:r>
      <w:r>
        <w:rPr/>
        <w:t>亿元。</w:t>
      </w:r>
    </w:p>
    <w:p>
      <w:pPr>
        <w:spacing w:after="0" w:line="240" w:lineRule="auto"/>
        <w:jc w:val="both"/>
        <w:sectPr>
          <w:footerReference w:type="default" r:id="rId17"/>
          <w:pgSz w:w="11910" w:h="16840"/>
          <w:pgMar w:footer="974" w:header="728" w:top="1120" w:bottom="1160" w:left="124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4079" w:val="left" w:leader="none"/>
        </w:tabs>
        <w:spacing w:line="240" w:lineRule="auto"/>
        <w:ind w:left="2819" w:right="1815"/>
        <w:jc w:val="left"/>
        <w:rPr>
          <w:b w:val="0"/>
          <w:bCs w:val="0"/>
        </w:rPr>
      </w:pPr>
      <w:bookmarkStart w:name="_TOC_250008" w:id="4"/>
      <w:r>
        <w:rPr>
          <w:w w:val="95"/>
        </w:rPr>
        <w:t>第四节</w:t>
        <w:tab/>
      </w:r>
      <w:r>
        <w:rPr/>
        <w:t>经营情况讨论与分析</w:t>
      </w:r>
      <w:bookmarkEnd w:id="4"/>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left="178" w:right="1815"/>
        <w:jc w:val="left"/>
        <w:rPr>
          <w:b w:val="0"/>
          <w:bCs w:val="0"/>
        </w:rPr>
      </w:pPr>
      <w:r>
        <w:rPr/>
        <w:t>一、经营情况讨论与分析</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109" w:firstLine="420"/>
        <w:jc w:val="both"/>
      </w:pPr>
      <w:r>
        <w:rPr>
          <w:spacing w:val="-2"/>
        </w:rPr>
        <w:t>报告期内，公司围绕年初制定的各项目标，在董事会“增强运营效率、全力降本增效”十二字</w:t>
      </w:r>
      <w:r>
        <w:rPr>
          <w:w w:val="100"/>
        </w:rPr>
        <w:t> </w:t>
      </w:r>
      <w:r>
        <w:rPr>
          <w:spacing w:val="-2"/>
        </w:rPr>
        <w:t>方针指导下，准确把握行业政策和发展方向，“智能、节能、新能源”三大板块全面推进。公司实</w:t>
      </w:r>
      <w:r>
        <w:rPr>
          <w:spacing w:val="-25"/>
        </w:rPr>
        <w:t> </w:t>
      </w:r>
      <w:r>
        <w:rPr>
          <w:spacing w:val="-25"/>
        </w:rPr>
      </w:r>
      <w:r>
        <w:rPr/>
        <w:t>现营业收入</w:t>
      </w:r>
      <w:r>
        <w:rPr>
          <w:spacing w:val="-46"/>
        </w:rPr>
        <w:t> </w:t>
      </w:r>
      <w:r>
        <w:rPr>
          <w:rFonts w:ascii="宋体" w:hAnsi="宋体" w:cs="宋体" w:eastAsia="宋体" w:hint="default"/>
        </w:rPr>
        <w:t>40.17</w:t>
      </w:r>
      <w:r>
        <w:rPr>
          <w:rFonts w:ascii="宋体" w:hAnsi="宋体" w:cs="宋体" w:eastAsia="宋体" w:hint="default"/>
          <w:spacing w:val="-46"/>
        </w:rPr>
        <w:t> </w:t>
      </w:r>
      <w:r>
        <w:rPr>
          <w:spacing w:val="-10"/>
        </w:rPr>
        <w:t>亿元，同比增长</w:t>
      </w:r>
      <w:r>
        <w:rPr>
          <w:spacing w:val="-45"/>
        </w:rPr>
        <w:t> </w:t>
      </w:r>
      <w:r>
        <w:rPr>
          <w:rFonts w:ascii="宋体" w:hAnsi="宋体" w:cs="宋体" w:eastAsia="宋体" w:hint="default"/>
          <w:spacing w:val="-7"/>
        </w:rPr>
        <w:t>11.94%</w:t>
      </w:r>
      <w:r>
        <w:rPr>
          <w:spacing w:val="-7"/>
        </w:rPr>
        <w:t>，利润总额</w:t>
      </w:r>
      <w:r>
        <w:rPr>
          <w:spacing w:val="-46"/>
        </w:rPr>
        <w:t> </w:t>
      </w:r>
      <w:r>
        <w:rPr>
          <w:rFonts w:ascii="宋体" w:hAnsi="宋体" w:cs="宋体" w:eastAsia="宋体" w:hint="default"/>
        </w:rPr>
        <w:t>8.05</w:t>
      </w:r>
      <w:r>
        <w:rPr>
          <w:rFonts w:ascii="宋体" w:hAnsi="宋体" w:cs="宋体" w:eastAsia="宋体" w:hint="default"/>
          <w:spacing w:val="-45"/>
        </w:rPr>
        <w:t> </w:t>
      </w:r>
      <w:r>
        <w:rPr>
          <w:spacing w:val="-5"/>
        </w:rPr>
        <w:t>亿元，归属于上市公司股东的净利润</w:t>
      </w:r>
      <w:r>
        <w:rPr>
          <w:spacing w:val="-46"/>
        </w:rPr>
        <w:t> </w:t>
      </w:r>
      <w:r>
        <w:rPr>
          <w:rFonts w:ascii="宋体" w:hAnsi="宋体" w:cs="宋体" w:eastAsia="宋体" w:hint="default"/>
        </w:rPr>
        <w:t>7.61</w:t>
      </w:r>
      <w:r>
        <w:rPr>
          <w:rFonts w:ascii="宋体" w:hAnsi="宋体" w:cs="宋体" w:eastAsia="宋体" w:hint="default"/>
          <w:spacing w:val="-102"/>
        </w:rPr>
        <w:t> </w:t>
      </w:r>
      <w:r>
        <w:rPr>
          <w:rFonts w:ascii="宋体" w:hAnsi="宋体" w:cs="宋体" w:eastAsia="宋体" w:hint="default"/>
          <w:spacing w:val="-102"/>
        </w:rPr>
      </w:r>
      <w:r>
        <w:rPr/>
        <w:t>亿元，同比增长</w:t>
      </w:r>
      <w:r>
        <w:rPr>
          <w:spacing w:val="-56"/>
        </w:rPr>
        <w:t> </w:t>
      </w:r>
      <w:r>
        <w:rPr>
          <w:rFonts w:ascii="宋体" w:hAnsi="宋体" w:cs="宋体" w:eastAsia="宋体" w:hint="default"/>
        </w:rPr>
        <w:t>10.86%</w:t>
      </w:r>
      <w:r>
        <w:rPr/>
        <w:t>。</w:t>
      </w:r>
    </w:p>
    <w:p>
      <w:pPr>
        <w:pStyle w:val="Heading2"/>
        <w:spacing w:line="273" w:lineRule="auto" w:before="163"/>
        <w:ind w:left="178" w:right="113" w:firstLine="422"/>
        <w:jc w:val="both"/>
        <w:rPr>
          <w:b w:val="0"/>
          <w:bCs w:val="0"/>
        </w:rPr>
      </w:pPr>
      <w:r>
        <w:rPr>
          <w:rFonts w:ascii="宋体" w:hAnsi="宋体" w:cs="宋体" w:eastAsia="宋体" w:hint="default"/>
          <w:spacing w:val="-3"/>
        </w:rPr>
        <w:t>1</w:t>
      </w:r>
      <w:r>
        <w:rPr>
          <w:spacing w:val="-3"/>
        </w:rPr>
        <w:t>、智能配用电业务稳健发展，积极布局以新型智能终端为核心的面向电网侧和用户侧的整体解</w:t>
      </w:r>
      <w:r>
        <w:rPr>
          <w:w w:val="100"/>
        </w:rPr>
        <w:t> </w:t>
      </w:r>
      <w:r>
        <w:rPr/>
        <w:t>决方案</w:t>
      </w:r>
      <w:r>
        <w:rPr>
          <w:b w:val="0"/>
          <w:bCs w:val="0"/>
        </w:rPr>
      </w:r>
    </w:p>
    <w:p>
      <w:pPr>
        <w:pStyle w:val="BodyText"/>
        <w:spacing w:line="273" w:lineRule="auto" w:before="164"/>
        <w:ind w:left="178" w:right="148" w:firstLine="420"/>
        <w:jc w:val="both"/>
      </w:pPr>
      <w:r>
        <w:rPr>
          <w:spacing w:val="-2"/>
        </w:rPr>
        <w:t>报告期内，公司智能板块业务发挥自身优势，积极应对行业变化，顺利完成各项经营指标。国</w:t>
      </w:r>
      <w:r>
        <w:rPr>
          <w:w w:val="100"/>
        </w:rPr>
        <w:t> </w:t>
      </w:r>
      <w:r>
        <w:rPr/>
        <w:t>网智能电表在</w:t>
      </w:r>
      <w:r>
        <w:rPr>
          <w:spacing w:val="-54"/>
        </w:rPr>
        <w:t> </w:t>
      </w:r>
      <w:r>
        <w:rPr>
          <w:rFonts w:ascii="宋体" w:hAnsi="宋体" w:cs="宋体" w:eastAsia="宋体" w:hint="default"/>
        </w:rPr>
        <w:t>2018</w:t>
      </w:r>
      <w:r>
        <w:rPr>
          <w:rFonts w:ascii="宋体" w:hAnsi="宋体" w:cs="宋体" w:eastAsia="宋体" w:hint="default"/>
          <w:spacing w:val="-56"/>
        </w:rPr>
        <w:t> </w:t>
      </w:r>
      <w:r>
        <w:rPr/>
        <w:t>年招标需求有所反弹，公司在国网</w:t>
      </w:r>
      <w:r>
        <w:rPr>
          <w:spacing w:val="-53"/>
        </w:rPr>
        <w:t> </w:t>
      </w:r>
      <w:r>
        <w:rPr>
          <w:rFonts w:ascii="宋体" w:hAnsi="宋体" w:cs="宋体" w:eastAsia="宋体" w:hint="default"/>
        </w:rPr>
        <w:t>2018</w:t>
      </w:r>
      <w:r>
        <w:rPr>
          <w:rFonts w:ascii="宋体" w:hAnsi="宋体" w:cs="宋体" w:eastAsia="宋体" w:hint="default"/>
          <w:spacing w:val="-54"/>
        </w:rPr>
        <w:t> </w:t>
      </w:r>
      <w:r>
        <w:rPr/>
        <w:t>年进行的</w:t>
      </w:r>
      <w:r>
        <w:rPr>
          <w:spacing w:val="-54"/>
        </w:rPr>
        <w:t> </w:t>
      </w:r>
      <w:r>
        <w:rPr>
          <w:rFonts w:ascii="宋体" w:hAnsi="宋体" w:cs="宋体" w:eastAsia="宋体" w:hint="default"/>
        </w:rPr>
        <w:t>2</w:t>
      </w:r>
      <w:r>
        <w:rPr>
          <w:rFonts w:ascii="宋体" w:hAnsi="宋体" w:cs="宋体" w:eastAsia="宋体" w:hint="default"/>
          <w:spacing w:val="-56"/>
        </w:rPr>
        <w:t> </w:t>
      </w:r>
      <w:r>
        <w:rPr/>
        <w:t>次招标中，合计中标金额约</w:t>
      </w:r>
    </w:p>
    <w:p>
      <w:pPr>
        <w:pStyle w:val="BodyText"/>
        <w:spacing w:line="273" w:lineRule="auto" w:before="7"/>
        <w:ind w:left="178" w:right="203"/>
        <w:jc w:val="left"/>
      </w:pPr>
      <w:r>
        <w:rPr>
          <w:rFonts w:ascii="宋体" w:hAnsi="宋体" w:cs="宋体" w:eastAsia="宋体" w:hint="default"/>
        </w:rPr>
        <w:t>4.03</w:t>
      </w:r>
      <w:r>
        <w:rPr>
          <w:rFonts w:ascii="宋体" w:hAnsi="宋体" w:cs="宋体" w:eastAsia="宋体" w:hint="default"/>
          <w:spacing w:val="-56"/>
        </w:rPr>
        <w:t> </w:t>
      </w:r>
      <w:r>
        <w:rPr/>
        <w:t>亿元；同时，南网公司年内</w:t>
      </w:r>
      <w:r>
        <w:rPr>
          <w:spacing w:val="-54"/>
        </w:rPr>
        <w:t> </w:t>
      </w:r>
      <w:r>
        <w:rPr>
          <w:rFonts w:ascii="宋体" w:hAnsi="宋体" w:cs="宋体" w:eastAsia="宋体" w:hint="default"/>
        </w:rPr>
        <w:t>2</w:t>
      </w:r>
      <w:r>
        <w:rPr>
          <w:rFonts w:ascii="宋体" w:hAnsi="宋体" w:cs="宋体" w:eastAsia="宋体" w:hint="default"/>
          <w:spacing w:val="-54"/>
        </w:rPr>
        <w:t> </w:t>
      </w:r>
      <w:r>
        <w:rPr/>
        <w:t>次电能表类框架招标中，合计中标金额约</w:t>
      </w:r>
      <w:r>
        <w:rPr>
          <w:spacing w:val="-56"/>
        </w:rPr>
        <w:t> </w:t>
      </w:r>
      <w:r>
        <w:rPr>
          <w:rFonts w:ascii="宋体" w:hAnsi="宋体" w:cs="宋体" w:eastAsia="宋体" w:hint="default"/>
        </w:rPr>
        <w:t>2.68</w:t>
      </w:r>
      <w:r>
        <w:rPr>
          <w:rFonts w:ascii="宋体" w:hAnsi="宋体" w:cs="宋体" w:eastAsia="宋体" w:hint="default"/>
          <w:spacing w:val="-55"/>
        </w:rPr>
        <w:t> </w:t>
      </w:r>
      <w:r>
        <w:rPr/>
        <w:t>亿元。公司在国</w:t>
      </w:r>
      <w:r>
        <w:rPr>
          <w:w w:val="100"/>
        </w:rPr>
        <w:t> </w:t>
      </w:r>
      <w:r>
        <w:rPr/>
        <w:t>网、南网、地方电力中标数量及金额均名列前茅。</w:t>
      </w:r>
    </w:p>
    <w:p>
      <w:pPr>
        <w:pStyle w:val="BodyText"/>
        <w:spacing w:line="273" w:lineRule="auto" w:before="163"/>
        <w:ind w:left="178" w:right="148" w:firstLine="420"/>
        <w:jc w:val="both"/>
      </w:pPr>
      <w:r>
        <w:rPr>
          <w:spacing w:val="-2"/>
        </w:rPr>
        <w:t>在海外智能用电业务的拓展方面，有效推进大客户战略，全面合作开拓全球市场，与各国的当</w:t>
      </w:r>
      <w:r>
        <w:rPr>
          <w:w w:val="100"/>
        </w:rPr>
        <w:t> </w:t>
      </w:r>
      <w:r>
        <w:rPr>
          <w:spacing w:val="-2"/>
        </w:rPr>
        <w:t>地合作伙伴一起深耕当地市场。公司和全球智能电表行业领先企业兰吉尔集团进行全面战略合作，</w:t>
      </w:r>
      <w:r>
        <w:rPr>
          <w:spacing w:val="-25"/>
        </w:rPr>
        <w:t> </w:t>
      </w:r>
      <w:r>
        <w:rPr>
          <w:spacing w:val="-25"/>
        </w:rPr>
      </w:r>
      <w:r>
        <w:rPr>
          <w:spacing w:val="-2"/>
        </w:rPr>
        <w:t>抓住市场机遇，分别在西班牙、葡萄牙、新加坡、德国等地抢占了一定的市场份额的同时，加大一</w:t>
      </w:r>
      <w:r>
        <w:rPr>
          <w:spacing w:val="-25"/>
        </w:rPr>
        <w:t> </w:t>
      </w:r>
      <w:r>
        <w:rPr>
          <w:spacing w:val="-25"/>
        </w:rPr>
      </w:r>
      <w:r>
        <w:rPr>
          <w:spacing w:val="-2"/>
        </w:rPr>
        <w:t>带一路地区的业务拓展，并积极在中东、亚太、欧洲和拉美等海外市场进行重点布局，培育市场，</w:t>
      </w:r>
      <w:r>
        <w:rPr>
          <w:spacing w:val="-25"/>
        </w:rPr>
        <w:t> </w:t>
      </w:r>
      <w:r>
        <w:rPr>
          <w:spacing w:val="-25"/>
        </w:rPr>
      </w:r>
      <w:r>
        <w:rPr/>
        <w:t>为业务持续发展奠定基础。报告期内，实现海外销售</w:t>
      </w:r>
      <w:r>
        <w:rPr>
          <w:spacing w:val="-54"/>
        </w:rPr>
        <w:t> </w:t>
      </w:r>
      <w:r>
        <w:rPr>
          <w:rFonts w:ascii="宋体" w:hAnsi="宋体" w:cs="宋体" w:eastAsia="宋体" w:hint="default"/>
        </w:rPr>
        <w:t>3,805</w:t>
      </w:r>
      <w:r>
        <w:rPr>
          <w:rFonts w:ascii="宋体" w:hAnsi="宋体" w:cs="宋体" w:eastAsia="宋体" w:hint="default"/>
          <w:spacing w:val="-53"/>
        </w:rPr>
        <w:t> </w:t>
      </w:r>
      <w:r>
        <w:rPr/>
        <w:t>万美元，在手订单达</w:t>
      </w:r>
      <w:r>
        <w:rPr>
          <w:spacing w:val="-54"/>
        </w:rPr>
        <w:t> </w:t>
      </w:r>
      <w:r>
        <w:rPr>
          <w:rFonts w:ascii="宋体" w:hAnsi="宋体" w:cs="宋体" w:eastAsia="宋体" w:hint="default"/>
        </w:rPr>
        <w:t>4,800</w:t>
      </w:r>
      <w:r>
        <w:rPr>
          <w:rFonts w:ascii="宋体" w:hAnsi="宋体" w:cs="宋体" w:eastAsia="宋体" w:hint="default"/>
          <w:spacing w:val="-56"/>
        </w:rPr>
        <w:t> </w:t>
      </w:r>
      <w:r>
        <w:rPr/>
        <w:t>万美元。</w:t>
      </w:r>
    </w:p>
    <w:p>
      <w:pPr>
        <w:pStyle w:val="BodyText"/>
        <w:spacing w:line="273" w:lineRule="auto" w:before="164"/>
        <w:ind w:left="178" w:right="112" w:firstLine="420"/>
        <w:jc w:val="both"/>
      </w:pPr>
      <w:r>
        <w:rPr>
          <w:rFonts w:ascii="宋体" w:hAnsi="宋体" w:cs="宋体" w:eastAsia="宋体" w:hint="default"/>
        </w:rPr>
        <w:t>2018</w:t>
      </w:r>
      <w:r>
        <w:rPr>
          <w:rFonts w:ascii="宋体" w:hAnsi="宋体" w:cs="宋体" w:eastAsia="宋体" w:hint="default"/>
          <w:spacing w:val="-7"/>
        </w:rPr>
        <w:t> </w:t>
      </w:r>
      <w:r>
        <w:rPr>
          <w:spacing w:val="-7"/>
        </w:rPr>
        <w:t>年，公司在智能配电领域进一步拓展，从智能配电终端（</w:t>
      </w:r>
      <w:r>
        <w:rPr>
          <w:rFonts w:ascii="宋体" w:hAnsi="宋体" w:cs="宋体" w:eastAsia="宋体" w:hint="default"/>
          <w:spacing w:val="-7"/>
        </w:rPr>
        <w:t>DTU</w:t>
      </w:r>
      <w:r>
        <w:rPr>
          <w:spacing w:val="-7"/>
        </w:rPr>
        <w:t>、</w:t>
      </w:r>
      <w:r>
        <w:rPr>
          <w:rFonts w:ascii="宋体" w:hAnsi="宋体" w:cs="宋体" w:eastAsia="宋体" w:hint="default"/>
          <w:spacing w:val="-7"/>
        </w:rPr>
        <w:t>FTU</w:t>
      </w:r>
      <w:r>
        <w:rPr>
          <w:spacing w:val="-7"/>
        </w:rPr>
        <w:t>）扩展到故障监测终端，</w:t>
      </w:r>
      <w:r>
        <w:rPr>
          <w:w w:val="100"/>
        </w:rPr>
        <w:t> </w:t>
      </w:r>
      <w:r>
        <w:rPr>
          <w:spacing w:val="-2"/>
        </w:rPr>
        <w:t>连续中标多个智能配电前瞻性科技项目，成功入围云南省电网公司暂态特征故障指示器和远传电缆</w:t>
      </w:r>
      <w:r>
        <w:rPr>
          <w:spacing w:val="-25"/>
        </w:rPr>
        <w:t> </w:t>
      </w:r>
      <w:r>
        <w:rPr>
          <w:spacing w:val="-25"/>
        </w:rPr>
      </w:r>
      <w:r>
        <w:rPr>
          <w:spacing w:val="-2"/>
        </w:rPr>
        <w:t>型故障指示器框架招标，配电网无线多模混合通讯组网模式与装置开发项目、基于物联网的配电设</w:t>
      </w:r>
      <w:r>
        <w:rPr>
          <w:spacing w:val="-25"/>
        </w:rPr>
        <w:t> </w:t>
      </w:r>
      <w:r>
        <w:rPr>
          <w:spacing w:val="-25"/>
        </w:rPr>
      </w:r>
      <w:r>
        <w:rPr>
          <w:spacing w:val="-2"/>
        </w:rPr>
        <w:t>备监测技术研究与远程巡检平台开发、模块化配电设备及配套组件研究等项目，同时公司积极研发</w:t>
      </w:r>
      <w:r>
        <w:rPr>
          <w:spacing w:val="-26"/>
        </w:rPr>
        <w:t> </w:t>
      </w:r>
      <w:r>
        <w:rPr>
          <w:spacing w:val="-26"/>
        </w:rPr>
      </w:r>
      <w:r>
        <w:rPr>
          <w:spacing w:val="-2"/>
        </w:rPr>
        <w:t>面向多种配电设备的模块化监测装置，各类智能配电设备的数据接口，配电设备监测及远程巡检平</w:t>
      </w:r>
      <w:r>
        <w:rPr>
          <w:spacing w:val="-25"/>
        </w:rPr>
        <w:t> </w:t>
      </w:r>
      <w:r>
        <w:rPr>
          <w:spacing w:val="-25"/>
        </w:rPr>
      </w:r>
      <w:r>
        <w:rPr/>
        <w:t>台等多种面向未来能源物联网的产品及技术。</w:t>
      </w:r>
    </w:p>
    <w:p>
      <w:pPr>
        <w:spacing w:line="468" w:lineRule="exact" w:before="34"/>
        <w:ind w:left="598" w:right="19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、光伏电站运营效益凸显，加快央企合作布局，</w:t>
      </w:r>
      <w:r>
        <w:rPr>
          <w:rFonts w:ascii="宋体" w:hAnsi="宋体" w:cs="宋体" w:eastAsia="宋体" w:hint="default"/>
          <w:b/>
          <w:bCs/>
          <w:sz w:val="21"/>
          <w:szCs w:val="21"/>
        </w:rPr>
        <w:t>EPC</w:t>
      </w:r>
      <w:r>
        <w:rPr>
          <w:rFonts w:ascii="宋体" w:hAnsi="宋体" w:cs="宋体" w:eastAsia="宋体" w:hint="default"/>
          <w:b/>
          <w:bCs/>
          <w:spacing w:val="-55"/>
          <w:sz w:val="21"/>
          <w:szCs w:val="21"/>
        </w:rPr>
        <w:t> </w:t>
      </w:r>
      <w:r>
        <w:rPr>
          <w:rFonts w:ascii="宋体" w:hAnsi="宋体" w:cs="宋体" w:eastAsia="宋体" w:hint="default"/>
          <w:b/>
          <w:bCs/>
          <w:sz w:val="21"/>
          <w:szCs w:val="21"/>
        </w:rPr>
        <w:t>系统集成业务取得重大突破</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报告期内，公司新能源板块业务充分发挥自身优势，积极应对行业变化，实现销售收入</w:t>
      </w:r>
      <w:r>
        <w:rPr>
          <w:rFonts w:ascii="宋体" w:hAnsi="宋体" w:cs="宋体" w:eastAsia="宋体" w:hint="default"/>
          <w:spacing w:val="23"/>
          <w:sz w:val="21"/>
          <w:szCs w:val="21"/>
        </w:rPr>
        <w:t> </w:t>
      </w:r>
      <w:r>
        <w:rPr>
          <w:rFonts w:ascii="宋体" w:hAnsi="宋体" w:cs="宋体" w:eastAsia="宋体" w:hint="default"/>
          <w:spacing w:val="-1"/>
          <w:sz w:val="21"/>
          <w:szCs w:val="21"/>
        </w:rPr>
        <w:t>24.03</w:t>
      </w:r>
    </w:p>
    <w:p>
      <w:pPr>
        <w:pStyle w:val="BodyText"/>
        <w:spacing w:line="248" w:lineRule="exact"/>
        <w:ind w:left="178" w:right="0"/>
        <w:jc w:val="left"/>
      </w:pPr>
      <w:r>
        <w:rPr/>
        <w:t>亿元，其中电费收入</w:t>
      </w:r>
      <w:r>
        <w:rPr>
          <w:spacing w:val="-54"/>
        </w:rPr>
        <w:t> </w:t>
      </w:r>
      <w:r>
        <w:rPr>
          <w:rFonts w:ascii="宋体" w:hAnsi="宋体" w:cs="宋体" w:eastAsia="宋体" w:hint="default"/>
        </w:rPr>
        <w:t>13.30</w:t>
      </w:r>
      <w:r>
        <w:rPr>
          <w:rFonts w:ascii="宋体" w:hAnsi="宋体" w:cs="宋体" w:eastAsia="宋体" w:hint="default"/>
          <w:spacing w:val="-53"/>
        </w:rPr>
        <w:t> </w:t>
      </w:r>
      <w:r>
        <w:rPr/>
        <w:t>亿元，同比增长</w:t>
      </w:r>
      <w:r>
        <w:rPr>
          <w:spacing w:val="-54"/>
        </w:rPr>
        <w:t> </w:t>
      </w:r>
      <w:r>
        <w:rPr>
          <w:rFonts w:ascii="宋体" w:hAnsi="宋体" w:cs="宋体" w:eastAsia="宋体" w:hint="default"/>
        </w:rPr>
        <w:t>21.16%</w:t>
      </w:r>
      <w:r>
        <w:rPr/>
        <w:t>。截止</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日，公司开发建设已并</w:t>
      </w:r>
    </w:p>
    <w:p>
      <w:pPr>
        <w:pStyle w:val="BodyText"/>
        <w:spacing w:line="273" w:lineRule="auto" w:before="37"/>
        <w:ind w:left="178" w:right="0"/>
        <w:jc w:val="left"/>
      </w:pPr>
      <w:r>
        <w:rPr>
          <w:spacing w:val="-2"/>
        </w:rPr>
        <w:t>网运行的各类光伏电站装机容量约</w:t>
      </w:r>
      <w:r>
        <w:rPr/>
        <w:t> </w:t>
      </w:r>
      <w:r>
        <w:rPr>
          <w:rFonts w:ascii="宋体" w:hAnsi="宋体" w:cs="宋体" w:eastAsia="宋体" w:hint="default"/>
          <w:spacing w:val="-2"/>
        </w:rPr>
        <w:t>1.5GW</w:t>
      </w:r>
      <w:r>
        <w:rPr>
          <w:spacing w:val="-2"/>
        </w:rPr>
        <w:t>。为进一步巩固在分布式光伏电站的领先地位，公司积极</w:t>
      </w:r>
      <w:r>
        <w:rPr>
          <w:spacing w:val="-74"/>
        </w:rPr>
        <w:t> </w:t>
      </w:r>
      <w:r>
        <w:rPr>
          <w:spacing w:val="-74"/>
        </w:rPr>
      </w:r>
      <w:r>
        <w:rPr/>
        <w:t>储备平价上网后的各类分布式电站资源，且在手储备项目达</w:t>
      </w:r>
      <w:r>
        <w:rPr>
          <w:spacing w:val="-54"/>
        </w:rPr>
        <w:t> </w:t>
      </w:r>
      <w:r>
        <w:rPr>
          <w:rFonts w:ascii="宋体" w:hAnsi="宋体" w:cs="宋体" w:eastAsia="宋体" w:hint="default"/>
        </w:rPr>
        <w:t>1.6GW</w:t>
      </w:r>
      <w:r>
        <w:rPr>
          <w:rFonts w:ascii="宋体" w:hAnsi="宋体" w:cs="宋体" w:eastAsia="宋体" w:hint="default"/>
          <w:spacing w:val="-57"/>
        </w:rPr>
        <w:t> </w:t>
      </w:r>
      <w:r>
        <w:rPr/>
        <w:t>以上。</w:t>
      </w:r>
    </w:p>
    <w:p>
      <w:pPr>
        <w:pStyle w:val="BodyText"/>
        <w:spacing w:line="273" w:lineRule="auto" w:before="163"/>
        <w:ind w:left="178" w:right="0" w:firstLine="420"/>
        <w:jc w:val="left"/>
      </w:pPr>
      <w:r>
        <w:rPr>
          <w:spacing w:val="-4"/>
        </w:rPr>
        <w:t>报告期内，公司</w:t>
      </w:r>
      <w:r>
        <w:rPr>
          <w:spacing w:val="-41"/>
        </w:rPr>
        <w:t> </w:t>
      </w:r>
      <w:r>
        <w:rPr>
          <w:rFonts w:ascii="宋体" w:hAnsi="宋体" w:cs="宋体" w:eastAsia="宋体" w:hint="default"/>
        </w:rPr>
        <w:t>N</w:t>
      </w:r>
      <w:r>
        <w:rPr>
          <w:rFonts w:ascii="宋体" w:hAnsi="宋体" w:cs="宋体" w:eastAsia="宋体" w:hint="default"/>
          <w:spacing w:val="-39"/>
        </w:rPr>
        <w:t> </w:t>
      </w:r>
      <w:r>
        <w:rPr>
          <w:spacing w:val="-4"/>
        </w:rPr>
        <w:t>型高效电池、组件</w:t>
      </w:r>
      <w:r>
        <w:rPr>
          <w:spacing w:val="-41"/>
        </w:rPr>
        <w:t> </w:t>
      </w:r>
      <w:r>
        <w:rPr>
          <w:rFonts w:ascii="宋体" w:hAnsi="宋体" w:cs="宋体" w:eastAsia="宋体" w:hint="default"/>
        </w:rPr>
        <w:t>400MW</w:t>
      </w:r>
      <w:r>
        <w:rPr>
          <w:rFonts w:ascii="宋体" w:hAnsi="宋体" w:cs="宋体" w:eastAsia="宋体" w:hint="default"/>
          <w:spacing w:val="-39"/>
        </w:rPr>
        <w:t> </w:t>
      </w:r>
      <w:r>
        <w:rPr>
          <w:spacing w:val="-3"/>
        </w:rPr>
        <w:t>量产，电池量产平均转换效率＞</w:t>
      </w:r>
      <w:r>
        <w:rPr>
          <w:rFonts w:ascii="宋体" w:hAnsi="宋体" w:cs="宋体" w:eastAsia="宋体" w:hint="default"/>
          <w:spacing w:val="-3"/>
        </w:rPr>
        <w:t>21.8%</w:t>
      </w:r>
      <w:r>
        <w:rPr>
          <w:spacing w:val="-3"/>
        </w:rPr>
        <w:t>，双面因子＞</w:t>
      </w:r>
      <w:r>
        <w:rPr>
          <w:w w:val="100"/>
        </w:rPr>
        <w:t> </w:t>
      </w:r>
      <w:r>
        <w:rPr>
          <w:rFonts w:ascii="宋体" w:hAnsi="宋体" w:cs="宋体" w:eastAsia="宋体" w:hint="default"/>
        </w:rPr>
        <w:t>85%</w:t>
      </w:r>
      <w:r>
        <w:rPr/>
        <w:t>，首年衰减率小于</w:t>
      </w:r>
      <w:r>
        <w:rPr>
          <w:spacing w:val="-53"/>
        </w:rPr>
        <w:t> </w:t>
      </w:r>
      <w:r>
        <w:rPr>
          <w:rFonts w:ascii="宋体" w:hAnsi="宋体" w:cs="宋体" w:eastAsia="宋体" w:hint="default"/>
        </w:rPr>
        <w:t>1%</w:t>
      </w:r>
      <w:r>
        <w:rPr/>
        <w:t>，取得</w:t>
      </w:r>
      <w:r>
        <w:rPr>
          <w:spacing w:val="-52"/>
        </w:rPr>
        <w:t> </w:t>
      </w:r>
      <w:r>
        <w:rPr/>
        <w:t>TüV</w:t>
      </w:r>
      <w:r>
        <w:rPr>
          <w:spacing w:val="-55"/>
        </w:rPr>
        <w:t> </w:t>
      </w:r>
      <w:r>
        <w:rPr/>
        <w:t>莱茵和</w:t>
      </w:r>
      <w:r>
        <w:rPr>
          <w:spacing w:val="-53"/>
        </w:rPr>
        <w:t> </w:t>
      </w:r>
      <w:r>
        <w:rPr>
          <w:rFonts w:ascii="宋体" w:hAnsi="宋体" w:cs="宋体" w:eastAsia="宋体" w:hint="default"/>
        </w:rPr>
        <w:t>CQC</w:t>
      </w:r>
      <w:r>
        <w:rPr>
          <w:rFonts w:ascii="宋体" w:hAnsi="宋体" w:cs="宋体" w:eastAsia="宋体" w:hint="default"/>
          <w:spacing w:val="-53"/>
        </w:rPr>
        <w:t> </w:t>
      </w:r>
      <w:r>
        <w:rPr/>
        <w:t>等产品认证，并已启动电池从</w:t>
      </w:r>
      <w:r>
        <w:rPr>
          <w:spacing w:val="-53"/>
        </w:rPr>
        <w:t> </w:t>
      </w:r>
      <w:r>
        <w:rPr>
          <w:rFonts w:ascii="宋体" w:hAnsi="宋体" w:cs="宋体" w:eastAsia="宋体" w:hint="default"/>
        </w:rPr>
        <w:t>N-PERT</w:t>
      </w:r>
      <w:r>
        <w:rPr>
          <w:rFonts w:ascii="宋体" w:hAnsi="宋体" w:cs="宋体" w:eastAsia="宋体" w:hint="default"/>
          <w:spacing w:val="-55"/>
        </w:rPr>
        <w:t> </w:t>
      </w:r>
      <w:r>
        <w:rPr/>
        <w:t>转为</w:t>
      </w:r>
      <w:r>
        <w:rPr>
          <w:spacing w:val="-55"/>
        </w:rPr>
        <w:t> </w:t>
      </w:r>
      <w:r>
        <w:rPr>
          <w:rFonts w:ascii="宋体" w:hAnsi="宋体" w:cs="宋体" w:eastAsia="宋体" w:hint="default"/>
        </w:rPr>
        <w:t>TopCON</w:t>
      </w:r>
      <w:r>
        <w:rPr>
          <w:rFonts w:ascii="宋体" w:hAnsi="宋体" w:cs="宋体" w:eastAsia="宋体" w:hint="default"/>
          <w:w w:val="100"/>
        </w:rPr>
        <w:t> </w:t>
      </w:r>
      <w:r>
        <w:rPr/>
        <w:t>的技术升级，升级完成后电池平均转换效率可达</w:t>
      </w:r>
      <w:r>
        <w:rPr>
          <w:spacing w:val="-56"/>
        </w:rPr>
        <w:t> </w:t>
      </w:r>
      <w:r>
        <w:rPr>
          <w:rFonts w:ascii="宋体" w:hAnsi="宋体" w:cs="宋体" w:eastAsia="宋体" w:hint="default"/>
        </w:rPr>
        <w:t>23%</w:t>
      </w:r>
      <w:r>
        <w:rPr/>
        <w:t>。公司产品已分别进入中广核、中电建、大唐</w:t>
      </w:r>
      <w:r>
        <w:rPr>
          <w:w w:val="100"/>
        </w:rPr>
        <w:t> </w:t>
      </w:r>
      <w:r>
        <w:rPr/>
        <w:t>等央企国企及法国</w:t>
      </w:r>
      <w:r>
        <w:rPr>
          <w:spacing w:val="-54"/>
        </w:rPr>
        <w:t> </w:t>
      </w:r>
      <w:r>
        <w:rPr>
          <w:rFonts w:ascii="宋体" w:hAnsi="宋体" w:cs="宋体" w:eastAsia="宋体" w:hint="default"/>
        </w:rPr>
        <w:t>ENGIE</w:t>
      </w:r>
      <w:r>
        <w:rPr>
          <w:rFonts w:ascii="宋体" w:hAnsi="宋体" w:cs="宋体" w:eastAsia="宋体" w:hint="default"/>
          <w:spacing w:val="-56"/>
        </w:rPr>
        <w:t> </w:t>
      </w:r>
      <w:r>
        <w:rPr/>
        <w:t>公司、中东</w:t>
      </w:r>
      <w:r>
        <w:rPr>
          <w:spacing w:val="-53"/>
        </w:rPr>
        <w:t> </w:t>
      </w:r>
      <w:r>
        <w:rPr>
          <w:rFonts w:ascii="宋体" w:hAnsi="宋体" w:cs="宋体" w:eastAsia="宋体" w:hint="default"/>
        </w:rPr>
        <w:t>ACWA</w:t>
      </w:r>
      <w:r>
        <w:rPr>
          <w:rFonts w:ascii="宋体" w:hAnsi="宋体" w:cs="宋体" w:eastAsia="宋体" w:hint="default"/>
          <w:spacing w:val="-54"/>
        </w:rPr>
        <w:t> </w:t>
      </w:r>
      <w:r>
        <w:rPr/>
        <w:t>公司、新加坡</w:t>
      </w:r>
      <w:r>
        <w:rPr>
          <w:spacing w:val="-53"/>
        </w:rPr>
        <w:t> </w:t>
      </w:r>
      <w:r>
        <w:rPr>
          <w:rFonts w:ascii="宋体" w:hAnsi="宋体" w:cs="宋体" w:eastAsia="宋体" w:hint="default"/>
        </w:rPr>
        <w:t>SUNSEAP</w:t>
      </w:r>
      <w:r>
        <w:rPr>
          <w:rFonts w:ascii="宋体" w:hAnsi="宋体" w:cs="宋体" w:eastAsia="宋体" w:hint="default"/>
          <w:spacing w:val="-54"/>
        </w:rPr>
        <w:t> </w:t>
      </w:r>
      <w:r>
        <w:rPr/>
        <w:t>等合格供方名录。</w:t>
      </w:r>
    </w:p>
    <w:p>
      <w:pPr>
        <w:pStyle w:val="BodyText"/>
        <w:spacing w:line="273" w:lineRule="auto" w:before="163"/>
        <w:ind w:left="178" w:right="109" w:firstLine="420"/>
        <w:jc w:val="both"/>
      </w:pPr>
      <w:r>
        <w:rPr>
          <w:spacing w:val="-2"/>
        </w:rPr>
        <w:t>在自主开发建设运营电站的同时，公司先后与中广核、中电建、中能建、中国通建、大唐、华</w:t>
      </w:r>
      <w:r>
        <w:rPr>
          <w:w w:val="100"/>
        </w:rPr>
        <w:t> </w:t>
      </w:r>
      <w:r>
        <w:rPr/>
        <w:t>为及国网电商等国企央企形成战略合作关系，推进国内光伏</w:t>
      </w:r>
      <w:r>
        <w:rPr>
          <w:spacing w:val="-55"/>
        </w:rPr>
        <w:t> </w:t>
      </w:r>
      <w:r>
        <w:rPr>
          <w:rFonts w:ascii="宋体" w:hAnsi="宋体" w:cs="宋体" w:eastAsia="宋体" w:hint="default"/>
        </w:rPr>
        <w:t>EPC</w:t>
      </w:r>
      <w:r>
        <w:rPr>
          <w:rFonts w:ascii="宋体" w:hAnsi="宋体" w:cs="宋体" w:eastAsia="宋体" w:hint="default"/>
          <w:spacing w:val="-55"/>
        </w:rPr>
        <w:t> </w:t>
      </w:r>
      <w:r>
        <w:rPr/>
        <w:t>及海外光伏业务的紧密合作关系，</w:t>
      </w:r>
      <w:r>
        <w:rPr>
          <w:w w:val="100"/>
        </w:rPr>
        <w:t> </w:t>
      </w:r>
      <w:r>
        <w:rPr/>
        <w:t>积极拓展新的商业模式和盈利模式。</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spacing w:val="-3"/>
        </w:rPr>
        <w:t>月，公司与中广核就</w:t>
      </w:r>
      <w:r>
        <w:rPr>
          <w:spacing w:val="-51"/>
        </w:rPr>
        <w:t> </w:t>
      </w:r>
      <w:r>
        <w:rPr>
          <w:rFonts w:ascii="宋体" w:hAnsi="宋体" w:cs="宋体" w:eastAsia="宋体" w:hint="default"/>
        </w:rPr>
        <w:t>200MW</w:t>
      </w:r>
      <w:r>
        <w:rPr>
          <w:rFonts w:ascii="宋体" w:hAnsi="宋体" w:cs="宋体" w:eastAsia="宋体" w:hint="default"/>
          <w:spacing w:val="-51"/>
        </w:rPr>
        <w:t> </w:t>
      </w:r>
      <w:r>
        <w:rPr/>
        <w:t>泗洪天岗湖领跑者基地项</w:t>
      </w:r>
      <w:r>
        <w:rPr>
          <w:w w:val="100"/>
        </w:rPr>
        <w:t> </w:t>
      </w:r>
      <w:r>
        <w:rPr/>
        <w:t>目签订</w:t>
      </w:r>
      <w:r>
        <w:rPr>
          <w:spacing w:val="-55"/>
        </w:rPr>
        <w:t> </w:t>
      </w:r>
      <w:r>
        <w:rPr>
          <w:rFonts w:ascii="宋体" w:hAnsi="宋体" w:cs="宋体" w:eastAsia="宋体" w:hint="default"/>
        </w:rPr>
        <w:t>11.09</w:t>
      </w:r>
      <w:r>
        <w:rPr>
          <w:rFonts w:ascii="宋体" w:hAnsi="宋体" w:cs="宋体" w:eastAsia="宋体" w:hint="default"/>
          <w:spacing w:val="-55"/>
        </w:rPr>
        <w:t> </w:t>
      </w:r>
      <w:r>
        <w:rPr/>
        <w:t>亿元</w:t>
      </w:r>
      <w:r>
        <w:rPr>
          <w:spacing w:val="-55"/>
        </w:rPr>
        <w:t> </w:t>
      </w:r>
      <w:r>
        <w:rPr>
          <w:rFonts w:ascii="宋体" w:hAnsi="宋体" w:cs="宋体" w:eastAsia="宋体" w:hint="default"/>
        </w:rPr>
        <w:t>EPC</w:t>
      </w:r>
      <w:r>
        <w:rPr>
          <w:rFonts w:ascii="宋体" w:hAnsi="宋体" w:cs="宋体" w:eastAsia="宋体" w:hint="default"/>
          <w:spacing w:val="-55"/>
        </w:rPr>
        <w:t> </w:t>
      </w:r>
      <w:r>
        <w:rPr/>
        <w:t>总承包合同，并于当年实现并网；公司与中电建河南分公司签订战略合作协</w:t>
      </w:r>
      <w:r>
        <w:rPr>
          <w:w w:val="100"/>
        </w:rPr>
        <w:t> </w:t>
      </w:r>
      <w:r>
        <w:rPr/>
        <w:t>议，围绕</w:t>
      </w:r>
      <w:r>
        <w:rPr>
          <w:spacing w:val="-54"/>
        </w:rPr>
        <w:t> </w:t>
      </w:r>
      <w:r>
        <w:rPr>
          <w:rFonts w:ascii="宋体" w:hAnsi="宋体" w:cs="宋体" w:eastAsia="宋体" w:hint="default"/>
        </w:rPr>
        <w:t>500MW</w:t>
      </w:r>
      <w:r>
        <w:rPr>
          <w:rFonts w:ascii="宋体" w:hAnsi="宋体" w:cs="宋体" w:eastAsia="宋体" w:hint="default"/>
          <w:spacing w:val="-56"/>
        </w:rPr>
        <w:t> </w:t>
      </w:r>
      <w:r>
        <w:rPr/>
        <w:t>海外光伏项目采用</w:t>
      </w:r>
      <w:r>
        <w:rPr>
          <w:spacing w:val="-53"/>
        </w:rPr>
        <w:t> </w:t>
      </w:r>
      <w:r>
        <w:rPr>
          <w:rFonts w:ascii="宋体" w:hAnsi="宋体" w:cs="宋体" w:eastAsia="宋体" w:hint="default"/>
        </w:rPr>
        <w:t>N</w:t>
      </w:r>
      <w:r>
        <w:rPr>
          <w:rFonts w:ascii="宋体" w:hAnsi="宋体" w:cs="宋体" w:eastAsia="宋体" w:hint="default"/>
          <w:spacing w:val="-56"/>
        </w:rPr>
        <w:t> </w:t>
      </w:r>
      <w:r>
        <w:rPr/>
        <w:t>型高效双面组件、</w:t>
      </w:r>
      <w:r>
        <w:rPr>
          <w:rFonts w:ascii="宋体" w:hAnsi="宋体" w:cs="宋体" w:eastAsia="宋体" w:hint="default"/>
        </w:rPr>
        <w:t>EPC</w:t>
      </w:r>
      <w:r>
        <w:rPr>
          <w:rFonts w:ascii="宋体" w:hAnsi="宋体" w:cs="宋体" w:eastAsia="宋体" w:hint="default"/>
          <w:spacing w:val="-54"/>
        </w:rPr>
        <w:t> </w:t>
      </w:r>
      <w:r>
        <w:rPr/>
        <w:t>等业务开展深度合作。未来，公司将持</w:t>
      </w:r>
    </w:p>
    <w:p>
      <w:pPr>
        <w:spacing w:after="0" w:line="273" w:lineRule="auto"/>
        <w:jc w:val="both"/>
        <w:sectPr>
          <w:footerReference w:type="default" r:id="rId18"/>
          <w:pgSz w:w="11910" w:h="16840"/>
          <w:pgMar w:footer="974" w:header="728" w:top="1120" w:bottom="1160" w:left="1240" w:right="1300"/>
          <w:pgNumType w:start="21"/>
        </w:sectPr>
      </w:pPr>
    </w:p>
    <w:p>
      <w:pPr>
        <w:spacing w:line="240" w:lineRule="auto" w:before="10"/>
        <w:rPr>
          <w:rFonts w:ascii="宋体" w:hAnsi="宋体" w:cs="宋体" w:eastAsia="宋体" w:hint="default"/>
          <w:sz w:val="26"/>
          <w:szCs w:val="26"/>
        </w:rPr>
      </w:pPr>
    </w:p>
    <w:p>
      <w:pPr>
        <w:pStyle w:val="BodyText"/>
        <w:spacing w:line="273" w:lineRule="auto" w:before="36"/>
        <w:ind w:right="267"/>
        <w:jc w:val="both"/>
      </w:pPr>
      <w:r>
        <w:rPr/>
        <w:t>续为更多的战略大客户提供定向开发、建设、运营各类光伏电站，全面推进公司海内外</w:t>
      </w:r>
      <w:r>
        <w:rPr>
          <w:spacing w:val="-54"/>
        </w:rPr>
        <w:t> </w:t>
      </w:r>
      <w:r>
        <w:rPr>
          <w:rFonts w:ascii="宋体" w:hAnsi="宋体" w:cs="宋体" w:eastAsia="宋体" w:hint="default"/>
        </w:rPr>
        <w:t>EPC</w:t>
      </w:r>
      <w:r>
        <w:rPr>
          <w:rFonts w:ascii="宋体" w:hAnsi="宋体" w:cs="宋体" w:eastAsia="宋体" w:hint="default"/>
          <w:spacing w:val="-57"/>
        </w:rPr>
        <w:t> </w:t>
      </w:r>
      <w:r>
        <w:rPr/>
        <w:t>系统集</w:t>
      </w:r>
      <w:r>
        <w:rPr>
          <w:w w:val="100"/>
        </w:rPr>
        <w:t> </w:t>
      </w:r>
      <w:r>
        <w:rPr/>
        <w:t>成业务，推动业绩持续增长。</w:t>
      </w:r>
    </w:p>
    <w:p>
      <w:pPr>
        <w:pStyle w:val="BodyText"/>
        <w:spacing w:line="273" w:lineRule="auto" w:before="163"/>
        <w:ind w:right="226" w:firstLine="420"/>
        <w:jc w:val="left"/>
      </w:pPr>
      <w:r>
        <w:rPr>
          <w:rFonts w:ascii="宋体" w:hAnsi="宋体" w:cs="宋体" w:eastAsia="宋体" w:hint="default"/>
        </w:rPr>
        <w:t>2018</w:t>
      </w:r>
      <w:r>
        <w:rPr>
          <w:rFonts w:ascii="宋体" w:hAnsi="宋体" w:cs="宋体" w:eastAsia="宋体" w:hint="default"/>
          <w:spacing w:val="-14"/>
        </w:rPr>
        <w:t> </w:t>
      </w:r>
      <w:r>
        <w:rPr>
          <w:spacing w:val="-2"/>
        </w:rPr>
        <w:t>年，公司光伏电站运维团队以“安全第一、运行可靠、效益为先、长期受控”十六字管理</w:t>
      </w:r>
      <w:r>
        <w:rPr>
          <w:w w:val="100"/>
        </w:rPr>
        <w:t> </w:t>
      </w:r>
      <w:r>
        <w:rPr/>
        <w:t>方针为准则，积极引进高级管理和技术人才，运维电站总容量已突破</w:t>
      </w:r>
      <w:r>
        <w:rPr>
          <w:spacing w:val="-55"/>
        </w:rPr>
        <w:t> </w:t>
      </w:r>
      <w:r>
        <w:rPr>
          <w:rFonts w:ascii="宋体" w:hAnsi="宋体" w:cs="宋体" w:eastAsia="宋体" w:hint="default"/>
        </w:rPr>
        <w:t>1.7GW</w:t>
      </w:r>
      <w:r>
        <w:rPr/>
        <w:t>，为了保障公司各类分</w:t>
      </w:r>
      <w:r>
        <w:rPr>
          <w:w w:val="100"/>
        </w:rPr>
        <w:t> </w:t>
      </w:r>
      <w:r>
        <w:rPr>
          <w:spacing w:val="-3"/>
        </w:rPr>
        <w:t>布式光伏电站的安全可靠运行，公司依托自主开发的云平台，展开“红外无人机巡检</w:t>
      </w:r>
      <w:r>
        <w:rPr>
          <w:rFonts w:ascii="宋体" w:hAnsi="宋体" w:cs="宋体" w:eastAsia="宋体" w:hint="default"/>
          <w:spacing w:val="-3"/>
        </w:rPr>
        <w:t>+</w:t>
      </w:r>
      <w:r>
        <w:rPr>
          <w:spacing w:val="-3"/>
        </w:rPr>
        <w:t>人工现场巡检</w:t>
      </w:r>
    </w:p>
    <w:p>
      <w:pPr>
        <w:pStyle w:val="BodyText"/>
        <w:spacing w:line="273" w:lineRule="auto" w:before="7"/>
        <w:ind w:right="229"/>
        <w:jc w:val="both"/>
      </w:pPr>
      <w:r>
        <w:rPr>
          <w:rFonts w:ascii="宋体" w:hAnsi="宋体" w:cs="宋体" w:eastAsia="宋体" w:hint="default"/>
          <w:spacing w:val="-3"/>
        </w:rPr>
        <w:t>+</w:t>
      </w:r>
      <w:r>
        <w:rPr>
          <w:spacing w:val="-3"/>
        </w:rPr>
        <w:t>云平台远程监控”的三维巡检模式；依托“一站式运维检修服务”，发挥最大潜力提升发电量、降</w:t>
      </w:r>
      <w:r>
        <w:rPr>
          <w:spacing w:val="-47"/>
        </w:rPr>
        <w:t> </w:t>
      </w:r>
      <w:r>
        <w:rPr>
          <w:spacing w:val="-47"/>
        </w:rPr>
      </w:r>
      <w:r>
        <w:rPr>
          <w:spacing w:val="-2"/>
        </w:rPr>
        <w:t>低电量损失，并通过增加农光、渔光养殖和种植，充分利用土地和水面并增加收入。在公司运维团</w:t>
      </w:r>
      <w:r>
        <w:rPr>
          <w:spacing w:val="-25"/>
        </w:rPr>
        <w:t> </w:t>
      </w:r>
      <w:r>
        <w:rPr>
          <w:spacing w:val="-25"/>
        </w:rPr>
      </w:r>
      <w:r>
        <w:rPr/>
        <w:t>队的共同努力下，</w:t>
      </w:r>
      <w:r>
        <w:rPr>
          <w:rFonts w:ascii="宋体" w:hAnsi="宋体" w:cs="宋体" w:eastAsia="宋体" w:hint="default"/>
        </w:rPr>
        <w:t>2018</w:t>
      </w:r>
      <w:r>
        <w:rPr>
          <w:rFonts w:ascii="宋体" w:hAnsi="宋体" w:cs="宋体" w:eastAsia="宋体" w:hint="default"/>
          <w:spacing w:val="-56"/>
        </w:rPr>
        <w:t> </w:t>
      </w:r>
      <w:r>
        <w:rPr/>
        <w:t>年实现公司电站每兆瓦发电量突破</w:t>
      </w:r>
      <w:r>
        <w:rPr>
          <w:spacing w:val="-53"/>
        </w:rPr>
        <w:t> </w:t>
      </w:r>
      <w:r>
        <w:rPr>
          <w:rFonts w:ascii="宋体" w:hAnsi="宋体" w:cs="宋体" w:eastAsia="宋体" w:hint="default"/>
        </w:rPr>
        <w:t>126</w:t>
      </w:r>
      <w:r>
        <w:rPr>
          <w:rFonts w:ascii="宋体" w:hAnsi="宋体" w:cs="宋体" w:eastAsia="宋体" w:hint="default"/>
          <w:spacing w:val="-56"/>
        </w:rPr>
        <w:t> </w:t>
      </w:r>
      <w:r>
        <w:rPr/>
        <w:t>万度，单位发电量行业领先。</w:t>
      </w:r>
    </w:p>
    <w:p>
      <w:pPr>
        <w:spacing w:line="468" w:lineRule="exact" w:before="34"/>
        <w:ind w:left="638" w:right="22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、综合能源服务业务全面启动，丰富用户类型形成闭环优势</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报告期内，公司智慧能效管理云平台已覆盖</w:t>
      </w:r>
      <w:r>
        <w:rPr>
          <w:rFonts w:ascii="宋体" w:hAnsi="宋体" w:cs="宋体" w:eastAsia="宋体" w:hint="default"/>
          <w:spacing w:val="-43"/>
          <w:sz w:val="21"/>
          <w:szCs w:val="21"/>
        </w:rPr>
        <w:t> </w:t>
      </w:r>
      <w:r>
        <w:rPr>
          <w:rFonts w:ascii="宋体" w:hAnsi="宋体" w:cs="宋体" w:eastAsia="宋体" w:hint="default"/>
          <w:sz w:val="21"/>
          <w:szCs w:val="21"/>
        </w:rPr>
        <w:t>3,469</w:t>
      </w:r>
      <w:r>
        <w:rPr>
          <w:rFonts w:ascii="宋体" w:hAnsi="宋体" w:cs="宋体" w:eastAsia="宋体" w:hint="default"/>
          <w:spacing w:val="-46"/>
          <w:sz w:val="21"/>
          <w:szCs w:val="21"/>
        </w:rPr>
        <w:t> </w:t>
      </w:r>
      <w:r>
        <w:rPr>
          <w:rFonts w:ascii="宋体" w:hAnsi="宋体" w:cs="宋体" w:eastAsia="宋体" w:hint="default"/>
          <w:spacing w:val="-4"/>
          <w:sz w:val="21"/>
          <w:szCs w:val="21"/>
        </w:rPr>
        <w:t>个工商业耗能大户，部署超过</w:t>
      </w:r>
      <w:r>
        <w:rPr>
          <w:rFonts w:ascii="宋体" w:hAnsi="宋体" w:cs="宋体" w:eastAsia="宋体" w:hint="default"/>
          <w:spacing w:val="-42"/>
          <w:sz w:val="21"/>
          <w:szCs w:val="21"/>
        </w:rPr>
        <w:t> </w:t>
      </w:r>
      <w:r>
        <w:rPr>
          <w:rFonts w:ascii="宋体" w:hAnsi="宋体" w:cs="宋体" w:eastAsia="宋体" w:hint="default"/>
          <w:sz w:val="21"/>
          <w:szCs w:val="21"/>
        </w:rPr>
        <w:t>35,000</w:t>
      </w:r>
      <w:r>
        <w:rPr>
          <w:rFonts w:ascii="宋体" w:hAnsi="宋体" w:cs="宋体" w:eastAsia="宋体" w:hint="default"/>
          <w:spacing w:val="-43"/>
          <w:sz w:val="21"/>
          <w:szCs w:val="21"/>
        </w:rPr>
        <w:t> </w:t>
      </w:r>
      <w:r>
        <w:rPr>
          <w:rFonts w:ascii="宋体" w:hAnsi="宋体" w:cs="宋体" w:eastAsia="宋体" w:hint="default"/>
          <w:sz w:val="21"/>
          <w:szCs w:val="21"/>
        </w:rPr>
        <w:t>个能效</w:t>
      </w:r>
    </w:p>
    <w:p>
      <w:pPr>
        <w:pStyle w:val="BodyText"/>
        <w:spacing w:line="248" w:lineRule="exact"/>
        <w:ind w:right="0"/>
        <w:jc w:val="both"/>
      </w:pPr>
      <w:r>
        <w:rPr/>
        <w:t>采集点，管理用电负荷超过</w:t>
      </w:r>
      <w:r>
        <w:rPr>
          <w:spacing w:val="-55"/>
        </w:rPr>
        <w:t> </w:t>
      </w:r>
      <w:r>
        <w:rPr>
          <w:rFonts w:ascii="宋体" w:hAnsi="宋体" w:cs="宋体" w:eastAsia="宋体" w:hint="default"/>
        </w:rPr>
        <w:t>750MW</w:t>
      </w:r>
      <w:r>
        <w:rPr/>
        <w:t>，日用电量超过</w:t>
      </w:r>
      <w:r>
        <w:rPr>
          <w:spacing w:val="-57"/>
        </w:rPr>
        <w:t> </w:t>
      </w:r>
      <w:r>
        <w:rPr>
          <w:rFonts w:ascii="宋体" w:hAnsi="宋体" w:cs="宋体" w:eastAsia="宋体" w:hint="default"/>
        </w:rPr>
        <w:t>1,900</w:t>
      </w:r>
      <w:r>
        <w:rPr>
          <w:rFonts w:ascii="宋体" w:hAnsi="宋体" w:cs="宋体" w:eastAsia="宋体" w:hint="default"/>
          <w:spacing w:val="-57"/>
        </w:rPr>
        <w:t> </w:t>
      </w:r>
      <w:r>
        <w:rPr/>
        <w:t>万度。公司积累了大量能耗数据，凭借专</w:t>
      </w:r>
    </w:p>
    <w:p>
      <w:pPr>
        <w:pStyle w:val="BodyText"/>
        <w:spacing w:line="273" w:lineRule="auto" w:before="37"/>
        <w:ind w:right="268"/>
        <w:jc w:val="both"/>
      </w:pPr>
      <w:r>
        <w:rPr>
          <w:spacing w:val="-2"/>
        </w:rPr>
        <w:t>业技术有针对性的为用户开展节能改造、合同能源管理等业务。平台上高能耗企业和行业用户接入</w:t>
      </w:r>
      <w:r>
        <w:rPr>
          <w:spacing w:val="-25"/>
        </w:rPr>
        <w:t> </w:t>
      </w:r>
      <w:r>
        <w:rPr>
          <w:spacing w:val="-25"/>
        </w:rPr>
      </w:r>
      <w:r>
        <w:rPr>
          <w:spacing w:val="-2"/>
        </w:rPr>
        <w:t>量呈现快速增长，如钢铁、化工等传统高能耗企业保持较高的接入量增长，同时交通、清洁供暖等</w:t>
      </w:r>
      <w:r>
        <w:rPr>
          <w:spacing w:val="-25"/>
        </w:rPr>
        <w:t> </w:t>
      </w:r>
      <w:r>
        <w:rPr>
          <w:spacing w:val="-25"/>
        </w:rPr>
      </w:r>
      <w:r>
        <w:rPr>
          <w:spacing w:val="-2"/>
        </w:rPr>
        <w:t>行业用户也成为平台上的新兴行业用户，平台也在不断的拓展功能，开发环保应用该平台和综合能</w:t>
      </w:r>
      <w:r>
        <w:rPr>
          <w:spacing w:val="-25"/>
        </w:rPr>
        <w:t> </w:t>
      </w:r>
      <w:r>
        <w:rPr>
          <w:spacing w:val="-25"/>
        </w:rPr>
      </w:r>
      <w:r>
        <w:rPr/>
        <w:t>源服务平台。</w:t>
      </w:r>
    </w:p>
    <w:p>
      <w:pPr>
        <w:pStyle w:val="BodyText"/>
        <w:spacing w:line="273" w:lineRule="auto" w:before="163"/>
        <w:ind w:right="230" w:firstLine="420"/>
        <w:jc w:val="both"/>
      </w:pPr>
      <w:r>
        <w:rPr>
          <w:spacing w:val="-6"/>
        </w:rPr>
        <w:t>公司在高效照明、储能微网、清洁高效电供暖、工业节能改造等方面的业务量逐渐增加，园区、</w:t>
      </w:r>
      <w:r>
        <w:rPr>
          <w:w w:val="100"/>
        </w:rPr>
        <w:t> </w:t>
      </w:r>
      <w:r>
        <w:rPr>
          <w:spacing w:val="-3"/>
        </w:rPr>
        <w:t>公共建筑、交通等行业用户成为综合能源服务的新的增长。截止目前，公司成功中标河北</w:t>
      </w:r>
      <w:r>
        <w:rPr>
          <w:spacing w:val="-33"/>
        </w:rPr>
        <w:t> </w:t>
      </w:r>
      <w:r>
        <w:rPr>
          <w:rFonts w:ascii="宋体" w:hAnsi="宋体" w:cs="宋体" w:eastAsia="宋体" w:hint="default"/>
        </w:rPr>
        <w:t>1.48</w:t>
      </w:r>
      <w:r>
        <w:rPr>
          <w:rFonts w:ascii="宋体" w:hAnsi="宋体" w:cs="宋体" w:eastAsia="宋体" w:hint="default"/>
          <w:spacing w:val="-36"/>
        </w:rPr>
        <w:t> </w:t>
      </w:r>
      <w:r>
        <w:rPr>
          <w:spacing w:val="-3"/>
        </w:rPr>
        <w:t>亿元</w:t>
      </w:r>
      <w:r>
        <w:rPr>
          <w:spacing w:val="-96"/>
        </w:rPr>
        <w:t> </w:t>
      </w:r>
      <w:r>
        <w:rPr>
          <w:spacing w:val="-2"/>
        </w:rPr>
        <w:t>交通系统节能改造项目，是公司正式进入交通系统、具备为交通系统提供系统解决方案的能力；公</w:t>
      </w:r>
      <w:r>
        <w:rPr>
          <w:spacing w:val="-28"/>
        </w:rPr>
        <w:t> </w:t>
      </w:r>
      <w:r>
        <w:rPr>
          <w:spacing w:val="-28"/>
        </w:rPr>
      </w:r>
      <w:r>
        <w:rPr>
          <w:spacing w:val="-2"/>
        </w:rPr>
        <w:t>司与远东能源、北京启迪等公司共同设立英大</w:t>
      </w:r>
      <w:r>
        <w:rPr>
          <w:rFonts w:ascii="宋体" w:hAnsi="宋体" w:cs="宋体" w:eastAsia="宋体" w:hint="default"/>
          <w:spacing w:val="-2"/>
        </w:rPr>
        <w:t>(</w:t>
      </w:r>
      <w:r>
        <w:rPr>
          <w:spacing w:val="-2"/>
        </w:rPr>
        <w:t>苏州</w:t>
      </w:r>
      <w:r>
        <w:rPr>
          <w:rFonts w:ascii="宋体" w:hAnsi="宋体" w:cs="宋体" w:eastAsia="宋体" w:hint="default"/>
          <w:spacing w:val="-2"/>
        </w:rPr>
        <w:t>)</w:t>
      </w:r>
      <w:r>
        <w:rPr>
          <w:spacing w:val="-2"/>
        </w:rPr>
        <w:t>综合能源投资中心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，通过产业基金</w:t>
      </w:r>
      <w:r>
        <w:rPr>
          <w:spacing w:val="-24"/>
        </w:rPr>
        <w:t> </w:t>
      </w:r>
      <w:r>
        <w:rPr>
          <w:spacing w:val="-24"/>
        </w:rPr>
      </w:r>
      <w:r>
        <w:rPr>
          <w:spacing w:val="-2"/>
        </w:rPr>
        <w:t>加快综合能源服务业务发展，并获得首个徐州清洁供暖示范项目。结合能效平台数据分析功能，不</w:t>
      </w:r>
      <w:r>
        <w:rPr>
          <w:spacing w:val="-25"/>
        </w:rPr>
        <w:t> </w:t>
      </w:r>
      <w:r>
        <w:rPr>
          <w:spacing w:val="-25"/>
        </w:rPr>
      </w:r>
      <w:r>
        <w:rPr>
          <w:spacing w:val="-2"/>
        </w:rPr>
        <w:t>断的总结提高项目设计、实施、运营能力，项目收益不断提升，提高了用户的用能体验，增加了用</w:t>
      </w:r>
      <w:r>
        <w:rPr>
          <w:spacing w:val="-25"/>
        </w:rPr>
        <w:t> </w:t>
      </w:r>
      <w:r>
        <w:rPr>
          <w:spacing w:val="-25"/>
        </w:rPr>
      </w:r>
      <w:r>
        <w:rPr/>
        <w:t>户粘性，为未来将出现的商业模式奠定了基础。</w:t>
      </w:r>
    </w:p>
    <w:p>
      <w:pPr>
        <w:pStyle w:val="BodyText"/>
        <w:spacing w:line="273" w:lineRule="auto" w:before="163"/>
        <w:ind w:right="0" w:firstLine="420"/>
        <w:jc w:val="left"/>
      </w:pPr>
      <w:r>
        <w:rPr/>
        <w:t>公司多年来一直重视产品技术的研发和创新，收集并分析行业信息和产品关键指标，并通过不</w:t>
      </w:r>
      <w:r>
        <w:rPr>
          <w:w w:val="100"/>
        </w:rPr>
        <w:t> </w:t>
      </w:r>
      <w:r>
        <w:rPr/>
        <w:t>断的测试与开发，目前已经拥有自主知识产权的“易能效”智慧能效管理云平台、“易能效”电能</w:t>
      </w:r>
      <w:r>
        <w:rPr>
          <w:w w:val="100"/>
        </w:rPr>
        <w:t> </w:t>
      </w:r>
      <w:r>
        <w:rPr/>
        <w:t>监测终端和</w:t>
      </w:r>
      <w:r>
        <w:rPr>
          <w:spacing w:val="-24"/>
        </w:rPr>
        <w:t> </w:t>
      </w:r>
      <w:r>
        <w:rPr>
          <w:rFonts w:ascii="宋体" w:hAnsi="宋体" w:cs="宋体" w:eastAsia="宋体" w:hint="default"/>
        </w:rPr>
        <w:t>LY-6000</w:t>
      </w:r>
      <w:r>
        <w:rPr>
          <w:rFonts w:ascii="宋体" w:hAnsi="宋体" w:cs="宋体" w:eastAsia="宋体" w:hint="default"/>
          <w:spacing w:val="-27"/>
        </w:rPr>
        <w:t> </w:t>
      </w:r>
      <w:r>
        <w:rPr>
          <w:spacing w:val="-4"/>
        </w:rPr>
        <w:t>用户侧电储能及微电网能源管理系统入围工业领域电力需求侧管理产品（技术）</w:t>
      </w:r>
      <w:r>
        <w:rPr>
          <w:spacing w:val="-94"/>
        </w:rPr>
        <w:t> </w:t>
      </w:r>
      <w:r>
        <w:rPr>
          <w:spacing w:val="-94"/>
        </w:rPr>
      </w:r>
      <w:r>
        <w:rPr/>
        <w:t>参考目录。上述系统，通过能效监测、数据分析、优化方案、结果反馈的系列运作，满足用电需求</w:t>
      </w:r>
      <w:r>
        <w:rPr>
          <w:w w:val="100"/>
        </w:rPr>
        <w:t> </w:t>
      </w:r>
      <w:r>
        <w:rPr/>
        <w:t>侧的节能需求，是行业领先的能效管理专家。</w:t>
      </w:r>
    </w:p>
    <w:p>
      <w:pPr>
        <w:spacing w:line="240" w:lineRule="auto" w:before="0"/>
        <w:rPr>
          <w:rFonts w:ascii="宋体" w:hAnsi="宋体" w:cs="宋体" w:eastAsia="宋体" w:hint="default"/>
          <w:sz w:val="29"/>
          <w:szCs w:val="29"/>
        </w:rPr>
      </w:pPr>
    </w:p>
    <w:p>
      <w:pPr>
        <w:pStyle w:val="Heading2"/>
        <w:spacing w:line="240" w:lineRule="auto" w:before="0"/>
        <w:ind w:right="0"/>
        <w:jc w:val="both"/>
        <w:rPr>
          <w:b w:val="0"/>
          <w:bCs w:val="0"/>
        </w:rPr>
      </w:pPr>
      <w:r>
        <w:rPr/>
        <w:t>二、报告期内主要经营情况</w:t>
      </w:r>
      <w:r>
        <w:rPr>
          <w:b w:val="0"/>
          <w:bCs w:val="0"/>
        </w:rPr>
      </w:r>
    </w:p>
    <w:p>
      <w:pPr>
        <w:pStyle w:val="BodyText"/>
        <w:spacing w:line="273" w:lineRule="auto" w:before="97"/>
        <w:ind w:right="226" w:firstLine="420"/>
        <w:jc w:val="left"/>
      </w:pPr>
      <w:r>
        <w:rPr>
          <w:spacing w:val="-9"/>
          <w:w w:val="100"/>
        </w:rPr>
        <w:t>报告期内，公司实现营业收入</w:t>
      </w:r>
      <w:r>
        <w:rPr>
          <w:spacing w:val="-52"/>
          <w:w w:val="100"/>
        </w:rPr>
        <w:t> </w:t>
      </w:r>
      <w:r>
        <w:rPr>
          <w:rFonts w:ascii="宋体" w:hAnsi="宋体" w:cs="宋体" w:eastAsia="宋体" w:hint="default"/>
          <w:spacing w:val="-1"/>
          <w:w w:val="100"/>
        </w:rPr>
        <w:t>40.17</w:t>
      </w:r>
      <w:r>
        <w:rPr>
          <w:rFonts w:ascii="宋体" w:hAnsi="宋体" w:cs="宋体" w:eastAsia="宋体" w:hint="default"/>
          <w:spacing w:val="-52"/>
          <w:w w:val="100"/>
        </w:rPr>
        <w:t> </w:t>
      </w:r>
      <w:r>
        <w:rPr>
          <w:spacing w:val="-15"/>
          <w:w w:val="100"/>
        </w:rPr>
        <w:t>亿元，同比增长</w:t>
      </w:r>
      <w:r>
        <w:rPr>
          <w:spacing w:val="-52"/>
          <w:w w:val="100"/>
        </w:rPr>
        <w:t> </w:t>
      </w:r>
      <w:r>
        <w:rPr>
          <w:rFonts w:ascii="宋体" w:hAnsi="宋体" w:cs="宋体" w:eastAsia="宋体" w:hint="default"/>
          <w:spacing w:val="-6"/>
          <w:w w:val="100"/>
        </w:rPr>
        <w:t>11.94%</w:t>
      </w:r>
      <w:r>
        <w:rPr>
          <w:spacing w:val="-6"/>
          <w:w w:val="100"/>
        </w:rPr>
        <w:t>，归属于上市公司股东的净利润</w:t>
      </w:r>
      <w:r>
        <w:rPr>
          <w:spacing w:val="-52"/>
          <w:w w:val="100"/>
        </w:rPr>
        <w:t> </w:t>
      </w:r>
      <w:r>
        <w:rPr>
          <w:rFonts w:ascii="宋体" w:hAnsi="宋体" w:cs="宋体" w:eastAsia="宋体" w:hint="default"/>
          <w:spacing w:val="-1"/>
          <w:w w:val="100"/>
        </w:rPr>
        <w:t>7.61</w:t>
      </w:r>
      <w:r>
        <w:rPr>
          <w:rFonts w:ascii="宋体" w:hAnsi="宋体" w:cs="宋体" w:eastAsia="宋体" w:hint="default"/>
          <w:w w:val="100"/>
        </w:rPr>
        <w:t> </w:t>
      </w:r>
      <w:r>
        <w:rPr/>
        <w:t>亿元，同比增长</w:t>
      </w:r>
      <w:r>
        <w:rPr>
          <w:spacing w:val="-56"/>
        </w:rPr>
        <w:t> </w:t>
      </w:r>
      <w:r>
        <w:rPr>
          <w:rFonts w:ascii="宋体" w:hAnsi="宋体" w:cs="宋体" w:eastAsia="宋体" w:hint="default"/>
        </w:rPr>
        <w:t>10.86%</w:t>
      </w:r>
      <w:r>
        <w:rPr/>
        <w:t>。</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28" w:footer="974" w:top="1120" w:bottom="1160" w:left="1200" w:right="1180"/>
        </w:sectPr>
      </w:pPr>
    </w:p>
    <w:p>
      <w:pPr>
        <w:pStyle w:val="Heading2"/>
        <w:tabs>
          <w:tab w:pos="1058" w:val="left" w:leader="none"/>
        </w:tabs>
        <w:spacing w:line="240" w:lineRule="auto"/>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tabs>
          <w:tab w:pos="638" w:val="left" w:leader="none"/>
        </w:tabs>
        <w:spacing w:line="240" w:lineRule="auto" w:before="97"/>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200" w:right="1180"/>
          <w:cols w:num="2" w:equalWidth="0">
            <w:col w:w="4436" w:space="2534"/>
            <w:col w:w="256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45"/>
        <w:gridCol w:w="1896"/>
        <w:gridCol w:w="1999"/>
        <w:gridCol w:w="1947"/>
      </w:tblGrid>
      <w:tr>
        <w:trPr>
          <w:trHeight w:val="324"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2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6"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4,016,739,559.85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3,588,198,201.68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11.94</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2,497,525,919.91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2,264,244,683.85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10.30</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131,536,205.79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119,227,019.36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10.32</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218,763,779.27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223,017,921.75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-1.91</w:t>
            </w:r>
          </w:p>
        </w:tc>
      </w:tr>
    </w:tbl>
    <w:p>
      <w:pPr>
        <w:spacing w:after="0" w:line="262" w:lineRule="exact"/>
        <w:jc w:val="right"/>
        <w:rPr>
          <w:rFonts w:ascii="宋体" w:hAnsi="宋体" w:cs="宋体" w:eastAsia="宋体" w:hint="default"/>
          <w:sz w:val="21"/>
          <w:szCs w:val="21"/>
        </w:rPr>
        <w:sectPr>
          <w:type w:val="continuous"/>
          <w:pgSz w:w="11910" w:h="16840"/>
          <w:pgMar w:top="1580" w:bottom="28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46" w:type="dxa"/>
        <w:tblLayout w:type="fixed"/>
        <w:tblCellMar>
          <w:top w:w="0" w:type="dxa"/>
          <w:left w:w="0" w:type="dxa"/>
          <w:bottom w:w="0" w:type="dxa"/>
          <w:right w:w="0" w:type="dxa"/>
        </w:tblCellMar>
        <w:tblLook w:val="01E0"/>
      </w:tblPr>
      <w:tblGrid>
        <w:gridCol w:w="3445"/>
        <w:gridCol w:w="1896"/>
        <w:gridCol w:w="1999"/>
        <w:gridCol w:w="1947"/>
      </w:tblGrid>
      <w:tr>
        <w:trPr>
          <w:trHeight w:val="324"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147,563,320.87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107,572,245.83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37.18</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254,019,267.90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115,464,739.09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120.00</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452,239,041.22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806,223,637.92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-43.91</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-740,087,156.17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-3,949,052,025.19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81.26</w:t>
            </w:r>
          </w:p>
        </w:tc>
      </w:tr>
      <w:tr>
        <w:trPr>
          <w:trHeight w:val="32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123,027,029.74</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3,111,705,508.87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-96.05</w:t>
            </w:r>
          </w:p>
        </w:tc>
      </w:tr>
    </w:tbl>
    <w:p>
      <w:pPr>
        <w:pStyle w:val="BodyText"/>
        <w:spacing w:line="262" w:lineRule="exact"/>
        <w:ind w:left="558" w:right="568"/>
        <w:jc w:val="left"/>
      </w:pPr>
      <w:r>
        <w:rPr>
          <w:rFonts w:ascii="宋体" w:hAnsi="宋体" w:cs="宋体" w:eastAsia="宋体" w:hint="default"/>
        </w:rPr>
        <w:t>1</w:t>
      </w:r>
      <w:r>
        <w:rPr/>
        <w:t>）财务费用上升系银行贷款及可转债利息增加所致；</w:t>
      </w:r>
    </w:p>
    <w:p>
      <w:pPr>
        <w:pStyle w:val="BodyText"/>
        <w:spacing w:line="240" w:lineRule="auto" w:before="37"/>
        <w:ind w:left="558" w:right="568"/>
        <w:jc w:val="left"/>
      </w:pPr>
      <w:r>
        <w:rPr>
          <w:rFonts w:ascii="宋体" w:hAnsi="宋体" w:cs="宋体" w:eastAsia="宋体" w:hint="default"/>
        </w:rPr>
        <w:t>2</w:t>
      </w:r>
      <w:r>
        <w:rPr/>
        <w:t>）研发费用增长主要系</w:t>
      </w:r>
      <w:r>
        <w:rPr>
          <w:spacing w:val="-56"/>
        </w:rPr>
        <w:t> </w:t>
      </w:r>
      <w:r>
        <w:rPr>
          <w:rFonts w:ascii="宋体" w:hAnsi="宋体" w:cs="宋体" w:eastAsia="宋体" w:hint="default"/>
        </w:rPr>
        <w:t>N</w:t>
      </w:r>
      <w:r>
        <w:rPr>
          <w:rFonts w:ascii="宋体" w:hAnsi="宋体" w:cs="宋体" w:eastAsia="宋体" w:hint="default"/>
          <w:spacing w:val="-55"/>
        </w:rPr>
        <w:t> </w:t>
      </w:r>
      <w:r>
        <w:rPr/>
        <w:t>型高效双面单晶电池、组件研发及海外研发费用增加所致。</w:t>
      </w:r>
    </w:p>
    <w:p>
      <w:pPr>
        <w:spacing w:line="240" w:lineRule="auto" w:before="0"/>
        <w:rPr>
          <w:rFonts w:ascii="宋体" w:hAnsi="宋体" w:cs="宋体" w:eastAsia="宋体" w:hint="default"/>
          <w:sz w:val="20"/>
          <w:szCs w:val="20"/>
        </w:rPr>
      </w:pPr>
    </w:p>
    <w:p>
      <w:pPr>
        <w:pStyle w:val="Heading2"/>
        <w:tabs>
          <w:tab w:pos="978" w:val="left" w:leader="none"/>
        </w:tabs>
        <w:spacing w:line="240" w:lineRule="auto" w:before="147"/>
        <w:ind w:left="558" w:right="568"/>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97"/>
        <w:ind w:left="558" w:right="568"/>
        <w:jc w:val="left"/>
      </w:pPr>
      <w:r>
        <w:rPr/>
        <w:t>√适用 □不适用</w:t>
      </w:r>
    </w:p>
    <w:p>
      <w:pPr>
        <w:pStyle w:val="BodyText"/>
        <w:spacing w:line="273" w:lineRule="auto" w:before="37"/>
        <w:ind w:left="558" w:right="568" w:firstLine="420"/>
        <w:jc w:val="left"/>
      </w:pPr>
      <w:r>
        <w:rPr/>
        <w:t>报告期内，公司营业收入</w:t>
      </w:r>
      <w:r>
        <w:rPr>
          <w:spacing w:val="-58"/>
        </w:rPr>
        <w:t> </w:t>
      </w:r>
      <w:r>
        <w:rPr>
          <w:rFonts w:ascii="宋体" w:hAnsi="宋体" w:cs="宋体" w:eastAsia="宋体" w:hint="default"/>
        </w:rPr>
        <w:t>40.17</w:t>
      </w:r>
      <w:r>
        <w:rPr>
          <w:rFonts w:ascii="宋体" w:hAnsi="宋体" w:cs="宋体" w:eastAsia="宋体" w:hint="default"/>
          <w:spacing w:val="-58"/>
        </w:rPr>
        <w:t> </w:t>
      </w:r>
      <w:r>
        <w:rPr/>
        <w:t>亿元，同比增长</w:t>
      </w:r>
      <w:r>
        <w:rPr>
          <w:spacing w:val="-56"/>
        </w:rPr>
        <w:t> </w:t>
      </w:r>
      <w:r>
        <w:rPr>
          <w:rFonts w:ascii="宋体" w:hAnsi="宋体" w:cs="宋体" w:eastAsia="宋体" w:hint="default"/>
        </w:rPr>
        <w:t>11.94%</w:t>
      </w:r>
      <w:r>
        <w:rPr/>
        <w:t>，主要系公司光伏电站</w:t>
      </w:r>
      <w:r>
        <w:rPr>
          <w:spacing w:val="-55"/>
        </w:rPr>
        <w:t> </w:t>
      </w:r>
      <w:r>
        <w:rPr>
          <w:rFonts w:ascii="宋体" w:hAnsi="宋体" w:cs="宋体" w:eastAsia="宋体" w:hint="default"/>
        </w:rPr>
        <w:t>EPC</w:t>
      </w:r>
      <w:r>
        <w:rPr>
          <w:rFonts w:ascii="宋体" w:hAnsi="宋体" w:cs="宋体" w:eastAsia="宋体" w:hint="default"/>
          <w:spacing w:val="-58"/>
        </w:rPr>
        <w:t> </w:t>
      </w:r>
      <w:r>
        <w:rPr/>
        <w:t>收入增长所</w:t>
      </w:r>
      <w:r>
        <w:rPr>
          <w:w w:val="100"/>
        </w:rPr>
        <w:t> </w:t>
      </w:r>
      <w:r>
        <w:rPr/>
        <w:t>致；营业成本</w:t>
      </w:r>
      <w:r>
        <w:rPr>
          <w:spacing w:val="-54"/>
        </w:rPr>
        <w:t> </w:t>
      </w:r>
      <w:r>
        <w:rPr>
          <w:rFonts w:ascii="宋体" w:hAnsi="宋体" w:cs="宋体" w:eastAsia="宋体" w:hint="default"/>
        </w:rPr>
        <w:t>24.98</w:t>
      </w:r>
      <w:r>
        <w:rPr>
          <w:rFonts w:ascii="宋体" w:hAnsi="宋体" w:cs="宋体" w:eastAsia="宋体" w:hint="default"/>
          <w:spacing w:val="-56"/>
        </w:rPr>
        <w:t> </w:t>
      </w:r>
      <w:r>
        <w:rPr/>
        <w:t>亿元，同比增长</w:t>
      </w:r>
      <w:r>
        <w:rPr>
          <w:spacing w:val="-53"/>
        </w:rPr>
        <w:t> </w:t>
      </w:r>
      <w:r>
        <w:rPr>
          <w:rFonts w:ascii="宋体" w:hAnsi="宋体" w:cs="宋体" w:eastAsia="宋体" w:hint="default"/>
        </w:rPr>
        <w:t>10.30%</w:t>
      </w:r>
      <w:r>
        <w:rPr/>
        <w:t>。</w:t>
      </w:r>
    </w:p>
    <w:p>
      <w:pPr>
        <w:spacing w:line="240" w:lineRule="auto" w:before="3"/>
        <w:rPr>
          <w:rFonts w:ascii="宋体" w:hAnsi="宋体" w:cs="宋体" w:eastAsia="宋体" w:hint="default"/>
          <w:sz w:val="26"/>
          <w:szCs w:val="26"/>
        </w:rPr>
      </w:pPr>
    </w:p>
    <w:p>
      <w:pPr>
        <w:pStyle w:val="Heading2"/>
        <w:spacing w:line="240" w:lineRule="auto"/>
        <w:ind w:left="558" w:right="56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571"/>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54"/>
        <w:gridCol w:w="1897"/>
        <w:gridCol w:w="1898"/>
        <w:gridCol w:w="1376"/>
        <w:gridCol w:w="1058"/>
        <w:gridCol w:w="1059"/>
        <w:gridCol w:w="1337"/>
      </w:tblGrid>
      <w:tr>
        <w:trPr>
          <w:trHeight w:val="324" w:hRule="exact"/>
        </w:trPr>
        <w:tc>
          <w:tcPr>
            <w:tcW w:w="99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毛利率（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65" w:firstLine="33"/>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智能配用电</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1,432,441,514.73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1,072,657,867.05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25.12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-22.53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-20.73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宋体" w:hAnsi="宋体" w:cs="宋体" w:eastAsia="宋体" w:hint="default"/>
                <w:sz w:val="21"/>
                <w:szCs w:val="21"/>
              </w:rPr>
              <w:t>1.70</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pacing w:val="-48"/>
                <w:sz w:val="21"/>
                <w:szCs w:val="21"/>
              </w:rPr>
              <w:t> </w:t>
            </w:r>
            <w:r>
              <w:rPr>
                <w:rFonts w:ascii="宋体" w:hAnsi="宋体" w:cs="宋体" w:eastAsia="宋体" w:hint="default"/>
                <w:spacing w:val="-3"/>
                <w:sz w:val="21"/>
                <w:szCs w:val="21"/>
              </w:rPr>
              <w:t>行业</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53,508,581.78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38,911,191.27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27.28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-15.80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-21.93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宋体" w:hAnsi="宋体" w:cs="宋体" w:eastAsia="宋体" w:hint="default"/>
                <w:sz w:val="21"/>
                <w:szCs w:val="21"/>
              </w:rPr>
              <w:t>5.71</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光伏行业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2,402,944,798.56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1,291,405,928.33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46.26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57.72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73.87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宋体" w:hAnsi="宋体" w:cs="宋体" w:eastAsia="宋体" w:hint="default"/>
                <w:sz w:val="21"/>
                <w:szCs w:val="21"/>
              </w:rPr>
              <w:t>4.99</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83,717,844.57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55,655,545.04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33.52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6.83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1.65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宋体" w:hAnsi="宋体" w:cs="宋体" w:eastAsia="宋体" w:hint="default"/>
                <w:sz w:val="21"/>
                <w:szCs w:val="21"/>
              </w:rPr>
              <w:t>3.39</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324" w:hRule="exact"/>
        </w:trPr>
        <w:tc>
          <w:tcPr>
            <w:tcW w:w="99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毛利率（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65" w:firstLine="33"/>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电能表及系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统类产品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1,330,729,785.62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984,678,823.22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26.00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-25.36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-24.02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宋体" w:hAnsi="宋体" w:cs="宋体" w:eastAsia="宋体" w:hint="default"/>
                <w:sz w:val="21"/>
                <w:szCs w:val="21"/>
              </w:rPr>
              <w:t>1.30</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72"/>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43"/>
                <w:sz w:val="21"/>
                <w:szCs w:val="21"/>
              </w:rPr>
              <w:t> </w:t>
            </w:r>
            <w:r>
              <w:rPr>
                <w:rFonts w:ascii="宋体" w:hAnsi="宋体" w:cs="宋体" w:eastAsia="宋体" w:hint="default"/>
                <w:spacing w:val="16"/>
                <w:sz w:val="21"/>
                <w:szCs w:val="21"/>
              </w:rPr>
              <w:t>系列产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53,508,581.78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38,911,191.27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27.28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-15.80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-21.93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宋体" w:hAnsi="宋体" w:cs="宋体" w:eastAsia="宋体" w:hint="default"/>
                <w:sz w:val="21"/>
                <w:szCs w:val="21"/>
              </w:rPr>
              <w:t>5.71</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光伏发电</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1,330,162,632.06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394,358,151.25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70.35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21.16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18.37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宋体" w:hAnsi="宋体" w:cs="宋体" w:eastAsia="宋体" w:hint="default"/>
                <w:sz w:val="21"/>
                <w:szCs w:val="21"/>
              </w:rPr>
              <w:t>0.70</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光伏 </w:t>
            </w:r>
            <w:r>
              <w:rPr>
                <w:rFonts w:ascii="宋体" w:hAnsi="宋体" w:cs="宋体" w:eastAsia="宋体" w:hint="default"/>
                <w:sz w:val="21"/>
                <w:szCs w:val="21"/>
              </w:rPr>
              <w:t>EPC</w:t>
            </w:r>
            <w:r>
              <w:rPr>
                <w:rFonts w:ascii="宋体" w:hAnsi="宋体" w:cs="宋体" w:eastAsia="宋体" w:hint="default"/>
                <w:spacing w:val="-17"/>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1,013,308,047.83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833,651,355.89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17.73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2,016.63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3,018.36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26.43</w:t>
            </w:r>
          </w:p>
          <w:p>
            <w:pPr>
              <w:pStyle w:val="TableParagraph"/>
              <w:spacing w:line="240" w:lineRule="auto" w:before="37"/>
              <w:ind w:left="24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6"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244,903,692.35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207,031,010.06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15.46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-53.11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-58.16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10.19</w:t>
            </w:r>
          </w:p>
          <w:p>
            <w:pPr>
              <w:pStyle w:val="TableParagraph"/>
              <w:spacing w:line="240" w:lineRule="auto" w:before="37"/>
              <w:ind w:left="24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2" w:hRule="exact"/>
        </w:trPr>
        <w:tc>
          <w:tcPr>
            <w:tcW w:w="99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bl>
    <w:p>
      <w:pPr>
        <w:spacing w:after="0" w:line="262" w:lineRule="exact"/>
        <w:jc w:val="center"/>
        <w:rPr>
          <w:rFonts w:ascii="宋体" w:hAnsi="宋体" w:cs="宋体" w:eastAsia="宋体" w:hint="default"/>
          <w:sz w:val="21"/>
          <w:szCs w:val="21"/>
        </w:rPr>
        <w:sectPr>
          <w:pgSz w:w="11910" w:h="16840"/>
          <w:pgMar w:header="728" w:footer="974" w:top="1120" w:bottom="1160" w:left="86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0" w:type="dxa"/>
        <w:tblLayout w:type="fixed"/>
        <w:tblCellMar>
          <w:top w:w="0" w:type="dxa"/>
          <w:left w:w="0" w:type="dxa"/>
          <w:bottom w:w="0" w:type="dxa"/>
          <w:right w:w="0" w:type="dxa"/>
        </w:tblCellMar>
        <w:tblLook w:val="01E0"/>
      </w:tblPr>
      <w:tblGrid>
        <w:gridCol w:w="1354"/>
        <w:gridCol w:w="1897"/>
        <w:gridCol w:w="1898"/>
        <w:gridCol w:w="1126"/>
        <w:gridCol w:w="1090"/>
        <w:gridCol w:w="1277"/>
        <w:gridCol w:w="1337"/>
      </w:tblGrid>
      <w:tr>
        <w:trPr>
          <w:trHeight w:val="948"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7"/>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4"/>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65" w:firstLine="33"/>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96"/>
              <w:jc w:val="right"/>
              <w:rPr>
                <w:rFonts w:ascii="宋体" w:hAnsi="宋体" w:cs="宋体" w:eastAsia="宋体" w:hint="default"/>
                <w:sz w:val="21"/>
                <w:szCs w:val="21"/>
              </w:rPr>
            </w:pPr>
            <w:r>
              <w:rPr>
                <w:rFonts w:ascii="宋体" w:hAnsi="宋体" w:cs="宋体" w:eastAsia="宋体" w:hint="default"/>
                <w:spacing w:val="-1"/>
                <w:sz w:val="21"/>
                <w:szCs w:val="21"/>
              </w:rPr>
              <w:t>境内地区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3,705,744,339.65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2,245,294,008.16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39.41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16.71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16.43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宋体" w:hAnsi="宋体" w:cs="宋体" w:eastAsia="宋体" w:hint="default"/>
                <w:sz w:val="21"/>
                <w:szCs w:val="21"/>
              </w:rPr>
              <w:t>0.14</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96"/>
              <w:jc w:val="right"/>
              <w:rPr>
                <w:rFonts w:ascii="宋体" w:hAnsi="宋体" w:cs="宋体" w:eastAsia="宋体" w:hint="default"/>
                <w:sz w:val="21"/>
                <w:szCs w:val="21"/>
              </w:rPr>
            </w:pPr>
            <w:r>
              <w:rPr>
                <w:rFonts w:ascii="宋体" w:hAnsi="宋体" w:cs="宋体" w:eastAsia="宋体" w:hint="default"/>
                <w:spacing w:val="-1"/>
                <w:sz w:val="21"/>
                <w:szCs w:val="21"/>
              </w:rPr>
              <w:t>境外地区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266,868,399.99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213,336,523.53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20.06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01" w:hanging="24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宋体" w:hAnsi="宋体" w:cs="宋体" w:eastAsia="宋体" w:hint="default"/>
                <w:sz w:val="21"/>
                <w:szCs w:val="21"/>
              </w:rPr>
              <w:t>0.29</w:t>
            </w:r>
            <w:r>
              <w:rPr>
                <w:rFonts w:ascii="宋体" w:hAnsi="宋体" w:cs="宋体" w:eastAsia="宋体" w:hint="default"/>
                <w:spacing w:val="-7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pStyle w:val="BodyText"/>
        <w:spacing w:line="262" w:lineRule="exact"/>
        <w:ind w:left="698" w:right="0"/>
        <w:jc w:val="left"/>
      </w:pPr>
      <w:r>
        <w:rPr/>
        <w:t>主营业务分行业、分产品、分地区情况的说明</w:t>
      </w:r>
    </w:p>
    <w:p>
      <w:pPr>
        <w:pStyle w:val="BodyText"/>
        <w:spacing w:line="240" w:lineRule="auto" w:before="37"/>
        <w:ind w:left="69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698"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97"/>
        <w:ind w:left="69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242" w:type="dxa"/>
        <w:tblLayout w:type="fixed"/>
        <w:tblCellMar>
          <w:top w:w="0" w:type="dxa"/>
          <w:left w:w="0" w:type="dxa"/>
          <w:bottom w:w="0" w:type="dxa"/>
          <w:right w:w="0" w:type="dxa"/>
        </w:tblCellMar>
        <w:tblLook w:val="01E0"/>
      </w:tblPr>
      <w:tblGrid>
        <w:gridCol w:w="1700"/>
        <w:gridCol w:w="1695"/>
        <w:gridCol w:w="1668"/>
        <w:gridCol w:w="1659"/>
        <w:gridCol w:w="1142"/>
        <w:gridCol w:w="1057"/>
        <w:gridCol w:w="1056"/>
      </w:tblGrid>
      <w:tr>
        <w:trPr>
          <w:trHeight w:val="94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 w:right="144"/>
              <w:jc w:val="center"/>
              <w:rPr>
                <w:rFonts w:ascii="宋体" w:hAnsi="宋体" w:cs="宋体" w:eastAsia="宋体" w:hint="default"/>
                <w:sz w:val="21"/>
                <w:szCs w:val="21"/>
              </w:rPr>
            </w:pPr>
            <w:r>
              <w:rPr>
                <w:rFonts w:ascii="宋体" w:hAnsi="宋体" w:cs="宋体" w:eastAsia="宋体" w:hint="default"/>
                <w:sz w:val="21"/>
                <w:szCs w:val="21"/>
              </w:rPr>
              <w:t>生产量比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101"/>
              <w:jc w:val="center"/>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center"/>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z w:val="21"/>
                <w:szCs w:val="21"/>
              </w:rPr>
              <w:t>智能电能表及系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统类产品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7,986,717</w:t>
            </w:r>
            <w:r>
              <w:rPr>
                <w:rFonts w:ascii="宋体" w:hAnsi="宋体" w:cs="宋体" w:eastAsia="宋体" w:hint="default"/>
                <w:spacing w:val="-52"/>
                <w:sz w:val="21"/>
                <w:szCs w:val="21"/>
              </w:rPr>
              <w:t> </w:t>
            </w:r>
            <w:r>
              <w:rPr>
                <w:rFonts w:ascii="宋体" w:hAnsi="宋体" w:cs="宋体" w:eastAsia="宋体" w:hint="default"/>
                <w:sz w:val="21"/>
                <w:szCs w:val="21"/>
              </w:rPr>
              <w:t>台</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7,959,875</w:t>
            </w:r>
            <w:r>
              <w:rPr>
                <w:rFonts w:ascii="宋体" w:hAnsi="宋体" w:cs="宋体" w:eastAsia="宋体" w:hint="default"/>
                <w:spacing w:val="-52"/>
                <w:sz w:val="21"/>
                <w:szCs w:val="21"/>
              </w:rPr>
              <w:t> </w:t>
            </w:r>
            <w:r>
              <w:rPr>
                <w:rFonts w:ascii="宋体" w:hAnsi="宋体" w:cs="宋体" w:eastAsia="宋体" w:hint="default"/>
                <w:sz w:val="21"/>
                <w:szCs w:val="21"/>
              </w:rPr>
              <w:t>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785,799</w:t>
            </w:r>
            <w:r>
              <w:rPr>
                <w:rFonts w:ascii="宋体" w:hAnsi="宋体" w:cs="宋体" w:eastAsia="宋体" w:hint="default"/>
                <w:spacing w:val="-51"/>
                <w:sz w:val="21"/>
                <w:szCs w:val="21"/>
              </w:rPr>
              <w:t> </w:t>
            </w:r>
            <w:r>
              <w:rPr>
                <w:rFonts w:ascii="宋体" w:hAnsi="宋体" w:cs="宋体" w:eastAsia="宋体" w:hint="default"/>
                <w:sz w:val="21"/>
                <w:szCs w:val="21"/>
              </w:rPr>
              <w:t>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-27.86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-25.47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sz w:val="21"/>
              </w:rPr>
              <w:t>7.17</w:t>
            </w:r>
          </w:p>
        </w:tc>
      </w:tr>
      <w:tr>
        <w:trPr>
          <w:trHeight w:val="32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光伏产品组件</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221,059,633</w:t>
            </w:r>
            <w:r>
              <w:rPr>
                <w:rFonts w:ascii="宋体" w:hAnsi="宋体" w:cs="宋体" w:eastAsia="宋体" w:hint="default"/>
                <w:spacing w:val="-51"/>
                <w:sz w:val="21"/>
                <w:szCs w:val="21"/>
              </w:rPr>
              <w:t> </w:t>
            </w:r>
            <w:r>
              <w:rPr>
                <w:rFonts w:ascii="宋体" w:hAnsi="宋体" w:cs="宋体" w:eastAsia="宋体" w:hint="default"/>
                <w:sz w:val="21"/>
                <w:szCs w:val="21"/>
              </w:rPr>
              <w:t>瓦</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248,387,915</w:t>
            </w:r>
            <w:r>
              <w:rPr>
                <w:rFonts w:ascii="宋体" w:hAnsi="宋体" w:cs="宋体" w:eastAsia="宋体" w:hint="default"/>
                <w:spacing w:val="-52"/>
                <w:sz w:val="21"/>
                <w:szCs w:val="21"/>
              </w:rPr>
              <w:t> </w:t>
            </w:r>
            <w:r>
              <w:rPr>
                <w:rFonts w:ascii="宋体" w:hAnsi="宋体" w:cs="宋体" w:eastAsia="宋体" w:hint="default"/>
                <w:sz w:val="21"/>
                <w:szCs w:val="21"/>
              </w:rPr>
              <w:t>瓦</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41,927,085</w:t>
            </w:r>
            <w:r>
              <w:rPr>
                <w:rFonts w:ascii="宋体" w:hAnsi="宋体" w:cs="宋体" w:eastAsia="宋体" w:hint="default"/>
                <w:spacing w:val="-51"/>
                <w:sz w:val="21"/>
                <w:szCs w:val="21"/>
              </w:rPr>
              <w:t> </w:t>
            </w:r>
            <w:r>
              <w:rPr>
                <w:rFonts w:ascii="宋体" w:hAnsi="宋体" w:cs="宋体" w:eastAsia="宋体" w:hint="default"/>
                <w:sz w:val="21"/>
                <w:szCs w:val="21"/>
              </w:rPr>
              <w:t>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-22.12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1,825.76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59"/>
              <w:jc w:val="right"/>
              <w:rPr>
                <w:rFonts w:ascii="宋体" w:hAnsi="宋体" w:cs="宋体" w:eastAsia="宋体" w:hint="default"/>
                <w:sz w:val="21"/>
                <w:szCs w:val="21"/>
              </w:rPr>
            </w:pPr>
            <w:r>
              <w:rPr>
                <w:rFonts w:ascii="宋体"/>
                <w:sz w:val="21"/>
              </w:rPr>
              <w:t>-2.04</w:t>
            </w:r>
          </w:p>
        </w:tc>
      </w:tr>
    </w:tbl>
    <w:p>
      <w:pPr>
        <w:pStyle w:val="BodyText"/>
        <w:spacing w:line="262" w:lineRule="exact"/>
        <w:ind w:left="698" w:right="0"/>
        <w:jc w:val="left"/>
      </w:pPr>
      <w:r>
        <w:rPr/>
        <w:t>产销量情况说明</w:t>
      </w:r>
    </w:p>
    <w:p>
      <w:pPr>
        <w:pStyle w:val="BodyText"/>
        <w:spacing w:line="240" w:lineRule="auto" w:before="37"/>
        <w:ind w:left="698" w:right="0"/>
        <w:jc w:val="left"/>
      </w:pPr>
      <w:r>
        <w:rPr/>
        <w:t>本年度光伏组件销量增加的原因是光伏电站</w:t>
      </w:r>
      <w:r>
        <w:rPr>
          <w:spacing w:val="-55"/>
        </w:rPr>
        <w:t> </w:t>
      </w:r>
      <w:r>
        <w:rPr>
          <w:rFonts w:ascii="宋体" w:hAnsi="宋体" w:cs="宋体" w:eastAsia="宋体" w:hint="default"/>
        </w:rPr>
        <w:t>EPC</w:t>
      </w:r>
      <w:r>
        <w:rPr>
          <w:rFonts w:ascii="宋体" w:hAnsi="宋体" w:cs="宋体" w:eastAsia="宋体" w:hint="default"/>
          <w:spacing w:val="-55"/>
        </w:rPr>
        <w:t> </w:t>
      </w:r>
      <w:r>
        <w:rPr/>
        <w:t>工程中用量增长所致。</w:t>
      </w:r>
    </w:p>
    <w:p>
      <w:pPr>
        <w:spacing w:line="240" w:lineRule="auto" w:before="7"/>
        <w:rPr>
          <w:rFonts w:ascii="宋体" w:hAnsi="宋体" w:cs="宋体" w:eastAsia="宋体" w:hint="default"/>
          <w:sz w:val="28"/>
          <w:szCs w:val="28"/>
        </w:rPr>
      </w:pPr>
    </w:p>
    <w:p>
      <w:pPr>
        <w:pStyle w:val="Heading2"/>
        <w:spacing w:line="240" w:lineRule="auto"/>
        <w:ind w:left="69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692"/>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016"/>
        <w:gridCol w:w="1162"/>
        <w:gridCol w:w="1983"/>
        <w:gridCol w:w="994"/>
        <w:gridCol w:w="2124"/>
        <w:gridCol w:w="1018"/>
        <w:gridCol w:w="1229"/>
        <w:gridCol w:w="708"/>
      </w:tblGrid>
      <w:tr>
        <w:trPr>
          <w:trHeight w:val="322" w:hRule="exact"/>
        </w:trPr>
        <w:tc>
          <w:tcPr>
            <w:tcW w:w="1023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258"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64" w:right="15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0"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5"/>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85"/>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73" w:lineRule="auto" w:before="158"/>
              <w:ind w:left="187" w:right="182" w:hanging="1"/>
              <w:jc w:val="center"/>
              <w:rPr>
                <w:rFonts w:ascii="宋体" w:hAnsi="宋体" w:cs="宋体" w:eastAsia="宋体" w:hint="default"/>
                <w:sz w:val="21"/>
                <w:szCs w:val="21"/>
              </w:rPr>
            </w:pPr>
            <w:r>
              <w:rPr>
                <w:rFonts w:ascii="宋体" w:hAnsi="宋体" w:cs="宋体" w:eastAsia="宋体" w:hint="default"/>
                <w:sz w:val="21"/>
                <w:szCs w:val="21"/>
              </w:rPr>
              <w:t>智能配</w:t>
            </w:r>
            <w:r>
              <w:rPr>
                <w:rFonts w:ascii="宋体" w:hAnsi="宋体" w:cs="宋体" w:eastAsia="宋体" w:hint="default"/>
                <w:w w:val="100"/>
                <w:sz w:val="21"/>
                <w:szCs w:val="21"/>
              </w:rPr>
              <w:t> </w:t>
            </w:r>
            <w:r>
              <w:rPr>
                <w:rFonts w:ascii="宋体" w:hAnsi="宋体" w:cs="宋体" w:eastAsia="宋体" w:hint="default"/>
                <w:sz w:val="21"/>
                <w:szCs w:val="21"/>
              </w:rPr>
              <w:t>用电行</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949,731,275.49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88.54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1,216,813,824.88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89.17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-21.95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70,259,090.29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6.55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85,591,411.31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6.32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-17.91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52,667,501.27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4.91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50,799,872.81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4.51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3.68</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1,072,657,867.05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1,353,205,109.00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-20.73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9"/>
                <w:sz w:val="21"/>
                <w:szCs w:val="21"/>
              </w:rPr>
              <w:t> </w:t>
            </w:r>
            <w:r>
              <w:rPr>
                <w:rFonts w:ascii="宋体" w:hAnsi="宋体" w:cs="宋体" w:eastAsia="宋体" w:hint="default"/>
                <w:spacing w:val="-3"/>
                <w:sz w:val="21"/>
                <w:szCs w:val="21"/>
              </w:rPr>
              <w:t>行业</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27,907,106.38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71.72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35,384,596.99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87.56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-21.13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分包工程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11,004,084.89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28.28</w:t>
            </w:r>
          </w:p>
        </w:tc>
        <w:tc>
          <w:tcPr>
            <w:tcW w:w="21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7,730,449.33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6,724,978.16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38,911,191.27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49,840,024.48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-21.93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73" w:lineRule="auto"/>
              <w:ind w:left="103" w:right="99" w:hanging="1"/>
              <w:jc w:val="center"/>
              <w:rPr>
                <w:rFonts w:ascii="宋体" w:hAnsi="宋体" w:cs="宋体" w:eastAsia="宋体" w:hint="default"/>
                <w:sz w:val="21"/>
                <w:szCs w:val="21"/>
              </w:rPr>
            </w:pPr>
            <w:r>
              <w:rPr>
                <w:rFonts w:ascii="宋体" w:hAnsi="宋体" w:cs="宋体" w:eastAsia="宋体" w:hint="default"/>
                <w:sz w:val="21"/>
                <w:szCs w:val="21"/>
              </w:rPr>
              <w:t>光伏行</w:t>
            </w:r>
            <w:r>
              <w:rPr>
                <w:rFonts w:ascii="宋体" w:hAnsi="宋体" w:cs="宋体" w:eastAsia="宋体" w:hint="default"/>
                <w:w w:val="100"/>
                <w:sz w:val="21"/>
                <w:szCs w:val="21"/>
              </w:rPr>
              <w:t> </w:t>
            </w:r>
            <w:r>
              <w:rPr>
                <w:rFonts w:ascii="宋体" w:hAnsi="宋体" w:cs="宋体" w:eastAsia="宋体" w:hint="default"/>
                <w:spacing w:val="-11"/>
                <w:sz w:val="21"/>
                <w:szCs w:val="21"/>
              </w:rPr>
              <w:t>业（发电</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293,244,018.02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74.36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228,339,740.44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77.81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28.42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运维费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50,226,516.45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12.74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33,101,000.16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12.34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51.74</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租赁费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41,558,467.52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10.54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29,193,238.96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4.67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42.36</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9,329,149.26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2.37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6,407,517.92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0.54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45.60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36,121,793.05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8" w:footer="974" w:top="1120" w:bottom="1160" w:left="72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016"/>
        <w:gridCol w:w="1162"/>
        <w:gridCol w:w="1983"/>
        <w:gridCol w:w="994"/>
        <w:gridCol w:w="2124"/>
        <w:gridCol w:w="1018"/>
        <w:gridCol w:w="1241"/>
        <w:gridCol w:w="720"/>
      </w:tblGrid>
      <w:tr>
        <w:trPr>
          <w:trHeight w:val="324" w:hRule="exact"/>
        </w:trPr>
        <w:tc>
          <w:tcPr>
            <w:tcW w:w="101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394,358,151.25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333,163,290.53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
              <w:jc w:val="right"/>
              <w:rPr>
                <w:rFonts w:ascii="宋体" w:hAnsi="宋体" w:cs="宋体" w:eastAsia="宋体" w:hint="default"/>
                <w:sz w:val="21"/>
                <w:szCs w:val="21"/>
              </w:rPr>
            </w:pPr>
            <w:r>
              <w:rPr>
                <w:rFonts w:ascii="宋体"/>
                <w:sz w:val="21"/>
              </w:rPr>
              <w:t>18.37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73" w:lineRule="auto" w:before="153"/>
              <w:ind w:left="208" w:right="183" w:hanging="22"/>
              <w:jc w:val="left"/>
              <w:rPr>
                <w:rFonts w:ascii="Calibri" w:hAnsi="Calibri" w:cs="Calibri" w:eastAsia="Calibri" w:hint="default"/>
                <w:sz w:val="21"/>
                <w:szCs w:val="21"/>
              </w:rPr>
            </w:pPr>
            <w:r>
              <w:rPr>
                <w:rFonts w:ascii="宋体" w:hAnsi="宋体" w:cs="宋体" w:eastAsia="宋体" w:hint="default"/>
                <w:sz w:val="21"/>
                <w:szCs w:val="21"/>
              </w:rPr>
              <w:t>光伏电</w:t>
            </w:r>
            <w:r>
              <w:rPr>
                <w:rFonts w:ascii="宋体" w:hAnsi="宋体" w:cs="宋体" w:eastAsia="宋体" w:hint="default"/>
                <w:spacing w:val="-102"/>
                <w:sz w:val="21"/>
                <w:szCs w:val="21"/>
              </w:rPr>
              <w:t> </w:t>
            </w:r>
            <w:r>
              <w:rPr>
                <w:rFonts w:ascii="宋体" w:hAnsi="宋体" w:cs="宋体" w:eastAsia="宋体" w:hint="default"/>
                <w:sz w:val="21"/>
                <w:szCs w:val="21"/>
              </w:rPr>
              <w:t>站</w:t>
            </w:r>
            <w:r>
              <w:rPr>
                <w:rFonts w:ascii="宋体" w:hAnsi="宋体" w:cs="宋体" w:eastAsia="宋体" w:hint="default"/>
                <w:spacing w:val="-51"/>
                <w:sz w:val="21"/>
                <w:szCs w:val="21"/>
              </w:rPr>
              <w:t> </w:t>
            </w:r>
            <w:r>
              <w:rPr>
                <w:rFonts w:ascii="Calibri" w:hAnsi="Calibri" w:cs="Calibri" w:eastAsia="Calibri" w:hint="default"/>
                <w:sz w:val="21"/>
                <w:szCs w:val="21"/>
              </w:rPr>
              <w:t>EPC</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设备材料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573,968,958.53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68.85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943,698.78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3.53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pacing w:val="-1"/>
                <w:sz w:val="21"/>
              </w:rPr>
              <w:t>60,721.20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外包工程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259,682,397.36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31.15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25,789,977.80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96.47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906.91</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833,651,355.89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26,733,676.58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pacing w:val="-1"/>
                <w:sz w:val="21"/>
              </w:rPr>
              <w:t>3,018.36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73" w:lineRule="auto"/>
              <w:ind w:left="396" w:right="183" w:hanging="209"/>
              <w:jc w:val="left"/>
              <w:rPr>
                <w:rFonts w:ascii="宋体" w:hAnsi="宋体" w:cs="宋体" w:eastAsia="宋体" w:hint="default"/>
                <w:sz w:val="21"/>
                <w:szCs w:val="21"/>
              </w:rPr>
            </w:pPr>
            <w:r>
              <w:rPr>
                <w:rFonts w:ascii="宋体" w:hAnsi="宋体" w:cs="宋体" w:eastAsia="宋体" w:hint="default"/>
                <w:sz w:val="21"/>
                <w:szCs w:val="21"/>
              </w:rPr>
              <w:t>其他行</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111,122,312.38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93.34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392,824,942.05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89.77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-71.71</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2,868,759.08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19,614,336.67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-85.37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5,060,894.77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4.25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25,154,629.18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5.75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
              <w:jc w:val="right"/>
              <w:rPr>
                <w:rFonts w:ascii="宋体" w:hAnsi="宋体" w:cs="宋体" w:eastAsia="宋体" w:hint="default"/>
                <w:sz w:val="21"/>
                <w:szCs w:val="21"/>
              </w:rPr>
            </w:pPr>
            <w:r>
              <w:rPr>
                <w:rFonts w:ascii="宋体"/>
                <w:sz w:val="21"/>
              </w:rPr>
              <w:t>-79.88</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119,051,966.23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437,593,907.90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-72.79</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6" w:right="183" w:hanging="209"/>
              <w:jc w:val="left"/>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2,458,630,531.69</w:t>
            </w: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2,200,536,008.49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0"/>
              <w:jc w:val="right"/>
              <w:rPr>
                <w:rFonts w:ascii="宋体" w:hAnsi="宋体" w:cs="宋体" w:eastAsia="宋体" w:hint="default"/>
                <w:sz w:val="21"/>
                <w:szCs w:val="21"/>
              </w:rPr>
            </w:pPr>
            <w:r>
              <w:rPr>
                <w:rFonts w:ascii="宋体"/>
                <w:sz w:val="21"/>
              </w:rPr>
              <w:t>11.73</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2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21"/>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258"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64" w:right="15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0"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5"/>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185"/>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51"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auto"/>
              <w:ind w:left="187" w:right="183"/>
              <w:jc w:val="left"/>
              <w:rPr>
                <w:rFonts w:ascii="宋体" w:hAnsi="宋体" w:cs="宋体" w:eastAsia="宋体" w:hint="default"/>
                <w:sz w:val="21"/>
                <w:szCs w:val="21"/>
              </w:rPr>
            </w:pPr>
            <w:r>
              <w:rPr>
                <w:rFonts w:ascii="宋体" w:hAnsi="宋体" w:cs="宋体" w:eastAsia="宋体" w:hint="default"/>
                <w:sz w:val="21"/>
                <w:szCs w:val="21"/>
              </w:rPr>
              <w:t>电子式</w:t>
            </w:r>
            <w:r>
              <w:rPr>
                <w:rFonts w:ascii="宋体" w:hAnsi="宋体" w:cs="宋体" w:eastAsia="宋体" w:hint="default"/>
                <w:spacing w:val="-102"/>
                <w:sz w:val="21"/>
                <w:szCs w:val="21"/>
              </w:rPr>
              <w:t> </w:t>
            </w:r>
            <w:r>
              <w:rPr>
                <w:rFonts w:ascii="宋体" w:hAnsi="宋体" w:cs="宋体" w:eastAsia="宋体" w:hint="default"/>
                <w:sz w:val="21"/>
                <w:szCs w:val="21"/>
              </w:rPr>
              <w:t>电能表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675,866,994.01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86.42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944,647,238.38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87.56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-28.45</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61,079,856.78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7.81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78,079,333.17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7.29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6"/>
              <w:jc w:val="right"/>
              <w:rPr>
                <w:rFonts w:ascii="宋体" w:hAnsi="宋体" w:cs="宋体" w:eastAsia="宋体" w:hint="default"/>
                <w:sz w:val="21"/>
                <w:szCs w:val="21"/>
              </w:rPr>
            </w:pPr>
            <w:r>
              <w:rPr>
                <w:rFonts w:ascii="宋体"/>
                <w:sz w:val="21"/>
              </w:rPr>
              <w:t>-21.77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45,125,579.21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45,982,157.60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5.15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-1.86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782,072,430.00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1,068,708,729.15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-26.82</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73" w:lineRule="auto"/>
              <w:ind w:left="292" w:right="183" w:hanging="106"/>
              <w:jc w:val="left"/>
              <w:rPr>
                <w:rFonts w:ascii="宋体" w:hAnsi="宋体" w:cs="宋体" w:eastAsia="宋体" w:hint="default"/>
                <w:sz w:val="21"/>
                <w:szCs w:val="21"/>
              </w:rPr>
            </w:pPr>
            <w:r>
              <w:rPr>
                <w:rFonts w:ascii="宋体" w:hAnsi="宋体" w:cs="宋体" w:eastAsia="宋体" w:hint="default"/>
                <w:sz w:val="21"/>
                <w:szCs w:val="21"/>
              </w:rPr>
              <w:t>系统类</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192,151,903.33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94.84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216,925,573.94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95.59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-11.42</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5,713,500.29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2.82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6,341,215.87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2.44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86"/>
              <w:jc w:val="right"/>
              <w:rPr>
                <w:rFonts w:ascii="宋体" w:hAnsi="宋体" w:cs="宋体" w:eastAsia="宋体" w:hint="default"/>
                <w:sz w:val="21"/>
                <w:szCs w:val="21"/>
              </w:rPr>
            </w:pPr>
            <w:r>
              <w:rPr>
                <w:rFonts w:ascii="宋体"/>
                <w:sz w:val="21"/>
              </w:rPr>
              <w:t>-9.90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4,740,989.60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4,038,962.57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17.38</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202,606,393.22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227,305,752.38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6"/>
              <w:jc w:val="right"/>
              <w:rPr>
                <w:rFonts w:ascii="宋体" w:hAnsi="宋体" w:cs="宋体" w:eastAsia="宋体" w:hint="default"/>
                <w:sz w:val="21"/>
                <w:szCs w:val="21"/>
              </w:rPr>
            </w:pPr>
            <w:r>
              <w:rPr>
                <w:rFonts w:ascii="宋体"/>
                <w:sz w:val="21"/>
              </w:rPr>
              <w:t>-10.87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7" w:lineRule="auto"/>
              <w:ind w:left="292" w:right="107" w:hanging="188"/>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8"/>
                <w:sz w:val="21"/>
                <w:szCs w:val="21"/>
              </w:rPr>
              <w:t> </w:t>
            </w:r>
            <w:r>
              <w:rPr>
                <w:rFonts w:ascii="宋体" w:hAnsi="宋体" w:cs="宋体" w:eastAsia="宋体" w:hint="default"/>
                <w:spacing w:val="-3"/>
                <w:sz w:val="21"/>
                <w:szCs w:val="21"/>
              </w:rPr>
              <w:t>系列</w:t>
            </w:r>
            <w:r>
              <w:rPr>
                <w:rFonts w:ascii="宋体" w:hAnsi="宋体" w:cs="宋体" w:eastAsia="宋体" w:hint="default"/>
                <w:spacing w:val="-3"/>
                <w:w w:val="100"/>
                <w:sz w:val="21"/>
                <w:szCs w:val="21"/>
              </w:rPr>
              <w:t> </w:t>
            </w:r>
            <w:r>
              <w:rPr>
                <w:rFonts w:ascii="宋体" w:hAnsi="宋体" w:cs="宋体" w:eastAsia="宋体" w:hint="default"/>
                <w:sz w:val="21"/>
                <w:szCs w:val="21"/>
              </w:rPr>
              <w:t>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27,907,106.38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71.72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35,384,596.99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87.56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-21.13</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分包工程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11,004,084.89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28.28</w:t>
            </w:r>
          </w:p>
        </w:tc>
        <w:tc>
          <w:tcPr>
            <w:tcW w:w="21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7,730,449.33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pacing w:val="-1"/>
                <w:sz w:val="21"/>
              </w:rPr>
              <w:t>-100.00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6,724,978.16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5.15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pacing w:val="-1"/>
                <w:sz w:val="21"/>
              </w:rPr>
              <w:t>-100.00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38,911,191.27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49,840,024.48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-21.93</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val="restart"/>
            <w:tcBorders>
              <w:top w:val="single" w:sz="4" w:space="0" w:color="000000"/>
              <w:left w:val="single" w:sz="4" w:space="0" w:color="000000"/>
              <w:right w:val="single" w:sz="4" w:space="0" w:color="000000"/>
            </w:tcBorders>
          </w:tcPr>
          <w:p>
            <w:pPr>
              <w:pStyle w:val="TableParagraph"/>
              <w:spacing w:line="273" w:lineRule="auto" w:before="155"/>
              <w:ind w:left="208" w:right="183" w:hanging="22"/>
              <w:jc w:val="left"/>
              <w:rPr>
                <w:rFonts w:ascii="Calibri" w:hAnsi="Calibri" w:cs="Calibri" w:eastAsia="Calibri" w:hint="default"/>
                <w:sz w:val="21"/>
                <w:szCs w:val="21"/>
              </w:rPr>
            </w:pPr>
            <w:r>
              <w:rPr>
                <w:rFonts w:ascii="宋体" w:hAnsi="宋体" w:cs="宋体" w:eastAsia="宋体" w:hint="default"/>
                <w:sz w:val="21"/>
                <w:szCs w:val="21"/>
              </w:rPr>
              <w:t>光伏电</w:t>
            </w:r>
            <w:r>
              <w:rPr>
                <w:rFonts w:ascii="宋体" w:hAnsi="宋体" w:cs="宋体" w:eastAsia="宋体" w:hint="default"/>
                <w:spacing w:val="-102"/>
                <w:sz w:val="21"/>
                <w:szCs w:val="21"/>
              </w:rPr>
              <w:t> </w:t>
            </w:r>
            <w:r>
              <w:rPr>
                <w:rFonts w:ascii="宋体" w:hAnsi="宋体" w:cs="宋体" w:eastAsia="宋体" w:hint="default"/>
                <w:sz w:val="21"/>
                <w:szCs w:val="21"/>
              </w:rPr>
              <w:t>站</w:t>
            </w:r>
            <w:r>
              <w:rPr>
                <w:rFonts w:ascii="宋体" w:hAnsi="宋体" w:cs="宋体" w:eastAsia="宋体" w:hint="default"/>
                <w:spacing w:val="-51"/>
                <w:sz w:val="21"/>
                <w:szCs w:val="21"/>
              </w:rPr>
              <w:t> </w:t>
            </w:r>
            <w:r>
              <w:rPr>
                <w:rFonts w:ascii="Calibri" w:hAnsi="Calibri" w:cs="Calibri" w:eastAsia="Calibri" w:hint="default"/>
                <w:sz w:val="21"/>
                <w:szCs w:val="21"/>
              </w:rPr>
              <w:t>EPC</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573,968,958.53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68.85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943,698.78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3.53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6"/>
              <w:jc w:val="right"/>
              <w:rPr>
                <w:rFonts w:ascii="宋体" w:hAnsi="宋体" w:cs="宋体" w:eastAsia="宋体" w:hint="default"/>
                <w:sz w:val="21"/>
                <w:szCs w:val="21"/>
              </w:rPr>
            </w:pPr>
            <w:r>
              <w:rPr>
                <w:rFonts w:ascii="宋体"/>
                <w:spacing w:val="-1"/>
                <w:sz w:val="21"/>
              </w:rPr>
              <w:t>60,721.20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外包工程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259,682,397.36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31.15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25,789,977.80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96.47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906.91</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833,651,355.89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26,733,676.58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pacing w:val="-1"/>
                <w:sz w:val="21"/>
              </w:rPr>
              <w:t>3,018.36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396" w:right="183" w:hanging="209"/>
              <w:jc w:val="left"/>
              <w:rPr>
                <w:rFonts w:ascii="宋体" w:hAnsi="宋体" w:cs="宋体" w:eastAsia="宋体" w:hint="default"/>
                <w:sz w:val="21"/>
                <w:szCs w:val="21"/>
              </w:rPr>
            </w:pPr>
            <w:r>
              <w:rPr>
                <w:rFonts w:ascii="宋体" w:hAnsi="宋体" w:cs="宋体" w:eastAsia="宋体" w:hint="default"/>
                <w:sz w:val="21"/>
                <w:szCs w:val="21"/>
              </w:rPr>
              <w:t>光伏发</w:t>
            </w:r>
            <w:r>
              <w:rPr>
                <w:rFonts w:ascii="宋体" w:hAnsi="宋体" w:cs="宋体" w:eastAsia="宋体" w:hint="default"/>
                <w:spacing w:val="-102"/>
                <w:sz w:val="21"/>
                <w:szCs w:val="21"/>
              </w:rPr>
              <w:t> </w:t>
            </w:r>
            <w:r>
              <w:rPr>
                <w:rFonts w:ascii="宋体" w:hAnsi="宋体" w:cs="宋体" w:eastAsia="宋体" w:hint="default"/>
                <w:sz w:val="21"/>
                <w:szCs w:val="21"/>
              </w:rPr>
              <w:t>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293,244,018.02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74.36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228,339,740.44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77.81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28.42</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运维费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50,226,516.45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12.74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33,101,000.16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51.74</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租赁费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41,558,467.52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10.54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29,193,238.96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4.67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42.36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9,329,149.26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2.37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6,407,517.92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0.54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6"/>
              <w:jc w:val="right"/>
              <w:rPr>
                <w:rFonts w:ascii="宋体" w:hAnsi="宋体" w:cs="宋体" w:eastAsia="宋体" w:hint="default"/>
                <w:sz w:val="21"/>
                <w:szCs w:val="21"/>
              </w:rPr>
            </w:pPr>
            <w:r>
              <w:rPr>
                <w:rFonts w:ascii="宋体"/>
                <w:sz w:val="21"/>
              </w:rPr>
              <w:t>45.60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36,121,793.05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4.63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pacing w:val="-1"/>
                <w:sz w:val="21"/>
              </w:rPr>
              <w:t>-100.00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394,358,151.25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333,163,290.53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18.37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73" w:lineRule="auto"/>
              <w:ind w:left="396" w:right="183" w:hanging="209"/>
              <w:jc w:val="left"/>
              <w:rPr>
                <w:rFonts w:ascii="宋体" w:hAnsi="宋体" w:cs="宋体" w:eastAsia="宋体" w:hint="default"/>
                <w:sz w:val="21"/>
                <w:szCs w:val="21"/>
              </w:rPr>
            </w:pPr>
            <w:r>
              <w:rPr>
                <w:rFonts w:ascii="宋体" w:hAnsi="宋体" w:cs="宋体" w:eastAsia="宋体" w:hint="default"/>
                <w:sz w:val="21"/>
                <w:szCs w:val="21"/>
              </w:rPr>
              <w:t>其它产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195,071,916.00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94.22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479,970,092.38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97.01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-59.36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直接人工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4,848,287.56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5,725,172.02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-15.32</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6"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7,110,806.49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3.43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9,089,270.97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1.84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6"/>
              <w:jc w:val="right"/>
              <w:rPr>
                <w:rFonts w:ascii="宋体" w:hAnsi="宋体" w:cs="宋体" w:eastAsia="宋体" w:hint="default"/>
                <w:sz w:val="21"/>
                <w:szCs w:val="21"/>
              </w:rPr>
            </w:pPr>
            <w:r>
              <w:rPr>
                <w:rFonts w:ascii="宋体"/>
                <w:sz w:val="21"/>
              </w:rPr>
              <w:t>-21.77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207,031,010.06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494,784,535.37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6"/>
              <w:jc w:val="right"/>
              <w:rPr>
                <w:rFonts w:ascii="宋体" w:hAnsi="宋体" w:cs="宋体" w:eastAsia="宋体" w:hint="default"/>
                <w:sz w:val="21"/>
                <w:szCs w:val="21"/>
              </w:rPr>
            </w:pPr>
            <w:r>
              <w:rPr>
                <w:rFonts w:ascii="宋体"/>
                <w:sz w:val="21"/>
              </w:rPr>
              <w:t>-58.16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6" w:right="183" w:hanging="209"/>
              <w:jc w:val="left"/>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2,458,630,531.69</w:t>
            </w: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2,200,536,008.49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宋体"/>
                <w:sz w:val="21"/>
              </w:rPr>
              <w:t>11.73</w:t>
            </w: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8" w:footer="974" w:top="1120" w:bottom="1160" w:left="720" w:right="7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right="226"/>
        <w:jc w:val="left"/>
      </w:pPr>
      <w:r>
        <w:rPr/>
        <w:t>成本分析其他情况说明</w:t>
      </w:r>
    </w:p>
    <w:p>
      <w:pPr>
        <w:pStyle w:val="BodyText"/>
        <w:spacing w:line="240" w:lineRule="auto" w:before="37"/>
        <w:ind w:right="22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2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right="226"/>
        <w:jc w:val="left"/>
      </w:pPr>
      <w:r>
        <w:rPr/>
        <w:t>√适用 □不适用</w:t>
      </w:r>
    </w:p>
    <w:p>
      <w:pPr>
        <w:pStyle w:val="BodyText"/>
        <w:spacing w:line="273" w:lineRule="auto" w:before="37"/>
        <w:ind w:right="323"/>
        <w:jc w:val="left"/>
      </w:pPr>
      <w:r>
        <w:rPr/>
        <w:t>前五名客户销售额</w:t>
      </w:r>
      <w:r>
        <w:rPr>
          <w:spacing w:val="-56"/>
        </w:rPr>
        <w:t> </w:t>
      </w:r>
      <w:r>
        <w:rPr>
          <w:rFonts w:ascii="宋体" w:hAnsi="宋体" w:cs="宋体" w:eastAsia="宋体" w:hint="default"/>
        </w:rPr>
        <w:t>140,926.98</w:t>
      </w:r>
      <w:r>
        <w:rPr>
          <w:rFonts w:ascii="宋体" w:hAnsi="宋体" w:cs="宋体" w:eastAsia="宋体" w:hint="default"/>
          <w:spacing w:val="-58"/>
        </w:rPr>
        <w:t> </w:t>
      </w:r>
      <w:r>
        <w:rPr/>
        <w:t>万元，占年度销售总额</w:t>
      </w:r>
      <w:r>
        <w:rPr>
          <w:spacing w:val="-56"/>
        </w:rPr>
        <w:t> </w:t>
      </w:r>
      <w:r>
        <w:rPr>
          <w:rFonts w:ascii="宋体" w:hAnsi="宋体" w:cs="宋体" w:eastAsia="宋体" w:hint="default"/>
        </w:rPr>
        <w:t>35.08%</w:t>
      </w:r>
      <w:r>
        <w:rPr/>
        <w:t>；其中前五名客户销售额中关联方销</w:t>
      </w:r>
      <w:r>
        <w:rPr>
          <w:w w:val="100"/>
        </w:rPr>
        <w:t> </w:t>
      </w:r>
      <w:r>
        <w:rPr/>
        <w:t>售额</w:t>
      </w:r>
      <w:r>
        <w:rPr>
          <w:spacing w:val="-53"/>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rPr>
        <w:t>0%</w:t>
      </w:r>
      <w:r>
        <w:rPr/>
        <w:t>。</w:t>
      </w:r>
    </w:p>
    <w:p>
      <w:pPr>
        <w:spacing w:line="240" w:lineRule="auto" w:before="6"/>
        <w:rPr>
          <w:rFonts w:ascii="宋体" w:hAnsi="宋体" w:cs="宋体" w:eastAsia="宋体" w:hint="default"/>
          <w:sz w:val="24"/>
          <w:szCs w:val="24"/>
        </w:rPr>
      </w:pPr>
    </w:p>
    <w:p>
      <w:pPr>
        <w:pStyle w:val="BodyText"/>
        <w:spacing w:line="273" w:lineRule="auto"/>
        <w:ind w:right="229"/>
        <w:jc w:val="left"/>
      </w:pPr>
      <w:r>
        <w:rPr/>
        <w:t>前五名供应商采购额</w:t>
      </w:r>
      <w:r>
        <w:rPr>
          <w:spacing w:val="-60"/>
        </w:rPr>
        <w:t> </w:t>
      </w:r>
      <w:r>
        <w:rPr>
          <w:rFonts w:ascii="宋体" w:hAnsi="宋体" w:cs="宋体" w:eastAsia="宋体" w:hint="default"/>
        </w:rPr>
        <w:t>69,479.45</w:t>
      </w:r>
      <w:r>
        <w:rPr>
          <w:rFonts w:ascii="宋体" w:hAnsi="宋体" w:cs="宋体" w:eastAsia="宋体" w:hint="default"/>
          <w:spacing w:val="-61"/>
        </w:rPr>
        <w:t> </w:t>
      </w:r>
      <w:r>
        <w:rPr/>
        <w:t>万元，占年度采购总额</w:t>
      </w:r>
      <w:r>
        <w:rPr>
          <w:spacing w:val="-60"/>
        </w:rPr>
        <w:t> </w:t>
      </w:r>
      <w:r>
        <w:rPr>
          <w:rFonts w:ascii="宋体" w:hAnsi="宋体" w:cs="宋体" w:eastAsia="宋体" w:hint="default"/>
        </w:rPr>
        <w:t>25.16%</w:t>
      </w:r>
      <w:r>
        <w:rPr/>
        <w:t>；其中前五名供应商采购额中关联方</w:t>
      </w:r>
      <w:r>
        <w:rPr>
          <w:w w:val="100"/>
        </w:rPr>
        <w:t> </w:t>
      </w:r>
      <w:r>
        <w:rPr/>
        <w:t>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1"/>
        <w:rPr>
          <w:rFonts w:ascii="宋体" w:hAnsi="宋体" w:cs="宋体" w:eastAsia="宋体" w:hint="default"/>
          <w:sz w:val="29"/>
          <w:szCs w:val="29"/>
        </w:rPr>
      </w:pPr>
    </w:p>
    <w:p>
      <w:pPr>
        <w:pStyle w:val="Heading2"/>
        <w:tabs>
          <w:tab w:pos="638" w:val="left" w:leader="none"/>
        </w:tabs>
        <w:spacing w:line="240" w:lineRule="auto" w:before="0"/>
        <w:ind w:right="226"/>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97"/>
        <w:ind w:right="226"/>
        <w:jc w:val="left"/>
      </w:pPr>
      <w:r>
        <w:rPr/>
        <w:t>√适用 □不适用</w:t>
      </w:r>
    </w:p>
    <w:p>
      <w:pPr>
        <w:spacing w:line="240" w:lineRule="auto" w:before="8"/>
        <w:rPr>
          <w:rFonts w:ascii="宋体" w:hAnsi="宋体" w:cs="宋体" w:eastAsia="宋体" w:hint="default"/>
          <w:sz w:val="27"/>
          <w:szCs w:val="27"/>
        </w:rPr>
      </w:pPr>
    </w:p>
    <w:tbl>
      <w:tblPr>
        <w:tblW w:w="0" w:type="auto"/>
        <w:jc w:val="left"/>
        <w:tblInd w:w="204" w:type="dxa"/>
        <w:tblLayout w:type="fixed"/>
        <w:tblCellMar>
          <w:top w:w="0" w:type="dxa"/>
          <w:left w:w="0" w:type="dxa"/>
          <w:bottom w:w="0" w:type="dxa"/>
          <w:right w:w="0" w:type="dxa"/>
        </w:tblCellMar>
        <w:tblLook w:val="01E0"/>
      </w:tblPr>
      <w:tblGrid>
        <w:gridCol w:w="1661"/>
        <w:gridCol w:w="1721"/>
        <w:gridCol w:w="1839"/>
        <w:gridCol w:w="1421"/>
        <w:gridCol w:w="2449"/>
      </w:tblGrid>
      <w:tr>
        <w:trPr>
          <w:trHeight w:val="32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2"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9" w:right="0"/>
              <w:jc w:val="left"/>
              <w:rPr>
                <w:rFonts w:ascii="宋体" w:hAnsi="宋体" w:cs="宋体" w:eastAsia="宋体" w:hint="default"/>
                <w:sz w:val="21"/>
                <w:szCs w:val="21"/>
              </w:rPr>
            </w:pPr>
            <w:r>
              <w:rPr>
                <w:rFonts w:ascii="宋体" w:hAnsi="宋体" w:cs="宋体" w:eastAsia="宋体" w:hint="default"/>
                <w:sz w:val="21"/>
                <w:szCs w:val="21"/>
              </w:rPr>
              <w:t>同期增减率</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9"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0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131,536,205.79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119,227,019.36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z w:val="21"/>
              </w:rPr>
              <w:t>10.32%</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218,763,779.27</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223,017,921.75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spacing w:val="-1"/>
                <w:sz w:val="21"/>
              </w:rPr>
              <w:t>-1.91%</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147,563,320.87</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107,572,245.83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37.18%</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主要系</w:t>
            </w:r>
            <w:r>
              <w:rPr>
                <w:rFonts w:ascii="宋体" w:hAnsi="宋体" w:cs="宋体" w:eastAsia="宋体" w:hint="default"/>
                <w:spacing w:val="-54"/>
                <w:sz w:val="21"/>
                <w:szCs w:val="21"/>
              </w:rPr>
              <w:t> </w:t>
            </w:r>
            <w:r>
              <w:rPr>
                <w:rFonts w:ascii="宋体" w:hAnsi="宋体" w:cs="宋体" w:eastAsia="宋体" w:hint="default"/>
                <w:sz w:val="21"/>
                <w:szCs w:val="21"/>
              </w:rPr>
              <w:t>N</w:t>
            </w:r>
            <w:r>
              <w:rPr>
                <w:rFonts w:ascii="宋体" w:hAnsi="宋体" w:cs="宋体" w:eastAsia="宋体" w:hint="default"/>
                <w:spacing w:val="-53"/>
                <w:sz w:val="21"/>
                <w:szCs w:val="21"/>
              </w:rPr>
              <w:t> </w:t>
            </w:r>
            <w:r>
              <w:rPr>
                <w:rFonts w:ascii="宋体" w:hAnsi="宋体" w:cs="宋体" w:eastAsia="宋体" w:hint="default"/>
                <w:sz w:val="21"/>
                <w:szCs w:val="21"/>
              </w:rPr>
              <w:t>型高效双面单</w:t>
            </w:r>
            <w:r>
              <w:rPr>
                <w:rFonts w:ascii="宋体" w:hAnsi="宋体" w:cs="宋体" w:eastAsia="宋体" w:hint="default"/>
                <w:w w:val="100"/>
                <w:sz w:val="21"/>
                <w:szCs w:val="21"/>
              </w:rPr>
              <w:t> </w:t>
            </w:r>
            <w:r>
              <w:rPr>
                <w:rFonts w:ascii="宋体" w:hAnsi="宋体" w:cs="宋体" w:eastAsia="宋体" w:hint="default"/>
                <w:spacing w:val="-9"/>
                <w:sz w:val="21"/>
                <w:szCs w:val="21"/>
              </w:rPr>
              <w:t>晶电池、组件研发及海外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市场研发投入增加所致</w:t>
            </w:r>
          </w:p>
        </w:tc>
      </w:tr>
      <w:tr>
        <w:trPr>
          <w:trHeight w:val="63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254,019,267.90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115,464,739.09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120.00%</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主要系银行贷款及可转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债利息增加所致</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28" w:footer="974" w:top="1120" w:bottom="1160" w:left="1200" w:right="1180"/>
        </w:sectPr>
      </w:pPr>
    </w:p>
    <w:p>
      <w:pPr>
        <w:pStyle w:val="Heading2"/>
        <w:tabs>
          <w:tab w:pos="638" w:val="left" w:leader="none"/>
        </w:tabs>
        <w:spacing w:line="324" w:lineRule="auto"/>
        <w:ind w:right="96"/>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spacing w:line="240" w:lineRule="auto" w:before="23"/>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w:t>
      </w:r>
    </w:p>
    <w:p>
      <w:pPr>
        <w:spacing w:after="0" w:line="240" w:lineRule="auto"/>
        <w:jc w:val="left"/>
        <w:sectPr>
          <w:type w:val="continuous"/>
          <w:pgSz w:w="11910" w:h="16840"/>
          <w:pgMar w:top="1580" w:bottom="280" w:left="1200" w:right="1180"/>
          <w:cols w:num="2" w:equalWidth="0">
            <w:col w:w="1796" w:space="6435"/>
            <w:col w:w="129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896"/>
        <w:gridCol w:w="5391"/>
      </w:tblGrid>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147,563,320.87</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147,563,320.87</w:t>
            </w:r>
          </w:p>
        </w:tc>
      </w:tr>
      <w:tr>
        <w:trPr>
          <w:trHeight w:val="32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3.67</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755</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19.43</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sz w:val="24"/>
          <w:szCs w:val="24"/>
        </w:rPr>
      </w:pPr>
    </w:p>
    <w:p>
      <w:pPr>
        <w:pStyle w:val="Heading2"/>
        <w:spacing w:line="240" w:lineRule="auto"/>
        <w:ind w:right="226"/>
        <w:jc w:val="left"/>
        <w:rPr>
          <w:b w:val="0"/>
          <w:bCs w:val="0"/>
        </w:rPr>
      </w:pPr>
      <w:r>
        <w:rPr/>
        <w:t>情况说明</w:t>
      </w:r>
      <w:r>
        <w:rPr>
          <w:b w:val="0"/>
          <w:bCs w:val="0"/>
        </w:rPr>
      </w:r>
    </w:p>
    <w:p>
      <w:pPr>
        <w:pStyle w:val="BodyText"/>
        <w:spacing w:line="240" w:lineRule="auto" w:before="97"/>
        <w:ind w:right="226"/>
        <w:jc w:val="left"/>
      </w:pPr>
      <w:r>
        <w:rPr/>
        <w:t>√适用 □不适用</w:t>
      </w:r>
    </w:p>
    <w:p>
      <w:pPr>
        <w:pStyle w:val="BodyText"/>
        <w:spacing w:line="273" w:lineRule="auto" w:before="97"/>
        <w:ind w:right="270" w:firstLine="420"/>
        <w:jc w:val="both"/>
      </w:pPr>
      <w:r>
        <w:rPr>
          <w:rFonts w:ascii="宋体" w:hAnsi="宋体" w:cs="宋体" w:eastAsia="宋体" w:hint="default"/>
        </w:rPr>
        <w:t>2018</w:t>
      </w:r>
      <w:r>
        <w:rPr>
          <w:rFonts w:ascii="宋体" w:hAnsi="宋体" w:cs="宋体" w:eastAsia="宋体" w:hint="default"/>
          <w:spacing w:val="-57"/>
        </w:rPr>
        <w:t> </w:t>
      </w:r>
      <w:r>
        <w:rPr/>
        <w:t>年公司研发投入</w:t>
      </w:r>
      <w:r>
        <w:rPr>
          <w:spacing w:val="-54"/>
        </w:rPr>
        <w:t> </w:t>
      </w:r>
      <w:r>
        <w:rPr>
          <w:rFonts w:ascii="宋体" w:hAnsi="宋体" w:cs="宋体" w:eastAsia="宋体" w:hint="default"/>
        </w:rPr>
        <w:t>1.48</w:t>
      </w:r>
      <w:r>
        <w:rPr>
          <w:rFonts w:ascii="宋体" w:hAnsi="宋体" w:cs="宋体" w:eastAsia="宋体" w:hint="default"/>
          <w:spacing w:val="-55"/>
        </w:rPr>
        <w:t> </w:t>
      </w:r>
      <w:r>
        <w:rPr/>
        <w:t>亿元，占营业收入</w:t>
      </w:r>
      <w:r>
        <w:rPr>
          <w:spacing w:val="-57"/>
        </w:rPr>
        <w:t> </w:t>
      </w:r>
      <w:r>
        <w:rPr>
          <w:rFonts w:ascii="宋体" w:hAnsi="宋体" w:cs="宋体" w:eastAsia="宋体" w:hint="default"/>
        </w:rPr>
        <w:t>3.67%</w:t>
      </w:r>
      <w:r>
        <w:rPr/>
        <w:t>，其中母公司研发投入</w:t>
      </w:r>
      <w:r>
        <w:rPr>
          <w:spacing w:val="-55"/>
        </w:rPr>
        <w:t> </w:t>
      </w:r>
      <w:r>
        <w:rPr>
          <w:rFonts w:ascii="宋体" w:hAnsi="宋体" w:cs="宋体" w:eastAsia="宋体" w:hint="default"/>
        </w:rPr>
        <w:t>0.94</w:t>
      </w:r>
      <w:r>
        <w:rPr>
          <w:rFonts w:ascii="宋体" w:hAnsi="宋体" w:cs="宋体" w:eastAsia="宋体" w:hint="default"/>
          <w:spacing w:val="-54"/>
        </w:rPr>
        <w:t> </w:t>
      </w:r>
      <w:r>
        <w:rPr/>
        <w:t>亿元，占营业</w:t>
      </w:r>
      <w:r>
        <w:rPr>
          <w:w w:val="100"/>
        </w:rPr>
        <w:t> </w:t>
      </w:r>
      <w:r>
        <w:rPr/>
        <w:t>收入</w:t>
      </w:r>
      <w:r>
        <w:rPr>
          <w:spacing w:val="-54"/>
        </w:rPr>
        <w:t> </w:t>
      </w:r>
      <w:r>
        <w:rPr>
          <w:rFonts w:ascii="宋体" w:hAnsi="宋体" w:cs="宋体" w:eastAsia="宋体" w:hint="default"/>
        </w:rPr>
        <w:t>2.34%</w:t>
      </w:r>
      <w:r>
        <w:rPr/>
        <w:t>。报告期内，公司继续加大技术研发投入，努力降本增效，在国网</w:t>
      </w:r>
      <w:r>
        <w:rPr>
          <w:spacing w:val="-54"/>
        </w:rPr>
        <w:t> </w:t>
      </w:r>
      <w:r>
        <w:rPr>
          <w:rFonts w:ascii="宋体" w:hAnsi="宋体" w:cs="宋体" w:eastAsia="宋体" w:hint="default"/>
        </w:rPr>
        <w:t>DL/T698</w:t>
      </w:r>
      <w:r>
        <w:rPr>
          <w:rFonts w:ascii="宋体" w:hAnsi="宋体" w:cs="宋体" w:eastAsia="宋体" w:hint="default"/>
          <w:spacing w:val="-56"/>
        </w:rPr>
        <w:t> </w:t>
      </w:r>
      <w:r>
        <w:rPr/>
        <w:t>新标准及海</w:t>
      </w:r>
      <w:r>
        <w:rPr>
          <w:w w:val="100"/>
        </w:rPr>
        <w:t> </w:t>
      </w:r>
      <w:r>
        <w:rPr/>
        <w:t>外电能表技术的研发和认证取得新的技术成绩，在</w:t>
      </w:r>
      <w:r>
        <w:rPr>
          <w:spacing w:val="-58"/>
        </w:rPr>
        <w:t> </w:t>
      </w:r>
      <w:r>
        <w:rPr>
          <w:rFonts w:ascii="宋体" w:hAnsi="宋体" w:cs="宋体" w:eastAsia="宋体" w:hint="default"/>
        </w:rPr>
        <w:t>N</w:t>
      </w:r>
      <w:r>
        <w:rPr>
          <w:rFonts w:ascii="宋体" w:hAnsi="宋体" w:cs="宋体" w:eastAsia="宋体" w:hint="default"/>
          <w:spacing w:val="-56"/>
        </w:rPr>
        <w:t> </w:t>
      </w:r>
      <w:r>
        <w:rPr/>
        <w:t>型单晶高效双面电池技术研发中取得转换效率</w:t>
      </w:r>
    </w:p>
    <w:p>
      <w:pPr>
        <w:spacing w:after="0" w:line="273" w:lineRule="auto"/>
        <w:jc w:val="both"/>
        <w:sectPr>
          <w:type w:val="continuous"/>
          <w:pgSz w:w="11910" w:h="16840"/>
          <w:pgMar w:top="1580" w:bottom="280" w:left="1200" w:right="1180"/>
        </w:sectPr>
      </w:pPr>
    </w:p>
    <w:p>
      <w:pPr>
        <w:spacing w:line="240" w:lineRule="auto" w:before="10"/>
        <w:rPr>
          <w:rFonts w:ascii="宋体" w:hAnsi="宋体" w:cs="宋体" w:eastAsia="宋体" w:hint="default"/>
          <w:sz w:val="26"/>
          <w:szCs w:val="26"/>
        </w:rPr>
      </w:pPr>
    </w:p>
    <w:p>
      <w:pPr>
        <w:pStyle w:val="BodyText"/>
        <w:spacing w:line="273" w:lineRule="auto" w:before="36"/>
        <w:ind w:left="898" w:right="928"/>
        <w:jc w:val="both"/>
      </w:pPr>
      <w:r>
        <w:rPr>
          <w:spacing w:val="-2"/>
        </w:rPr>
        <w:t>的突破，公司电能表以及高效电池、组件的研发已经在行业内取得多项的认证。围绕行业关键技术</w:t>
      </w:r>
      <w:r>
        <w:rPr>
          <w:spacing w:val="-25"/>
        </w:rPr>
        <w:t> </w:t>
      </w:r>
      <w:r>
        <w:rPr>
          <w:spacing w:val="-25"/>
        </w:rPr>
      </w:r>
      <w:r>
        <w:rPr>
          <w:spacing w:val="-2"/>
        </w:rPr>
        <w:t>及海外市场特征开展了多个研发项目，并将研发和工艺改进成果按计划进行大批量导入和供货，进</w:t>
      </w:r>
      <w:r>
        <w:rPr>
          <w:spacing w:val="-25"/>
        </w:rPr>
        <w:t> </w:t>
      </w:r>
      <w:r>
        <w:rPr>
          <w:spacing w:val="-25"/>
        </w:rPr>
      </w:r>
      <w:r>
        <w:rPr/>
        <w:t>一步强化了公司产品成本和技术领先优势。</w:t>
      </w:r>
      <w:r>
        <w:rPr>
          <w:rFonts w:ascii="宋体" w:hAnsi="宋体" w:cs="宋体" w:eastAsia="宋体" w:hint="default"/>
        </w:rPr>
        <w:t>2018</w:t>
      </w:r>
      <w:r>
        <w:rPr>
          <w:rFonts w:ascii="宋体" w:hAnsi="宋体" w:cs="宋体" w:eastAsia="宋体" w:hint="default"/>
          <w:spacing w:val="-57"/>
        </w:rPr>
        <w:t> </w:t>
      </w:r>
      <w:r>
        <w:rPr/>
        <w:t>年度公司及子公司新增取得授权专利</w:t>
      </w:r>
      <w:r>
        <w:rPr>
          <w:spacing w:val="-54"/>
        </w:rPr>
        <w:t> </w:t>
      </w:r>
      <w:r>
        <w:rPr>
          <w:rFonts w:ascii="宋体" w:hAnsi="宋体" w:cs="宋体" w:eastAsia="宋体" w:hint="default"/>
        </w:rPr>
        <w:t>22</w:t>
      </w:r>
      <w:r>
        <w:rPr>
          <w:rFonts w:ascii="宋体" w:hAnsi="宋体" w:cs="宋体" w:eastAsia="宋体" w:hint="default"/>
          <w:spacing w:val="-55"/>
        </w:rPr>
        <w:t> </w:t>
      </w:r>
      <w:r>
        <w:rPr/>
        <w:t>件，其中</w:t>
      </w:r>
      <w:r>
        <w:rPr>
          <w:w w:val="100"/>
        </w:rPr>
        <w:t> </w:t>
      </w:r>
      <w:r>
        <w:rPr/>
        <w:t>发明专利</w:t>
      </w:r>
      <w:r>
        <w:rPr>
          <w:spacing w:val="-54"/>
        </w:rPr>
        <w:t> </w:t>
      </w:r>
      <w:r>
        <w:rPr>
          <w:rFonts w:ascii="宋体" w:hAnsi="宋体" w:cs="宋体" w:eastAsia="宋体" w:hint="default"/>
        </w:rPr>
        <w:t>11</w:t>
      </w:r>
      <w:r>
        <w:rPr>
          <w:rFonts w:ascii="宋体" w:hAnsi="宋体" w:cs="宋体" w:eastAsia="宋体" w:hint="default"/>
          <w:spacing w:val="-54"/>
        </w:rPr>
        <w:t> </w:t>
      </w:r>
      <w:r>
        <w:rPr/>
        <w:t>件；累计授权专利</w:t>
      </w:r>
      <w:r>
        <w:rPr>
          <w:spacing w:val="-53"/>
        </w:rPr>
        <w:t> </w:t>
      </w:r>
      <w:r>
        <w:rPr>
          <w:rFonts w:ascii="宋体" w:hAnsi="宋体" w:cs="宋体" w:eastAsia="宋体" w:hint="default"/>
        </w:rPr>
        <w:t>205</w:t>
      </w:r>
      <w:r>
        <w:rPr>
          <w:rFonts w:ascii="宋体" w:hAnsi="宋体" w:cs="宋体" w:eastAsia="宋体" w:hint="default"/>
          <w:spacing w:val="-54"/>
        </w:rPr>
        <w:t> </w:t>
      </w:r>
      <w:r>
        <w:rPr/>
        <w:t>项，其中发明专利</w:t>
      </w:r>
      <w:r>
        <w:rPr>
          <w:spacing w:val="-54"/>
        </w:rPr>
        <w:t> </w:t>
      </w:r>
      <w:r>
        <w:rPr>
          <w:rFonts w:ascii="宋体" w:hAnsi="宋体" w:cs="宋体" w:eastAsia="宋体" w:hint="default"/>
        </w:rPr>
        <w:t>45</w:t>
      </w:r>
      <w:r>
        <w:rPr>
          <w:rFonts w:ascii="宋体" w:hAnsi="宋体" w:cs="宋体" w:eastAsia="宋体" w:hint="default"/>
          <w:spacing w:val="-56"/>
        </w:rPr>
        <w:t> </w:t>
      </w:r>
      <w:r>
        <w:rPr/>
        <w:t>件。</w:t>
      </w:r>
    </w:p>
    <w:p>
      <w:pPr>
        <w:spacing w:line="240" w:lineRule="auto" w:before="0"/>
        <w:rPr>
          <w:rFonts w:ascii="宋体" w:hAnsi="宋体" w:cs="宋体" w:eastAsia="宋体" w:hint="default"/>
          <w:sz w:val="29"/>
          <w:szCs w:val="29"/>
        </w:rPr>
      </w:pPr>
    </w:p>
    <w:p>
      <w:pPr>
        <w:pStyle w:val="Heading2"/>
        <w:spacing w:line="240" w:lineRule="auto" w:before="0"/>
        <w:ind w:left="898" w:right="0"/>
        <w:jc w:val="both"/>
        <w:rPr>
          <w:b w:val="0"/>
          <w:bCs w:val="0"/>
        </w:rPr>
      </w:pPr>
      <w:r>
        <w:rPr>
          <w:rFonts w:ascii="宋体" w:hAnsi="宋体" w:cs="宋体" w:eastAsia="宋体" w:hint="default"/>
        </w:rPr>
        <w:t>5.</w:t>
      </w:r>
      <w:r>
        <w:rPr>
          <w:rFonts w:ascii="宋体" w:hAnsi="宋体" w:cs="宋体" w:eastAsia="宋体" w:hint="default"/>
          <w:spacing w:val="103"/>
        </w:rPr>
        <w:t> </w:t>
      </w:r>
      <w:r>
        <w:rPr/>
        <w:t>现金流</w:t>
      </w:r>
      <w:r>
        <w:rPr>
          <w:b w:val="0"/>
          <w:bCs w:val="0"/>
        </w:rPr>
      </w:r>
    </w:p>
    <w:p>
      <w:pPr>
        <w:pStyle w:val="BodyText"/>
        <w:spacing w:line="240" w:lineRule="auto" w:before="97"/>
        <w:ind w:left="898" w:right="0"/>
        <w:jc w:val="both"/>
      </w:pPr>
      <w:r>
        <w:rPr/>
        <w:t>√适用 □不适用</w:t>
      </w:r>
    </w:p>
    <w:p>
      <w:pPr>
        <w:spacing w:line="240" w:lineRule="auto" w:before="8"/>
        <w:rPr>
          <w:rFonts w:ascii="宋体" w:hAnsi="宋体" w:cs="宋体" w:eastAsia="宋体" w:hint="default"/>
          <w:sz w:val="27"/>
          <w:szCs w:val="27"/>
        </w:rPr>
      </w:pPr>
    </w:p>
    <w:tbl>
      <w:tblPr>
        <w:tblW w:w="0" w:type="auto"/>
        <w:jc w:val="left"/>
        <w:tblInd w:w="324" w:type="dxa"/>
        <w:tblLayout w:type="fixed"/>
        <w:tblCellMar>
          <w:top w:w="0" w:type="dxa"/>
          <w:left w:w="0" w:type="dxa"/>
          <w:bottom w:w="0" w:type="dxa"/>
          <w:right w:w="0" w:type="dxa"/>
        </w:tblCellMar>
        <w:tblLook w:val="01E0"/>
      </w:tblPr>
      <w:tblGrid>
        <w:gridCol w:w="2975"/>
        <w:gridCol w:w="1841"/>
        <w:gridCol w:w="2002"/>
        <w:gridCol w:w="1123"/>
        <w:gridCol w:w="2269"/>
      </w:tblGrid>
      <w:tr>
        <w:trPr>
          <w:trHeight w:val="636"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1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95" w:right="0"/>
              <w:jc w:val="left"/>
              <w:rPr>
                <w:rFonts w:ascii="宋体" w:hAnsi="宋体" w:cs="宋体" w:eastAsia="宋体" w:hint="default"/>
                <w:sz w:val="20"/>
                <w:szCs w:val="20"/>
              </w:rPr>
            </w:pPr>
            <w:r>
              <w:rPr>
                <w:rFonts w:ascii="宋体" w:hAnsi="宋体" w:cs="宋体" w:eastAsia="宋体" w:hint="default"/>
                <w:sz w:val="20"/>
                <w:szCs w:val="20"/>
              </w:rPr>
              <w:t>上期金额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8" w:right="134" w:hanging="315"/>
              <w:jc w:val="left"/>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0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63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452,239,041.22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806,223,637.92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-43.91%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主要系受限货币资金</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增加所致</w:t>
            </w:r>
          </w:p>
        </w:tc>
      </w:tr>
      <w:tr>
        <w:trPr>
          <w:trHeight w:val="946"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-740,087,156.17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-3,949,052,025.19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81.26%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主要系构建固定资产</w:t>
            </w:r>
          </w:p>
          <w:p>
            <w:pPr>
              <w:pStyle w:val="TableParagraph"/>
              <w:spacing w:line="259" w:lineRule="auto" w:before="24"/>
              <w:ind w:left="103" w:right="170"/>
              <w:jc w:val="left"/>
              <w:rPr>
                <w:rFonts w:ascii="宋体" w:hAnsi="宋体" w:cs="宋体" w:eastAsia="宋体" w:hint="default"/>
                <w:sz w:val="22"/>
                <w:szCs w:val="22"/>
              </w:rPr>
            </w:pPr>
            <w:r>
              <w:rPr>
                <w:rFonts w:ascii="宋体" w:hAnsi="宋体" w:cs="宋体" w:eastAsia="宋体" w:hint="default"/>
                <w:sz w:val="22"/>
                <w:szCs w:val="22"/>
              </w:rPr>
              <w:t>及理财支付的现金减</w:t>
            </w:r>
            <w:r>
              <w:rPr>
                <w:rFonts w:ascii="宋体" w:hAnsi="宋体" w:cs="宋体" w:eastAsia="宋体" w:hint="default"/>
                <w:w w:val="100"/>
                <w:sz w:val="22"/>
                <w:szCs w:val="22"/>
              </w:rPr>
              <w:t> </w:t>
            </w:r>
            <w:r>
              <w:rPr>
                <w:rFonts w:ascii="宋体" w:hAnsi="宋体" w:cs="宋体" w:eastAsia="宋体" w:hint="default"/>
                <w:sz w:val="22"/>
                <w:szCs w:val="22"/>
              </w:rPr>
              <w:t>少所致</w:t>
            </w:r>
          </w:p>
        </w:tc>
      </w:tr>
      <w:tr>
        <w:trPr>
          <w:trHeight w:val="63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123,027,029.74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3,111,705,508.87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-96.05%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主要系</w:t>
            </w:r>
            <w:r>
              <w:rPr>
                <w:rFonts w:ascii="宋体" w:hAnsi="宋体" w:cs="宋体" w:eastAsia="宋体" w:hint="default"/>
                <w:spacing w:val="-54"/>
                <w:sz w:val="22"/>
                <w:szCs w:val="22"/>
              </w:rPr>
              <w:t> </w:t>
            </w:r>
            <w:r>
              <w:rPr>
                <w:rFonts w:ascii="宋体" w:hAnsi="宋体" w:cs="宋体" w:eastAsia="宋体" w:hint="default"/>
                <w:sz w:val="22"/>
                <w:szCs w:val="22"/>
              </w:rPr>
              <w:t>17</w:t>
            </w:r>
            <w:r>
              <w:rPr>
                <w:rFonts w:ascii="宋体" w:hAnsi="宋体" w:cs="宋体" w:eastAsia="宋体" w:hint="default"/>
                <w:spacing w:val="-57"/>
                <w:sz w:val="22"/>
                <w:szCs w:val="22"/>
              </w:rPr>
              <w:t> </w:t>
            </w:r>
            <w:r>
              <w:rPr>
                <w:rFonts w:ascii="宋体" w:hAnsi="宋体" w:cs="宋体" w:eastAsia="宋体" w:hint="default"/>
                <w:sz w:val="22"/>
                <w:szCs w:val="22"/>
              </w:rPr>
              <w:t>年公司</w:t>
            </w:r>
            <w:r>
              <w:rPr>
                <w:rFonts w:ascii="宋体" w:hAnsi="宋体" w:cs="宋体" w:eastAsia="宋体" w:hint="default"/>
                <w:spacing w:val="-54"/>
                <w:sz w:val="22"/>
                <w:szCs w:val="22"/>
              </w:rPr>
              <w:t> </w:t>
            </w:r>
            <w:r>
              <w:rPr>
                <w:rFonts w:ascii="宋体" w:hAnsi="宋体" w:cs="宋体" w:eastAsia="宋体" w:hint="default"/>
                <w:sz w:val="22"/>
                <w:szCs w:val="22"/>
              </w:rPr>
              <w:t>30</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亿可转债发行</w:t>
            </w:r>
          </w:p>
        </w:tc>
      </w:tr>
    </w:tbl>
    <w:p>
      <w:pPr>
        <w:spacing w:line="240" w:lineRule="auto" w:before="9"/>
        <w:rPr>
          <w:rFonts w:ascii="宋体" w:hAnsi="宋体" w:cs="宋体" w:eastAsia="宋体" w:hint="default"/>
          <w:sz w:val="24"/>
          <w:szCs w:val="24"/>
        </w:rPr>
      </w:pPr>
    </w:p>
    <w:p>
      <w:pPr>
        <w:pStyle w:val="Heading2"/>
        <w:tabs>
          <w:tab w:pos="1738" w:val="left" w:leader="none"/>
        </w:tabs>
        <w:spacing w:line="240" w:lineRule="auto"/>
        <w:ind w:left="898" w:right="92"/>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97"/>
        <w:ind w:left="898" w:right="92"/>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28" w:footer="974" w:top="1120" w:bottom="1160" w:left="520" w:right="520"/>
        </w:sectPr>
      </w:pPr>
    </w:p>
    <w:p>
      <w:pPr>
        <w:pStyle w:val="Heading2"/>
        <w:tabs>
          <w:tab w:pos="1738" w:val="left" w:leader="none"/>
        </w:tabs>
        <w:spacing w:line="240" w:lineRule="auto"/>
        <w:ind w:left="898" w:right="-1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97"/>
        <w:ind w:left="898" w:right="-16"/>
        <w:jc w:val="left"/>
      </w:pPr>
      <w:r>
        <w:rPr/>
        <w:t>√适用 □不适用</w:t>
      </w:r>
    </w:p>
    <w:p>
      <w:pPr>
        <w:pStyle w:val="Heading2"/>
        <w:tabs>
          <w:tab w:pos="1323" w:val="left" w:leader="none"/>
        </w:tabs>
        <w:spacing w:line="240" w:lineRule="auto" w:before="97"/>
        <w:ind w:left="8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879" w:right="875"/>
        <w:jc w:val="center"/>
      </w:pPr>
      <w:r>
        <w:rPr/>
        <w:t>单位：元</w:t>
      </w:r>
    </w:p>
    <w:p>
      <w:pPr>
        <w:spacing w:after="0" w:line="240" w:lineRule="auto"/>
        <w:jc w:val="center"/>
        <w:sectPr>
          <w:type w:val="continuous"/>
          <w:pgSz w:w="11910" w:h="16840"/>
          <w:pgMar w:top="1580" w:bottom="280" w:left="520" w:right="520"/>
          <w:cols w:num="2" w:equalWidth="0">
            <w:col w:w="3640" w:space="4591"/>
            <w:col w:w="2639"/>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323"/>
        <w:gridCol w:w="1897"/>
        <w:gridCol w:w="1073"/>
        <w:gridCol w:w="1899"/>
        <w:gridCol w:w="1109"/>
        <w:gridCol w:w="1275"/>
        <w:gridCol w:w="2047"/>
      </w:tblGrid>
      <w:tr>
        <w:trPr>
          <w:trHeight w:val="1258"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125"/>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8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4"/>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40" w:lineRule="auto" w:before="7"/>
              <w:ind w:left="3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261"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应收票据及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2,893,246,866.76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16.56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2,038,105,166.53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12.15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z w:val="21"/>
              </w:rPr>
              <w:t>41.96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6"/>
                <w:sz w:val="21"/>
                <w:szCs w:val="21"/>
              </w:rPr>
              <w:t>主要系应收光伏电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6"/>
                <w:sz w:val="21"/>
                <w:szCs w:val="21"/>
              </w:rPr>
              <w:t>费补贴及应收光伏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电站 </w:t>
            </w:r>
            <w:r>
              <w:rPr>
                <w:rFonts w:ascii="宋体" w:hAnsi="宋体" w:cs="宋体" w:eastAsia="宋体" w:hint="default"/>
                <w:sz w:val="21"/>
                <w:szCs w:val="21"/>
              </w:rPr>
              <w:t>EPC</w:t>
            </w:r>
            <w:r>
              <w:rPr>
                <w:rFonts w:ascii="宋体" w:hAnsi="宋体" w:cs="宋体" w:eastAsia="宋体" w:hint="default"/>
                <w:spacing w:val="21"/>
                <w:sz w:val="21"/>
                <w:szCs w:val="21"/>
              </w:rPr>
              <w:t> </w:t>
            </w:r>
            <w:r>
              <w:rPr>
                <w:rFonts w:ascii="宋体" w:hAnsi="宋体" w:cs="宋体" w:eastAsia="宋体" w:hint="default"/>
                <w:spacing w:val="3"/>
                <w:sz w:val="21"/>
                <w:szCs w:val="21"/>
              </w:rPr>
              <w:t>货款增加</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94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108,363,988.14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0.62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71,742,402.35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51.05</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主要系光伏电站</w:t>
            </w:r>
            <w:r>
              <w:rPr>
                <w:rFonts w:ascii="宋体" w:hAnsi="宋体" w:cs="宋体" w:eastAsia="宋体" w:hint="default"/>
                <w:spacing w:val="-59"/>
                <w:sz w:val="21"/>
                <w:szCs w:val="21"/>
              </w:rPr>
              <w:t> </w:t>
            </w:r>
            <w:r>
              <w:rPr>
                <w:rFonts w:ascii="宋体" w:hAnsi="宋体" w:cs="宋体" w:eastAsia="宋体" w:hint="default"/>
                <w:sz w:val="21"/>
                <w:szCs w:val="21"/>
              </w:rPr>
              <w:t>EPC</w:t>
            </w:r>
            <w:r>
              <w:rPr>
                <w:rFonts w:ascii="宋体" w:hAnsi="宋体" w:cs="宋体" w:eastAsia="宋体" w:hint="default"/>
                <w:w w:val="100"/>
                <w:sz w:val="21"/>
                <w:szCs w:val="21"/>
              </w:rPr>
              <w:t> </w:t>
            </w:r>
            <w:r>
              <w:rPr>
                <w:rFonts w:ascii="宋体" w:hAnsi="宋体" w:cs="宋体" w:eastAsia="宋体" w:hint="default"/>
                <w:spacing w:val="16"/>
                <w:sz w:val="21"/>
                <w:szCs w:val="21"/>
              </w:rPr>
              <w:t>预付原材料的货款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增加所致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55,978,916.05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0.32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34,440,017.42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62.54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主要系应收保证金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的增加所致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可供出售金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39,362,000.00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0.23</w:t>
            </w:r>
          </w:p>
        </w:tc>
        <w:tc>
          <w:tcPr>
            <w:tcW w:w="189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主要系无重大影响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之股权投资</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6,038,763.14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0.03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10,476,563.20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-42.36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主要系长期应收款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收回所致</w:t>
            </w:r>
          </w:p>
        </w:tc>
      </w:tr>
    </w:tbl>
    <w:p>
      <w:pPr>
        <w:spacing w:after="0" w:line="273" w:lineRule="auto"/>
        <w:jc w:val="left"/>
        <w:rPr>
          <w:rFonts w:ascii="宋体" w:hAnsi="宋体" w:cs="宋体" w:eastAsia="宋体" w:hint="default"/>
          <w:sz w:val="21"/>
          <w:szCs w:val="21"/>
        </w:rPr>
        <w:sectPr>
          <w:type w:val="continuous"/>
          <w:pgSz w:w="11910" w:h="16840"/>
          <w:pgMar w:top="1580" w:bottom="280" w:left="52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323"/>
        <w:gridCol w:w="1897"/>
        <w:gridCol w:w="1073"/>
        <w:gridCol w:w="1899"/>
        <w:gridCol w:w="1109"/>
        <w:gridCol w:w="1275"/>
        <w:gridCol w:w="2047"/>
      </w:tblGrid>
      <w:tr>
        <w:trPr>
          <w:trHeight w:val="63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长期股权投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108,539,394.75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0.62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75,171,816.49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0.45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44.39</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主要系参股公司投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资增加所致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186,557,021.13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423,984,910.47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主要系在建工程转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固所致</w:t>
            </w:r>
          </w:p>
        </w:tc>
      </w:tr>
      <w:tr>
        <w:trPr>
          <w:trHeight w:val="94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pacing w:val="9"/>
                <w:sz w:val="21"/>
                <w:szCs w:val="21"/>
              </w:rPr>
              <w:t>生产性生物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52,425,171.13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0.30</w:t>
            </w:r>
          </w:p>
        </w:tc>
        <w:tc>
          <w:tcPr>
            <w:tcW w:w="189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16"/>
                <w:sz w:val="21"/>
                <w:szCs w:val="21"/>
              </w:rPr>
              <w:t>主要系农光互补电</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6"/>
                <w:sz w:val="21"/>
                <w:szCs w:val="21"/>
              </w:rPr>
              <w:t>站种植油用牡丹所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长期待摊费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74,587,452.84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0.43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44,102,819.99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69.12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主要系合同能源管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理业务增加所致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396,550,000.00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2.27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598,591,913.83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-33.75</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主要系归还短期银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行借款所致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14,625,634.40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28,125,759.30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主要系预收货款减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少所致</w:t>
            </w:r>
          </w:p>
        </w:tc>
      </w:tr>
      <w:tr>
        <w:trPr>
          <w:trHeight w:val="948"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9"/>
                <w:sz w:val="21"/>
                <w:szCs w:val="21"/>
              </w:rPr>
              <w:t>一年内到期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的非流动负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221,100,000.00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1.27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155,250,000.00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0.93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z w:val="21"/>
              </w:rPr>
              <w:t>42.42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16"/>
                <w:sz w:val="21"/>
                <w:szCs w:val="21"/>
              </w:rPr>
              <w:t>主要系一年需偿还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6"/>
                <w:sz w:val="21"/>
                <w:szCs w:val="21"/>
              </w:rPr>
              <w:t>的银行长期借款增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加所致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2,034,500,000.00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11.65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1,310,600,000.00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55.23</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sz w:val="21"/>
                <w:szCs w:val="21"/>
              </w:rPr>
              <w:t>主要系长期银行项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目借款增加所致</w:t>
            </w:r>
          </w:p>
        </w:tc>
      </w:tr>
      <w:tr>
        <w:trPr>
          <w:trHeight w:val="63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8,957,247.98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42,159,027.86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-78.75</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主要系融资租赁的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固定资产终止所致</w:t>
            </w:r>
          </w:p>
        </w:tc>
      </w:tr>
    </w:tbl>
    <w:p>
      <w:pPr>
        <w:spacing w:line="240" w:lineRule="auto" w:before="10"/>
        <w:rPr>
          <w:rFonts w:ascii="宋体" w:hAnsi="宋体" w:cs="宋体" w:eastAsia="宋体" w:hint="default"/>
          <w:sz w:val="24"/>
          <w:szCs w:val="24"/>
        </w:rPr>
      </w:pPr>
    </w:p>
    <w:p>
      <w:pPr>
        <w:pStyle w:val="Heading2"/>
        <w:tabs>
          <w:tab w:pos="1323" w:val="left" w:leader="none"/>
        </w:tabs>
        <w:spacing w:line="240" w:lineRule="auto"/>
        <w:ind w:left="898" w:right="92"/>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40" w:lineRule="auto" w:before="97"/>
        <w:ind w:left="898" w:right="92"/>
        <w:jc w:val="left"/>
      </w:pPr>
      <w:r>
        <w:rPr/>
        <w:t>√适用 □不适用</w:t>
      </w:r>
    </w:p>
    <w:p>
      <w:pPr>
        <w:pStyle w:val="BodyText"/>
        <w:spacing w:line="273" w:lineRule="auto" w:before="37"/>
        <w:ind w:left="898" w:right="92"/>
        <w:jc w:val="left"/>
      </w:pPr>
      <w:r>
        <w:rPr/>
        <w:t>详见附注七</w:t>
      </w:r>
      <w:r>
        <w:rPr>
          <w:rFonts w:ascii="宋体" w:hAnsi="宋体" w:cs="宋体" w:eastAsia="宋体" w:hint="default"/>
        </w:rPr>
        <w:t>-1</w:t>
      </w:r>
      <w:r>
        <w:rPr>
          <w:rFonts w:ascii="宋体" w:hAnsi="宋体" w:cs="宋体" w:eastAsia="宋体" w:hint="default"/>
          <w:spacing w:val="-47"/>
        </w:rPr>
        <w:t> </w:t>
      </w:r>
      <w:r>
        <w:rPr>
          <w:spacing w:val="-3"/>
        </w:rPr>
        <w:t>货币资金受限情况、附注七</w:t>
      </w:r>
      <w:r>
        <w:rPr>
          <w:rFonts w:ascii="宋体" w:hAnsi="宋体" w:cs="宋体" w:eastAsia="宋体" w:hint="default"/>
          <w:spacing w:val="-3"/>
        </w:rPr>
        <w:t>-70</w:t>
      </w:r>
      <w:r>
        <w:rPr>
          <w:rFonts w:ascii="宋体" w:hAnsi="宋体" w:cs="宋体" w:eastAsia="宋体" w:hint="default"/>
          <w:spacing w:val="-45"/>
        </w:rPr>
        <w:t> </w:t>
      </w:r>
      <w:r>
        <w:rPr/>
        <w:t>所有权或使用权受到限制的资产和附注十四</w:t>
      </w:r>
      <w:r>
        <w:rPr>
          <w:rFonts w:ascii="宋体" w:hAnsi="宋体" w:cs="宋体" w:eastAsia="宋体" w:hint="default"/>
        </w:rPr>
        <w:t>-1</w:t>
      </w:r>
      <w:r>
        <w:rPr>
          <w:rFonts w:ascii="宋体" w:hAnsi="宋体" w:cs="宋体" w:eastAsia="宋体" w:hint="default"/>
          <w:spacing w:val="-47"/>
        </w:rPr>
        <w:t> </w:t>
      </w:r>
      <w:r>
        <w:rPr/>
        <w:t>重要承</w:t>
      </w:r>
      <w:r>
        <w:rPr>
          <w:spacing w:val="-102"/>
        </w:rPr>
        <w:t> </w:t>
      </w:r>
      <w:r>
        <w:rPr>
          <w:spacing w:val="-102"/>
        </w:rPr>
      </w:r>
      <w:r>
        <w:rPr/>
        <w:t>诺事项。</w:t>
      </w:r>
    </w:p>
    <w:p>
      <w:pPr>
        <w:spacing w:line="240" w:lineRule="auto" w:before="0"/>
        <w:rPr>
          <w:rFonts w:ascii="宋体" w:hAnsi="宋体" w:cs="宋体" w:eastAsia="宋体" w:hint="default"/>
          <w:sz w:val="29"/>
          <w:szCs w:val="29"/>
        </w:rPr>
      </w:pPr>
    </w:p>
    <w:p>
      <w:pPr>
        <w:pStyle w:val="Heading2"/>
        <w:tabs>
          <w:tab w:pos="1323" w:val="left" w:leader="none"/>
        </w:tabs>
        <w:spacing w:line="240" w:lineRule="auto" w:before="0"/>
        <w:ind w:left="898" w:right="92"/>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left="898" w:right="92"/>
        <w:jc w:val="left"/>
      </w:pPr>
      <w:r>
        <w:rPr/>
        <w:t>□适用 √不适用</w:t>
      </w:r>
    </w:p>
    <w:p>
      <w:pPr>
        <w:spacing w:after="0" w:line="240" w:lineRule="auto"/>
        <w:jc w:val="left"/>
        <w:sectPr>
          <w:pgSz w:w="11910" w:h="16840"/>
          <w:pgMar w:header="728" w:footer="974" w:top="1120" w:bottom="1160" w:left="520" w:right="520"/>
        </w:sectPr>
      </w:pPr>
    </w:p>
    <w:p>
      <w:pPr>
        <w:spacing w:line="240" w:lineRule="auto" w:before="10"/>
        <w:rPr>
          <w:rFonts w:ascii="宋体" w:hAnsi="宋体" w:cs="宋体" w:eastAsia="宋体" w:hint="default"/>
          <w:sz w:val="26"/>
          <w:szCs w:val="26"/>
        </w:rPr>
      </w:pPr>
    </w:p>
    <w:p>
      <w:pPr>
        <w:pStyle w:val="Heading2"/>
        <w:tabs>
          <w:tab w:pos="1058" w:val="left" w:leader="none"/>
        </w:tabs>
        <w:spacing w:line="240" w:lineRule="auto"/>
        <w:ind w:right="2585"/>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1061" w:val="left" w:leader="none"/>
        </w:tabs>
        <w:spacing w:line="240" w:lineRule="auto" w:before="97"/>
        <w:ind w:right="2585"/>
        <w:jc w:val="left"/>
      </w:pPr>
      <w:r>
        <w:rPr/>
        <w:t>√适用</w:t>
        <w:tab/>
        <w:t>□不适用</w:t>
      </w:r>
    </w:p>
    <w:p>
      <w:pPr>
        <w:pStyle w:val="BodyText"/>
        <w:spacing w:line="240" w:lineRule="auto" w:before="37"/>
        <w:ind w:right="0"/>
        <w:jc w:val="left"/>
      </w:pPr>
      <w:r>
        <w:rPr/>
        <w:t>参照“第四节</w:t>
      </w:r>
      <w:r>
        <w:rPr>
          <w:spacing w:val="-7"/>
        </w:rPr>
        <w:t> </w:t>
      </w:r>
      <w:r>
        <w:rPr/>
        <w:t>经营情况讨论与分析”中“三、（一）行业格局和趋势”。</w:t>
      </w:r>
    </w:p>
    <w:p>
      <w:pPr>
        <w:spacing w:line="240" w:lineRule="auto" w:before="0"/>
        <w:rPr>
          <w:rFonts w:ascii="宋体" w:hAnsi="宋体" w:cs="宋体" w:eastAsia="宋体" w:hint="default"/>
          <w:sz w:val="20"/>
          <w:szCs w:val="20"/>
        </w:rPr>
      </w:pPr>
    </w:p>
    <w:p>
      <w:pPr>
        <w:pStyle w:val="Heading2"/>
        <w:tabs>
          <w:tab w:pos="643" w:val="left" w:leader="none"/>
        </w:tabs>
        <w:spacing w:line="324" w:lineRule="auto" w:before="147"/>
        <w:ind w:right="6864"/>
        <w:jc w:val="left"/>
        <w:rPr>
          <w:b w:val="0"/>
          <w:bCs w:val="0"/>
        </w:rPr>
      </w:pPr>
      <w:r>
        <w:rPr/>
        <w:t>光伏行业经营性信息分析</w:t>
      </w:r>
      <w:r>
        <w:rPr>
          <w:w w:val="100"/>
        </w:rPr>
        <w:t> </w:t>
      </w:r>
      <w:r>
        <w:rPr>
          <w:rFonts w:ascii="宋体" w:hAnsi="宋体" w:cs="宋体" w:eastAsia="宋体" w:hint="default"/>
          <w:w w:val="95"/>
        </w:rPr>
        <w:t>1.</w:t>
        <w:tab/>
      </w:r>
      <w:r>
        <w:rPr/>
        <w:t>光伏设备制造业务</w:t>
      </w:r>
      <w:r>
        <w:rPr>
          <w:b w:val="0"/>
          <w:bCs w:val="0"/>
        </w:rPr>
      </w:r>
    </w:p>
    <w:p>
      <w:pPr>
        <w:pStyle w:val="BodyText"/>
        <w:spacing w:line="240" w:lineRule="auto" w:before="23"/>
        <w:ind w:right="2585"/>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585"/>
        <w:jc w:val="left"/>
        <w:rPr>
          <w:b w:val="0"/>
          <w:bCs w:val="0"/>
        </w:rPr>
      </w:pPr>
      <w:r>
        <w:rPr>
          <w:rFonts w:ascii="宋体" w:hAnsi="宋体" w:cs="宋体" w:eastAsia="宋体" w:hint="default"/>
          <w:w w:val="95"/>
        </w:rPr>
        <w:t>2.</w:t>
        <w:tab/>
      </w:r>
      <w:r>
        <w:rPr/>
        <w:t>光伏产品关键技术指标</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10"/>
        <w:rPr>
          <w:rFonts w:ascii="宋体" w:hAnsi="宋体" w:cs="宋体" w:eastAsia="宋体" w:hint="default"/>
          <w:sz w:val="3"/>
          <w:szCs w:val="3"/>
        </w:rPr>
      </w:pPr>
    </w:p>
    <w:tbl>
      <w:tblPr>
        <w:tblW w:w="0" w:type="auto"/>
        <w:jc w:val="left"/>
        <w:tblInd w:w="223" w:type="dxa"/>
        <w:tblLayout w:type="fixed"/>
        <w:tblCellMar>
          <w:top w:w="0" w:type="dxa"/>
          <w:left w:w="0" w:type="dxa"/>
          <w:bottom w:w="0" w:type="dxa"/>
          <w:right w:w="0" w:type="dxa"/>
        </w:tblCellMar>
        <w:tblLook w:val="01E0"/>
      </w:tblPr>
      <w:tblGrid>
        <w:gridCol w:w="2945"/>
        <w:gridCol w:w="2693"/>
        <w:gridCol w:w="3413"/>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产品类别</w:t>
            </w:r>
          </w:p>
        </w:tc>
        <w:tc>
          <w:tcPr>
            <w:tcW w:w="6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技术指标</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7"/>
              <w:jc w:val="right"/>
              <w:rPr>
                <w:rFonts w:ascii="宋体" w:hAnsi="宋体" w:cs="宋体" w:eastAsia="宋体" w:hint="default"/>
                <w:sz w:val="21"/>
                <w:szCs w:val="21"/>
              </w:rPr>
            </w:pPr>
            <w:r>
              <w:rPr>
                <w:rFonts w:ascii="宋体" w:hAnsi="宋体" w:cs="宋体" w:eastAsia="宋体" w:hint="default"/>
                <w:spacing w:val="-2"/>
                <w:sz w:val="21"/>
                <w:szCs w:val="21"/>
              </w:rPr>
              <w:t>量产平均转换效率</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59"/>
              <w:jc w:val="right"/>
              <w:rPr>
                <w:rFonts w:ascii="宋体" w:hAnsi="宋体" w:cs="宋体" w:eastAsia="宋体" w:hint="default"/>
                <w:sz w:val="21"/>
                <w:szCs w:val="21"/>
              </w:rPr>
            </w:pPr>
            <w:r>
              <w:rPr>
                <w:rFonts w:ascii="宋体" w:hAnsi="宋体" w:cs="宋体" w:eastAsia="宋体" w:hint="default"/>
                <w:spacing w:val="-2"/>
                <w:sz w:val="21"/>
                <w:szCs w:val="21"/>
              </w:rPr>
              <w:t>研发最高转换效率</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单晶硅电池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&gt;21.8%</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电池组件：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7"/>
              <w:jc w:val="right"/>
              <w:rPr>
                <w:rFonts w:ascii="宋体" w:hAnsi="宋体" w:cs="宋体" w:eastAsia="宋体" w:hint="default"/>
                <w:sz w:val="21"/>
                <w:szCs w:val="21"/>
              </w:rPr>
            </w:pPr>
            <w:r>
              <w:rPr>
                <w:rFonts w:ascii="宋体" w:hAnsi="宋体" w:cs="宋体" w:eastAsia="宋体" w:hint="default"/>
                <w:spacing w:val="-2"/>
                <w:sz w:val="21"/>
                <w:szCs w:val="21"/>
              </w:rPr>
              <w:t>量产平均组件功率</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59"/>
              <w:jc w:val="right"/>
              <w:rPr>
                <w:rFonts w:ascii="宋体" w:hAnsi="宋体" w:cs="宋体" w:eastAsia="宋体" w:hint="default"/>
                <w:sz w:val="21"/>
                <w:szCs w:val="21"/>
              </w:rPr>
            </w:pPr>
            <w:r>
              <w:rPr>
                <w:rFonts w:ascii="宋体" w:hAnsi="宋体" w:cs="宋体" w:eastAsia="宋体" w:hint="default"/>
                <w:spacing w:val="-2"/>
                <w:sz w:val="21"/>
                <w:szCs w:val="21"/>
              </w:rPr>
              <w:t>研发最高组件功率</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晶体硅电池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&gt;310W</w:t>
            </w:r>
            <w:r>
              <w:rPr>
                <w:rFonts w:ascii="宋体" w:hAnsi="宋体" w:cs="宋体" w:eastAsia="宋体" w:hint="default"/>
                <w:sz w:val="21"/>
                <w:szCs w:val="21"/>
              </w:rPr>
              <w:t>（</w:t>
            </w:r>
            <w:r>
              <w:rPr>
                <w:rFonts w:ascii="宋体" w:hAnsi="宋体" w:cs="宋体" w:eastAsia="宋体" w:hint="default"/>
                <w:sz w:val="21"/>
                <w:szCs w:val="21"/>
              </w:rPr>
              <w:t>60</w:t>
            </w:r>
            <w:r>
              <w:rPr>
                <w:rFonts w:ascii="宋体" w:hAnsi="宋体" w:cs="宋体" w:eastAsia="宋体" w:hint="default"/>
                <w:spacing w:val="-51"/>
                <w:sz w:val="21"/>
                <w:szCs w:val="21"/>
              </w:rPr>
              <w:t> </w:t>
            </w:r>
            <w:r>
              <w:rPr>
                <w:rFonts w:ascii="宋体" w:hAnsi="宋体" w:cs="宋体" w:eastAsia="宋体" w:hint="default"/>
                <w:sz w:val="21"/>
                <w:szCs w:val="21"/>
              </w:rPr>
              <w:t>片电池）</w:t>
            </w:r>
          </w:p>
        </w:tc>
        <w:tc>
          <w:tcPr>
            <w:tcW w:w="3413" w:type="dxa"/>
            <w:tcBorders>
              <w:top w:val="single" w:sz="4" w:space="0" w:color="000000"/>
              <w:left w:val="single" w:sz="4" w:space="0" w:color="000000"/>
              <w:bottom w:val="single" w:sz="4" w:space="0" w:color="000000"/>
              <w:right w:val="single" w:sz="4" w:space="0" w:color="000000"/>
            </w:tcBorders>
          </w:tcPr>
          <w:p>
            <w:pPr/>
          </w:p>
        </w:tc>
      </w:tr>
      <w:tr>
        <w:trPr>
          <w:trHeight w:val="4380" w:hRule="exact"/>
        </w:trPr>
        <w:tc>
          <w:tcPr>
            <w:tcW w:w="9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指标含义及讨论与分析：量产平均电池转换效率：是指电池的输出功率占入射光功率百分比；采</w:t>
            </w:r>
            <w:r>
              <w:rPr>
                <w:rFonts w:ascii="宋体" w:hAnsi="宋体" w:cs="宋体" w:eastAsia="宋体" w:hint="default"/>
                <w:w w:val="100"/>
                <w:sz w:val="21"/>
                <w:szCs w:val="21"/>
              </w:rPr>
              <w:t> </w:t>
            </w:r>
            <w:r>
              <w:rPr>
                <w:rFonts w:ascii="宋体" w:hAnsi="宋体" w:cs="宋体" w:eastAsia="宋体" w:hint="default"/>
                <w:sz w:val="21"/>
                <w:szCs w:val="21"/>
              </w:rPr>
              <w:t>用一定功率密度的太阳光照射电池，电池吸收光子以后会激发材料产生载流子，对电池性能有贡</w:t>
            </w:r>
            <w:r>
              <w:rPr>
                <w:rFonts w:ascii="宋体" w:hAnsi="宋体" w:cs="宋体" w:eastAsia="宋体" w:hint="default"/>
                <w:w w:val="100"/>
                <w:sz w:val="21"/>
                <w:szCs w:val="21"/>
              </w:rPr>
              <w:t> </w:t>
            </w:r>
            <w:r>
              <w:rPr>
                <w:rFonts w:ascii="宋体" w:hAnsi="宋体" w:cs="宋体" w:eastAsia="宋体" w:hint="default"/>
                <w:sz w:val="21"/>
                <w:szCs w:val="21"/>
              </w:rPr>
              <w:t>献的载流子最终要被电极收集，在收集的同时会伴有电流、电压特性，即对应一个输出功率，以</w:t>
            </w:r>
            <w:r>
              <w:rPr>
                <w:rFonts w:ascii="宋体" w:hAnsi="宋体" w:cs="宋体" w:eastAsia="宋体" w:hint="default"/>
                <w:w w:val="100"/>
                <w:sz w:val="21"/>
                <w:szCs w:val="21"/>
              </w:rPr>
              <w:t> </w:t>
            </w:r>
            <w:r>
              <w:rPr>
                <w:rFonts w:ascii="宋体" w:hAnsi="宋体" w:cs="宋体" w:eastAsia="宋体" w:hint="default"/>
                <w:sz w:val="21"/>
                <w:szCs w:val="21"/>
              </w:rPr>
              <w:t>该产生的功率除以入射光的功率即为转换效率。</w:t>
            </w:r>
            <w:r>
              <w:rPr>
                <w:rFonts w:ascii="宋体" w:hAnsi="宋体" w:cs="宋体" w:eastAsia="宋体" w:hint="default"/>
                <w:sz w:val="21"/>
                <w:szCs w:val="21"/>
              </w:rPr>
              <w:t>N</w:t>
            </w:r>
            <w:r>
              <w:rPr>
                <w:rFonts w:ascii="宋体" w:hAnsi="宋体" w:cs="宋体" w:eastAsia="宋体" w:hint="default"/>
                <w:spacing w:val="-56"/>
                <w:sz w:val="21"/>
                <w:szCs w:val="21"/>
              </w:rPr>
              <w:t> </w:t>
            </w:r>
            <w:r>
              <w:rPr>
                <w:rFonts w:ascii="宋体" w:hAnsi="宋体" w:cs="宋体" w:eastAsia="宋体" w:hint="default"/>
                <w:sz w:val="21"/>
                <w:szCs w:val="21"/>
              </w:rPr>
              <w:t>型双面电池还额外附带背面转换效率的增益，</w:t>
            </w:r>
            <w:r>
              <w:rPr>
                <w:rFonts w:ascii="宋体" w:hAnsi="宋体" w:cs="宋体" w:eastAsia="宋体" w:hint="default"/>
                <w:w w:val="100"/>
                <w:sz w:val="21"/>
                <w:szCs w:val="21"/>
              </w:rPr>
              <w:t> </w:t>
            </w:r>
            <w:r>
              <w:rPr>
                <w:rFonts w:ascii="宋体" w:hAnsi="宋体" w:cs="宋体" w:eastAsia="宋体" w:hint="default"/>
                <w:sz w:val="21"/>
                <w:szCs w:val="21"/>
              </w:rPr>
              <w:t>背面效率</w:t>
            </w:r>
            <w:r>
              <w:rPr>
                <w:rFonts w:ascii="宋体" w:hAnsi="宋体" w:cs="宋体" w:eastAsia="宋体" w:hint="default"/>
                <w:sz w:val="21"/>
                <w:szCs w:val="21"/>
              </w:rPr>
              <w:t>/</w:t>
            </w:r>
            <w:r>
              <w:rPr>
                <w:rFonts w:ascii="宋体" w:hAnsi="宋体" w:cs="宋体" w:eastAsia="宋体" w:hint="default"/>
                <w:sz w:val="21"/>
                <w:szCs w:val="21"/>
              </w:rPr>
              <w:t>正面效率即电池的双面性达</w:t>
            </w:r>
            <w:r>
              <w:rPr>
                <w:rFonts w:ascii="宋体" w:hAnsi="宋体" w:cs="宋体" w:eastAsia="宋体" w:hint="default"/>
                <w:spacing w:val="-43"/>
                <w:sz w:val="21"/>
                <w:szCs w:val="21"/>
              </w:rPr>
              <w:t> </w:t>
            </w:r>
            <w:r>
              <w:rPr>
                <w:rFonts w:ascii="宋体" w:hAnsi="宋体" w:cs="宋体" w:eastAsia="宋体" w:hint="default"/>
                <w:spacing w:val="-3"/>
                <w:sz w:val="21"/>
                <w:szCs w:val="21"/>
              </w:rPr>
              <w:t>88%</w:t>
            </w:r>
            <w:r>
              <w:rPr>
                <w:rFonts w:ascii="宋体" w:hAnsi="宋体" w:cs="宋体" w:eastAsia="宋体" w:hint="default"/>
                <w:spacing w:val="-3"/>
                <w:sz w:val="21"/>
                <w:szCs w:val="21"/>
              </w:rPr>
              <w:t>。单面效率</w:t>
            </w:r>
            <w:r>
              <w:rPr>
                <w:rFonts w:ascii="宋体" w:hAnsi="宋体" w:cs="宋体" w:eastAsia="宋体" w:hint="default"/>
                <w:spacing w:val="-3"/>
                <w:sz w:val="21"/>
                <w:szCs w:val="21"/>
              </w:rPr>
              <w:t>=</w:t>
            </w:r>
            <w:r>
              <w:rPr>
                <w:rFonts w:ascii="宋体" w:hAnsi="宋体" w:cs="宋体" w:eastAsia="宋体" w:hint="default"/>
                <w:spacing w:val="-3"/>
                <w:sz w:val="21"/>
                <w:szCs w:val="21"/>
              </w:rPr>
              <w:t>（开路电压</w:t>
            </w:r>
            <w:r>
              <w:rPr>
                <w:rFonts w:ascii="宋体" w:hAnsi="宋体" w:cs="宋体" w:eastAsia="宋体" w:hint="default"/>
                <w:spacing w:val="-3"/>
                <w:sz w:val="21"/>
                <w:szCs w:val="21"/>
              </w:rPr>
              <w:t>*</w:t>
            </w:r>
            <w:r>
              <w:rPr>
                <w:rFonts w:ascii="宋体" w:hAnsi="宋体" w:cs="宋体" w:eastAsia="宋体" w:hint="default"/>
                <w:spacing w:val="-3"/>
                <w:sz w:val="21"/>
                <w:szCs w:val="21"/>
              </w:rPr>
              <w:t>短路电流</w:t>
            </w:r>
            <w:r>
              <w:rPr>
                <w:rFonts w:ascii="宋体" w:hAnsi="宋体" w:cs="宋体" w:eastAsia="宋体" w:hint="default"/>
                <w:spacing w:val="-3"/>
                <w:sz w:val="21"/>
                <w:szCs w:val="21"/>
              </w:rPr>
              <w:t>*</w:t>
            </w:r>
            <w:r>
              <w:rPr>
                <w:rFonts w:ascii="宋体" w:hAnsi="宋体" w:cs="宋体" w:eastAsia="宋体" w:hint="default"/>
                <w:spacing w:val="-3"/>
                <w:sz w:val="21"/>
                <w:szCs w:val="21"/>
              </w:rPr>
              <w:t>填充因子）</w:t>
            </w:r>
            <w:r>
              <w:rPr>
                <w:rFonts w:ascii="宋体" w:hAnsi="宋体" w:cs="宋体" w:eastAsia="宋体" w:hint="default"/>
                <w:spacing w:val="-3"/>
                <w:sz w:val="21"/>
                <w:szCs w:val="21"/>
              </w:rPr>
              <w:t>/</w:t>
            </w:r>
            <w:r>
              <w:rPr>
                <w:rFonts w:ascii="宋体" w:hAnsi="宋体" w:cs="宋体" w:eastAsia="宋体" w:hint="default"/>
                <w:spacing w:val="-3"/>
                <w:sz w:val="21"/>
                <w:szCs w:val="21"/>
              </w:rPr>
              <w:t>单面入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w w:val="100"/>
                <w:sz w:val="21"/>
                <w:szCs w:val="21"/>
              </w:rPr>
              <w:t>射光功率密度</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电池输出功率密度</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单面入射光功率密度。报告期内公司开发的</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N-PERT</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双面电池取</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4"/>
                <w:sz w:val="21"/>
                <w:szCs w:val="21"/>
              </w:rPr>
              <w:t>得了国家太阳能光伏产品质量监督检测中心出具的《检测报告》（编号：</w:t>
            </w:r>
            <w:r>
              <w:rPr>
                <w:rFonts w:ascii="宋体" w:hAnsi="宋体" w:cs="宋体" w:eastAsia="宋体" w:hint="default"/>
                <w:spacing w:val="-4"/>
                <w:sz w:val="21"/>
                <w:szCs w:val="21"/>
              </w:rPr>
              <w:t>2017DMWA01428</w:t>
            </w:r>
            <w:r>
              <w:rPr>
                <w:rFonts w:ascii="宋体" w:hAnsi="宋体" w:cs="宋体" w:eastAsia="宋体" w:hint="default"/>
                <w:spacing w:val="-4"/>
                <w:sz w:val="21"/>
                <w:szCs w:val="21"/>
              </w:rPr>
              <w:t>），中国</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8"/>
                <w:w w:val="100"/>
                <w:sz w:val="21"/>
                <w:szCs w:val="21"/>
              </w:rPr>
              <w:t>计量科学研究院出具的《校准证书》（编号：</w:t>
            </w:r>
            <w:r>
              <w:rPr>
                <w:rFonts w:ascii="宋体" w:hAnsi="宋体" w:cs="宋体" w:eastAsia="宋体" w:hint="default"/>
                <w:spacing w:val="-8"/>
                <w:w w:val="100"/>
                <w:sz w:val="21"/>
                <w:szCs w:val="21"/>
              </w:rPr>
              <w:t>GXtc2017-2214</w:t>
            </w:r>
            <w:r>
              <w:rPr>
                <w:rFonts w:ascii="宋体" w:hAnsi="宋体" w:cs="宋体" w:eastAsia="宋体" w:hint="default"/>
                <w:spacing w:val="-8"/>
                <w:w w:val="100"/>
                <w:sz w:val="21"/>
                <w:szCs w:val="21"/>
              </w:rPr>
              <w:t>）和福建省计量科学研究院出具的《校</w:t>
            </w:r>
            <w:r>
              <w:rPr>
                <w:rFonts w:ascii="宋体" w:hAnsi="宋体" w:cs="宋体" w:eastAsia="宋体" w:hint="default"/>
                <w:spacing w:val="-69"/>
                <w:w w:val="100"/>
                <w:sz w:val="21"/>
                <w:szCs w:val="21"/>
              </w:rPr>
              <w:t> </w:t>
            </w:r>
            <w:r>
              <w:rPr>
                <w:rFonts w:ascii="宋体" w:hAnsi="宋体" w:cs="宋体" w:eastAsia="宋体" w:hint="default"/>
                <w:spacing w:val="-69"/>
                <w:w w:val="100"/>
                <w:sz w:val="21"/>
                <w:szCs w:val="21"/>
              </w:rPr>
            </w:r>
            <w:r>
              <w:rPr>
                <w:rFonts w:ascii="宋体" w:hAnsi="宋体" w:cs="宋体" w:eastAsia="宋体" w:hint="default"/>
                <w:spacing w:val="-7"/>
                <w:sz w:val="21"/>
                <w:szCs w:val="21"/>
              </w:rPr>
              <w:t>准证书》（编号：（</w:t>
            </w:r>
            <w:r>
              <w:rPr>
                <w:rFonts w:ascii="宋体" w:hAnsi="宋体" w:cs="宋体" w:eastAsia="宋体" w:hint="default"/>
                <w:spacing w:val="-7"/>
                <w:sz w:val="21"/>
                <w:szCs w:val="21"/>
              </w:rPr>
              <w:t>MLY</w:t>
            </w:r>
            <w:r>
              <w:rPr>
                <w:rFonts w:ascii="宋体" w:hAnsi="宋体" w:cs="宋体" w:eastAsia="宋体" w:hint="default"/>
                <w:spacing w:val="-7"/>
                <w:sz w:val="21"/>
                <w:szCs w:val="21"/>
              </w:rPr>
              <w:t>）</w:t>
            </w:r>
            <w:r>
              <w:rPr>
                <w:rFonts w:ascii="宋体" w:hAnsi="宋体" w:cs="宋体" w:eastAsia="宋体" w:hint="default"/>
                <w:spacing w:val="-7"/>
                <w:sz w:val="21"/>
                <w:szCs w:val="21"/>
              </w:rPr>
              <w:t>Q2/17-00330</w:t>
            </w:r>
            <w:r>
              <w:rPr>
                <w:rFonts w:ascii="宋体" w:hAnsi="宋体" w:cs="宋体" w:eastAsia="宋体" w:hint="default"/>
                <w:spacing w:val="-7"/>
                <w:sz w:val="21"/>
                <w:szCs w:val="21"/>
              </w:rPr>
              <w:t>）</w:t>
            </w:r>
            <w:r>
              <w:rPr>
                <w:rFonts w:ascii="宋体" w:hAnsi="宋体" w:cs="宋体" w:eastAsia="宋体" w:hint="default"/>
                <w:spacing w:val="-7"/>
                <w:sz w:val="21"/>
                <w:szCs w:val="21"/>
              </w:rPr>
              <w:t>,</w:t>
            </w:r>
            <w:r>
              <w:rPr>
                <w:rFonts w:ascii="宋体" w:hAnsi="宋体" w:cs="宋体" w:eastAsia="宋体" w:hint="default"/>
                <w:spacing w:val="-7"/>
                <w:sz w:val="21"/>
                <w:szCs w:val="21"/>
              </w:rPr>
              <w:t>均处于</w:t>
            </w:r>
            <w:r>
              <w:rPr>
                <w:rFonts w:ascii="宋体" w:hAnsi="宋体" w:cs="宋体" w:eastAsia="宋体" w:hint="default"/>
                <w:spacing w:val="-29"/>
                <w:sz w:val="21"/>
                <w:szCs w:val="21"/>
              </w:rPr>
              <w:t> </w:t>
            </w:r>
            <w:r>
              <w:rPr>
                <w:rFonts w:ascii="宋体" w:hAnsi="宋体" w:cs="宋体" w:eastAsia="宋体" w:hint="default"/>
                <w:sz w:val="21"/>
                <w:szCs w:val="21"/>
              </w:rPr>
              <w:t>N</w:t>
            </w:r>
            <w:r>
              <w:rPr>
                <w:rFonts w:ascii="宋体" w:hAnsi="宋体" w:cs="宋体" w:eastAsia="宋体" w:hint="default"/>
                <w:spacing w:val="-29"/>
                <w:sz w:val="21"/>
                <w:szCs w:val="21"/>
              </w:rPr>
              <w:t> </w:t>
            </w:r>
            <w:r>
              <w:rPr>
                <w:rFonts w:ascii="宋体" w:hAnsi="宋体" w:cs="宋体" w:eastAsia="宋体" w:hint="default"/>
                <w:spacing w:val="-3"/>
                <w:sz w:val="21"/>
                <w:szCs w:val="21"/>
              </w:rPr>
              <w:t>型双面电池行业领先水平。量产平均组件功率：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是指标准测试条件下（</w:t>
            </w:r>
            <w:r>
              <w:rPr>
                <w:rFonts w:ascii="宋体" w:hAnsi="宋体" w:cs="宋体" w:eastAsia="宋体" w:hint="default"/>
                <w:sz w:val="21"/>
                <w:szCs w:val="21"/>
              </w:rPr>
              <w:t>AM1.5</w:t>
            </w:r>
            <w:r>
              <w:rPr>
                <w:rFonts w:ascii="宋体" w:hAnsi="宋体" w:cs="宋体" w:eastAsia="宋体" w:hint="default"/>
                <w:sz w:val="21"/>
                <w:szCs w:val="21"/>
              </w:rPr>
              <w:t>、组件温度</w:t>
            </w:r>
            <w:r>
              <w:rPr>
                <w:rFonts w:ascii="宋体" w:hAnsi="宋体" w:cs="宋体" w:eastAsia="宋体" w:hint="default"/>
                <w:spacing w:val="-57"/>
                <w:sz w:val="21"/>
                <w:szCs w:val="21"/>
              </w:rPr>
              <w:t> </w:t>
            </w:r>
            <w:r>
              <w:rPr>
                <w:rFonts w:ascii="宋体" w:hAnsi="宋体" w:cs="宋体" w:eastAsia="宋体" w:hint="default"/>
                <w:sz w:val="21"/>
                <w:szCs w:val="21"/>
              </w:rPr>
              <w:t>25℃，辐照度</w:t>
            </w:r>
            <w:r>
              <w:rPr>
                <w:rFonts w:ascii="宋体" w:hAnsi="宋体" w:cs="宋体" w:eastAsia="宋体" w:hint="default"/>
                <w:spacing w:val="-56"/>
                <w:sz w:val="21"/>
                <w:szCs w:val="21"/>
              </w:rPr>
              <w:t> </w:t>
            </w:r>
            <w:r>
              <w:rPr>
                <w:rFonts w:ascii="宋体" w:hAnsi="宋体" w:cs="宋体" w:eastAsia="宋体" w:hint="default"/>
                <w:sz w:val="21"/>
                <w:szCs w:val="21"/>
              </w:rPr>
              <w:t>1000W/m2</w:t>
            </w:r>
            <w:r>
              <w:rPr>
                <w:rFonts w:ascii="宋体" w:hAnsi="宋体" w:cs="宋体" w:eastAsia="宋体" w:hint="default"/>
                <w:sz w:val="21"/>
                <w:szCs w:val="21"/>
              </w:rPr>
              <w:t>），光伏组件最大输出功率。光</w:t>
            </w:r>
            <w:r>
              <w:rPr>
                <w:rFonts w:ascii="宋体" w:hAnsi="宋体" w:cs="宋体" w:eastAsia="宋体" w:hint="default"/>
                <w:w w:val="100"/>
                <w:sz w:val="21"/>
                <w:szCs w:val="21"/>
              </w:rPr>
              <w:t> </w:t>
            </w:r>
            <w:r>
              <w:rPr>
                <w:rFonts w:ascii="宋体" w:hAnsi="宋体" w:cs="宋体" w:eastAsia="宋体" w:hint="default"/>
                <w:sz w:val="21"/>
                <w:szCs w:val="21"/>
              </w:rPr>
              <w:t>伏组件功率通过</w:t>
            </w:r>
            <w:r>
              <w:rPr>
                <w:rFonts w:ascii="宋体" w:hAnsi="宋体" w:cs="宋体" w:eastAsia="宋体" w:hint="default"/>
                <w:spacing w:val="-49"/>
                <w:sz w:val="21"/>
                <w:szCs w:val="21"/>
              </w:rPr>
              <w:t> </w:t>
            </w:r>
            <w:r>
              <w:rPr>
                <w:rFonts w:ascii="宋体" w:hAnsi="宋体" w:cs="宋体" w:eastAsia="宋体" w:hint="default"/>
                <w:sz w:val="21"/>
                <w:szCs w:val="21"/>
              </w:rPr>
              <w:t>TUV</w:t>
            </w:r>
            <w:r>
              <w:rPr>
                <w:rFonts w:ascii="宋体" w:hAnsi="宋体" w:cs="宋体" w:eastAsia="宋体" w:hint="default"/>
                <w:spacing w:val="-51"/>
                <w:sz w:val="21"/>
                <w:szCs w:val="21"/>
              </w:rPr>
              <w:t> </w:t>
            </w:r>
            <w:r>
              <w:rPr>
                <w:rFonts w:ascii="宋体" w:hAnsi="宋体" w:cs="宋体" w:eastAsia="宋体" w:hint="default"/>
                <w:spacing w:val="-5"/>
                <w:sz w:val="21"/>
                <w:szCs w:val="21"/>
              </w:rPr>
              <w:t>莱茵实验室测试确认，在常规组件</w:t>
            </w:r>
            <w:r>
              <w:rPr>
                <w:rFonts w:ascii="宋体" w:hAnsi="宋体" w:cs="宋体" w:eastAsia="宋体" w:hint="default"/>
                <w:spacing w:val="-48"/>
                <w:sz w:val="21"/>
                <w:szCs w:val="21"/>
              </w:rPr>
              <w:t> </w:t>
            </w:r>
            <w:r>
              <w:rPr>
                <w:rFonts w:ascii="宋体" w:hAnsi="宋体" w:cs="宋体" w:eastAsia="宋体" w:hint="default"/>
                <w:sz w:val="21"/>
                <w:szCs w:val="21"/>
              </w:rPr>
              <w:t>STC</w:t>
            </w:r>
            <w:r>
              <w:rPr>
                <w:rFonts w:ascii="宋体" w:hAnsi="宋体" w:cs="宋体" w:eastAsia="宋体" w:hint="default"/>
                <w:spacing w:val="-49"/>
                <w:sz w:val="21"/>
                <w:szCs w:val="21"/>
              </w:rPr>
              <w:t> </w:t>
            </w:r>
            <w:r>
              <w:rPr>
                <w:rFonts w:ascii="宋体" w:hAnsi="宋体" w:cs="宋体" w:eastAsia="宋体" w:hint="default"/>
                <w:spacing w:val="-7"/>
                <w:sz w:val="21"/>
                <w:szCs w:val="21"/>
              </w:rPr>
              <w:t>基础上，铭牌上增加</w:t>
            </w:r>
            <w:r>
              <w:rPr>
                <w:rFonts w:ascii="宋体" w:hAnsi="宋体" w:cs="宋体" w:eastAsia="宋体" w:hint="default"/>
                <w:spacing w:val="-49"/>
                <w:sz w:val="21"/>
                <w:szCs w:val="21"/>
              </w:rPr>
              <w:t> </w:t>
            </w:r>
            <w:r>
              <w:rPr>
                <w:rFonts w:ascii="宋体" w:hAnsi="宋体" w:cs="宋体" w:eastAsia="宋体" w:hint="default"/>
                <w:sz w:val="21"/>
                <w:szCs w:val="21"/>
              </w:rPr>
              <w:t>BSTC</w:t>
            </w:r>
            <w:r>
              <w:rPr>
                <w:rFonts w:ascii="宋体" w:hAnsi="宋体" w:cs="宋体" w:eastAsia="宋体" w:hint="default"/>
                <w:spacing w:val="-51"/>
                <w:sz w:val="21"/>
                <w:szCs w:val="21"/>
              </w:rPr>
              <w:t> </w:t>
            </w:r>
            <w:r>
              <w:rPr>
                <w:rFonts w:ascii="宋体" w:hAnsi="宋体" w:cs="宋体" w:eastAsia="宋体" w:hint="default"/>
                <w:sz w:val="21"/>
                <w:szCs w:val="21"/>
              </w:rPr>
              <w:t>双面标准测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试条件下（参见</w:t>
            </w:r>
            <w:r>
              <w:rPr>
                <w:rFonts w:ascii="宋体" w:hAnsi="宋体" w:cs="宋体" w:eastAsia="宋体" w:hint="default"/>
                <w:spacing w:val="-47"/>
                <w:sz w:val="21"/>
                <w:szCs w:val="21"/>
              </w:rPr>
              <w:t> </w:t>
            </w:r>
            <w:r>
              <w:rPr>
                <w:rFonts w:ascii="宋体" w:hAnsi="宋体" w:cs="宋体" w:eastAsia="宋体" w:hint="default"/>
                <w:sz w:val="21"/>
                <w:szCs w:val="21"/>
              </w:rPr>
              <w:t>TUV</w:t>
            </w:r>
            <w:r>
              <w:rPr>
                <w:rFonts w:ascii="宋体" w:hAnsi="宋体" w:cs="宋体" w:eastAsia="宋体" w:hint="default"/>
                <w:spacing w:val="-47"/>
                <w:sz w:val="21"/>
                <w:szCs w:val="21"/>
              </w:rPr>
              <w:t> </w:t>
            </w:r>
            <w:r>
              <w:rPr>
                <w:rFonts w:ascii="宋体" w:hAnsi="宋体" w:cs="宋体" w:eastAsia="宋体" w:hint="default"/>
                <w:sz w:val="21"/>
                <w:szCs w:val="21"/>
              </w:rPr>
              <w:t>莱茵</w:t>
            </w:r>
            <w:r>
              <w:rPr>
                <w:rFonts w:ascii="宋体" w:hAnsi="宋体" w:cs="宋体" w:eastAsia="宋体" w:hint="default"/>
                <w:spacing w:val="-46"/>
                <w:sz w:val="21"/>
                <w:szCs w:val="21"/>
              </w:rPr>
              <w:t> </w:t>
            </w:r>
            <w:r>
              <w:rPr>
                <w:rFonts w:ascii="宋体" w:hAnsi="宋体" w:cs="宋体" w:eastAsia="宋体" w:hint="default"/>
                <w:sz w:val="21"/>
                <w:szCs w:val="21"/>
              </w:rPr>
              <w:t>2PfG</w:t>
            </w:r>
            <w:r>
              <w:rPr>
                <w:rFonts w:ascii="宋体" w:hAnsi="宋体" w:cs="宋体" w:eastAsia="宋体" w:hint="default"/>
                <w:spacing w:val="-47"/>
                <w:sz w:val="21"/>
                <w:szCs w:val="21"/>
              </w:rPr>
              <w:t> </w:t>
            </w:r>
            <w:r>
              <w:rPr>
                <w:rFonts w:ascii="宋体" w:hAnsi="宋体" w:cs="宋体" w:eastAsia="宋体" w:hint="default"/>
                <w:spacing w:val="-8"/>
                <w:sz w:val="21"/>
                <w:szCs w:val="21"/>
              </w:rPr>
              <w:t>方法）的组件标称功率，自质保日起第</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年内输出功率不低于</w:t>
            </w:r>
            <w:r>
              <w:rPr>
                <w:rFonts w:ascii="宋体" w:hAnsi="宋体" w:cs="宋体" w:eastAsia="宋体" w:hint="default"/>
                <w:spacing w:val="-46"/>
                <w:sz w:val="21"/>
                <w:szCs w:val="21"/>
              </w:rPr>
              <w:t> </w:t>
            </w:r>
            <w:r>
              <w:rPr>
                <w:rFonts w:ascii="宋体" w:hAnsi="宋体" w:cs="宋体" w:eastAsia="宋体" w:hint="default"/>
                <w:sz w:val="21"/>
                <w:szCs w:val="21"/>
              </w:rPr>
              <w:t>98%</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年至第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年间每年衰减不大于</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年结束时输出功率不少于</w:t>
            </w:r>
            <w:r>
              <w:rPr>
                <w:rFonts w:ascii="宋体" w:hAnsi="宋体" w:cs="宋体" w:eastAsia="宋体" w:hint="default"/>
                <w:spacing w:val="-54"/>
                <w:sz w:val="21"/>
                <w:szCs w:val="21"/>
              </w:rPr>
              <w:t> </w:t>
            </w:r>
            <w:r>
              <w:rPr>
                <w:rFonts w:ascii="宋体" w:hAnsi="宋体" w:cs="宋体" w:eastAsia="宋体" w:hint="default"/>
                <w:sz w:val="21"/>
                <w:szCs w:val="21"/>
              </w:rPr>
              <w:t>83.5%</w:t>
            </w:r>
            <w:r>
              <w:rPr>
                <w:rFonts w:ascii="宋体" w:hAnsi="宋体" w:cs="宋体" w:eastAsia="宋体" w:hint="default"/>
                <w:sz w:val="21"/>
                <w:szCs w:val="21"/>
              </w:rPr>
              <w:t>。现量产组件功</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pacing w:val="-53"/>
                <w:sz w:val="21"/>
                <w:szCs w:val="21"/>
              </w:rPr>
              <w:t> </w:t>
            </w:r>
            <w:r>
              <w:rPr>
                <w:rFonts w:ascii="宋体" w:hAnsi="宋体" w:cs="宋体" w:eastAsia="宋体" w:hint="default"/>
                <w:sz w:val="21"/>
                <w:szCs w:val="21"/>
              </w:rPr>
              <w:t>5W</w:t>
            </w:r>
            <w:r>
              <w:rPr>
                <w:rFonts w:ascii="宋体" w:hAnsi="宋体" w:cs="宋体" w:eastAsia="宋体" w:hint="default"/>
                <w:spacing w:val="-55"/>
                <w:sz w:val="21"/>
                <w:szCs w:val="21"/>
              </w:rPr>
              <w:t> </w:t>
            </w:r>
            <w:r>
              <w:rPr>
                <w:rFonts w:ascii="宋体" w:hAnsi="宋体" w:cs="宋体" w:eastAsia="宋体" w:hint="default"/>
                <w:sz w:val="21"/>
                <w:szCs w:val="21"/>
              </w:rPr>
              <w:t>一档，整体功率呈正态分布。</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28" w:footer="974" w:top="1120" w:bottom="1160" w:left="1200" w:right="1300"/>
        </w:sectPr>
      </w:pPr>
    </w:p>
    <w:p>
      <w:pPr>
        <w:pStyle w:val="Heading2"/>
        <w:tabs>
          <w:tab w:pos="643" w:val="left" w:leader="none"/>
        </w:tabs>
        <w:spacing w:line="240" w:lineRule="auto"/>
        <w:ind w:right="-18"/>
        <w:jc w:val="left"/>
        <w:rPr>
          <w:b w:val="0"/>
          <w:bCs w:val="0"/>
        </w:rPr>
      </w:pPr>
      <w:r>
        <w:rPr>
          <w:rFonts w:ascii="宋体" w:hAnsi="宋体" w:cs="宋体" w:eastAsia="宋体" w:hint="default"/>
          <w:w w:val="95"/>
        </w:rPr>
        <w:t>3.</w:t>
        <w:tab/>
      </w:r>
      <w:r>
        <w:rPr/>
        <w:t>光伏电站信息</w:t>
      </w:r>
      <w:r>
        <w:rPr>
          <w:b w:val="0"/>
          <w:bCs w:val="0"/>
        </w:rPr>
      </w:r>
    </w:p>
    <w:p>
      <w:pPr>
        <w:pStyle w:val="BodyText"/>
        <w:tabs>
          <w:tab w:pos="1061" w:val="left" w:leader="none"/>
        </w:tabs>
        <w:spacing w:line="240" w:lineRule="auto" w:before="97"/>
        <w:ind w:right="-1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1"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580" w:bottom="280" w:left="1200" w:right="1300"/>
          <w:cols w:num="2" w:equalWidth="0">
            <w:col w:w="1911" w:space="4637"/>
            <w:col w:w="2862"/>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62"/>
        <w:gridCol w:w="1477"/>
        <w:gridCol w:w="1462"/>
        <w:gridCol w:w="1431"/>
        <w:gridCol w:w="1507"/>
        <w:gridCol w:w="1712"/>
      </w:tblGrid>
      <w:tr>
        <w:trPr>
          <w:trHeight w:val="322" w:hRule="exact"/>
        </w:trPr>
        <w:tc>
          <w:tcPr>
            <w:tcW w:w="9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光伏电站开发：</w:t>
            </w:r>
          </w:p>
        </w:tc>
      </w:tr>
      <w:tr>
        <w:trPr>
          <w:trHeight w:val="946"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5"/>
              <w:jc w:val="center"/>
              <w:rPr>
                <w:rFonts w:ascii="宋体" w:hAnsi="宋体" w:cs="宋体" w:eastAsia="宋体" w:hint="default"/>
                <w:sz w:val="18"/>
                <w:szCs w:val="18"/>
              </w:rPr>
            </w:pPr>
            <w:r>
              <w:rPr>
                <w:rFonts w:ascii="宋体" w:hAnsi="宋体" w:cs="宋体" w:eastAsia="宋体" w:hint="default"/>
                <w:sz w:val="18"/>
                <w:szCs w:val="18"/>
              </w:rPr>
              <w:t>期初持有电站 数及总装机容 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center"/>
              <w:rPr>
                <w:rFonts w:ascii="宋体" w:hAnsi="宋体" w:cs="宋体" w:eastAsia="宋体" w:hint="default"/>
                <w:sz w:val="18"/>
                <w:szCs w:val="18"/>
              </w:rPr>
            </w:pPr>
            <w:r>
              <w:rPr>
                <w:rFonts w:ascii="宋体" w:hAnsi="宋体" w:cs="宋体" w:eastAsia="宋体" w:hint="default"/>
                <w:sz w:val="18"/>
                <w:szCs w:val="18"/>
              </w:rPr>
              <w:t>报告期内出售电 站数及总装机容 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4" w:right="185"/>
              <w:jc w:val="center"/>
              <w:rPr>
                <w:rFonts w:ascii="宋体" w:hAnsi="宋体" w:cs="宋体" w:eastAsia="宋体" w:hint="default"/>
                <w:sz w:val="18"/>
                <w:szCs w:val="18"/>
              </w:rPr>
            </w:pPr>
            <w:r>
              <w:rPr>
                <w:rFonts w:ascii="宋体" w:hAnsi="宋体" w:cs="宋体" w:eastAsia="宋体" w:hint="default"/>
                <w:sz w:val="18"/>
                <w:szCs w:val="18"/>
              </w:rPr>
              <w:t>期末持有电站 数及总装机容 量</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9" w:right="168" w:hanging="269"/>
              <w:jc w:val="left"/>
              <w:rPr>
                <w:rFonts w:ascii="宋体" w:hAnsi="宋体" w:cs="宋体" w:eastAsia="宋体" w:hint="default"/>
                <w:sz w:val="18"/>
                <w:szCs w:val="18"/>
              </w:rPr>
            </w:pPr>
            <w:r>
              <w:rPr>
                <w:rFonts w:ascii="宋体" w:hAnsi="宋体" w:cs="宋体" w:eastAsia="宋体" w:hint="default"/>
                <w:sz w:val="18"/>
                <w:szCs w:val="18"/>
              </w:rPr>
              <w:t>在手已核准的 总装机 容量</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7" w:right="119"/>
              <w:jc w:val="center"/>
              <w:rPr>
                <w:rFonts w:ascii="宋体" w:hAnsi="宋体" w:cs="宋体" w:eastAsia="宋体" w:hint="default"/>
                <w:sz w:val="18"/>
                <w:szCs w:val="18"/>
              </w:rPr>
            </w:pPr>
            <w:r>
              <w:rPr>
                <w:rFonts w:ascii="宋体" w:hAnsi="宋体" w:cs="宋体" w:eastAsia="宋体" w:hint="default"/>
                <w:sz w:val="18"/>
                <w:szCs w:val="18"/>
              </w:rPr>
              <w:t>已出售电站项目 的总成交</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9" w:right="130"/>
              <w:jc w:val="center"/>
              <w:rPr>
                <w:rFonts w:ascii="宋体" w:hAnsi="宋体" w:cs="宋体" w:eastAsia="宋体" w:hint="default"/>
                <w:sz w:val="18"/>
                <w:szCs w:val="18"/>
              </w:rPr>
            </w:pPr>
            <w:r>
              <w:rPr>
                <w:rFonts w:ascii="宋体" w:hAnsi="宋体" w:cs="宋体" w:eastAsia="宋体" w:hint="default"/>
                <w:sz w:val="18"/>
                <w:szCs w:val="18"/>
              </w:rPr>
              <w:t>当期出售电站对公 司当期经营业绩产 生的影响</w:t>
            </w:r>
          </w:p>
        </w:tc>
      </w:tr>
      <w:tr>
        <w:trPr>
          <w:trHeight w:val="63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9"/>
              <w:jc w:val="left"/>
              <w:rPr>
                <w:rFonts w:ascii="宋体" w:hAnsi="宋体" w:cs="宋体" w:eastAsia="宋体" w:hint="default"/>
                <w:sz w:val="18"/>
                <w:szCs w:val="18"/>
              </w:rPr>
            </w:pPr>
            <w:r>
              <w:rPr>
                <w:rFonts w:ascii="宋体" w:hAnsi="宋体" w:cs="宋体" w:eastAsia="宋体" w:hint="default"/>
                <w:sz w:val="18"/>
                <w:szCs w:val="18"/>
              </w:rPr>
              <w:t>117</w:t>
            </w:r>
            <w:r>
              <w:rPr>
                <w:rFonts w:ascii="宋体" w:hAnsi="宋体" w:cs="宋体" w:eastAsia="宋体" w:hint="default"/>
                <w:spacing w:val="-45"/>
                <w:sz w:val="18"/>
                <w:szCs w:val="18"/>
              </w:rPr>
              <w:t> </w:t>
            </w:r>
            <w:r>
              <w:rPr>
                <w:rFonts w:ascii="宋体" w:hAnsi="宋体" w:cs="宋体" w:eastAsia="宋体" w:hint="default"/>
                <w:sz w:val="18"/>
                <w:szCs w:val="18"/>
              </w:rPr>
              <w:t>座电站装机 容量</w:t>
            </w:r>
            <w:r>
              <w:rPr>
                <w:rFonts w:ascii="宋体" w:hAnsi="宋体" w:cs="宋体" w:eastAsia="宋体" w:hint="default"/>
                <w:spacing w:val="-46"/>
                <w:sz w:val="18"/>
                <w:szCs w:val="18"/>
              </w:rPr>
              <w:t> </w:t>
            </w:r>
            <w:r>
              <w:rPr>
                <w:rFonts w:ascii="宋体" w:hAnsi="宋体" w:cs="宋体" w:eastAsia="宋体" w:hint="default"/>
                <w:sz w:val="18"/>
                <w:szCs w:val="18"/>
              </w:rPr>
              <w:t>1303MW</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1"/>
              <w:jc w:val="left"/>
              <w:rPr>
                <w:rFonts w:ascii="宋体" w:hAnsi="宋体" w:cs="宋体" w:eastAsia="宋体" w:hint="default"/>
                <w:sz w:val="18"/>
                <w:szCs w:val="18"/>
              </w:rPr>
            </w:pPr>
            <w:r>
              <w:rPr>
                <w:rFonts w:ascii="宋体" w:hAnsi="宋体" w:cs="宋体" w:eastAsia="宋体" w:hint="default"/>
                <w:sz w:val="18"/>
                <w:szCs w:val="18"/>
              </w:rPr>
              <w:t>136</w:t>
            </w:r>
            <w:r>
              <w:rPr>
                <w:rFonts w:ascii="宋体" w:hAnsi="宋体" w:cs="宋体" w:eastAsia="宋体" w:hint="default"/>
                <w:spacing w:val="-45"/>
                <w:sz w:val="18"/>
                <w:szCs w:val="18"/>
              </w:rPr>
              <w:t> </w:t>
            </w:r>
            <w:r>
              <w:rPr>
                <w:rFonts w:ascii="宋体" w:hAnsi="宋体" w:cs="宋体" w:eastAsia="宋体" w:hint="default"/>
                <w:sz w:val="18"/>
                <w:szCs w:val="18"/>
              </w:rPr>
              <w:t>座电站装机 容量</w:t>
            </w:r>
            <w:r>
              <w:rPr>
                <w:rFonts w:ascii="宋体" w:hAnsi="宋体" w:cs="宋体" w:eastAsia="宋体" w:hint="default"/>
                <w:spacing w:val="-45"/>
                <w:sz w:val="18"/>
                <w:szCs w:val="18"/>
              </w:rPr>
              <w:t> </w:t>
            </w:r>
            <w:r>
              <w:rPr>
                <w:rFonts w:ascii="宋体" w:hAnsi="宋体" w:cs="宋体" w:eastAsia="宋体" w:hint="default"/>
                <w:sz w:val="18"/>
                <w:szCs w:val="18"/>
              </w:rPr>
              <w:t>1450MW</w:t>
            </w:r>
            <w:r>
              <w:rPr>
                <w:rFonts w:ascii="宋体" w:hAnsi="宋体" w:cs="宋体" w:eastAsia="宋体" w:hint="default"/>
                <w:sz w:val="18"/>
                <w:szCs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sz w:val="18"/>
              </w:rPr>
              <w:t>1575MW</w:t>
            </w:r>
          </w:p>
        </w:tc>
        <w:tc>
          <w:tcPr>
            <w:tcW w:w="150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585"/>
        <w:jc w:val="left"/>
      </w:pPr>
      <w:r>
        <w:rPr/>
        <w:t>√适用 □不适用</w:t>
      </w:r>
    </w:p>
    <w:p>
      <w:pPr>
        <w:pStyle w:val="BodyText"/>
        <w:tabs>
          <w:tab w:pos="1262" w:val="left" w:leader="none"/>
        </w:tabs>
        <w:spacing w:line="240" w:lineRule="auto" w:before="37"/>
        <w:ind w:left="0" w:right="114"/>
        <w:jc w:val="right"/>
      </w:pPr>
      <w:r>
        <w:rPr>
          <w:spacing w:val="-1"/>
        </w:rPr>
        <w:t>单位：万元</w:t>
        <w:tab/>
      </w:r>
      <w:r>
        <w:rPr>
          <w:spacing w:val="-2"/>
        </w:rPr>
        <w:t>币种：人民币</w:t>
      </w:r>
    </w:p>
    <w:p>
      <w:pPr>
        <w:spacing w:after="0" w:line="240" w:lineRule="auto"/>
        <w:jc w:val="right"/>
        <w:sectPr>
          <w:type w:val="continuous"/>
          <w:pgSz w:w="11910" w:h="16840"/>
          <w:pgMar w:top="1580" w:bottom="280" w:left="12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32" w:type="dxa"/>
        <w:tblLayout w:type="fixed"/>
        <w:tblCellMar>
          <w:top w:w="0" w:type="dxa"/>
          <w:left w:w="0" w:type="dxa"/>
          <w:bottom w:w="0" w:type="dxa"/>
          <w:right w:w="0" w:type="dxa"/>
        </w:tblCellMar>
        <w:tblLook w:val="01E0"/>
      </w:tblPr>
      <w:tblGrid>
        <w:gridCol w:w="1414"/>
        <w:gridCol w:w="850"/>
        <w:gridCol w:w="709"/>
        <w:gridCol w:w="1418"/>
        <w:gridCol w:w="787"/>
        <w:gridCol w:w="852"/>
        <w:gridCol w:w="852"/>
        <w:gridCol w:w="852"/>
        <w:gridCol w:w="853"/>
        <w:gridCol w:w="852"/>
        <w:gridCol w:w="756"/>
      </w:tblGrid>
      <w:tr>
        <w:trPr>
          <w:trHeight w:val="324" w:hRule="exact"/>
        </w:trPr>
        <w:tc>
          <w:tcPr>
            <w:tcW w:w="101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光伏电站运营：</w:t>
            </w:r>
          </w:p>
        </w:tc>
      </w:tr>
      <w:tr>
        <w:trPr>
          <w:trHeight w:val="94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所在地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7" w:right="170"/>
              <w:jc w:val="left"/>
              <w:rPr>
                <w:rFonts w:ascii="宋体" w:hAnsi="宋体" w:cs="宋体" w:eastAsia="宋体" w:hint="default"/>
                <w:sz w:val="18"/>
                <w:szCs w:val="18"/>
              </w:rPr>
            </w:pPr>
            <w:r>
              <w:rPr>
                <w:rFonts w:ascii="宋体" w:hAnsi="宋体" w:cs="宋体" w:eastAsia="宋体" w:hint="default"/>
                <w:sz w:val="18"/>
                <w:szCs w:val="18"/>
              </w:rPr>
              <w:t>装机 容量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23" w:right="252" w:hanging="269"/>
              <w:jc w:val="left"/>
              <w:rPr>
                <w:rFonts w:ascii="宋体" w:hAnsi="宋体" w:cs="宋体" w:eastAsia="宋体" w:hint="default"/>
                <w:sz w:val="18"/>
                <w:szCs w:val="18"/>
              </w:rPr>
            </w:pPr>
            <w:r>
              <w:rPr>
                <w:rFonts w:ascii="宋体" w:hAnsi="宋体" w:cs="宋体" w:eastAsia="宋体" w:hint="default"/>
                <w:sz w:val="18"/>
                <w:szCs w:val="18"/>
              </w:rPr>
              <w:t>电价补贴及 年限</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发电量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7" w:right="243"/>
              <w:jc w:val="left"/>
              <w:rPr>
                <w:rFonts w:ascii="宋体" w:hAnsi="宋体" w:cs="宋体" w:eastAsia="宋体" w:hint="default"/>
                <w:sz w:val="18"/>
                <w:szCs w:val="18"/>
              </w:rPr>
            </w:pPr>
            <w:r>
              <w:rPr>
                <w:rFonts w:ascii="宋体" w:hAnsi="宋体" w:cs="宋体" w:eastAsia="宋体" w:hint="default"/>
                <w:sz w:val="18"/>
                <w:szCs w:val="18"/>
              </w:rPr>
              <w:t>上网 电量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7" w:right="242"/>
              <w:jc w:val="left"/>
              <w:rPr>
                <w:rFonts w:ascii="宋体" w:hAnsi="宋体" w:cs="宋体" w:eastAsia="宋体" w:hint="default"/>
                <w:sz w:val="18"/>
                <w:szCs w:val="18"/>
              </w:rPr>
            </w:pPr>
            <w:r>
              <w:rPr>
                <w:rFonts w:ascii="宋体" w:hAnsi="宋体" w:cs="宋体" w:eastAsia="宋体" w:hint="default"/>
                <w:sz w:val="18"/>
                <w:szCs w:val="18"/>
              </w:rPr>
              <w:t>结算 电量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9" w:firstLine="48"/>
              <w:jc w:val="both"/>
              <w:rPr>
                <w:rFonts w:ascii="宋体" w:hAnsi="宋体" w:cs="宋体" w:eastAsia="宋体" w:hint="default"/>
                <w:sz w:val="18"/>
                <w:szCs w:val="18"/>
              </w:rPr>
            </w:pPr>
            <w:r>
              <w:rPr>
                <w:rFonts w:ascii="宋体" w:hAnsi="宋体" w:cs="宋体" w:eastAsia="宋体" w:hint="default"/>
                <w:sz w:val="18"/>
                <w:szCs w:val="18"/>
              </w:rPr>
              <w:t>上网电 价（元</w:t>
            </w:r>
            <w:r>
              <w:rPr>
                <w:rFonts w:ascii="宋体" w:hAnsi="宋体" w:cs="宋体" w:eastAsia="宋体" w:hint="default"/>
                <w:sz w:val="18"/>
                <w:szCs w:val="18"/>
              </w:rPr>
              <w:t>/ </w:t>
            </w:r>
            <w:r>
              <w:rPr>
                <w:rFonts w:ascii="宋体" w:hAnsi="宋体" w:cs="宋体" w:eastAsia="宋体" w:hint="default"/>
                <w:sz w:val="18"/>
                <w:szCs w:val="18"/>
              </w:rPr>
              <w:t>千瓦时）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7" w:right="243"/>
              <w:jc w:val="left"/>
              <w:rPr>
                <w:rFonts w:ascii="宋体" w:hAnsi="宋体" w:cs="宋体" w:eastAsia="宋体" w:hint="default"/>
                <w:sz w:val="18"/>
                <w:szCs w:val="18"/>
              </w:rPr>
            </w:pPr>
            <w:r>
              <w:rPr>
                <w:rFonts w:ascii="宋体" w:hAnsi="宋体" w:cs="宋体" w:eastAsia="宋体" w:hint="default"/>
                <w:sz w:val="18"/>
                <w:szCs w:val="18"/>
              </w:rPr>
              <w:t>电费 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7" w:right="242"/>
              <w:jc w:val="left"/>
              <w:rPr>
                <w:rFonts w:ascii="宋体" w:hAnsi="宋体" w:cs="宋体" w:eastAsia="宋体" w:hint="default"/>
                <w:sz w:val="18"/>
                <w:szCs w:val="18"/>
              </w:rPr>
            </w:pPr>
            <w:r>
              <w:rPr>
                <w:rFonts w:ascii="宋体" w:hAnsi="宋体" w:cs="宋体" w:eastAsia="宋体" w:hint="default"/>
                <w:sz w:val="18"/>
                <w:szCs w:val="18"/>
              </w:rPr>
              <w:t>营业 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现金流</w:t>
            </w:r>
          </w:p>
        </w:tc>
      </w:tr>
      <w:tr>
        <w:trPr>
          <w:trHeight w:val="322" w:hRule="exact"/>
        </w:trPr>
        <w:tc>
          <w:tcPr>
            <w:tcW w:w="101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集中式：</w:t>
            </w:r>
          </w:p>
        </w:tc>
      </w:tr>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2" w:right="161" w:hanging="452"/>
              <w:jc w:val="left"/>
              <w:rPr>
                <w:rFonts w:ascii="宋体" w:hAnsi="宋体" w:cs="宋体" w:eastAsia="宋体" w:hint="default"/>
                <w:sz w:val="18"/>
                <w:szCs w:val="18"/>
              </w:rPr>
            </w:pPr>
            <w:r>
              <w:rPr>
                <w:rFonts w:ascii="宋体" w:hAnsi="宋体" w:cs="宋体" w:eastAsia="宋体" w:hint="default"/>
                <w:sz w:val="18"/>
                <w:szCs w:val="18"/>
              </w:rPr>
              <w:t>托克托项目一 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全额上网，电价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16,470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16,226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16,226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12,113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sz w:val="18"/>
              </w:rPr>
              <w:t>8,451</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10,836</w:t>
            </w:r>
          </w:p>
        </w:tc>
      </w:tr>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2" w:right="161" w:hanging="452"/>
              <w:jc w:val="left"/>
              <w:rPr>
                <w:rFonts w:ascii="宋体" w:hAnsi="宋体" w:cs="宋体" w:eastAsia="宋体" w:hint="default"/>
                <w:sz w:val="18"/>
                <w:szCs w:val="18"/>
              </w:rPr>
            </w:pPr>
            <w:r>
              <w:rPr>
                <w:rFonts w:ascii="宋体" w:hAnsi="宋体" w:cs="宋体" w:eastAsia="宋体" w:hint="default"/>
                <w:sz w:val="18"/>
                <w:szCs w:val="18"/>
              </w:rPr>
              <w:t>托克托项目二 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全额上网，电价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3,206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3,104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3,104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2,401</w:t>
            </w:r>
          </w:p>
        </w:tc>
        <w:tc>
          <w:tcPr>
            <w:tcW w:w="852"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r>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612" w:right="161" w:hanging="452"/>
              <w:jc w:val="left"/>
              <w:rPr>
                <w:rFonts w:ascii="宋体" w:hAnsi="宋体" w:cs="宋体" w:eastAsia="宋体" w:hint="default"/>
                <w:sz w:val="18"/>
                <w:szCs w:val="18"/>
              </w:rPr>
            </w:pPr>
            <w:r>
              <w:rPr>
                <w:rFonts w:ascii="宋体" w:hAnsi="宋体" w:cs="宋体" w:eastAsia="宋体" w:hint="default"/>
                <w:sz w:val="18"/>
                <w:szCs w:val="18"/>
              </w:rPr>
              <w:t>托克托项目三 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全额上网，电价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2,699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2,673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2,673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2,068</w:t>
            </w:r>
          </w:p>
        </w:tc>
        <w:tc>
          <w:tcPr>
            <w:tcW w:w="852"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r>
      <w:tr>
        <w:trPr>
          <w:trHeight w:val="324" w:hRule="exact"/>
        </w:trPr>
        <w:tc>
          <w:tcPr>
            <w:tcW w:w="1019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与电站电费收入等相关的金融衍生产品情况（若有）：</w:t>
            </w:r>
          </w:p>
        </w:tc>
      </w:tr>
    </w:tbl>
    <w:p>
      <w:pPr>
        <w:spacing w:after="0" w:line="240" w:lineRule="auto"/>
        <w:jc w:val="left"/>
        <w:rPr>
          <w:rFonts w:ascii="宋体" w:hAnsi="宋体" w:cs="宋体" w:eastAsia="宋体" w:hint="default"/>
          <w:sz w:val="18"/>
          <w:szCs w:val="18"/>
        </w:rPr>
        <w:sectPr>
          <w:footerReference w:type="default" r:id="rId19"/>
          <w:pgSz w:w="11910" w:h="16840"/>
          <w:pgMar w:footer="974" w:header="728" w:top="1120" w:bottom="1160" w:left="620" w:right="620"/>
        </w:sectPr>
      </w:pPr>
    </w:p>
    <w:p>
      <w:pPr>
        <w:pStyle w:val="Heading2"/>
        <w:tabs>
          <w:tab w:pos="1223" w:val="left" w:leader="none"/>
        </w:tabs>
        <w:spacing w:line="324" w:lineRule="auto" w:before="47"/>
        <w:ind w:left="798" w:right="0"/>
        <w:jc w:val="left"/>
        <w:rPr>
          <w:b w:val="0"/>
          <w:bCs w:val="0"/>
        </w:rPr>
      </w:pPr>
      <w:r>
        <w:rPr>
          <w:rFonts w:ascii="宋体" w:hAnsi="宋体" w:cs="宋体" w:eastAsia="宋体" w:hint="default"/>
          <w:w w:val="95"/>
        </w:rPr>
        <w:t>4.</w:t>
        <w:tab/>
      </w:r>
      <w:r>
        <w:rPr/>
        <w:t>推荐使用表格</w:t>
      </w:r>
      <w:r>
        <w:rPr>
          <w:spacing w:val="-104"/>
        </w:rPr>
        <w:t> </w:t>
      </w:r>
      <w:r>
        <w:rPr>
          <w:rFonts w:ascii="宋体" w:hAnsi="宋体" w:cs="宋体" w:eastAsia="宋体" w:hint="default"/>
          <w:spacing w:val="-1"/>
        </w:rPr>
        <w:t>(1).</w:t>
      </w:r>
      <w:r>
        <w:rPr>
          <w:spacing w:val="-1"/>
        </w:rPr>
        <w:t>光伏产品生产和在建产能情况</w:t>
      </w:r>
      <w:r>
        <w:rPr>
          <w:b w:val="0"/>
          <w:bCs w:val="0"/>
          <w:spacing w:val="-1"/>
        </w:rPr>
      </w:r>
    </w:p>
    <w:p>
      <w:pPr>
        <w:pStyle w:val="BodyText"/>
        <w:tabs>
          <w:tab w:pos="1641" w:val="left" w:leader="none"/>
        </w:tabs>
        <w:spacing w:line="240" w:lineRule="auto" w:before="23"/>
        <w:ind w:left="79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2061" w:val="left" w:leader="none"/>
        </w:tabs>
        <w:spacing w:line="240" w:lineRule="auto"/>
        <w:ind w:left="798" w:right="0"/>
        <w:jc w:val="left"/>
      </w:pPr>
      <w:r>
        <w:rPr>
          <w:spacing w:val="-1"/>
        </w:rPr>
        <w:t>单位：万元</w:t>
        <w:tab/>
      </w:r>
      <w:r>
        <w:rPr>
          <w:spacing w:val="-2"/>
        </w:rPr>
        <w:t>币种：人民币</w:t>
      </w:r>
    </w:p>
    <w:p>
      <w:pPr>
        <w:spacing w:after="0" w:line="240" w:lineRule="auto"/>
        <w:jc w:val="left"/>
        <w:sectPr>
          <w:type w:val="continuous"/>
          <w:pgSz w:w="11910" w:h="16840"/>
          <w:pgMar w:top="1580" w:bottom="280" w:left="620" w:right="620"/>
          <w:cols w:num="2" w:equalWidth="0">
            <w:col w:w="3965" w:space="2583"/>
            <w:col w:w="4122"/>
          </w:cols>
        </w:sectPr>
      </w:pPr>
    </w:p>
    <w:p>
      <w:pPr>
        <w:spacing w:line="240" w:lineRule="auto" w:before="10"/>
        <w:rPr>
          <w:rFonts w:ascii="宋体" w:hAnsi="宋体" w:cs="宋体" w:eastAsia="宋体" w:hint="default"/>
          <w:sz w:val="3"/>
          <w:szCs w:val="3"/>
        </w:rPr>
      </w:pPr>
    </w:p>
    <w:tbl>
      <w:tblPr>
        <w:tblW w:w="0" w:type="auto"/>
        <w:jc w:val="left"/>
        <w:tblInd w:w="366" w:type="dxa"/>
        <w:tblLayout w:type="fixed"/>
        <w:tblCellMar>
          <w:top w:w="0" w:type="dxa"/>
          <w:left w:w="0" w:type="dxa"/>
          <w:bottom w:w="0" w:type="dxa"/>
          <w:right w:w="0" w:type="dxa"/>
        </w:tblCellMar>
        <w:tblLook w:val="01E0"/>
      </w:tblPr>
      <w:tblGrid>
        <w:gridCol w:w="1563"/>
        <w:gridCol w:w="756"/>
        <w:gridCol w:w="944"/>
        <w:gridCol w:w="991"/>
        <w:gridCol w:w="1042"/>
        <w:gridCol w:w="850"/>
        <w:gridCol w:w="1087"/>
        <w:gridCol w:w="1841"/>
        <w:gridCol w:w="852"/>
      </w:tblGrid>
      <w:tr>
        <w:trPr>
          <w:trHeight w:val="94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产量</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74" w:right="110" w:hanging="272"/>
              <w:jc w:val="left"/>
              <w:rPr>
                <w:rFonts w:ascii="宋体" w:hAnsi="宋体" w:cs="宋体" w:eastAsia="宋体" w:hint="default"/>
                <w:sz w:val="18"/>
                <w:szCs w:val="18"/>
              </w:rPr>
            </w:pPr>
            <w:r>
              <w:rPr>
                <w:rFonts w:ascii="宋体" w:hAnsi="宋体" w:cs="宋体" w:eastAsia="宋体" w:hint="default"/>
                <w:sz w:val="18"/>
                <w:szCs w:val="18"/>
              </w:rPr>
              <w:t>产能利用 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9" w:right="131"/>
              <w:jc w:val="center"/>
              <w:rPr>
                <w:rFonts w:ascii="宋体" w:hAnsi="宋体" w:cs="宋体" w:eastAsia="宋体" w:hint="default"/>
                <w:sz w:val="18"/>
                <w:szCs w:val="18"/>
              </w:rPr>
            </w:pPr>
            <w:r>
              <w:rPr>
                <w:rFonts w:ascii="宋体" w:hAnsi="宋体" w:cs="宋体" w:eastAsia="宋体" w:hint="default"/>
                <w:sz w:val="18"/>
                <w:szCs w:val="18"/>
              </w:rPr>
              <w:t>在建生产 线 总投资额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5" w:right="155"/>
              <w:jc w:val="center"/>
              <w:rPr>
                <w:rFonts w:ascii="宋体" w:hAnsi="宋体" w:cs="宋体" w:eastAsia="宋体" w:hint="default"/>
                <w:sz w:val="18"/>
                <w:szCs w:val="18"/>
              </w:rPr>
            </w:pPr>
            <w:r>
              <w:rPr>
                <w:rFonts w:ascii="宋体" w:hAnsi="宋体" w:cs="宋体" w:eastAsia="宋体" w:hint="default"/>
                <w:sz w:val="18"/>
                <w:szCs w:val="18"/>
              </w:rPr>
              <w:t>在建生产 线当期投 资额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29" w:right="149" w:hanging="180"/>
              <w:jc w:val="left"/>
              <w:rPr>
                <w:rFonts w:ascii="宋体" w:hAnsi="宋体" w:cs="宋体" w:eastAsia="宋体" w:hint="default"/>
                <w:sz w:val="18"/>
                <w:szCs w:val="18"/>
              </w:rPr>
            </w:pPr>
            <w:r>
              <w:rPr>
                <w:rFonts w:ascii="宋体" w:hAnsi="宋体" w:cs="宋体" w:eastAsia="宋体" w:hint="default"/>
                <w:sz w:val="18"/>
                <w:szCs w:val="18"/>
              </w:rPr>
              <w:t>设计产 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7" w:right="179"/>
              <w:jc w:val="left"/>
              <w:rPr>
                <w:rFonts w:ascii="宋体" w:hAnsi="宋体" w:cs="宋体" w:eastAsia="宋体" w:hint="default"/>
                <w:sz w:val="18"/>
                <w:szCs w:val="18"/>
              </w:rPr>
            </w:pPr>
            <w:r>
              <w:rPr>
                <w:rFonts w:ascii="宋体" w:hAnsi="宋体" w:cs="宋体" w:eastAsia="宋体" w:hint="default"/>
                <w:sz w:val="18"/>
                <w:szCs w:val="18"/>
              </w:rPr>
              <w:t>（预计） 投产时间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34" w:right="734"/>
              <w:jc w:val="center"/>
              <w:rPr>
                <w:rFonts w:ascii="宋体" w:hAnsi="宋体" w:cs="宋体" w:eastAsia="宋体" w:hint="default"/>
                <w:sz w:val="18"/>
                <w:szCs w:val="18"/>
              </w:rPr>
            </w:pPr>
            <w:r>
              <w:rPr>
                <w:rFonts w:ascii="宋体" w:hAnsi="宋体" w:cs="宋体" w:eastAsia="宋体" w:hint="default"/>
                <w:sz w:val="18"/>
                <w:szCs w:val="18"/>
              </w:rPr>
              <w:t>工艺 路线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9" w:right="240"/>
              <w:jc w:val="left"/>
              <w:rPr>
                <w:rFonts w:ascii="宋体" w:hAnsi="宋体" w:cs="宋体" w:eastAsia="宋体" w:hint="default"/>
                <w:sz w:val="18"/>
                <w:szCs w:val="18"/>
              </w:rPr>
            </w:pPr>
            <w:r>
              <w:rPr>
                <w:rFonts w:ascii="宋体" w:hAnsi="宋体" w:cs="宋体" w:eastAsia="宋体" w:hint="default"/>
                <w:sz w:val="18"/>
                <w:szCs w:val="18"/>
              </w:rPr>
              <w:t>环保 投入</w:t>
            </w:r>
          </w:p>
        </w:tc>
      </w:tr>
      <w:tr>
        <w:trPr>
          <w:trHeight w:val="32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4" w:right="0"/>
              <w:jc w:val="left"/>
              <w:rPr>
                <w:rFonts w:ascii="宋体" w:hAnsi="宋体" w:cs="宋体" w:eastAsia="宋体" w:hint="default"/>
                <w:sz w:val="18"/>
                <w:szCs w:val="18"/>
              </w:rPr>
            </w:pPr>
            <w:r>
              <w:rPr>
                <w:rFonts w:ascii="宋体" w:hAnsi="宋体" w:cs="宋体" w:eastAsia="宋体" w:hint="default"/>
                <w:sz w:val="18"/>
                <w:szCs w:val="18"/>
              </w:rPr>
              <w:t>单晶硅电池</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220MW</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29"/>
              <w:jc w:val="right"/>
              <w:rPr>
                <w:rFonts w:ascii="宋体" w:hAnsi="宋体" w:cs="宋体" w:eastAsia="宋体" w:hint="default"/>
                <w:sz w:val="18"/>
                <w:szCs w:val="18"/>
              </w:rPr>
            </w:pPr>
            <w:r>
              <w:rPr>
                <w:rFonts w:ascii="宋体"/>
                <w:sz w:val="18"/>
              </w:rPr>
              <w:t>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N-PERT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600</w:t>
            </w:r>
          </w:p>
        </w:tc>
      </w:tr>
      <w:tr>
        <w:trPr>
          <w:trHeight w:val="63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95" w:right="146" w:hanging="92"/>
              <w:jc w:val="left"/>
              <w:rPr>
                <w:rFonts w:ascii="宋体" w:hAnsi="宋体" w:cs="宋体" w:eastAsia="宋体" w:hint="default"/>
                <w:sz w:val="18"/>
                <w:szCs w:val="18"/>
              </w:rPr>
            </w:pPr>
            <w:r>
              <w:rPr>
                <w:rFonts w:ascii="宋体" w:hAnsi="宋体" w:cs="宋体" w:eastAsia="宋体" w:hint="default"/>
                <w:sz w:val="18"/>
                <w:szCs w:val="18"/>
              </w:rPr>
              <w:t>晶体硅电池 组件</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220MW</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29"/>
              <w:jc w:val="right"/>
              <w:rPr>
                <w:rFonts w:ascii="宋体" w:hAnsi="宋体" w:cs="宋体" w:eastAsia="宋体" w:hint="default"/>
                <w:sz w:val="18"/>
                <w:szCs w:val="18"/>
              </w:rPr>
            </w:pPr>
            <w:r>
              <w:rPr>
                <w:rFonts w:ascii="宋体"/>
                <w:sz w:val="18"/>
              </w:rPr>
              <w:t>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切半、双面、双玻</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2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产能利用率同行业比较及合理性分析：</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年，受“</w:t>
            </w:r>
            <w:r>
              <w:rPr>
                <w:rFonts w:ascii="宋体" w:hAnsi="宋体" w:cs="宋体" w:eastAsia="宋体" w:hint="default"/>
                <w:sz w:val="18"/>
                <w:szCs w:val="18"/>
              </w:rPr>
              <w:t>531</w:t>
            </w:r>
            <w:r>
              <w:rPr>
                <w:rFonts w:ascii="宋体" w:hAnsi="宋体" w:cs="宋体" w:eastAsia="宋体" w:hint="default"/>
                <w:sz w:val="18"/>
                <w:szCs w:val="18"/>
              </w:rPr>
              <w:t>”新政影响，产能利用率为</w:t>
            </w:r>
            <w:r>
              <w:rPr>
                <w:rFonts w:ascii="宋体" w:hAnsi="宋体" w:cs="宋体" w:eastAsia="宋体" w:hint="default"/>
                <w:spacing w:val="-49"/>
                <w:sz w:val="18"/>
                <w:szCs w:val="18"/>
              </w:rPr>
              <w:t> </w:t>
            </w:r>
            <w:r>
              <w:rPr>
                <w:rFonts w:ascii="宋体" w:hAnsi="宋体" w:cs="宋体" w:eastAsia="宋体" w:hint="default"/>
                <w:sz w:val="18"/>
                <w:szCs w:val="18"/>
              </w:rPr>
              <w:t>85%</w:t>
            </w:r>
            <w:r>
              <w:rPr>
                <w:rFonts w:ascii="宋体" w:hAnsi="宋体" w:cs="宋体" w:eastAsia="宋体" w:hint="default"/>
                <w:sz w:val="18"/>
                <w:szCs w:val="18"/>
              </w:rPr>
              <w:t>。</w:t>
            </w:r>
          </w:p>
        </w:tc>
      </w:tr>
    </w:tbl>
    <w:p>
      <w:pPr>
        <w:spacing w:line="240" w:lineRule="auto" w:before="9"/>
        <w:rPr>
          <w:rFonts w:ascii="宋体" w:hAnsi="宋体" w:cs="宋体" w:eastAsia="宋体" w:hint="default"/>
          <w:sz w:val="24"/>
          <w:szCs w:val="24"/>
        </w:rPr>
      </w:pPr>
    </w:p>
    <w:p>
      <w:pPr>
        <w:pStyle w:val="Heading2"/>
        <w:spacing w:line="240" w:lineRule="auto"/>
        <w:ind w:left="798" w:right="0"/>
        <w:jc w:val="left"/>
        <w:rPr>
          <w:b w:val="0"/>
          <w:bCs w:val="0"/>
        </w:rPr>
      </w:pPr>
      <w:r>
        <w:rPr>
          <w:rFonts w:ascii="宋体" w:hAnsi="宋体" w:cs="宋体" w:eastAsia="宋体" w:hint="default"/>
        </w:rPr>
        <w:t>(2).</w:t>
      </w:r>
      <w:r>
        <w:rPr/>
        <w:t>光伏产品主要财务指标</w:t>
      </w:r>
      <w:r>
        <w:rPr>
          <w:b w:val="0"/>
          <w:bCs w:val="0"/>
        </w:rPr>
      </w:r>
    </w:p>
    <w:p>
      <w:pPr>
        <w:pStyle w:val="BodyText"/>
        <w:spacing w:line="240" w:lineRule="auto" w:before="97"/>
        <w:ind w:left="79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620" w:right="620"/>
        </w:sectPr>
      </w:pPr>
    </w:p>
    <w:p>
      <w:pPr>
        <w:pStyle w:val="Heading2"/>
        <w:spacing w:line="240" w:lineRule="auto"/>
        <w:ind w:left="798" w:right="0"/>
        <w:jc w:val="left"/>
        <w:rPr>
          <w:b w:val="0"/>
          <w:bCs w:val="0"/>
        </w:rPr>
      </w:pPr>
      <w:r>
        <w:rPr>
          <w:rFonts w:ascii="宋体" w:hAnsi="宋体" w:cs="宋体" w:eastAsia="宋体" w:hint="default"/>
          <w:spacing w:val="-1"/>
        </w:rPr>
        <w:t>(3).</w:t>
      </w:r>
      <w:r>
        <w:rPr>
          <w:spacing w:val="-1"/>
        </w:rPr>
        <w:t>光伏电站工程承包或开发项目信息</w:t>
      </w:r>
      <w:r>
        <w:rPr>
          <w:b w:val="0"/>
          <w:bCs w:val="0"/>
          <w:spacing w:val="-1"/>
        </w:rPr>
      </w:r>
    </w:p>
    <w:p>
      <w:pPr>
        <w:pStyle w:val="BodyText"/>
        <w:spacing w:line="240" w:lineRule="auto" w:before="97"/>
        <w:ind w:left="79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2061" w:val="left" w:leader="none"/>
        </w:tabs>
        <w:spacing w:line="240" w:lineRule="auto"/>
        <w:ind w:left="798" w:right="0"/>
        <w:jc w:val="left"/>
      </w:pPr>
      <w:r>
        <w:rPr>
          <w:spacing w:val="-1"/>
        </w:rPr>
        <w:t>单位：万元</w:t>
        <w:tab/>
      </w:r>
      <w:r>
        <w:rPr>
          <w:spacing w:val="-2"/>
        </w:rPr>
        <w:t>币种：人民币</w:t>
      </w:r>
    </w:p>
    <w:p>
      <w:pPr>
        <w:spacing w:after="0" w:line="240" w:lineRule="auto"/>
        <w:jc w:val="left"/>
        <w:sectPr>
          <w:type w:val="continuous"/>
          <w:pgSz w:w="11910" w:h="16840"/>
          <w:pgMar w:top="1580" w:bottom="280" w:left="620" w:right="620"/>
          <w:cols w:num="2" w:equalWidth="0">
            <w:col w:w="4388" w:space="2161"/>
            <w:col w:w="4121"/>
          </w:cols>
        </w:sectPr>
      </w:pPr>
    </w:p>
    <w:p>
      <w:pPr>
        <w:spacing w:line="240" w:lineRule="auto" w:before="11"/>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812"/>
        <w:gridCol w:w="991"/>
        <w:gridCol w:w="749"/>
        <w:gridCol w:w="1135"/>
        <w:gridCol w:w="840"/>
        <w:gridCol w:w="711"/>
        <w:gridCol w:w="991"/>
        <w:gridCol w:w="1069"/>
        <w:gridCol w:w="994"/>
        <w:gridCol w:w="1133"/>
      </w:tblGrid>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9" w:right="188"/>
              <w:jc w:val="left"/>
              <w:rPr>
                <w:rFonts w:ascii="宋体" w:hAnsi="宋体" w:cs="宋体" w:eastAsia="宋体" w:hint="default"/>
                <w:sz w:val="18"/>
                <w:szCs w:val="18"/>
              </w:rPr>
            </w:pPr>
            <w:r>
              <w:rPr>
                <w:rFonts w:ascii="宋体" w:hAnsi="宋体" w:cs="宋体" w:eastAsia="宋体" w:hint="default"/>
                <w:sz w:val="18"/>
                <w:szCs w:val="18"/>
              </w:rPr>
              <w:t>装机 容量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1" w:right="113" w:hanging="272"/>
              <w:jc w:val="left"/>
              <w:rPr>
                <w:rFonts w:ascii="宋体" w:hAnsi="宋体" w:cs="宋体" w:eastAsia="宋体" w:hint="default"/>
                <w:sz w:val="18"/>
                <w:szCs w:val="18"/>
              </w:rPr>
            </w:pPr>
            <w:r>
              <w:rPr>
                <w:rFonts w:ascii="宋体" w:hAnsi="宋体" w:cs="宋体" w:eastAsia="宋体" w:hint="default"/>
                <w:sz w:val="18"/>
                <w:szCs w:val="18"/>
              </w:rPr>
              <w:t>电价补贴及 年限</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144"/>
              <w:jc w:val="left"/>
              <w:rPr>
                <w:rFonts w:ascii="宋体" w:hAnsi="宋体" w:cs="宋体" w:eastAsia="宋体" w:hint="default"/>
                <w:sz w:val="18"/>
                <w:szCs w:val="18"/>
              </w:rPr>
            </w:pPr>
            <w:r>
              <w:rPr>
                <w:rFonts w:ascii="宋体" w:hAnsi="宋体" w:cs="宋体" w:eastAsia="宋体" w:hint="default"/>
                <w:sz w:val="18"/>
                <w:szCs w:val="18"/>
              </w:rPr>
              <w:t>开发建 设周期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8" w:right="170"/>
              <w:jc w:val="left"/>
              <w:rPr>
                <w:rFonts w:ascii="宋体" w:hAnsi="宋体" w:cs="宋体" w:eastAsia="宋体" w:hint="default"/>
                <w:sz w:val="18"/>
                <w:szCs w:val="18"/>
              </w:rPr>
            </w:pPr>
            <w:r>
              <w:rPr>
                <w:rFonts w:ascii="宋体" w:hAnsi="宋体" w:cs="宋体" w:eastAsia="宋体" w:hint="default"/>
                <w:sz w:val="18"/>
                <w:szCs w:val="18"/>
              </w:rPr>
              <w:t>投资 规模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7" w:right="170" w:hanging="180"/>
              <w:jc w:val="left"/>
              <w:rPr>
                <w:rFonts w:ascii="宋体" w:hAnsi="宋体" w:cs="宋体" w:eastAsia="宋体" w:hint="default"/>
                <w:sz w:val="18"/>
                <w:szCs w:val="18"/>
              </w:rPr>
            </w:pPr>
            <w:r>
              <w:rPr>
                <w:rFonts w:ascii="宋体" w:hAnsi="宋体" w:cs="宋体" w:eastAsia="宋体" w:hint="default"/>
                <w:sz w:val="18"/>
                <w:szCs w:val="18"/>
              </w:rPr>
              <w:t>当期投入 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1" w:right="131" w:hanging="180"/>
              <w:jc w:val="left"/>
              <w:rPr>
                <w:rFonts w:ascii="宋体" w:hAnsi="宋体" w:cs="宋体" w:eastAsia="宋体" w:hint="default"/>
                <w:sz w:val="18"/>
                <w:szCs w:val="18"/>
              </w:rPr>
            </w:pPr>
            <w:r>
              <w:rPr>
                <w:rFonts w:ascii="宋体" w:hAnsi="宋体" w:cs="宋体" w:eastAsia="宋体" w:hint="default"/>
                <w:sz w:val="18"/>
                <w:szCs w:val="18"/>
              </w:rPr>
              <w:t>项目进展 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70" w:right="110" w:hanging="360"/>
              <w:jc w:val="left"/>
              <w:rPr>
                <w:rFonts w:ascii="宋体" w:hAnsi="宋体" w:cs="宋体" w:eastAsia="宋体" w:hint="default"/>
                <w:sz w:val="18"/>
                <w:szCs w:val="18"/>
              </w:rPr>
            </w:pPr>
            <w:r>
              <w:rPr>
                <w:rFonts w:ascii="宋体" w:hAnsi="宋体" w:cs="宋体" w:eastAsia="宋体" w:hint="default"/>
                <w:sz w:val="18"/>
                <w:szCs w:val="18"/>
              </w:rPr>
              <w:t>当期工程收 入</w:t>
            </w:r>
          </w:p>
        </w:tc>
      </w:tr>
      <w:tr>
        <w:trPr>
          <w:trHeight w:val="322" w:hRule="exact"/>
        </w:trPr>
        <w:tc>
          <w:tcPr>
            <w:tcW w:w="1042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集中式：</w:t>
            </w:r>
          </w:p>
        </w:tc>
      </w:tr>
      <w:tr>
        <w:trPr>
          <w:trHeight w:val="94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泗洪光伏发电应用 领跑基地天岗湖</w:t>
            </w:r>
            <w:r>
              <w:rPr>
                <w:rFonts w:ascii="宋体" w:hAnsi="宋体" w:cs="宋体" w:eastAsia="宋体" w:hint="default"/>
                <w:spacing w:val="-56"/>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号 渔光互补项目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58"/>
              <w:jc w:val="left"/>
              <w:rPr>
                <w:rFonts w:ascii="宋体" w:hAnsi="宋体" w:cs="宋体" w:eastAsia="宋体" w:hint="default"/>
                <w:sz w:val="18"/>
                <w:szCs w:val="18"/>
              </w:rPr>
            </w:pPr>
            <w:r>
              <w:rPr>
                <w:rFonts w:ascii="宋体" w:hAnsi="宋体" w:cs="宋体" w:eastAsia="宋体" w:hint="default"/>
                <w:sz w:val="18"/>
                <w:szCs w:val="18"/>
              </w:rPr>
              <w:t>泗洪县天 岗湖乡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0.129</w:t>
            </w:r>
            <w:r>
              <w:rPr>
                <w:rFonts w:ascii="宋体" w:hAnsi="宋体" w:cs="宋体" w:eastAsia="宋体" w:hint="default"/>
                <w:spacing w:val="-45"/>
                <w:sz w:val="18"/>
                <w:szCs w:val="18"/>
              </w:rPr>
              <w:t> </w:t>
            </w:r>
            <w:r>
              <w:rPr>
                <w:rFonts w:ascii="宋体" w:hAnsi="宋体" w:cs="宋体" w:eastAsia="宋体" w:hint="default"/>
                <w:sz w:val="18"/>
                <w:szCs w:val="18"/>
              </w:rPr>
              <w:t>元，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58"/>
              <w:jc w:val="left"/>
              <w:rPr>
                <w:rFonts w:ascii="宋体" w:hAnsi="宋体" w:cs="宋体" w:eastAsia="宋体" w:hint="default"/>
                <w:sz w:val="18"/>
                <w:szCs w:val="18"/>
              </w:rPr>
            </w:pPr>
            <w:r>
              <w:rPr>
                <w:rFonts w:ascii="宋体" w:hAnsi="宋体" w:cs="宋体" w:eastAsia="宋体" w:hint="default"/>
                <w:sz w:val="18"/>
                <w:szCs w:val="18"/>
              </w:rPr>
              <w:t>自筹及银 行贷款</w:t>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87,039.01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年一 季度全容 量并网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46,863.47</w:t>
            </w:r>
          </w:p>
        </w:tc>
      </w:tr>
      <w:tr>
        <w:trPr>
          <w:trHeight w:val="94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泗洪光伏发电应用 领跑基地天岗湖</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号 渔光互补项目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58"/>
              <w:jc w:val="left"/>
              <w:rPr>
                <w:rFonts w:ascii="宋体" w:hAnsi="宋体" w:cs="宋体" w:eastAsia="宋体" w:hint="default"/>
                <w:sz w:val="18"/>
                <w:szCs w:val="18"/>
              </w:rPr>
            </w:pPr>
            <w:r>
              <w:rPr>
                <w:rFonts w:ascii="宋体" w:hAnsi="宋体" w:cs="宋体" w:eastAsia="宋体" w:hint="default"/>
                <w:sz w:val="18"/>
                <w:szCs w:val="18"/>
              </w:rPr>
              <w:t>泗洪县天 岗湖乡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0.139</w:t>
            </w:r>
            <w:r>
              <w:rPr>
                <w:rFonts w:ascii="宋体" w:hAnsi="宋体" w:cs="宋体" w:eastAsia="宋体" w:hint="default"/>
                <w:spacing w:val="-45"/>
                <w:sz w:val="18"/>
                <w:szCs w:val="18"/>
              </w:rPr>
              <w:t> </w:t>
            </w:r>
            <w:r>
              <w:rPr>
                <w:rFonts w:ascii="宋体" w:hAnsi="宋体" w:cs="宋体" w:eastAsia="宋体" w:hint="default"/>
                <w:sz w:val="18"/>
                <w:szCs w:val="18"/>
              </w:rPr>
              <w:t>元，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58"/>
              <w:jc w:val="left"/>
              <w:rPr>
                <w:rFonts w:ascii="宋体" w:hAnsi="宋体" w:cs="宋体" w:eastAsia="宋体" w:hint="default"/>
                <w:sz w:val="18"/>
                <w:szCs w:val="18"/>
              </w:rPr>
            </w:pPr>
            <w:r>
              <w:rPr>
                <w:rFonts w:ascii="宋体" w:hAnsi="宋体" w:cs="宋体" w:eastAsia="宋体" w:hint="default"/>
                <w:sz w:val="18"/>
                <w:szCs w:val="18"/>
              </w:rPr>
              <w:t>自筹及银 行贷款</w:t>
            </w:r>
          </w:p>
        </w:tc>
        <w:tc>
          <w:tcPr>
            <w:tcW w:w="1069"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年一 季度全容 量并网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46,373.29</w:t>
            </w:r>
          </w:p>
        </w:tc>
      </w:tr>
      <w:tr>
        <w:trPr>
          <w:trHeight w:val="324" w:hRule="exact"/>
        </w:trPr>
        <w:tc>
          <w:tcPr>
            <w:tcW w:w="1042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电站项目中自产品供应情况</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1580" w:bottom="280" w:left="620" w:right="620"/>
        </w:sectPr>
      </w:pPr>
    </w:p>
    <w:p>
      <w:pPr>
        <w:spacing w:line="240" w:lineRule="auto" w:before="10"/>
        <w:rPr>
          <w:rFonts w:ascii="宋体" w:hAnsi="宋体" w:cs="宋体" w:eastAsia="宋体" w:hint="default"/>
          <w:sz w:val="26"/>
          <w:szCs w:val="26"/>
        </w:rPr>
      </w:pPr>
    </w:p>
    <w:p>
      <w:pPr>
        <w:pStyle w:val="Heading2"/>
        <w:tabs>
          <w:tab w:pos="1163" w:val="left" w:leader="none"/>
        </w:tabs>
        <w:spacing w:line="240" w:lineRule="auto"/>
        <w:ind w:left="738" w:right="0"/>
        <w:jc w:val="left"/>
        <w:rPr>
          <w:b w:val="0"/>
          <w:bCs w:val="0"/>
        </w:rPr>
      </w:pPr>
      <w:r>
        <w:rPr>
          <w:rFonts w:ascii="宋体" w:hAnsi="宋体" w:cs="宋体" w:eastAsia="宋体" w:hint="default"/>
          <w:w w:val="95"/>
        </w:rPr>
        <w:t>5.</w:t>
        <w:tab/>
      </w:r>
      <w:r>
        <w:rPr/>
        <w:t>其他说明</w:t>
      </w:r>
      <w:r>
        <w:rPr>
          <w:b w:val="0"/>
          <w:bCs w:val="0"/>
        </w:rPr>
      </w:r>
    </w:p>
    <w:p>
      <w:pPr>
        <w:pStyle w:val="BodyText"/>
        <w:tabs>
          <w:tab w:pos="1581" w:val="left" w:leader="none"/>
        </w:tabs>
        <w:spacing w:line="240" w:lineRule="auto" w:before="97"/>
        <w:ind w:left="738" w:right="0"/>
        <w:jc w:val="left"/>
      </w:pPr>
      <w:r>
        <w:rPr/>
        <w:t>□适用</w:t>
        <w:tab/>
        <w:t>√不适用</w:t>
      </w:r>
    </w:p>
    <w:p>
      <w:pPr>
        <w:spacing w:line="240" w:lineRule="auto" w:before="0"/>
        <w:rPr>
          <w:rFonts w:ascii="宋体" w:hAnsi="宋体" w:cs="宋体" w:eastAsia="宋体" w:hint="default"/>
          <w:sz w:val="20"/>
          <w:szCs w:val="20"/>
        </w:rPr>
      </w:pPr>
    </w:p>
    <w:p>
      <w:pPr>
        <w:pStyle w:val="Heading2"/>
        <w:tabs>
          <w:tab w:pos="1578" w:val="left" w:leader="none"/>
        </w:tabs>
        <w:spacing w:line="240" w:lineRule="auto" w:before="147"/>
        <w:ind w:left="738"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97"/>
        <w:ind w:left="73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738" w:right="0"/>
        <w:jc w:val="left"/>
      </w:pPr>
      <w:r>
        <w:rPr/>
        <w:t>√适用 □不适用</w:t>
      </w:r>
    </w:p>
    <w:p>
      <w:pPr>
        <w:pStyle w:val="BodyText"/>
        <w:spacing w:line="240" w:lineRule="auto" w:before="37"/>
        <w:ind w:left="1158" w:right="0"/>
        <w:jc w:val="left"/>
      </w:pPr>
      <w:r>
        <w:rPr>
          <w:rFonts w:ascii="宋体" w:hAnsi="宋体" w:cs="宋体" w:eastAsia="宋体" w:hint="default"/>
        </w:rPr>
        <w:t>2018</w:t>
      </w:r>
      <w:r>
        <w:rPr>
          <w:rFonts w:ascii="宋体" w:hAnsi="宋体" w:cs="宋体" w:eastAsia="宋体" w:hint="default"/>
          <w:spacing w:val="-57"/>
        </w:rPr>
        <w:t> </w:t>
      </w:r>
      <w:r>
        <w:rPr/>
        <w:t>年度，公司紧紧围绕年初的战略规划进行对外股权投资。截至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日，共计</w:t>
      </w:r>
    </w:p>
    <w:p>
      <w:pPr>
        <w:spacing w:line="273" w:lineRule="auto" w:before="37"/>
        <w:ind w:left="1161" w:right="4858" w:hanging="423"/>
        <w:jc w:val="left"/>
        <w:rPr>
          <w:rFonts w:ascii="宋体" w:hAnsi="宋体" w:cs="宋体" w:eastAsia="宋体" w:hint="default"/>
          <w:sz w:val="21"/>
          <w:szCs w:val="21"/>
        </w:rPr>
      </w:pPr>
      <w:r>
        <w:rPr>
          <w:rFonts w:ascii="宋体" w:hAnsi="宋体" w:cs="宋体" w:eastAsia="宋体" w:hint="default"/>
          <w:sz w:val="21"/>
          <w:szCs w:val="21"/>
        </w:rPr>
        <w:t>对外增资或投资</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6"/>
          <w:sz w:val="21"/>
          <w:szCs w:val="21"/>
        </w:rPr>
        <w:t> </w:t>
      </w:r>
      <w:r>
        <w:rPr>
          <w:rFonts w:ascii="宋体" w:hAnsi="宋体" w:cs="宋体" w:eastAsia="宋体" w:hint="default"/>
          <w:sz w:val="21"/>
          <w:szCs w:val="21"/>
        </w:rPr>
        <w:t>家控股公司，具体投资情况如下：</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、对外投资设立新公司情况</w:t>
      </w:r>
      <w:r>
        <w:rPr>
          <w:rFonts w:ascii="宋体" w:hAnsi="宋体" w:cs="宋体" w:eastAsia="宋体" w:hint="default"/>
          <w:sz w:val="21"/>
          <w:szCs w:val="21"/>
        </w:rPr>
      </w:r>
    </w:p>
    <w:tbl>
      <w:tblPr>
        <w:tblW w:w="0" w:type="auto"/>
        <w:jc w:val="left"/>
        <w:tblInd w:w="186" w:type="dxa"/>
        <w:tblLayout w:type="fixed"/>
        <w:tblCellMar>
          <w:top w:w="0" w:type="dxa"/>
          <w:left w:w="0" w:type="dxa"/>
          <w:bottom w:w="0" w:type="dxa"/>
          <w:right w:w="0" w:type="dxa"/>
        </w:tblCellMar>
        <w:tblLook w:val="01E0"/>
      </w:tblPr>
      <w:tblGrid>
        <w:gridCol w:w="711"/>
        <w:gridCol w:w="2415"/>
        <w:gridCol w:w="1274"/>
        <w:gridCol w:w="1174"/>
        <w:gridCol w:w="1330"/>
        <w:gridCol w:w="2597"/>
        <w:gridCol w:w="665"/>
      </w:tblGrid>
      <w:tr>
        <w:trPr>
          <w:trHeight w:val="32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成立时间</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所在地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62" w:right="0"/>
              <w:jc w:val="left"/>
              <w:rPr>
                <w:rFonts w:ascii="宋体" w:hAnsi="宋体" w:cs="宋体" w:eastAsia="宋体" w:hint="default"/>
                <w:sz w:val="21"/>
                <w:szCs w:val="21"/>
              </w:rPr>
            </w:pPr>
            <w:r>
              <w:rPr>
                <w:rFonts w:ascii="宋体" w:hAnsi="宋体" w:cs="宋体" w:eastAsia="宋体" w:hint="default"/>
                <w:sz w:val="21"/>
                <w:szCs w:val="21"/>
              </w:rPr>
              <w:t>主要从事业务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1</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林洋国际有限公司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2018/3/16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1" w:right="159" w:hanging="212"/>
              <w:jc w:val="left"/>
              <w:rPr>
                <w:rFonts w:ascii="宋体" w:hAnsi="宋体" w:cs="宋体" w:eastAsia="宋体" w:hint="default"/>
                <w:sz w:val="21"/>
                <w:szCs w:val="21"/>
              </w:rPr>
            </w:pPr>
            <w:r>
              <w:rPr>
                <w:rFonts w:ascii="宋体" w:hAnsi="宋体" w:cs="宋体" w:eastAsia="宋体" w:hint="default"/>
                <w:sz w:val="21"/>
                <w:szCs w:val="21"/>
              </w:rPr>
              <w:t>英属维京</w:t>
            </w:r>
            <w:r>
              <w:rPr>
                <w:rFonts w:ascii="宋体" w:hAnsi="宋体" w:cs="宋体" w:eastAsia="宋体" w:hint="default"/>
                <w:w w:val="100"/>
                <w:sz w:val="21"/>
                <w:szCs w:val="21"/>
              </w:rPr>
              <w:t> </w:t>
            </w:r>
            <w:r>
              <w:rPr>
                <w:rFonts w:ascii="宋体" w:hAnsi="宋体" w:cs="宋体" w:eastAsia="宋体" w:hint="default"/>
                <w:sz w:val="21"/>
                <w:szCs w:val="21"/>
              </w:rPr>
              <w:t>群岛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美元</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研发、进出口业务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2</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启东市永威新能源电力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2018/3/23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江苏南通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3</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菏泽永诺新能源科技有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2018/5/8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山东菏泽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夏津林津新能源科技有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2018/5/15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山东德州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5</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北京林洋新能源科技有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2018/5/30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w w:val="100"/>
                <w:sz w:val="21"/>
              </w:rPr>
              <w:t>6</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林洋智慧能源（非洲）</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2018/7/16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南非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w w:val="100"/>
                <w:sz w:val="21"/>
              </w:rPr>
              <w:t>-</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7</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苏州永乐新能源科技有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2018/8/27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江苏苏州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8</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昌邑永洋光伏电力有限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2018/10/26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山东昌邑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9</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南京华耀新能源科技有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2018/12/12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江苏南京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灌云永贯新能源科技有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2018/12/17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5" w:right="159" w:hanging="315"/>
              <w:jc w:val="left"/>
              <w:rPr>
                <w:rFonts w:ascii="宋体" w:hAnsi="宋体" w:cs="宋体" w:eastAsia="宋体" w:hint="default"/>
                <w:sz w:val="21"/>
                <w:szCs w:val="21"/>
              </w:rPr>
            </w:pPr>
            <w:r>
              <w:rPr>
                <w:rFonts w:ascii="宋体" w:hAnsi="宋体" w:cs="宋体" w:eastAsia="宋体" w:hint="default"/>
                <w:sz w:val="21"/>
                <w:szCs w:val="21"/>
              </w:rPr>
              <w:t>江苏连云</w:t>
            </w:r>
            <w:r>
              <w:rPr>
                <w:rFonts w:ascii="宋体" w:hAnsi="宋体" w:cs="宋体" w:eastAsia="宋体" w:hint="default"/>
                <w:w w:val="100"/>
                <w:sz w:val="21"/>
                <w:szCs w:val="21"/>
              </w:rPr>
              <w:t> </w:t>
            </w:r>
            <w:r>
              <w:rPr>
                <w:rFonts w:ascii="宋体" w:hAnsi="宋体" w:cs="宋体" w:eastAsia="宋体" w:hint="default"/>
                <w:sz w:val="21"/>
                <w:szCs w:val="21"/>
              </w:rPr>
              <w:t>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12</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合肥盛康电力有限责任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sz w:val="21"/>
              </w:rPr>
              <w:t>2017/11/27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安徽合肥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7"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13</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肥东县金润新能源有限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2017/9/15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安徽合肥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售与运营管理及相关业务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7" w:right="0"/>
              <w:jc w:val="left"/>
              <w:rPr>
                <w:rFonts w:ascii="宋体" w:hAnsi="宋体" w:cs="宋体" w:eastAsia="宋体" w:hint="default"/>
                <w:sz w:val="21"/>
                <w:szCs w:val="21"/>
              </w:rPr>
            </w:pPr>
            <w:r>
              <w:rPr>
                <w:rFonts w:ascii="宋体" w:hAnsi="宋体" w:cs="宋体" w:eastAsia="宋体" w:hint="default"/>
                <w:sz w:val="21"/>
                <w:szCs w:val="21"/>
              </w:rPr>
              <w:t>收购</w:t>
            </w:r>
          </w:p>
        </w:tc>
      </w:tr>
    </w:tbl>
    <w:p>
      <w:pPr>
        <w:spacing w:line="240" w:lineRule="auto" w:before="9"/>
        <w:rPr>
          <w:rFonts w:ascii="宋体" w:hAnsi="宋体" w:cs="宋体" w:eastAsia="宋体" w:hint="default"/>
          <w:b/>
          <w:bCs/>
          <w:sz w:val="21"/>
          <w:szCs w:val="21"/>
        </w:rPr>
      </w:pPr>
    </w:p>
    <w:p>
      <w:pPr>
        <w:pStyle w:val="BodyText"/>
        <w:spacing w:line="240" w:lineRule="auto" w:before="36"/>
        <w:ind w:left="1158" w:right="0"/>
        <w:jc w:val="left"/>
      </w:pPr>
      <w:r>
        <w:rPr>
          <w:rFonts w:ascii="宋体" w:hAnsi="宋体" w:cs="宋体" w:eastAsia="宋体" w:hint="default"/>
        </w:rPr>
        <w:t>2</w:t>
      </w:r>
      <w:r>
        <w:rPr/>
        <w:t>、报告期内对子公司增资情况</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656"/>
        <w:gridCol w:w="2282"/>
        <w:gridCol w:w="1277"/>
        <w:gridCol w:w="1133"/>
        <w:gridCol w:w="1136"/>
        <w:gridCol w:w="2552"/>
        <w:gridCol w:w="1274"/>
      </w:tblGrid>
      <w:tr>
        <w:trPr>
          <w:trHeight w:val="338"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增资时间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所在地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增资金额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38" w:right="0"/>
              <w:jc w:val="left"/>
              <w:rPr>
                <w:rFonts w:ascii="宋体" w:hAnsi="宋体" w:cs="宋体" w:eastAsia="宋体" w:hint="default"/>
                <w:sz w:val="21"/>
                <w:szCs w:val="21"/>
              </w:rPr>
            </w:pPr>
            <w:r>
              <w:rPr>
                <w:rFonts w:ascii="宋体" w:hAnsi="宋体" w:cs="宋体" w:eastAsia="宋体" w:hint="default"/>
                <w:sz w:val="21"/>
                <w:szCs w:val="21"/>
              </w:rPr>
              <w:t>主要从事业务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636"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w w:val="100"/>
                <w:sz w:val="21"/>
              </w:rPr>
              <w:t>1</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泗洪永盛新能源科技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宋体"/>
                <w:sz w:val="21"/>
              </w:rPr>
              <w:t>2018/2/5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江苏泗洪</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太阳能相关产品研发、销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售与运营管理及相关业务</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2</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江苏林洋电力服务有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2018/4/26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江苏南通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17000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电表集抄、电站建设</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3</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内蒙古乾华农业发展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2018/5/21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呼和浩特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8091</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太阳能相关产品研发、销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售与运营管理及相关业务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8"/>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p>
        </w:tc>
      </w:tr>
    </w:tbl>
    <w:p>
      <w:pPr>
        <w:spacing w:after="0" w:line="273" w:lineRule="auto"/>
        <w:jc w:val="left"/>
        <w:rPr>
          <w:rFonts w:ascii="宋体" w:hAnsi="宋体" w:cs="宋体" w:eastAsia="宋体" w:hint="default"/>
          <w:sz w:val="21"/>
          <w:szCs w:val="21"/>
        </w:rPr>
        <w:sectPr>
          <w:footerReference w:type="default" r:id="rId20"/>
          <w:pgSz w:w="11910" w:h="16840"/>
          <w:pgMar w:footer="974" w:header="728" w:top="1120" w:bottom="1160" w:left="680" w:right="680"/>
          <w:pgNumType w:start="3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656"/>
        <w:gridCol w:w="2282"/>
        <w:gridCol w:w="1277"/>
        <w:gridCol w:w="1133"/>
        <w:gridCol w:w="1136"/>
        <w:gridCol w:w="2552"/>
        <w:gridCol w:w="1274"/>
      </w:tblGrid>
      <w:tr>
        <w:trPr>
          <w:trHeight w:val="629" w:hRule="exact"/>
        </w:trPr>
        <w:tc>
          <w:tcPr>
            <w:tcW w:w="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w w:val="100"/>
                <w:sz w:val="21"/>
              </w:rPr>
              <w:t>4</w:t>
            </w:r>
          </w:p>
        </w:tc>
        <w:tc>
          <w:tcPr>
            <w:tcW w:w="2282"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泗洪永盛新能源科技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宋体" w:hAnsi="宋体" w:cs="宋体" w:eastAsia="宋体" w:hint="default"/>
                <w:sz w:val="21"/>
                <w:szCs w:val="21"/>
              </w:rPr>
            </w:pPr>
            <w:r>
              <w:rPr>
                <w:rFonts w:ascii="宋体"/>
                <w:sz w:val="21"/>
              </w:rPr>
              <w:t>2018/5/28</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left="139" w:right="0"/>
              <w:jc w:val="left"/>
              <w:rPr>
                <w:rFonts w:ascii="宋体" w:hAnsi="宋体" w:cs="宋体" w:eastAsia="宋体" w:hint="default"/>
                <w:sz w:val="21"/>
                <w:szCs w:val="21"/>
              </w:rPr>
            </w:pPr>
            <w:r>
              <w:rPr>
                <w:rFonts w:ascii="宋体" w:hAnsi="宋体" w:cs="宋体" w:eastAsia="宋体" w:hint="default"/>
                <w:sz w:val="21"/>
                <w:szCs w:val="21"/>
              </w:rPr>
              <w:t>江苏泗洪</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太阳能相关产品研发、销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售与运营管理及相关业务</w:t>
            </w:r>
          </w:p>
        </w:tc>
        <w:tc>
          <w:tcPr>
            <w:tcW w:w="1274" w:type="dxa"/>
            <w:tcBorders>
              <w:top w:val="nil" w:sz="6" w:space="0" w:color="auto"/>
              <w:left w:val="single" w:sz="4" w:space="0" w:color="000000"/>
              <w:bottom w:val="single" w:sz="4" w:space="0" w:color="000000"/>
              <w:right w:val="single" w:sz="4" w:space="0" w:color="000000"/>
            </w:tcBorders>
          </w:tcPr>
          <w:p>
            <w:pPr/>
          </w:p>
        </w:tc>
      </w:tr>
      <w:tr>
        <w:trPr>
          <w:trHeight w:val="636"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w w:val="100"/>
                <w:sz w:val="21"/>
              </w:rPr>
              <w:t>5</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铁岭林燕新能源科技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宋体"/>
                <w:sz w:val="21"/>
              </w:rPr>
              <w:t>2018/5/30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9" w:right="0"/>
              <w:jc w:val="left"/>
              <w:rPr>
                <w:rFonts w:ascii="宋体" w:hAnsi="宋体" w:cs="宋体" w:eastAsia="宋体" w:hint="default"/>
                <w:sz w:val="21"/>
                <w:szCs w:val="21"/>
              </w:rPr>
            </w:pPr>
            <w:r>
              <w:rPr>
                <w:rFonts w:ascii="宋体" w:hAnsi="宋体" w:cs="宋体" w:eastAsia="宋体" w:hint="default"/>
                <w:sz w:val="21"/>
                <w:szCs w:val="21"/>
              </w:rPr>
              <w:t>辽宁铁岭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1150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太阳能相关产品研发、销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售与运营管理及相关业务</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6</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邳州市大诚电力科技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2018/6/13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江苏徐州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1600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3"/>
              <w:jc w:val="left"/>
              <w:rPr>
                <w:rFonts w:ascii="宋体" w:hAnsi="宋体" w:cs="宋体" w:eastAsia="宋体" w:hint="default"/>
                <w:sz w:val="21"/>
                <w:szCs w:val="21"/>
              </w:rPr>
            </w:pPr>
            <w:r>
              <w:rPr>
                <w:rFonts w:ascii="宋体" w:hAnsi="宋体" w:cs="宋体" w:eastAsia="宋体" w:hint="default"/>
                <w:sz w:val="21"/>
                <w:szCs w:val="21"/>
              </w:rPr>
              <w:t>太阳能相关产品研发、销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售与运营管理及相关业务</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1158" w:right="0"/>
        <w:jc w:val="left"/>
      </w:pPr>
      <w:r>
        <w:rPr>
          <w:rFonts w:ascii="宋体" w:hAnsi="宋体" w:cs="宋体" w:eastAsia="宋体" w:hint="default"/>
        </w:rPr>
        <w:t>3</w:t>
      </w:r>
      <w:r>
        <w:rPr/>
        <w:t>、报告期内子公司注销情况</w:t>
      </w:r>
    </w:p>
    <w:p>
      <w:pPr>
        <w:spacing w:line="240" w:lineRule="auto" w:before="10"/>
        <w:rPr>
          <w:rFonts w:ascii="宋体" w:hAnsi="宋体" w:cs="宋体" w:eastAsia="宋体" w:hint="default"/>
          <w:sz w:val="3"/>
          <w:szCs w:val="3"/>
        </w:rPr>
      </w:pPr>
    </w:p>
    <w:tbl>
      <w:tblPr>
        <w:tblW w:w="0" w:type="auto"/>
        <w:jc w:val="left"/>
        <w:tblInd w:w="445" w:type="dxa"/>
        <w:tblLayout w:type="fixed"/>
        <w:tblCellMar>
          <w:top w:w="0" w:type="dxa"/>
          <w:left w:w="0" w:type="dxa"/>
          <w:bottom w:w="0" w:type="dxa"/>
          <w:right w:w="0" w:type="dxa"/>
        </w:tblCellMar>
        <w:tblLook w:val="01E0"/>
      </w:tblPr>
      <w:tblGrid>
        <w:gridCol w:w="716"/>
        <w:gridCol w:w="2269"/>
        <w:gridCol w:w="1411"/>
        <w:gridCol w:w="1136"/>
        <w:gridCol w:w="1128"/>
        <w:gridCol w:w="2989"/>
      </w:tblGrid>
      <w:tr>
        <w:trPr>
          <w:trHeight w:val="32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注销时间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所在地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主要从事业务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上海华钥新能源科技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上海松江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开封市林汴新能源科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2018/1/16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河南开封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w w:val="100"/>
                <w:sz w:val="21"/>
              </w:rPr>
              <w:t>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宿州新阳新能源科技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2018/1/30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安徽宿州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亳州市谯城区华金新</w:t>
            </w:r>
            <w:r>
              <w:rPr>
                <w:rFonts w:ascii="宋体" w:hAnsi="宋体" w:cs="宋体" w:eastAsia="宋体" w:hint="default"/>
                <w:w w:val="100"/>
                <w:sz w:val="21"/>
                <w:szCs w:val="21"/>
              </w:rPr>
              <w:t> </w:t>
            </w:r>
            <w:r>
              <w:rPr>
                <w:rFonts w:ascii="宋体" w:hAnsi="宋体" w:cs="宋体" w:eastAsia="宋体" w:hint="default"/>
                <w:sz w:val="21"/>
                <w:szCs w:val="21"/>
              </w:rPr>
              <w:t>能源科技有限公司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2018/5/10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安徽亳州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沛县永乐新能源科技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2018/5/11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江苏徐州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许昌市林魏新能源科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2018/5/14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河南许昌</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990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阜阳华强太阳能科技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2018/7/14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安徽阜阳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w w:val="100"/>
                <w:sz w:val="21"/>
              </w:rPr>
              <w:t>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阜阳永颍太阳能科技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2018/7/16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安徽阜阳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w w:val="100"/>
                <w:sz w:val="21"/>
              </w:rPr>
              <w:t>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临泉金明光伏科技有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2018/7/17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安徽阜阳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禹城市永宏新能源有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2018/8/27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山东德州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11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德州善耕生态农业有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2018/8/27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山东德州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801</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农业生产、种植加工等相关业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宋体"/>
                <w:sz w:val="21"/>
              </w:rPr>
              <w:t>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日照永阳新能源科技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2018/9/4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山东日照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日照华源新能源科技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2018/9/10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山东日照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商丘林明新能源科技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2018/9/11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河南商丘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sz w:val="21"/>
              </w:rPr>
              <w:t>15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庐江绿科新能源科技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2018/9/13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安徽合肥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16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淮北永欣新能源科技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2018/9/25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安徽淮北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宋体"/>
                <w:sz w:val="21"/>
              </w:rPr>
              <w:t>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铁岭林海新能源科技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2018/9/26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辽宁铁岭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bl>
    <w:p>
      <w:pPr>
        <w:spacing w:after="0" w:line="273" w:lineRule="auto"/>
        <w:jc w:val="left"/>
        <w:rPr>
          <w:rFonts w:ascii="宋体" w:hAnsi="宋体" w:cs="宋体" w:eastAsia="宋体" w:hint="default"/>
          <w:sz w:val="21"/>
          <w:szCs w:val="21"/>
        </w:rPr>
        <w:sectPr>
          <w:pgSz w:w="11910" w:h="16840"/>
          <w:pgMar w:header="728" w:footer="974" w:top="1120" w:bottom="1160" w:left="680" w:right="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645" w:type="dxa"/>
        <w:tblLayout w:type="fixed"/>
        <w:tblCellMar>
          <w:top w:w="0" w:type="dxa"/>
          <w:left w:w="0" w:type="dxa"/>
          <w:bottom w:w="0" w:type="dxa"/>
          <w:right w:w="0" w:type="dxa"/>
        </w:tblCellMar>
        <w:tblLook w:val="01E0"/>
      </w:tblPr>
      <w:tblGrid>
        <w:gridCol w:w="716"/>
        <w:gridCol w:w="2269"/>
        <w:gridCol w:w="1411"/>
        <w:gridCol w:w="1136"/>
        <w:gridCol w:w="1128"/>
        <w:gridCol w:w="2989"/>
      </w:tblGrid>
      <w:tr>
        <w:trPr>
          <w:trHeight w:val="629" w:hRule="exact"/>
        </w:trPr>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宋体"/>
                <w:sz w:val="21"/>
              </w:rPr>
              <w:t>18</w:t>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新沂华阳新能源科技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170"/>
              <w:jc w:val="right"/>
              <w:rPr>
                <w:rFonts w:ascii="宋体" w:hAnsi="宋体" w:cs="宋体" w:eastAsia="宋体" w:hint="default"/>
                <w:sz w:val="21"/>
                <w:szCs w:val="21"/>
              </w:rPr>
            </w:pPr>
            <w:r>
              <w:rPr>
                <w:rFonts w:ascii="宋体"/>
                <w:spacing w:val="-1"/>
                <w:sz w:val="21"/>
              </w:rPr>
              <w:t>2018/10/19</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江苏新沂</w:t>
            </w: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left="268"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sz w:val="21"/>
              </w:rPr>
              <w:t>19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东海县永乐新能源有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0"/>
              <w:jc w:val="right"/>
              <w:rPr>
                <w:rFonts w:ascii="宋体" w:hAnsi="宋体" w:cs="宋体" w:eastAsia="宋体" w:hint="default"/>
                <w:sz w:val="21"/>
                <w:szCs w:val="21"/>
              </w:rPr>
            </w:pPr>
            <w:r>
              <w:rPr>
                <w:rFonts w:ascii="宋体"/>
                <w:spacing w:val="-1"/>
                <w:sz w:val="21"/>
              </w:rPr>
              <w:t>2018/10/23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江苏连云</w:t>
            </w:r>
            <w:r>
              <w:rPr>
                <w:rFonts w:ascii="宋体" w:hAnsi="宋体" w:cs="宋体" w:eastAsia="宋体" w:hint="default"/>
                <w:w w:val="100"/>
                <w:sz w:val="21"/>
                <w:szCs w:val="21"/>
              </w:rPr>
              <w:t> </w:t>
            </w:r>
            <w:r>
              <w:rPr>
                <w:rFonts w:ascii="宋体" w:hAnsi="宋体" w:cs="宋体" w:eastAsia="宋体" w:hint="default"/>
                <w:sz w:val="21"/>
                <w:szCs w:val="21"/>
              </w:rPr>
              <w:t>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连云港华乐农业科技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0"/>
              <w:jc w:val="right"/>
              <w:rPr>
                <w:rFonts w:ascii="宋体" w:hAnsi="宋体" w:cs="宋体" w:eastAsia="宋体" w:hint="default"/>
                <w:sz w:val="21"/>
                <w:szCs w:val="21"/>
              </w:rPr>
            </w:pPr>
            <w:r>
              <w:rPr>
                <w:rFonts w:ascii="宋体"/>
                <w:spacing w:val="-1"/>
                <w:sz w:val="21"/>
              </w:rPr>
              <w:t>2018/10/24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江苏连云</w:t>
            </w:r>
            <w:r>
              <w:rPr>
                <w:rFonts w:ascii="宋体" w:hAnsi="宋体" w:cs="宋体" w:eastAsia="宋体" w:hint="default"/>
                <w:w w:val="100"/>
                <w:sz w:val="21"/>
                <w:szCs w:val="21"/>
              </w:rPr>
              <w:t> </w:t>
            </w:r>
            <w:r>
              <w:rPr>
                <w:rFonts w:ascii="宋体" w:hAnsi="宋体" w:cs="宋体" w:eastAsia="宋体" w:hint="default"/>
                <w:sz w:val="21"/>
                <w:szCs w:val="21"/>
              </w:rPr>
              <w:t>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临邑永元新能源有限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0"/>
              <w:jc w:val="right"/>
              <w:rPr>
                <w:rFonts w:ascii="宋体" w:hAnsi="宋体" w:cs="宋体" w:eastAsia="宋体" w:hint="default"/>
                <w:sz w:val="21"/>
                <w:szCs w:val="21"/>
              </w:rPr>
            </w:pPr>
            <w:r>
              <w:rPr>
                <w:rFonts w:ascii="宋体"/>
                <w:spacing w:val="-1"/>
                <w:sz w:val="21"/>
              </w:rPr>
              <w:t>2018/10/24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山东德州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德州永益新能源有限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0"/>
              <w:jc w:val="right"/>
              <w:rPr>
                <w:rFonts w:ascii="宋体" w:hAnsi="宋体" w:cs="宋体" w:eastAsia="宋体" w:hint="default"/>
                <w:sz w:val="21"/>
                <w:szCs w:val="21"/>
              </w:rPr>
            </w:pPr>
            <w:r>
              <w:rPr>
                <w:rFonts w:ascii="宋体"/>
                <w:spacing w:val="-1"/>
                <w:sz w:val="21"/>
              </w:rPr>
              <w:t>2018/10/25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山东德州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宋体" w:hAnsi="宋体" w:cs="宋体" w:eastAsia="宋体" w:hint="default"/>
                <w:sz w:val="21"/>
                <w:szCs w:val="21"/>
              </w:rPr>
            </w:pPr>
            <w:r>
              <w:rPr>
                <w:rFonts w:ascii="宋体"/>
                <w:sz w:val="21"/>
              </w:rPr>
              <w:t>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南通市通州区华乐新</w:t>
            </w:r>
            <w:r>
              <w:rPr>
                <w:rFonts w:ascii="宋体" w:hAnsi="宋体" w:cs="宋体" w:eastAsia="宋体" w:hint="default"/>
                <w:w w:val="100"/>
                <w:sz w:val="21"/>
                <w:szCs w:val="21"/>
              </w:rPr>
              <w:t> </w:t>
            </w:r>
            <w:r>
              <w:rPr>
                <w:rFonts w:ascii="宋体" w:hAnsi="宋体" w:cs="宋体" w:eastAsia="宋体" w:hint="default"/>
                <w:sz w:val="21"/>
                <w:szCs w:val="21"/>
              </w:rPr>
              <w:t>能源科技有限公司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0"/>
              <w:jc w:val="right"/>
              <w:rPr>
                <w:rFonts w:ascii="宋体" w:hAnsi="宋体" w:cs="宋体" w:eastAsia="宋体" w:hint="default"/>
                <w:sz w:val="21"/>
                <w:szCs w:val="21"/>
              </w:rPr>
            </w:pPr>
            <w:r>
              <w:rPr>
                <w:rFonts w:ascii="宋体"/>
                <w:spacing w:val="-1"/>
                <w:sz w:val="21"/>
              </w:rPr>
              <w:t>2018/10/30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江苏南通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南通林洋电气有限公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0"/>
              <w:jc w:val="right"/>
              <w:rPr>
                <w:rFonts w:ascii="宋体" w:hAnsi="宋体" w:cs="宋体" w:eastAsia="宋体" w:hint="default"/>
                <w:sz w:val="21"/>
                <w:szCs w:val="21"/>
              </w:rPr>
            </w:pPr>
            <w:r>
              <w:rPr>
                <w:rFonts w:ascii="宋体"/>
                <w:spacing w:val="-1"/>
                <w:sz w:val="21"/>
              </w:rPr>
              <w:t>2018/11/14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江苏南通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电子设备产品研发、制造、销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售及相关系统集成业务</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sz w:val="21"/>
              </w:rPr>
              <w:t>25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62"/>
              <w:jc w:val="left"/>
              <w:rPr>
                <w:rFonts w:ascii="宋体" w:hAnsi="宋体" w:cs="宋体" w:eastAsia="宋体" w:hint="default"/>
                <w:sz w:val="21"/>
                <w:szCs w:val="21"/>
              </w:rPr>
            </w:pPr>
            <w:r>
              <w:rPr>
                <w:rFonts w:ascii="宋体" w:hAnsi="宋体" w:cs="宋体" w:eastAsia="宋体" w:hint="default"/>
                <w:sz w:val="21"/>
                <w:szCs w:val="21"/>
              </w:rPr>
              <w:t>沈阳林润新能源科技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0"/>
              <w:jc w:val="right"/>
              <w:rPr>
                <w:rFonts w:ascii="宋体" w:hAnsi="宋体" w:cs="宋体" w:eastAsia="宋体" w:hint="default"/>
                <w:sz w:val="21"/>
                <w:szCs w:val="21"/>
              </w:rPr>
            </w:pPr>
            <w:r>
              <w:rPr>
                <w:rFonts w:ascii="宋体"/>
                <w:spacing w:val="-1"/>
                <w:sz w:val="21"/>
              </w:rPr>
              <w:t>2018/12/18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辽宁沈阳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8"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运营管理及相关业务</w:t>
            </w:r>
          </w:p>
        </w:tc>
      </w:tr>
    </w:tbl>
    <w:p>
      <w:pPr>
        <w:spacing w:line="240" w:lineRule="auto" w:before="9"/>
        <w:rPr>
          <w:rFonts w:ascii="宋体" w:hAnsi="宋体" w:cs="宋体" w:eastAsia="宋体" w:hint="default"/>
          <w:sz w:val="24"/>
          <w:szCs w:val="24"/>
        </w:rPr>
      </w:pPr>
    </w:p>
    <w:p>
      <w:pPr>
        <w:pStyle w:val="Heading2"/>
        <w:spacing w:line="240" w:lineRule="auto"/>
        <w:ind w:left="938" w:right="828"/>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781" w:val="left" w:leader="none"/>
        </w:tabs>
        <w:spacing w:line="240" w:lineRule="auto" w:before="97"/>
        <w:ind w:left="938" w:right="828"/>
        <w:jc w:val="left"/>
      </w:pPr>
      <w:r>
        <w:rPr/>
        <w:t>√适用</w:t>
        <w:tab/>
        <w:t>□不适用</w:t>
      </w:r>
    </w:p>
    <w:p>
      <w:pPr>
        <w:pStyle w:val="BodyText"/>
        <w:spacing w:line="273" w:lineRule="auto" w:before="37"/>
        <w:ind w:left="938" w:right="828" w:firstLine="420"/>
        <w:jc w:val="left"/>
      </w:pPr>
      <w:r>
        <w:rPr>
          <w:rFonts w:ascii="宋体" w:hAnsi="宋体" w:cs="宋体" w:eastAsia="宋体" w:hint="default"/>
        </w:rPr>
        <w:t>2018</w:t>
      </w:r>
      <w:r>
        <w:rPr>
          <w:rFonts w:ascii="宋体" w:hAnsi="宋体" w:cs="宋体" w:eastAsia="宋体" w:hint="default"/>
          <w:spacing w:val="-58"/>
        </w:rPr>
        <w:t> </w:t>
      </w:r>
      <w:r>
        <w:rPr/>
        <w:t>年</w:t>
      </w:r>
      <w:r>
        <w:rPr>
          <w:spacing w:val="-56"/>
        </w:rPr>
        <w:t> </w:t>
      </w:r>
      <w:r>
        <w:rPr>
          <w:rFonts w:ascii="宋体" w:hAnsi="宋体" w:cs="宋体" w:eastAsia="宋体" w:hint="default"/>
        </w:rPr>
        <w:t>4</w:t>
      </w:r>
      <w:r>
        <w:rPr>
          <w:rFonts w:ascii="宋体" w:hAnsi="宋体" w:cs="宋体" w:eastAsia="宋体" w:hint="default"/>
          <w:spacing w:val="-58"/>
        </w:rPr>
        <w:t> </w:t>
      </w:r>
      <w:r>
        <w:rPr/>
        <w:t>月，公司为开拓分布式光伏电站领域高效</w:t>
      </w:r>
      <w:r>
        <w:rPr>
          <w:spacing w:val="-58"/>
        </w:rPr>
        <w:t> </w:t>
      </w:r>
      <w:r>
        <w:rPr>
          <w:rFonts w:ascii="宋体" w:hAnsi="宋体" w:cs="宋体" w:eastAsia="宋体" w:hint="default"/>
        </w:rPr>
        <w:t>EPC</w:t>
      </w:r>
      <w:r>
        <w:rPr>
          <w:rFonts w:ascii="宋体" w:hAnsi="宋体" w:cs="宋体" w:eastAsia="宋体" w:hint="default"/>
          <w:spacing w:val="-56"/>
        </w:rPr>
        <w:t> </w:t>
      </w:r>
      <w:r>
        <w:rPr/>
        <w:t>业务，与中广核太阳能开发有限公司共</w:t>
      </w:r>
      <w:r>
        <w:rPr>
          <w:w w:val="100"/>
        </w:rPr>
        <w:t> </w:t>
      </w:r>
      <w:r>
        <w:rPr/>
        <w:t>同出资成立了中广核林洋新能源泗洪有限公司，中广核持有其</w:t>
      </w:r>
      <w:r>
        <w:rPr>
          <w:spacing w:val="-42"/>
        </w:rPr>
        <w:t> </w:t>
      </w:r>
      <w:r>
        <w:rPr>
          <w:rFonts w:ascii="宋体" w:hAnsi="宋体" w:cs="宋体" w:eastAsia="宋体" w:hint="default"/>
        </w:rPr>
        <w:t>90%</w:t>
      </w:r>
      <w:r>
        <w:rPr/>
        <w:t>的股权，公司持有其</w:t>
      </w:r>
      <w:r>
        <w:rPr>
          <w:spacing w:val="-38"/>
        </w:rPr>
        <w:t> </w:t>
      </w:r>
      <w:r>
        <w:rPr>
          <w:rFonts w:ascii="宋体" w:hAnsi="宋体" w:cs="宋体" w:eastAsia="宋体" w:hint="default"/>
        </w:rPr>
        <w:t>10%</w:t>
      </w:r>
      <w:r>
        <w:rPr/>
        <w:t>的股权。</w:t>
      </w:r>
      <w:r>
        <w:rPr>
          <w:spacing w:val="-102"/>
        </w:rPr>
        <w:t> </w:t>
      </w:r>
      <w:r>
        <w:rPr>
          <w:spacing w:val="-102"/>
        </w:rPr>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月，中广核林洋注册资本增加至</w:t>
      </w:r>
      <w:r>
        <w:rPr>
          <w:spacing w:val="-53"/>
        </w:rPr>
        <w:t> </w:t>
      </w:r>
      <w:r>
        <w:rPr>
          <w:rFonts w:ascii="宋体" w:hAnsi="宋体" w:cs="宋体" w:eastAsia="宋体" w:hint="default"/>
        </w:rPr>
        <w:t>24,362</w:t>
      </w:r>
      <w:r>
        <w:rPr>
          <w:rFonts w:ascii="宋体" w:hAnsi="宋体" w:cs="宋体" w:eastAsia="宋体" w:hint="default"/>
          <w:spacing w:val="-55"/>
        </w:rPr>
        <w:t> </w:t>
      </w:r>
      <w:r>
        <w:rPr/>
        <w:t>万元。</w:t>
      </w:r>
    </w:p>
    <w:p>
      <w:pPr>
        <w:spacing w:line="240" w:lineRule="auto" w:before="0"/>
        <w:rPr>
          <w:rFonts w:ascii="宋体" w:hAnsi="宋体" w:cs="宋体" w:eastAsia="宋体" w:hint="default"/>
          <w:sz w:val="29"/>
          <w:szCs w:val="29"/>
        </w:rPr>
      </w:pPr>
    </w:p>
    <w:p>
      <w:pPr>
        <w:pStyle w:val="Heading2"/>
        <w:spacing w:line="240" w:lineRule="auto" w:before="0"/>
        <w:ind w:left="938" w:right="828"/>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781" w:val="left" w:leader="none"/>
        </w:tabs>
        <w:spacing w:line="240" w:lineRule="auto" w:before="97"/>
        <w:ind w:left="938" w:right="828"/>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938" w:right="82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781" w:val="left" w:leader="none"/>
        </w:tabs>
        <w:spacing w:line="240" w:lineRule="auto" w:before="97"/>
        <w:ind w:left="938" w:right="828"/>
        <w:jc w:val="left"/>
      </w:pPr>
      <w:r>
        <w:rPr/>
        <w:t>□适用</w:t>
        <w:tab/>
        <w:t>√不适用</w:t>
      </w:r>
    </w:p>
    <w:p>
      <w:pPr>
        <w:spacing w:line="240" w:lineRule="auto" w:before="0"/>
        <w:rPr>
          <w:rFonts w:ascii="宋体" w:hAnsi="宋体" w:cs="宋体" w:eastAsia="宋体" w:hint="default"/>
          <w:sz w:val="20"/>
          <w:szCs w:val="20"/>
        </w:rPr>
      </w:pPr>
    </w:p>
    <w:p>
      <w:pPr>
        <w:pStyle w:val="Heading2"/>
        <w:tabs>
          <w:tab w:pos="1778" w:val="left" w:leader="none"/>
        </w:tabs>
        <w:spacing w:line="240" w:lineRule="auto" w:before="147"/>
        <w:ind w:left="938" w:right="828"/>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tabs>
          <w:tab w:pos="1781" w:val="left" w:leader="none"/>
        </w:tabs>
        <w:spacing w:line="240" w:lineRule="auto" w:before="97"/>
        <w:ind w:left="938" w:right="828"/>
        <w:jc w:val="left"/>
      </w:pPr>
      <w:r>
        <w:rPr/>
        <w:t>□适用</w:t>
        <w:tab/>
        <w:t>√不适用</w:t>
      </w:r>
    </w:p>
    <w:p>
      <w:pPr>
        <w:spacing w:line="240" w:lineRule="auto" w:before="0"/>
        <w:rPr>
          <w:rFonts w:ascii="宋体" w:hAnsi="宋体" w:cs="宋体" w:eastAsia="宋体" w:hint="default"/>
          <w:sz w:val="20"/>
          <w:szCs w:val="20"/>
        </w:rPr>
      </w:pPr>
    </w:p>
    <w:p>
      <w:pPr>
        <w:pStyle w:val="Heading2"/>
        <w:tabs>
          <w:tab w:pos="1778" w:val="left" w:leader="none"/>
        </w:tabs>
        <w:spacing w:line="240" w:lineRule="auto" w:before="147"/>
        <w:ind w:left="938" w:right="828"/>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40" w:lineRule="auto" w:before="97"/>
        <w:ind w:left="938" w:right="828"/>
        <w:jc w:val="left"/>
      </w:pPr>
      <w:r>
        <w:rPr/>
        <w:t>√适用 □不适用</w:t>
      </w:r>
    </w:p>
    <w:p>
      <w:pPr>
        <w:pStyle w:val="BodyText"/>
        <w:spacing w:line="240" w:lineRule="auto" w:before="37"/>
        <w:ind w:left="1298" w:right="828"/>
        <w:jc w:val="left"/>
      </w:pPr>
      <w:r>
        <w:rPr>
          <w:rFonts w:ascii="Calibri" w:hAnsi="Calibri" w:cs="Calibri" w:eastAsia="Calibri" w:hint="default"/>
          <w:w w:val="100"/>
        </w:rPr>
        <w:t>1</w:t>
      </w:r>
      <w:r>
        <w:rPr>
          <w:w w:val="100"/>
        </w:rPr>
        <w:t>）</w:t>
      </w:r>
      <w:r>
        <w:rPr>
          <w:spacing w:val="-65"/>
        </w:rPr>
        <w:t> </w:t>
      </w:r>
      <w:r>
        <w:rPr>
          <w:w w:val="100"/>
        </w:rPr>
        <w:t>主要</w:t>
      </w:r>
      <w:r>
        <w:rPr>
          <w:spacing w:val="-3"/>
          <w:w w:val="100"/>
        </w:rPr>
        <w:t>控</w:t>
      </w:r>
      <w:r>
        <w:rPr>
          <w:w w:val="100"/>
        </w:rPr>
        <w:t>股</w:t>
      </w:r>
      <w:r>
        <w:rPr>
          <w:spacing w:val="-3"/>
          <w:w w:val="100"/>
        </w:rPr>
        <w:t>公</w:t>
      </w:r>
      <w:r>
        <w:rPr>
          <w:spacing w:val="-1"/>
          <w:w w:val="100"/>
        </w:rPr>
        <w:t>司</w:t>
      </w:r>
      <w:r>
        <w:rPr>
          <w:spacing w:val="-3"/>
          <w:w w:val="100"/>
        </w:rPr>
        <w:t>分</w:t>
      </w:r>
      <w:r>
        <w:rPr>
          <w:w w:val="100"/>
        </w:rPr>
        <w:t>析</w:t>
      </w:r>
      <w:r>
        <w:rPr>
          <w:spacing w:val="-3"/>
          <w:w w:val="100"/>
        </w:rPr>
        <w:t>（</w:t>
      </w:r>
      <w:r>
        <w:rPr>
          <w:w w:val="100"/>
        </w:rPr>
        <w:t>单</w:t>
      </w:r>
      <w:r>
        <w:rPr>
          <w:spacing w:val="-3"/>
          <w:w w:val="100"/>
        </w:rPr>
        <w:t>位</w:t>
      </w:r>
      <w:r>
        <w:rPr>
          <w:w w:val="100"/>
        </w:rPr>
        <w:t>：万</w:t>
      </w:r>
      <w:r>
        <w:rPr>
          <w:spacing w:val="-3"/>
          <w:w w:val="100"/>
        </w:rPr>
        <w:t>元</w:t>
      </w:r>
      <w:r>
        <w:rPr>
          <w:spacing w:val="-106"/>
          <w:w w:val="100"/>
        </w:rPr>
        <w:t>）</w:t>
      </w:r>
      <w:r>
        <w:rPr>
          <w:w w:val="100"/>
        </w:rPr>
        <w:t>：</w:t>
      </w:r>
    </w:p>
    <w:tbl>
      <w:tblPr>
        <w:tblW w:w="0" w:type="auto"/>
        <w:jc w:val="left"/>
        <w:tblInd w:w="115" w:type="dxa"/>
        <w:tblLayout w:type="fixed"/>
        <w:tblCellMar>
          <w:top w:w="0" w:type="dxa"/>
          <w:left w:w="0" w:type="dxa"/>
          <w:bottom w:w="0" w:type="dxa"/>
          <w:right w:w="0" w:type="dxa"/>
        </w:tblCellMar>
        <w:tblLook w:val="01E0"/>
      </w:tblPr>
      <w:tblGrid>
        <w:gridCol w:w="1560"/>
        <w:gridCol w:w="643"/>
        <w:gridCol w:w="850"/>
        <w:gridCol w:w="709"/>
        <w:gridCol w:w="994"/>
        <w:gridCol w:w="1133"/>
        <w:gridCol w:w="710"/>
        <w:gridCol w:w="708"/>
        <w:gridCol w:w="1133"/>
        <w:gridCol w:w="1135"/>
        <w:gridCol w:w="1133"/>
      </w:tblGrid>
      <w:tr>
        <w:trPr>
          <w:trHeight w:val="322"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43" w:type="dxa"/>
            <w:vMerge w:val="restart"/>
            <w:tcBorders>
              <w:top w:val="single" w:sz="4" w:space="0" w:color="000000"/>
              <w:left w:val="single" w:sz="4" w:space="0" w:color="000000"/>
              <w:right w:val="single" w:sz="4" w:space="0" w:color="000000"/>
            </w:tcBorders>
          </w:tcPr>
          <w:p>
            <w:pPr>
              <w:pStyle w:val="TableParagraph"/>
              <w:spacing w:line="316" w:lineRule="auto" w:before="13"/>
              <w:ind w:left="225" w:right="134"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vMerge w:val="restart"/>
            <w:tcBorders>
              <w:top w:val="single" w:sz="4" w:space="0" w:color="000000"/>
              <w:left w:val="single" w:sz="4" w:space="0" w:color="000000"/>
              <w:right w:val="single" w:sz="4" w:space="0" w:color="000000"/>
            </w:tcBorders>
          </w:tcPr>
          <w:p>
            <w:pPr>
              <w:pStyle w:val="TableParagraph"/>
              <w:spacing w:line="316" w:lineRule="auto" w:before="13"/>
              <w:ind w:left="326" w:right="151"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709" w:type="dxa"/>
            <w:vMerge w:val="restart"/>
            <w:tcBorders>
              <w:top w:val="single" w:sz="4" w:space="0" w:color="000000"/>
              <w:left w:val="single" w:sz="4" w:space="0" w:color="000000"/>
              <w:right w:val="single" w:sz="4" w:space="0" w:color="000000"/>
            </w:tcBorders>
          </w:tcPr>
          <w:p>
            <w:pPr>
              <w:pStyle w:val="TableParagraph"/>
              <w:spacing w:line="316" w:lineRule="auto" w:before="13"/>
              <w:ind w:left="168" w:right="16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133" w:type="dxa"/>
            <w:vMerge w:val="restart"/>
            <w:tcBorders>
              <w:top w:val="single" w:sz="4" w:space="0" w:color="000000"/>
              <w:left w:val="single" w:sz="4" w:space="0" w:color="000000"/>
              <w:right w:val="single" w:sz="4" w:space="0" w:color="000000"/>
            </w:tcBorders>
          </w:tcPr>
          <w:p>
            <w:pPr>
              <w:pStyle w:val="TableParagraph"/>
              <w:spacing w:line="316" w:lineRule="auto" w:before="13"/>
              <w:ind w:left="470" w:right="111" w:hanging="360"/>
              <w:jc w:val="left"/>
              <w:rPr>
                <w:rFonts w:ascii="宋体" w:hAnsi="宋体" w:cs="宋体" w:eastAsia="宋体" w:hint="default"/>
                <w:sz w:val="18"/>
                <w:szCs w:val="18"/>
              </w:rPr>
            </w:pPr>
            <w:r>
              <w:rPr>
                <w:rFonts w:ascii="宋体" w:hAnsi="宋体" w:cs="宋体" w:eastAsia="宋体" w:hint="default"/>
                <w:sz w:val="18"/>
                <w:szCs w:val="18"/>
              </w:rPr>
              <w:t>期末资产总 额</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22" w:hRule="exact"/>
        </w:trPr>
        <w:tc>
          <w:tcPr>
            <w:tcW w:w="156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安徽永安电子科 </w:t>
            </w:r>
            <w:r>
              <w:rPr>
                <w:rFonts w:ascii="宋体" w:hAnsi="宋体" w:cs="宋体" w:eastAsia="宋体" w:hint="default"/>
                <w:sz w:val="18"/>
                <w:szCs w:val="18"/>
              </w:rPr>
              <w:t>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陆永华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0" w:right="132" w:hanging="92"/>
              <w:jc w:val="left"/>
              <w:rPr>
                <w:rFonts w:ascii="宋体" w:hAnsi="宋体" w:cs="宋体" w:eastAsia="宋体" w:hint="default"/>
                <w:sz w:val="18"/>
                <w:szCs w:val="18"/>
              </w:rPr>
            </w:pPr>
            <w:r>
              <w:rPr>
                <w:rFonts w:ascii="宋体" w:hAnsi="宋体" w:cs="宋体" w:eastAsia="宋体" w:hint="default"/>
                <w:sz w:val="18"/>
                <w:szCs w:val="18"/>
              </w:rPr>
              <w:t>仪器仪表 零部件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18,300.00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23,500.76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19,997.10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288.50</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江苏林洋电力服 </w:t>
            </w:r>
            <w:r>
              <w:rPr>
                <w:rFonts w:ascii="宋体" w:hAnsi="宋体" w:cs="宋体" w:eastAsia="宋体" w:hint="default"/>
                <w:sz w:val="18"/>
                <w:szCs w:val="18"/>
              </w:rPr>
              <w:t>务有限公司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陆健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服务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0" w:right="132" w:hanging="92"/>
              <w:jc w:val="left"/>
              <w:rPr>
                <w:rFonts w:ascii="宋体" w:hAnsi="宋体" w:cs="宋体" w:eastAsia="宋体" w:hint="default"/>
                <w:sz w:val="18"/>
                <w:szCs w:val="18"/>
              </w:rPr>
            </w:pPr>
            <w:r>
              <w:rPr>
                <w:rFonts w:ascii="宋体" w:hAnsi="宋体" w:cs="宋体" w:eastAsia="宋体" w:hint="default"/>
                <w:sz w:val="18"/>
                <w:szCs w:val="18"/>
              </w:rPr>
              <w:t>电力工程 施工等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22,000.00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57,858.09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20,856.63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1,076.22</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江苏林洋新能源</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陆云海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光伏应用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sz w:val="18"/>
              </w:rPr>
              <w:t>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sz w:val="18"/>
              </w:rPr>
              <w:t>188,201.65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95,818.40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-1,720.01</w:t>
            </w:r>
          </w:p>
        </w:tc>
      </w:tr>
    </w:tbl>
    <w:p>
      <w:pPr>
        <w:spacing w:after="0" w:line="240" w:lineRule="auto"/>
        <w:jc w:val="right"/>
        <w:rPr>
          <w:rFonts w:ascii="宋体" w:hAnsi="宋体" w:cs="宋体" w:eastAsia="宋体" w:hint="default"/>
          <w:sz w:val="18"/>
          <w:szCs w:val="18"/>
        </w:rPr>
        <w:sectPr>
          <w:pgSz w:w="11910" w:h="16840"/>
          <w:pgMar w:header="728" w:footer="974" w:top="1120" w:bottom="1160" w:left="480" w:right="4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560"/>
        <w:gridCol w:w="643"/>
        <w:gridCol w:w="850"/>
        <w:gridCol w:w="709"/>
        <w:gridCol w:w="994"/>
        <w:gridCol w:w="1133"/>
        <w:gridCol w:w="710"/>
        <w:gridCol w:w="708"/>
        <w:gridCol w:w="1133"/>
        <w:gridCol w:w="1135"/>
        <w:gridCol w:w="1133"/>
      </w:tblGrid>
      <w:tr>
        <w:trPr>
          <w:trHeight w:val="629"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64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业</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400" w:right="132" w:hanging="272"/>
              <w:jc w:val="left"/>
              <w:rPr>
                <w:rFonts w:ascii="宋体" w:hAnsi="宋体" w:cs="宋体" w:eastAsia="宋体" w:hint="default"/>
                <w:sz w:val="18"/>
                <w:szCs w:val="18"/>
              </w:rPr>
            </w:pPr>
            <w:r>
              <w:rPr>
                <w:rFonts w:ascii="宋体" w:hAnsi="宋体" w:cs="宋体" w:eastAsia="宋体" w:hint="default"/>
                <w:sz w:val="18"/>
                <w:szCs w:val="18"/>
              </w:rPr>
              <w:t>系统及产 品</w:t>
            </w:r>
          </w:p>
        </w:tc>
        <w:tc>
          <w:tcPr>
            <w:tcW w:w="1133"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r>
      <w:tr>
        <w:trPr>
          <w:trHeight w:val="6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4"/>
              <w:jc w:val="left"/>
              <w:rPr>
                <w:rFonts w:ascii="宋体" w:hAnsi="宋体" w:cs="宋体" w:eastAsia="宋体" w:hint="default"/>
                <w:sz w:val="18"/>
                <w:szCs w:val="18"/>
              </w:rPr>
            </w:pPr>
            <w:r>
              <w:rPr>
                <w:rFonts w:ascii="宋体" w:hAnsi="宋体" w:cs="宋体" w:eastAsia="宋体" w:hint="default"/>
                <w:spacing w:val="14"/>
                <w:sz w:val="18"/>
                <w:szCs w:val="18"/>
              </w:rPr>
              <w:t>江苏林洋光伏科 </w:t>
            </w:r>
            <w:r>
              <w:rPr>
                <w:rFonts w:ascii="宋体" w:hAnsi="宋体" w:cs="宋体" w:eastAsia="宋体" w:hint="default"/>
                <w:sz w:val="18"/>
                <w:szCs w:val="18"/>
              </w:rPr>
              <w:t>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沈凯平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132" w:hanging="92"/>
              <w:jc w:val="left"/>
              <w:rPr>
                <w:rFonts w:ascii="宋体" w:hAnsi="宋体" w:cs="宋体" w:eastAsia="宋体" w:hint="default"/>
                <w:sz w:val="18"/>
                <w:szCs w:val="18"/>
              </w:rPr>
            </w:pPr>
            <w:r>
              <w:rPr>
                <w:rFonts w:ascii="宋体" w:hAnsi="宋体" w:cs="宋体" w:eastAsia="宋体" w:hint="default"/>
                <w:sz w:val="18"/>
                <w:szCs w:val="18"/>
              </w:rPr>
              <w:t>太阳能组 件制造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25,000.00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142,784.53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35,981.90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-3,183.61</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安徽林洋新能源 </w:t>
            </w:r>
            <w:r>
              <w:rPr>
                <w:rFonts w:ascii="宋体" w:hAnsi="宋体" w:cs="宋体" w:eastAsia="宋体" w:hint="default"/>
                <w:sz w:val="18"/>
                <w:szCs w:val="18"/>
              </w:rPr>
              <w:t>科技有限公司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陆永华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sz w:val="18"/>
              </w:rPr>
              <w:t>120,000.00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168,948.04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112,272.47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-2,426.86</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山东林洋新能源 </w:t>
            </w:r>
            <w:r>
              <w:rPr>
                <w:rFonts w:ascii="宋体" w:hAnsi="宋体" w:cs="宋体" w:eastAsia="宋体" w:hint="default"/>
                <w:sz w:val="18"/>
                <w:szCs w:val="18"/>
              </w:rPr>
              <w:t>科技有限公司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林少武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sz w:val="18"/>
              </w:rPr>
              <w:t>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132,029.88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93,188.93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-4,759.30</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内蒙古乾华农业 </w:t>
            </w:r>
            <w:r>
              <w:rPr>
                <w:rFonts w:ascii="宋体" w:hAnsi="宋体" w:cs="宋体" w:eastAsia="宋体" w:hint="default"/>
                <w:sz w:val="18"/>
                <w:szCs w:val="18"/>
              </w:rPr>
              <w:t>发展有限公司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6" w:right="134"/>
              <w:jc w:val="left"/>
              <w:rPr>
                <w:rFonts w:ascii="宋体" w:hAnsi="宋体" w:cs="宋体" w:eastAsia="宋体" w:hint="default"/>
                <w:sz w:val="18"/>
                <w:szCs w:val="18"/>
              </w:rPr>
            </w:pPr>
            <w:r>
              <w:rPr>
                <w:rFonts w:ascii="宋体" w:hAnsi="宋体" w:cs="宋体" w:eastAsia="宋体" w:hint="default"/>
                <w:sz w:val="18"/>
                <w:szCs w:val="18"/>
              </w:rPr>
              <w:t>呼和 浩特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施卫兵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26,100.00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104,509.42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31,927.25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7,398.56</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江苏华乐光电有 </w:t>
            </w:r>
            <w:r>
              <w:rPr>
                <w:rFonts w:ascii="宋体" w:hAnsi="宋体" w:cs="宋体" w:eastAsia="宋体" w:hint="default"/>
                <w:sz w:val="18"/>
                <w:szCs w:val="18"/>
              </w:rPr>
              <w:t>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启东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陆永华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0" w:right="132" w:hanging="92"/>
              <w:jc w:val="left"/>
              <w:rPr>
                <w:rFonts w:ascii="宋体" w:hAnsi="宋体" w:cs="宋体" w:eastAsia="宋体" w:hint="default"/>
                <w:sz w:val="18"/>
                <w:szCs w:val="18"/>
              </w:rPr>
            </w:pPr>
            <w:r>
              <w:rPr>
                <w:rFonts w:ascii="宋体" w:hAnsi="宋体" w:cs="宋体" w:eastAsia="宋体" w:hint="default"/>
                <w:sz w:val="18"/>
                <w:szCs w:val="18"/>
              </w:rPr>
              <w:t>太阳能组 件制造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52,000.00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45,344.95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40,973.42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6,044.72</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宿州金阳新能源 </w:t>
            </w:r>
            <w:r>
              <w:rPr>
                <w:rFonts w:ascii="宋体" w:hAnsi="宋体" w:cs="宋体" w:eastAsia="宋体" w:hint="default"/>
                <w:sz w:val="18"/>
                <w:szCs w:val="18"/>
              </w:rPr>
              <w:t>科技有限公司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陆云海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20,000.00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43,313.62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26,920.52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3,897.65</w:t>
            </w:r>
          </w:p>
        </w:tc>
      </w:tr>
      <w:tr>
        <w:trPr>
          <w:trHeight w:val="6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4"/>
              <w:jc w:val="left"/>
              <w:rPr>
                <w:rFonts w:ascii="宋体" w:hAnsi="宋体" w:cs="宋体" w:eastAsia="宋体" w:hint="default"/>
                <w:sz w:val="18"/>
                <w:szCs w:val="18"/>
              </w:rPr>
            </w:pPr>
            <w:r>
              <w:rPr>
                <w:rFonts w:ascii="宋体" w:hAnsi="宋体" w:cs="宋体" w:eastAsia="宋体" w:hint="default"/>
                <w:spacing w:val="14"/>
                <w:sz w:val="18"/>
                <w:szCs w:val="18"/>
              </w:rPr>
              <w:t>颍上永阳新能源 </w:t>
            </w:r>
            <w:r>
              <w:rPr>
                <w:rFonts w:ascii="宋体" w:hAnsi="宋体" w:cs="宋体" w:eastAsia="宋体" w:hint="default"/>
                <w:sz w:val="18"/>
                <w:szCs w:val="18"/>
              </w:rPr>
              <w:t>科技有限公司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陆云海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15,000.00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54,246.81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23,845.31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3,711.95</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冠县华博农业科 </w:t>
            </w:r>
            <w:r>
              <w:rPr>
                <w:rFonts w:ascii="宋体" w:hAnsi="宋体" w:cs="宋体" w:eastAsia="宋体" w:hint="default"/>
                <w:sz w:val="18"/>
                <w:szCs w:val="18"/>
              </w:rPr>
              <w:t>技有限公司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冠县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林少武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15,000.00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61,872.62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23,570.29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6,386.00</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商丘市鑫炎新能 </w:t>
            </w:r>
            <w:r>
              <w:rPr>
                <w:rFonts w:ascii="宋体" w:hAnsi="宋体" w:cs="宋体" w:eastAsia="宋体" w:hint="default"/>
                <w:sz w:val="18"/>
                <w:szCs w:val="18"/>
              </w:rPr>
              <w:t>源开发有限公司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徐红星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sz w:val="18"/>
              </w:rPr>
              <w:t>13,500.00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center"/>
              <w:rPr>
                <w:rFonts w:ascii="宋体" w:hAnsi="宋体" w:cs="宋体" w:eastAsia="宋体" w:hint="default"/>
                <w:sz w:val="18"/>
                <w:szCs w:val="18"/>
              </w:rPr>
            </w:pPr>
            <w:r>
              <w:rPr>
                <w:rFonts w:ascii="宋体"/>
                <w:sz w:val="18"/>
              </w:rPr>
              <w:t>61,040.07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20,543.22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4,059.02</w:t>
            </w:r>
          </w:p>
        </w:tc>
      </w:tr>
    </w:tbl>
    <w:p>
      <w:pPr>
        <w:spacing w:line="240" w:lineRule="auto" w:before="2"/>
        <w:rPr>
          <w:rFonts w:ascii="宋体" w:hAnsi="宋体" w:cs="宋体" w:eastAsia="宋体" w:hint="default"/>
          <w:sz w:val="20"/>
          <w:szCs w:val="20"/>
        </w:rPr>
      </w:pPr>
    </w:p>
    <w:p>
      <w:pPr>
        <w:pStyle w:val="BodyText"/>
        <w:spacing w:line="240" w:lineRule="auto" w:before="36"/>
        <w:ind w:left="938" w:right="828"/>
        <w:jc w:val="left"/>
      </w:pPr>
      <w:r>
        <w:rPr>
          <w:rFonts w:ascii="宋体" w:hAnsi="宋体" w:cs="宋体" w:eastAsia="宋体" w:hint="default"/>
        </w:rPr>
        <w:t>2</w:t>
      </w:r>
      <w:r>
        <w:rPr/>
        <w:t>）主要参股公司分析（单位：万元）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774"/>
        <w:gridCol w:w="708"/>
        <w:gridCol w:w="850"/>
        <w:gridCol w:w="780"/>
        <w:gridCol w:w="1205"/>
        <w:gridCol w:w="920"/>
        <w:gridCol w:w="852"/>
        <w:gridCol w:w="1275"/>
        <w:gridCol w:w="1135"/>
        <w:gridCol w:w="1133"/>
      </w:tblGrid>
      <w:tr>
        <w:trPr>
          <w:trHeight w:val="643" w:hRule="exact"/>
        </w:trPr>
        <w:tc>
          <w:tcPr>
            <w:tcW w:w="177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59" w:right="168"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331" w:right="147"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92" w:right="11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364" w:right="183"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48" w:firstLine="48"/>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542" w:right="182" w:hanging="360"/>
              <w:jc w:val="left"/>
              <w:rPr>
                <w:rFonts w:ascii="宋体" w:hAnsi="宋体" w:cs="宋体" w:eastAsia="宋体" w:hint="default"/>
                <w:sz w:val="18"/>
                <w:szCs w:val="18"/>
              </w:rPr>
            </w:pPr>
            <w:r>
              <w:rPr>
                <w:rFonts w:ascii="宋体" w:hAnsi="宋体" w:cs="宋体" w:eastAsia="宋体" w:hint="default"/>
                <w:sz w:val="18"/>
                <w:szCs w:val="18"/>
              </w:rPr>
              <w:t>期末资产总 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646" w:hRule="exact"/>
        </w:trPr>
        <w:tc>
          <w:tcPr>
            <w:tcW w:w="1774" w:type="dxa"/>
            <w:tcBorders>
              <w:top w:val="single" w:sz="8" w:space="0" w:color="000000"/>
              <w:left w:val="single" w:sz="8" w:space="0" w:color="000000"/>
              <w:bottom w:val="single" w:sz="8" w:space="0" w:color="000000"/>
              <w:right w:val="single" w:sz="4" w:space="0" w:color="000000"/>
            </w:tcBorders>
          </w:tcPr>
          <w:p>
            <w:pPr>
              <w:pStyle w:val="TableParagraph"/>
              <w:spacing w:line="316" w:lineRule="auto" w:before="10"/>
              <w:ind w:left="96" w:right="87"/>
              <w:jc w:val="left"/>
              <w:rPr>
                <w:rFonts w:ascii="宋体" w:hAnsi="宋体" w:cs="宋体" w:eastAsia="宋体" w:hint="default"/>
                <w:sz w:val="18"/>
                <w:szCs w:val="18"/>
              </w:rPr>
            </w:pPr>
            <w:r>
              <w:rPr>
                <w:rFonts w:ascii="宋体" w:hAnsi="宋体" w:cs="宋体" w:eastAsia="宋体" w:hint="default"/>
                <w:spacing w:val="14"/>
                <w:sz w:val="18"/>
                <w:szCs w:val="18"/>
              </w:rPr>
              <w:t>江苏华源仪器仪表</w:t>
            </w:r>
            <w:r>
              <w:rPr>
                <w:rFonts w:ascii="宋体" w:hAnsi="宋体" w:cs="宋体" w:eastAsia="宋体" w:hint="default"/>
                <w:spacing w:val="-74"/>
                <w:sz w:val="18"/>
                <w:szCs w:val="18"/>
              </w:rPr>
              <w:t> </w:t>
            </w:r>
            <w:r>
              <w:rPr>
                <w:rFonts w:ascii="宋体" w:hAnsi="宋体" w:cs="宋体" w:eastAsia="宋体" w:hint="default"/>
                <w:sz w:val="18"/>
                <w:szCs w:val="18"/>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叶明俊</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506" w:right="146" w:hanging="360"/>
              <w:jc w:val="left"/>
              <w:rPr>
                <w:rFonts w:ascii="宋体" w:hAnsi="宋体" w:cs="宋体" w:eastAsia="宋体" w:hint="default"/>
                <w:sz w:val="18"/>
                <w:szCs w:val="18"/>
              </w:rPr>
            </w:pPr>
            <w:r>
              <w:rPr>
                <w:rFonts w:ascii="宋体" w:hAnsi="宋体" w:cs="宋体" w:eastAsia="宋体" w:hint="default"/>
                <w:sz w:val="18"/>
                <w:szCs w:val="18"/>
              </w:rPr>
              <w:t>计量仪器仪 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sz w:val="18"/>
              </w:rPr>
              <w:t>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23,720.60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11,921.36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195.82</w:t>
            </w:r>
          </w:p>
        </w:tc>
      </w:tr>
      <w:tr>
        <w:trPr>
          <w:trHeight w:val="643" w:hRule="exact"/>
        </w:trPr>
        <w:tc>
          <w:tcPr>
            <w:tcW w:w="1774" w:type="dxa"/>
            <w:tcBorders>
              <w:top w:val="single" w:sz="8" w:space="0" w:color="000000"/>
              <w:left w:val="single" w:sz="8" w:space="0" w:color="000000"/>
              <w:bottom w:val="single" w:sz="8" w:space="0" w:color="000000"/>
              <w:right w:val="single" w:sz="4" w:space="0" w:color="000000"/>
            </w:tcBorders>
          </w:tcPr>
          <w:p>
            <w:pPr>
              <w:pStyle w:val="TableParagraph"/>
              <w:spacing w:line="316" w:lineRule="auto" w:before="8"/>
              <w:ind w:left="96" w:right="87"/>
              <w:jc w:val="left"/>
              <w:rPr>
                <w:rFonts w:ascii="宋体" w:hAnsi="宋体" w:cs="宋体" w:eastAsia="宋体" w:hint="default"/>
                <w:sz w:val="18"/>
                <w:szCs w:val="18"/>
              </w:rPr>
            </w:pPr>
            <w:r>
              <w:rPr>
                <w:rFonts w:ascii="宋体" w:hAnsi="宋体" w:cs="宋体" w:eastAsia="宋体" w:hint="default"/>
                <w:spacing w:val="14"/>
                <w:sz w:val="18"/>
                <w:szCs w:val="18"/>
              </w:rPr>
              <w:t>江苏华电华林新能</w:t>
            </w:r>
            <w:r>
              <w:rPr>
                <w:rFonts w:ascii="宋体" w:hAnsi="宋体" w:cs="宋体" w:eastAsia="宋体" w:hint="default"/>
                <w:spacing w:val="-74"/>
                <w:sz w:val="18"/>
                <w:szCs w:val="18"/>
              </w:rPr>
              <w:t> </w:t>
            </w:r>
            <w:r>
              <w:rPr>
                <w:rFonts w:ascii="宋体" w:hAnsi="宋体" w:cs="宋体" w:eastAsia="宋体" w:hint="default"/>
                <w:sz w:val="18"/>
                <w:szCs w:val="18"/>
              </w:rPr>
              <w:t>源有限公司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史军</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光伏发电站</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sz w:val="18"/>
              </w:rPr>
              <w:t>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27,633.26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9,442.34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511.99</w:t>
            </w:r>
          </w:p>
        </w:tc>
      </w:tr>
      <w:tr>
        <w:trPr>
          <w:trHeight w:val="643" w:hRule="exact"/>
        </w:trPr>
        <w:tc>
          <w:tcPr>
            <w:tcW w:w="1774"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6" w:right="102"/>
              <w:jc w:val="left"/>
              <w:rPr>
                <w:rFonts w:ascii="宋体" w:hAnsi="宋体" w:cs="宋体" w:eastAsia="宋体" w:hint="default"/>
                <w:sz w:val="21"/>
                <w:szCs w:val="21"/>
              </w:rPr>
            </w:pPr>
            <w:r>
              <w:rPr>
                <w:rFonts w:ascii="宋体" w:hAnsi="宋体" w:cs="宋体" w:eastAsia="宋体" w:hint="default"/>
                <w:spacing w:val="10"/>
                <w:sz w:val="21"/>
                <w:szCs w:val="21"/>
              </w:rPr>
              <w:t>无锡感知金服实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刘海涛</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415" w:right="146" w:hanging="269"/>
              <w:jc w:val="left"/>
              <w:rPr>
                <w:rFonts w:ascii="宋体" w:hAnsi="宋体" w:cs="宋体" w:eastAsia="宋体" w:hint="default"/>
                <w:sz w:val="18"/>
                <w:szCs w:val="18"/>
              </w:rPr>
            </w:pPr>
            <w:r>
              <w:rPr>
                <w:rFonts w:ascii="宋体" w:hAnsi="宋体" w:cs="宋体" w:eastAsia="宋体" w:hint="default"/>
                <w:sz w:val="18"/>
                <w:szCs w:val="18"/>
              </w:rPr>
              <w:t>物联网技术 开发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sz w:val="18"/>
              </w:rPr>
              <w:t>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60,987.05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10,977.01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-1,978.09</w:t>
            </w:r>
          </w:p>
        </w:tc>
      </w:tr>
      <w:tr>
        <w:trPr>
          <w:trHeight w:val="646" w:hRule="exact"/>
        </w:trPr>
        <w:tc>
          <w:tcPr>
            <w:tcW w:w="177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pacing w:val="14"/>
                <w:sz w:val="18"/>
                <w:szCs w:val="18"/>
              </w:rPr>
              <w:t>法凯涞玛冷暖设备</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77"/>
              <w:ind w:left="96" w:right="0"/>
              <w:jc w:val="left"/>
              <w:rPr>
                <w:rFonts w:ascii="宋体" w:hAnsi="宋体" w:cs="宋体" w:eastAsia="宋体" w:hint="default"/>
                <w:sz w:val="18"/>
                <w:szCs w:val="18"/>
              </w:rPr>
            </w:pPr>
            <w:r>
              <w:rPr>
                <w:rFonts w:ascii="宋体" w:hAnsi="宋体" w:cs="宋体" w:eastAsia="宋体" w:hint="default"/>
                <w:sz w:val="18"/>
                <w:szCs w:val="18"/>
              </w:rPr>
              <w:t>（杭州）有限公司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陈建平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506" w:right="146" w:hanging="360"/>
              <w:jc w:val="left"/>
              <w:rPr>
                <w:rFonts w:ascii="宋体" w:hAnsi="宋体" w:cs="宋体" w:eastAsia="宋体" w:hint="default"/>
                <w:sz w:val="18"/>
                <w:szCs w:val="18"/>
              </w:rPr>
            </w:pPr>
            <w:r>
              <w:rPr>
                <w:rFonts w:ascii="宋体" w:hAnsi="宋体" w:cs="宋体" w:eastAsia="宋体" w:hint="default"/>
                <w:sz w:val="18"/>
                <w:szCs w:val="18"/>
              </w:rPr>
              <w:t>制冷采暖设 备</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sz w:val="18"/>
              </w:rPr>
              <w:t>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1,701.83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704.13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24.83</w:t>
            </w:r>
          </w:p>
        </w:tc>
      </w:tr>
    </w:tbl>
    <w:p>
      <w:pPr>
        <w:spacing w:line="240" w:lineRule="auto" w:before="9"/>
        <w:rPr>
          <w:rFonts w:ascii="宋体" w:hAnsi="宋体" w:cs="宋体" w:eastAsia="宋体" w:hint="default"/>
          <w:sz w:val="24"/>
          <w:szCs w:val="24"/>
        </w:rPr>
      </w:pPr>
    </w:p>
    <w:p>
      <w:pPr>
        <w:pStyle w:val="Heading2"/>
        <w:tabs>
          <w:tab w:pos="1778" w:val="left" w:leader="none"/>
        </w:tabs>
        <w:spacing w:line="240" w:lineRule="auto"/>
        <w:ind w:left="938" w:right="828"/>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spacing w:line="240" w:lineRule="auto" w:before="97"/>
        <w:ind w:left="938" w:right="828"/>
        <w:jc w:val="left"/>
      </w:pPr>
      <w:r>
        <w:rPr/>
        <w:t>□适用 √不适用</w:t>
      </w:r>
    </w:p>
    <w:p>
      <w:pPr>
        <w:spacing w:after="0" w:line="240" w:lineRule="auto"/>
        <w:jc w:val="left"/>
        <w:sectPr>
          <w:pgSz w:w="11910" w:h="16840"/>
          <w:pgMar w:header="728" w:footer="974" w:top="1120" w:bottom="1160" w:left="480" w:right="480"/>
        </w:sectPr>
      </w:pPr>
    </w:p>
    <w:p>
      <w:pPr>
        <w:spacing w:line="240" w:lineRule="auto" w:before="10"/>
        <w:rPr>
          <w:rFonts w:ascii="宋体" w:hAnsi="宋体" w:cs="宋体" w:eastAsia="宋体" w:hint="default"/>
          <w:sz w:val="26"/>
          <w:szCs w:val="26"/>
        </w:rPr>
      </w:pPr>
    </w:p>
    <w:p>
      <w:pPr>
        <w:pStyle w:val="Heading2"/>
        <w:tabs>
          <w:tab w:pos="1018" w:val="left" w:leader="none"/>
        </w:tabs>
        <w:spacing w:line="324" w:lineRule="auto"/>
        <w:ind w:left="178" w:right="5388"/>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tabs>
          <w:tab w:pos="1021" w:val="left" w:leader="none"/>
        </w:tabs>
        <w:spacing w:line="408" w:lineRule="auto" w:before="23"/>
        <w:ind w:left="598" w:right="7181" w:hanging="42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、智能电网领域</w:t>
      </w:r>
      <w:r>
        <w:rPr>
          <w:rFonts w:ascii="宋体" w:hAnsi="宋体" w:cs="宋体" w:eastAsia="宋体" w:hint="default"/>
          <w:sz w:val="21"/>
          <w:szCs w:val="21"/>
        </w:rPr>
      </w:r>
    </w:p>
    <w:p>
      <w:pPr>
        <w:pStyle w:val="BodyText"/>
        <w:spacing w:line="273" w:lineRule="auto" w:before="46"/>
        <w:ind w:left="178" w:right="0" w:firstLine="420"/>
        <w:jc w:val="left"/>
      </w:pPr>
      <w:r>
        <w:rPr>
          <w:spacing w:val="-2"/>
        </w:rPr>
        <w:t>当前世界各国以电力的稳定高效、节能环保、安全使用为目标，致力于智能电网的规划和基础</w:t>
      </w:r>
      <w:r>
        <w:rPr>
          <w:w w:val="100"/>
        </w:rPr>
        <w:t> </w:t>
      </w:r>
      <w:r>
        <w:rPr>
          <w:spacing w:val="-3"/>
        </w:rPr>
        <w:t>建设。国际能源署估计，到</w:t>
      </w:r>
      <w:r>
        <w:rPr>
          <w:spacing w:val="-49"/>
        </w:rPr>
        <w:t> </w:t>
      </w:r>
      <w:r>
        <w:rPr>
          <w:rFonts w:ascii="宋体" w:hAnsi="宋体" w:cs="宋体" w:eastAsia="宋体" w:hint="default"/>
        </w:rPr>
        <w:t>2020</w:t>
      </w:r>
      <w:r>
        <w:rPr>
          <w:rFonts w:ascii="宋体" w:hAnsi="宋体" w:cs="宋体" w:eastAsia="宋体" w:hint="default"/>
          <w:spacing w:val="-50"/>
        </w:rPr>
        <w:t> </w:t>
      </w:r>
      <w:r>
        <w:rPr/>
        <w:t>年智能电网将覆盖全世界</w:t>
      </w:r>
      <w:r>
        <w:rPr>
          <w:spacing w:val="-50"/>
        </w:rPr>
        <w:t> </w:t>
      </w:r>
      <w:r>
        <w:rPr>
          <w:rFonts w:ascii="宋体" w:hAnsi="宋体" w:cs="宋体" w:eastAsia="宋体" w:hint="default"/>
        </w:rPr>
        <w:t>80%</w:t>
      </w:r>
      <w:r>
        <w:rPr/>
        <w:t>的人口。智能电网建设为全球智能电</w:t>
      </w:r>
      <w:r>
        <w:rPr>
          <w:w w:val="100"/>
        </w:rPr>
        <w:t> </w:t>
      </w:r>
      <w:r>
        <w:rPr/>
        <w:t>表及用电信息采集、处理系统产品带来了广阔的市场需求。预计到</w:t>
      </w:r>
      <w:r>
        <w:rPr>
          <w:spacing w:val="-55"/>
        </w:rPr>
        <w:t> </w:t>
      </w:r>
      <w:r>
        <w:rPr>
          <w:rFonts w:ascii="宋体" w:hAnsi="宋体" w:cs="宋体" w:eastAsia="宋体" w:hint="default"/>
        </w:rPr>
        <w:t>2020</w:t>
      </w:r>
      <w:r>
        <w:rPr>
          <w:rFonts w:ascii="宋体" w:hAnsi="宋体" w:cs="宋体" w:eastAsia="宋体" w:hint="default"/>
          <w:spacing w:val="-55"/>
        </w:rPr>
        <w:t> </w:t>
      </w:r>
      <w:r>
        <w:rPr/>
        <w:t>年全球将安装接近</w:t>
      </w:r>
      <w:r>
        <w:rPr>
          <w:spacing w:val="-54"/>
        </w:rPr>
        <w:t> </w:t>
      </w:r>
      <w:r>
        <w:rPr>
          <w:rFonts w:ascii="宋体" w:hAnsi="宋体" w:cs="宋体" w:eastAsia="宋体" w:hint="default"/>
        </w:rPr>
        <w:t>20</w:t>
      </w:r>
      <w:r>
        <w:rPr>
          <w:rFonts w:ascii="宋体" w:hAnsi="宋体" w:cs="宋体" w:eastAsia="宋体" w:hint="default"/>
          <w:spacing w:val="-55"/>
        </w:rPr>
        <w:t> </w:t>
      </w:r>
      <w:r>
        <w:rPr>
          <w:spacing w:val="-3"/>
        </w:rPr>
        <w:t>亿台</w:t>
      </w:r>
      <w:r>
        <w:rPr>
          <w:spacing w:val="-3"/>
          <w:w w:val="100"/>
        </w:rPr>
        <w:t> </w:t>
      </w:r>
      <w:r>
        <w:rPr>
          <w:spacing w:val="-4"/>
        </w:rPr>
        <w:t>的智能电表，智能电网将覆盖全世界</w:t>
      </w:r>
      <w:r>
        <w:rPr>
          <w:spacing w:val="-41"/>
        </w:rPr>
        <w:t> </w:t>
      </w:r>
      <w:r>
        <w:rPr>
          <w:rFonts w:ascii="宋体" w:hAnsi="宋体" w:cs="宋体" w:eastAsia="宋体" w:hint="default"/>
          <w:spacing w:val="-4"/>
        </w:rPr>
        <w:t>80%</w:t>
      </w:r>
      <w:r>
        <w:rPr>
          <w:spacing w:val="-4"/>
        </w:rPr>
        <w:t>的人口，智能电表渗透率达</w:t>
      </w:r>
      <w:r>
        <w:rPr>
          <w:spacing w:val="-41"/>
        </w:rPr>
        <w:t> </w:t>
      </w:r>
      <w:r>
        <w:rPr>
          <w:rFonts w:ascii="宋体" w:hAnsi="宋体" w:cs="宋体" w:eastAsia="宋体" w:hint="default"/>
          <w:spacing w:val="-5"/>
        </w:rPr>
        <w:t>60%</w:t>
      </w:r>
      <w:r>
        <w:rPr>
          <w:spacing w:val="-5"/>
        </w:rPr>
        <w:t>。根据研究机构</w:t>
      </w:r>
      <w:r>
        <w:rPr>
          <w:spacing w:val="-39"/>
        </w:rPr>
        <w:t> </w:t>
      </w:r>
      <w:r>
        <w:rPr>
          <w:rFonts w:ascii="宋体" w:hAnsi="宋体" w:cs="宋体" w:eastAsia="宋体" w:hint="default"/>
        </w:rPr>
        <w:t>Marketsand</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w w:val="100"/>
        </w:rPr>
        <w:t>Markets</w:t>
      </w:r>
      <w:r>
        <w:rPr>
          <w:rFonts w:ascii="宋体" w:hAnsi="宋体" w:cs="宋体" w:eastAsia="宋体" w:hint="default"/>
          <w:spacing w:val="-57"/>
          <w:w w:val="100"/>
        </w:rPr>
        <w:t> </w:t>
      </w:r>
      <w:r>
        <w:rPr>
          <w:spacing w:val="-8"/>
          <w:w w:val="100"/>
        </w:rPr>
        <w:t>的报告，全球智能电网市场规模预计将从</w:t>
      </w:r>
      <w:r>
        <w:rPr>
          <w:spacing w:val="-54"/>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年的</w:t>
      </w:r>
      <w:r>
        <w:rPr>
          <w:spacing w:val="-54"/>
          <w:w w:val="100"/>
        </w:rPr>
        <w:t> </w:t>
      </w:r>
      <w:r>
        <w:rPr>
          <w:rFonts w:ascii="宋体" w:hAnsi="宋体" w:cs="宋体" w:eastAsia="宋体" w:hint="default"/>
          <w:w w:val="100"/>
        </w:rPr>
        <w:t>238</w:t>
      </w:r>
      <w:r>
        <w:rPr>
          <w:rFonts w:ascii="宋体" w:hAnsi="宋体" w:cs="宋体" w:eastAsia="宋体" w:hint="default"/>
          <w:spacing w:val="-56"/>
          <w:w w:val="100"/>
        </w:rPr>
        <w:t> </w:t>
      </w:r>
      <w:r>
        <w:rPr>
          <w:spacing w:val="-1"/>
          <w:w w:val="100"/>
        </w:rPr>
        <w:t>亿美元增至</w:t>
      </w:r>
      <w:r>
        <w:rPr>
          <w:spacing w:val="-57"/>
          <w:w w:val="100"/>
        </w:rPr>
        <w:t> </w:t>
      </w:r>
      <w:r>
        <w:rPr>
          <w:rFonts w:ascii="宋体" w:hAnsi="宋体" w:cs="宋体" w:eastAsia="宋体" w:hint="default"/>
          <w:spacing w:val="-1"/>
          <w:w w:val="100"/>
        </w:rPr>
        <w:t>2023</w:t>
      </w:r>
      <w:r>
        <w:rPr>
          <w:rFonts w:ascii="宋体" w:hAnsi="宋体" w:cs="宋体" w:eastAsia="宋体" w:hint="default"/>
          <w:spacing w:val="-54"/>
          <w:w w:val="100"/>
        </w:rPr>
        <w:t> </w:t>
      </w:r>
      <w:r>
        <w:rPr>
          <w:w w:val="100"/>
        </w:rPr>
        <w:t>年的</w:t>
      </w:r>
      <w:r>
        <w:rPr>
          <w:spacing w:val="-53"/>
          <w:w w:val="100"/>
        </w:rPr>
        <w:t> </w:t>
      </w:r>
      <w:r>
        <w:rPr>
          <w:rFonts w:ascii="宋体" w:hAnsi="宋体" w:cs="宋体" w:eastAsia="宋体" w:hint="default"/>
          <w:w w:val="100"/>
        </w:rPr>
        <w:t>613</w:t>
      </w:r>
      <w:r>
        <w:rPr>
          <w:rFonts w:ascii="宋体" w:hAnsi="宋体" w:cs="宋体" w:eastAsia="宋体" w:hint="default"/>
          <w:spacing w:val="-56"/>
          <w:w w:val="100"/>
        </w:rPr>
        <w:t> </w:t>
      </w:r>
      <w:r>
        <w:rPr>
          <w:spacing w:val="-1"/>
          <w:w w:val="100"/>
        </w:rPr>
        <w:t>亿美元，</w:t>
      </w:r>
      <w:r>
        <w:rPr>
          <w:w w:val="100"/>
        </w:rPr>
        <w:t> </w:t>
      </w:r>
      <w:r>
        <w:rPr/>
        <w:t>预测期内复合年增长率为</w:t>
      </w:r>
      <w:r>
        <w:rPr>
          <w:spacing w:val="-58"/>
        </w:rPr>
        <w:t> </w:t>
      </w:r>
      <w:r>
        <w:rPr>
          <w:rFonts w:ascii="宋体" w:hAnsi="宋体" w:cs="宋体" w:eastAsia="宋体" w:hint="default"/>
        </w:rPr>
        <w:t>20.9%</w:t>
      </w:r>
      <w:r>
        <w:rPr/>
        <w:t>。电网作为能源供应的主要环节，大力推进智能电网建设，智能化</w:t>
      </w:r>
      <w:r>
        <w:rPr>
          <w:w w:val="100"/>
        </w:rPr>
        <w:t> </w:t>
      </w:r>
      <w:r>
        <w:rPr>
          <w:spacing w:val="-6"/>
        </w:rPr>
        <w:t>将成为世界电网发展的新趋势。发展智能电网是实现能源生产、消费、技术和体制革命的重要手段，</w:t>
      </w:r>
      <w:r>
        <w:rPr>
          <w:spacing w:val="-19"/>
        </w:rPr>
        <w:t> </w:t>
      </w:r>
      <w:r>
        <w:rPr>
          <w:spacing w:val="-19"/>
        </w:rPr>
      </w:r>
      <w:r>
        <w:rPr/>
        <w:t>是发展能源互联网的重要基础。</w:t>
      </w:r>
    </w:p>
    <w:p>
      <w:pPr>
        <w:pStyle w:val="BodyText"/>
        <w:spacing w:line="240" w:lineRule="auto" w:before="163"/>
        <w:ind w:left="598" w:right="0"/>
        <w:jc w:val="left"/>
      </w:pPr>
      <w:r>
        <w:rPr>
          <w:rFonts w:ascii="宋体" w:hAnsi="宋体" w:cs="宋体" w:eastAsia="宋体" w:hint="default"/>
        </w:rPr>
        <w:t>2018</w:t>
      </w:r>
      <w:r>
        <w:rPr>
          <w:rFonts w:ascii="宋体" w:hAnsi="宋体" w:cs="宋体" w:eastAsia="宋体" w:hint="default"/>
          <w:spacing w:val="-57"/>
        </w:rPr>
        <w:t> </w:t>
      </w:r>
      <w:r>
        <w:rPr/>
        <w:t>年，我国电网投资规模恢复增长，建设增速略有提高。据中电联发布的《</w:t>
      </w:r>
      <w:r>
        <w:rPr>
          <w:rFonts w:ascii="宋体" w:hAnsi="宋体" w:cs="宋体" w:eastAsia="宋体" w:hint="default"/>
        </w:rPr>
        <w:t>2018~2019</w:t>
      </w:r>
      <w:r>
        <w:rPr>
          <w:rFonts w:ascii="宋体" w:hAnsi="宋体" w:cs="宋体" w:eastAsia="宋体" w:hint="default"/>
          <w:spacing w:val="-55"/>
        </w:rPr>
        <w:t> </w:t>
      </w:r>
      <w:r>
        <w:rPr>
          <w:spacing w:val="-3"/>
        </w:rPr>
        <w:t>年度</w:t>
      </w:r>
      <w:r>
        <w:rPr/>
      </w:r>
    </w:p>
    <w:p>
      <w:pPr>
        <w:pStyle w:val="BodyText"/>
        <w:spacing w:line="273" w:lineRule="auto" w:before="37"/>
        <w:ind w:left="178" w:right="106"/>
        <w:jc w:val="left"/>
      </w:pPr>
      <w:r>
        <w:rPr>
          <w:spacing w:val="-5"/>
        </w:rPr>
        <w:t>全国电力供需形势分析预测报告》显示，</w:t>
      </w:r>
      <w:r>
        <w:rPr>
          <w:rFonts w:ascii="宋体" w:hAnsi="宋体" w:cs="宋体" w:eastAsia="宋体" w:hint="default"/>
          <w:spacing w:val="-5"/>
        </w:rPr>
        <w:t>2018</w:t>
      </w:r>
      <w:r>
        <w:rPr>
          <w:rFonts w:ascii="宋体" w:hAnsi="宋体" w:cs="宋体" w:eastAsia="宋体" w:hint="default"/>
          <w:spacing w:val="-50"/>
        </w:rPr>
        <w:t> </w:t>
      </w:r>
      <w:r>
        <w:rPr/>
        <w:t>年全国电网投资</w:t>
      </w:r>
      <w:r>
        <w:rPr>
          <w:spacing w:val="-48"/>
        </w:rPr>
        <w:t> </w:t>
      </w:r>
      <w:r>
        <w:rPr>
          <w:rFonts w:ascii="宋体" w:hAnsi="宋体" w:cs="宋体" w:eastAsia="宋体" w:hint="default"/>
        </w:rPr>
        <w:t>5373</w:t>
      </w:r>
      <w:r>
        <w:rPr>
          <w:rFonts w:ascii="宋体" w:hAnsi="宋体" w:cs="宋体" w:eastAsia="宋体" w:hint="default"/>
          <w:spacing w:val="-48"/>
        </w:rPr>
        <w:t> </w:t>
      </w:r>
      <w:r>
        <w:rPr>
          <w:spacing w:val="-11"/>
        </w:rPr>
        <w:t>亿元，比</w:t>
      </w:r>
      <w:r>
        <w:rPr>
          <w:spacing w:val="-50"/>
        </w:rPr>
        <w:t> </w:t>
      </w:r>
      <w:r>
        <w:rPr>
          <w:rFonts w:ascii="宋体" w:hAnsi="宋体" w:cs="宋体" w:eastAsia="宋体" w:hint="default"/>
        </w:rPr>
        <w:t>2017</w:t>
      </w:r>
      <w:r>
        <w:rPr>
          <w:rFonts w:ascii="宋体" w:hAnsi="宋体" w:cs="宋体" w:eastAsia="宋体" w:hint="default"/>
          <w:spacing w:val="-49"/>
        </w:rPr>
        <w:t> </w:t>
      </w:r>
      <w:r>
        <w:rPr/>
        <w:t>年增长</w:t>
      </w:r>
      <w:r>
        <w:rPr>
          <w:spacing w:val="-48"/>
        </w:rPr>
        <w:t> </w:t>
      </w:r>
      <w:r>
        <w:rPr>
          <w:rFonts w:ascii="宋体" w:hAnsi="宋体" w:cs="宋体" w:eastAsia="宋体" w:hint="default"/>
        </w:rPr>
        <w:t>58</w:t>
      </w:r>
      <w:r>
        <w:rPr>
          <w:rFonts w:ascii="宋体" w:hAnsi="宋体" w:cs="宋体" w:eastAsia="宋体" w:hint="default"/>
          <w:spacing w:val="-50"/>
        </w:rPr>
        <w:t> </w:t>
      </w:r>
      <w:r>
        <w:rPr/>
        <w:t>亿元，</w:t>
      </w:r>
      <w:r>
        <w:rPr>
          <w:spacing w:val="-103"/>
        </w:rPr>
        <w:t> </w:t>
      </w:r>
      <w:r>
        <w:rPr>
          <w:spacing w:val="-103"/>
        </w:rPr>
      </w:r>
      <w:r>
        <w:rPr/>
        <w:t>同比增长</w:t>
      </w:r>
      <w:r>
        <w:rPr>
          <w:spacing w:val="-59"/>
        </w:rPr>
        <w:t> </w:t>
      </w:r>
      <w:r>
        <w:rPr>
          <w:rFonts w:ascii="宋体" w:hAnsi="宋体" w:cs="宋体" w:eastAsia="宋体" w:hint="default"/>
        </w:rPr>
        <w:t>0.6%</w:t>
      </w:r>
      <w:r>
        <w:rPr/>
        <w:t>。近年来，随着国网信息化水平的不断提升，目前国网系统接入的终端设备超过</w:t>
      </w:r>
      <w:r>
        <w:rPr>
          <w:spacing w:val="-58"/>
        </w:rPr>
        <w:t> </w:t>
      </w:r>
      <w:r>
        <w:rPr>
          <w:rFonts w:ascii="宋体" w:hAnsi="宋体" w:cs="宋体" w:eastAsia="宋体" w:hint="default"/>
        </w:rPr>
        <w:t>5</w:t>
      </w:r>
      <w:r>
        <w:rPr>
          <w:rFonts w:ascii="宋体" w:hAnsi="宋体" w:cs="宋体" w:eastAsia="宋体" w:hint="default"/>
          <w:spacing w:val="-61"/>
        </w:rPr>
        <w:t> </w:t>
      </w:r>
      <w:r>
        <w:rPr/>
        <w:t>亿</w:t>
      </w:r>
      <w:r>
        <w:rPr>
          <w:w w:val="100"/>
        </w:rPr>
        <w:t> </w:t>
      </w:r>
      <w:r>
        <w:rPr/>
        <w:t>只，其中</w:t>
      </w:r>
      <w:r>
        <w:rPr>
          <w:spacing w:val="-55"/>
        </w:rPr>
        <w:t> </w:t>
      </w:r>
      <w:r>
        <w:rPr>
          <w:rFonts w:ascii="宋体" w:hAnsi="宋体" w:cs="宋体" w:eastAsia="宋体" w:hint="default"/>
        </w:rPr>
        <w:t>4.7</w:t>
      </w:r>
      <w:r>
        <w:rPr>
          <w:rFonts w:ascii="宋体" w:hAnsi="宋体" w:cs="宋体" w:eastAsia="宋体" w:hint="default"/>
          <w:spacing w:val="-55"/>
        </w:rPr>
        <w:t> </w:t>
      </w:r>
      <w:r>
        <w:rPr/>
        <w:t>亿只电表，各类保护、采集、控制设备几千万台。而经过</w:t>
      </w:r>
      <w:r>
        <w:rPr>
          <w:spacing w:val="-55"/>
        </w:rPr>
        <w:t> </w:t>
      </w:r>
      <w:r>
        <w:rPr>
          <w:rFonts w:ascii="宋体" w:hAnsi="宋体" w:cs="宋体" w:eastAsia="宋体" w:hint="default"/>
        </w:rPr>
        <w:t>D5000</w:t>
      </w:r>
      <w:r>
        <w:rPr/>
        <w:t>、调控云等系统的改</w:t>
      </w:r>
      <w:r>
        <w:rPr>
          <w:w w:val="100"/>
        </w:rPr>
        <w:t> </w:t>
      </w:r>
      <w:r>
        <w:rPr>
          <w:spacing w:val="-2"/>
        </w:rPr>
        <w:t>造和升级，国调中心在电网观测、控制水平已经称得上世界先进，输电网基本做到可观、可控、能</w:t>
      </w:r>
      <w:r>
        <w:rPr>
          <w:spacing w:val="-25"/>
        </w:rPr>
        <w:t> </w:t>
      </w:r>
      <w:r>
        <w:rPr>
          <w:spacing w:val="-25"/>
        </w:rPr>
      </w:r>
      <w:r>
        <w:rPr>
          <w:spacing w:val="-4"/>
        </w:rPr>
        <w:t>控、在控，各地配电自动化系统建设也在推进当中。此外，基于</w:t>
      </w:r>
      <w:r>
        <w:rPr>
          <w:spacing w:val="-25"/>
        </w:rPr>
        <w:t> </w:t>
      </w:r>
      <w:r>
        <w:rPr>
          <w:rFonts w:ascii="宋体" w:hAnsi="宋体" w:cs="宋体" w:eastAsia="宋体" w:hint="default"/>
        </w:rPr>
        <w:t>PMS2.0</w:t>
      </w:r>
      <w:r>
        <w:rPr>
          <w:rFonts w:ascii="宋体" w:hAnsi="宋体" w:cs="宋体" w:eastAsia="宋体" w:hint="default"/>
          <w:spacing w:val="-25"/>
        </w:rPr>
        <w:t> </w:t>
      </w:r>
      <w:r>
        <w:rPr>
          <w:spacing w:val="-3"/>
        </w:rPr>
        <w:t>系统，主要设备的全生命周</w:t>
      </w:r>
      <w:r>
        <w:rPr>
          <w:spacing w:val="-92"/>
        </w:rPr>
        <w:t> </w:t>
      </w:r>
      <w:r>
        <w:rPr>
          <w:spacing w:val="-92"/>
        </w:rPr>
      </w:r>
      <w:r>
        <w:rPr>
          <w:spacing w:val="-2"/>
        </w:rPr>
        <w:t>期管理在近两年内也能基本完成；通信网络建设如火如荼，无线专网、保护专网陆续上马；国网智</w:t>
      </w:r>
      <w:r>
        <w:rPr>
          <w:spacing w:val="-25"/>
        </w:rPr>
        <w:t> </w:t>
      </w:r>
      <w:r>
        <w:rPr>
          <w:spacing w:val="-25"/>
        </w:rPr>
      </w:r>
      <w:r>
        <w:rPr/>
        <w:t>慧车联网平台目前已经连接全社会</w:t>
      </w:r>
      <w:r>
        <w:rPr>
          <w:spacing w:val="-54"/>
        </w:rPr>
        <w:t> </w:t>
      </w:r>
      <w:r>
        <w:rPr>
          <w:rFonts w:ascii="宋体" w:hAnsi="宋体" w:cs="宋体" w:eastAsia="宋体" w:hint="default"/>
        </w:rPr>
        <w:t>80%</w:t>
      </w:r>
      <w:r>
        <w:rPr/>
        <w:t>公共充电桩以及</w:t>
      </w:r>
      <w:r>
        <w:rPr>
          <w:spacing w:val="-54"/>
        </w:rPr>
        <w:t> </w:t>
      </w:r>
      <w:r>
        <w:rPr>
          <w:rFonts w:ascii="宋体" w:hAnsi="宋体" w:cs="宋体" w:eastAsia="宋体" w:hint="default"/>
        </w:rPr>
        <w:t>4</w:t>
      </w:r>
      <w:r>
        <w:rPr>
          <w:rFonts w:ascii="宋体" w:hAnsi="宋体" w:cs="宋体" w:eastAsia="宋体" w:hint="default"/>
          <w:spacing w:val="-56"/>
        </w:rPr>
        <w:t> </w:t>
      </w:r>
      <w:r>
        <w:rPr/>
        <w:t>万多辆电动汽车等。随着电网信息化建设</w:t>
      </w:r>
      <w:r>
        <w:rPr>
          <w:w w:val="100"/>
        </w:rPr>
        <w:t> </w:t>
      </w:r>
      <w:r>
        <w:rPr>
          <w:spacing w:val="-2"/>
        </w:rPr>
        <w:t>的不断发展，电网公司业务部门根据实际需求利用终端、网络、业务系统已经搭建了部分物联网典</w:t>
      </w:r>
      <w:r>
        <w:rPr>
          <w:spacing w:val="-25"/>
        </w:rPr>
        <w:t> </w:t>
      </w:r>
      <w:r>
        <w:rPr>
          <w:spacing w:val="-25"/>
        </w:rPr>
      </w:r>
      <w:r>
        <w:rPr/>
        <w:t>型应用，电力物联网已经初具规模。</w:t>
      </w:r>
    </w:p>
    <w:p>
      <w:pPr>
        <w:pStyle w:val="BodyText"/>
        <w:spacing w:line="273" w:lineRule="auto" w:before="163"/>
        <w:ind w:left="178" w:right="112" w:firstLine="420"/>
        <w:jc w:val="both"/>
      </w:pPr>
      <w:r>
        <w:rPr>
          <w:spacing w:val="-2"/>
        </w:rPr>
        <w:t>近期，国家电网公司确立了“建设世界一流能源互联网企业”，并对战略目标进行了深化，创</w:t>
      </w:r>
      <w:r>
        <w:rPr>
          <w:w w:val="100"/>
        </w:rPr>
        <w:t> </w:t>
      </w:r>
      <w:r>
        <w:rPr>
          <w:spacing w:val="-6"/>
        </w:rPr>
        <w:t>造性地提出了“三型两网、世界一流”的战略目标。“三型”即枢纽型、平台型、共享型；“两网”</w:t>
      </w:r>
      <w:r>
        <w:rPr>
          <w:spacing w:val="-24"/>
        </w:rPr>
        <w:t> </w:t>
      </w:r>
      <w:r>
        <w:rPr>
          <w:spacing w:val="-24"/>
        </w:rPr>
      </w:r>
      <w:r>
        <w:rPr/>
        <w:t>即坚强智能电网、泛在电力物联网。基于泛在电力物联网规划建设，国网提出</w:t>
      </w:r>
      <w:r>
        <w:rPr>
          <w:spacing w:val="-54"/>
        </w:rPr>
        <w:t> </w:t>
      </w:r>
      <w:r>
        <w:rPr>
          <w:rFonts w:ascii="宋体" w:hAnsi="宋体" w:cs="宋体" w:eastAsia="宋体" w:hint="default"/>
        </w:rPr>
        <w:t>2019</w:t>
      </w:r>
      <w:r>
        <w:rPr>
          <w:rFonts w:ascii="宋体" w:hAnsi="宋体" w:cs="宋体" w:eastAsia="宋体" w:hint="default"/>
          <w:spacing w:val="-53"/>
        </w:rPr>
        <w:t> </w:t>
      </w:r>
      <w:r>
        <w:rPr/>
        <w:t>年到</w:t>
      </w:r>
      <w:r>
        <w:rPr>
          <w:spacing w:val="-54"/>
        </w:rPr>
        <w:t> </w:t>
      </w:r>
      <w:r>
        <w:rPr>
          <w:rFonts w:ascii="宋体" w:hAnsi="宋体" w:cs="宋体" w:eastAsia="宋体" w:hint="default"/>
        </w:rPr>
        <w:t>2021</w:t>
      </w:r>
      <w:r>
        <w:rPr>
          <w:rFonts w:ascii="宋体" w:hAnsi="宋体" w:cs="宋体" w:eastAsia="宋体" w:hint="default"/>
          <w:spacing w:val="-54"/>
        </w:rPr>
        <w:t> </w:t>
      </w:r>
      <w:r>
        <w:rPr>
          <w:spacing w:val="-3"/>
        </w:rPr>
        <w:t>年为</w:t>
      </w:r>
      <w:r>
        <w:rPr/>
      </w:r>
    </w:p>
    <w:p>
      <w:pPr>
        <w:pStyle w:val="BodyText"/>
        <w:spacing w:line="240" w:lineRule="auto" w:before="7"/>
        <w:ind w:left="178" w:right="0"/>
        <w:jc w:val="left"/>
      </w:pPr>
      <w:r>
        <w:rPr/>
        <w:t>战略突破期，通过三年攻坚，到</w:t>
      </w:r>
      <w:r>
        <w:rPr>
          <w:spacing w:val="-55"/>
        </w:rPr>
        <w:t> </w:t>
      </w:r>
      <w:r>
        <w:rPr>
          <w:rFonts w:ascii="宋体" w:hAnsi="宋体" w:cs="宋体" w:eastAsia="宋体" w:hint="default"/>
        </w:rPr>
        <w:t>2021</w:t>
      </w:r>
      <w:r>
        <w:rPr>
          <w:rFonts w:ascii="宋体" w:hAnsi="宋体" w:cs="宋体" w:eastAsia="宋体" w:hint="default"/>
          <w:spacing w:val="-55"/>
        </w:rPr>
        <w:t> </w:t>
      </w:r>
      <w:r>
        <w:rPr/>
        <w:t>年初步建成泛在电力物联网；通过三年提升，到</w:t>
      </w:r>
      <w:r>
        <w:rPr>
          <w:spacing w:val="-54"/>
        </w:rPr>
        <w:t> </w:t>
      </w:r>
      <w:r>
        <w:rPr>
          <w:rFonts w:ascii="宋体" w:hAnsi="宋体" w:cs="宋体" w:eastAsia="宋体" w:hint="default"/>
        </w:rPr>
        <w:t>2024</w:t>
      </w:r>
      <w:r>
        <w:rPr>
          <w:rFonts w:ascii="宋体" w:hAnsi="宋体" w:cs="宋体" w:eastAsia="宋体" w:hint="default"/>
          <w:spacing w:val="-57"/>
        </w:rPr>
        <w:t> </w:t>
      </w:r>
      <w:r>
        <w:rPr/>
        <w:t>年基本</w:t>
      </w:r>
    </w:p>
    <w:p>
      <w:pPr>
        <w:pStyle w:val="BodyText"/>
        <w:spacing w:line="273" w:lineRule="auto" w:before="37"/>
        <w:ind w:left="178" w:right="0"/>
        <w:jc w:val="left"/>
      </w:pPr>
      <w:r>
        <w:rPr>
          <w:spacing w:val="-3"/>
        </w:rPr>
        <w:t>建成泛在电力物联网。在泛在电力物联网的建设层面，预计智能终端连接数将超过</w:t>
      </w:r>
      <w:r>
        <w:rPr>
          <w:spacing w:val="-21"/>
        </w:rPr>
        <w:t> </w:t>
      </w:r>
      <w:r>
        <w:rPr>
          <w:rFonts w:ascii="宋体" w:hAnsi="宋体" w:cs="宋体" w:eastAsia="宋体" w:hint="default"/>
        </w:rPr>
        <w:t>10</w:t>
      </w:r>
      <w:r>
        <w:rPr>
          <w:rFonts w:ascii="宋体" w:hAnsi="宋体" w:cs="宋体" w:eastAsia="宋体" w:hint="default"/>
          <w:spacing w:val="-26"/>
        </w:rPr>
        <w:t> </w:t>
      </w:r>
      <w:r>
        <w:rPr>
          <w:spacing w:val="-6"/>
        </w:rPr>
        <w:t>亿台，其中智</w:t>
      </w:r>
      <w:r>
        <w:rPr>
          <w:spacing w:val="-93"/>
        </w:rPr>
        <w:t> </w:t>
      </w:r>
      <w:r>
        <w:rPr>
          <w:spacing w:val="-93"/>
        </w:rPr>
      </w:r>
      <w:r>
        <w:rPr/>
        <w:t>能电表是占比最大的智能终端。</w:t>
      </w:r>
    </w:p>
    <w:p>
      <w:pPr>
        <w:pStyle w:val="BodyText"/>
        <w:spacing w:line="468" w:lineRule="exact" w:before="34"/>
        <w:ind w:left="598" w:right="106" w:firstLine="2"/>
        <w:jc w:val="left"/>
      </w:pPr>
      <w:r>
        <w:rPr>
          <w:rFonts w:ascii="宋体" w:hAnsi="宋体" w:cs="宋体" w:eastAsia="宋体" w:hint="default"/>
          <w:b/>
          <w:bCs/>
        </w:rPr>
        <w:t>2</w:t>
      </w:r>
      <w:r>
        <w:rPr>
          <w:rFonts w:ascii="宋体" w:hAnsi="宋体" w:cs="宋体" w:eastAsia="宋体" w:hint="default"/>
          <w:b/>
          <w:bCs/>
        </w:rPr>
        <w:t>、新能源领域</w:t>
      </w:r>
      <w:r>
        <w:rPr>
          <w:rFonts w:ascii="宋体" w:hAnsi="宋体" w:cs="宋体" w:eastAsia="宋体" w:hint="default"/>
          <w:b/>
          <w:bCs/>
          <w:w w:val="100"/>
        </w:rPr>
        <w:t> </w:t>
      </w:r>
      <w:r>
        <w:rPr>
          <w:spacing w:val="-2"/>
        </w:rPr>
        <w:t>在能源革命的背景下，光伏发电已成为各国当前及未来新能源发展的主要选择。</w:t>
      </w:r>
      <w:r>
        <w:rPr>
          <w:rFonts w:ascii="宋体" w:hAnsi="宋体" w:cs="宋体" w:eastAsia="宋体" w:hint="default"/>
          <w:spacing w:val="-2"/>
        </w:rPr>
        <w:t>2018</w:t>
      </w:r>
      <w:r>
        <w:rPr>
          <w:rFonts w:ascii="宋体" w:hAnsi="宋体" w:cs="宋体" w:eastAsia="宋体" w:hint="default"/>
          <w:spacing w:val="17"/>
        </w:rPr>
        <w:t> </w:t>
      </w:r>
      <w:r>
        <w:rPr>
          <w:spacing w:val="-3"/>
        </w:rPr>
        <w:t>年，全球</w:t>
      </w:r>
    </w:p>
    <w:p>
      <w:pPr>
        <w:pStyle w:val="BodyText"/>
        <w:spacing w:line="248" w:lineRule="exact"/>
        <w:ind w:left="178" w:right="0"/>
        <w:jc w:val="left"/>
      </w:pPr>
      <w:r>
        <w:rPr/>
        <w:t>光伏新增装机市场预计达到</w:t>
      </w:r>
      <w:r>
        <w:rPr>
          <w:spacing w:val="-56"/>
        </w:rPr>
        <w:t> </w:t>
      </w:r>
      <w:r>
        <w:rPr>
          <w:rFonts w:ascii="宋体" w:hAnsi="宋体" w:cs="宋体" w:eastAsia="宋体" w:hint="default"/>
        </w:rPr>
        <w:t>110GW</w:t>
      </w:r>
      <w:r>
        <w:rPr/>
        <w:t>，创历史新高。据国际能源署（</w:t>
      </w:r>
      <w:r>
        <w:rPr>
          <w:rFonts w:ascii="宋体" w:hAnsi="宋体" w:cs="宋体" w:eastAsia="宋体" w:hint="default"/>
        </w:rPr>
        <w:t>IEA</w:t>
      </w:r>
      <w:r>
        <w:rPr/>
        <w:t>）预测，到</w:t>
      </w:r>
      <w:r>
        <w:rPr>
          <w:spacing w:val="-56"/>
        </w:rPr>
        <w:t> </w:t>
      </w:r>
      <w:r>
        <w:rPr>
          <w:rFonts w:ascii="宋体" w:hAnsi="宋体" w:cs="宋体" w:eastAsia="宋体" w:hint="default"/>
        </w:rPr>
        <w:t>2030</w:t>
      </w:r>
      <w:r>
        <w:rPr>
          <w:rFonts w:ascii="宋体" w:hAnsi="宋体" w:cs="宋体" w:eastAsia="宋体" w:hint="default"/>
          <w:spacing w:val="-58"/>
        </w:rPr>
        <w:t> </w:t>
      </w:r>
      <w:r>
        <w:rPr/>
        <w:t>年全球光伏</w:t>
      </w:r>
    </w:p>
    <w:p>
      <w:pPr>
        <w:pStyle w:val="BodyText"/>
        <w:spacing w:line="240" w:lineRule="auto" w:before="37"/>
        <w:ind w:left="178" w:right="0"/>
        <w:jc w:val="left"/>
      </w:pPr>
      <w:r>
        <w:rPr/>
        <w:t>累计装机量有望达到</w:t>
      </w:r>
      <w:r>
        <w:rPr>
          <w:spacing w:val="-55"/>
        </w:rPr>
        <w:t> </w:t>
      </w:r>
      <w:r>
        <w:rPr>
          <w:rFonts w:ascii="宋体" w:hAnsi="宋体" w:cs="宋体" w:eastAsia="宋体" w:hint="default"/>
        </w:rPr>
        <w:t>1,721GW</w:t>
      </w:r>
      <w:r>
        <w:rPr/>
        <w:t>，到</w:t>
      </w:r>
      <w:r>
        <w:rPr>
          <w:spacing w:val="-55"/>
        </w:rPr>
        <w:t> </w:t>
      </w:r>
      <w:r>
        <w:rPr>
          <w:rFonts w:ascii="宋体" w:hAnsi="宋体" w:cs="宋体" w:eastAsia="宋体" w:hint="default"/>
        </w:rPr>
        <w:t>2050</w:t>
      </w:r>
      <w:r>
        <w:rPr>
          <w:rFonts w:ascii="宋体" w:hAnsi="宋体" w:cs="宋体" w:eastAsia="宋体" w:hint="default"/>
          <w:spacing w:val="-55"/>
        </w:rPr>
        <w:t> </w:t>
      </w:r>
      <w:r>
        <w:rPr/>
        <w:t>年将进一步增加至</w:t>
      </w:r>
      <w:r>
        <w:rPr>
          <w:spacing w:val="-55"/>
        </w:rPr>
        <w:t> </w:t>
      </w:r>
      <w:r>
        <w:rPr>
          <w:rFonts w:ascii="宋体" w:hAnsi="宋体" w:cs="宋体" w:eastAsia="宋体" w:hint="default"/>
        </w:rPr>
        <w:t>4,670GW</w:t>
      </w:r>
      <w:r>
        <w:rPr/>
        <w:t>，发展潜力巨大。</w:t>
      </w:r>
    </w:p>
    <w:p>
      <w:pPr>
        <w:spacing w:after="0" w:line="240" w:lineRule="auto"/>
        <w:jc w:val="left"/>
        <w:sectPr>
          <w:pgSz w:w="11910" w:h="16840"/>
          <w:pgMar w:header="728" w:footer="974" w:top="1120" w:bottom="1160" w:left="124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4483" w:lineRule="exact"/>
        <w:ind w:left="558"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283383" cy="284702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1" cstate="print"/>
                    <a:stretch>
                      <a:fillRect/>
                    </a:stretch>
                  </pic:blipFill>
                  <pic:spPr>
                    <a:xfrm>
                      <a:off x="0" y="0"/>
                      <a:ext cx="5283383" cy="2847022"/>
                    </a:xfrm>
                    <a:prstGeom prst="rect">
                      <a:avLst/>
                    </a:prstGeom>
                  </pic:spPr>
                </pic:pic>
              </a:graphicData>
            </a:graphic>
          </wp:inline>
        </w:drawing>
      </w:r>
      <w:r>
        <w:rPr>
          <w:rFonts w:ascii="宋体" w:hAnsi="宋体" w:cs="宋体" w:eastAsia="宋体" w:hint="default"/>
          <w:position w:val="-89"/>
          <w:sz w:val="20"/>
          <w:szCs w:val="20"/>
        </w:rPr>
      </w:r>
    </w:p>
    <w:p>
      <w:pPr>
        <w:spacing w:before="86"/>
        <w:ind w:left="59" w:right="0" w:firstLine="0"/>
        <w:jc w:val="center"/>
        <w:rPr>
          <w:rFonts w:ascii="宋体" w:hAnsi="宋体" w:cs="宋体" w:eastAsia="宋体" w:hint="default"/>
          <w:sz w:val="20"/>
          <w:szCs w:val="20"/>
        </w:rPr>
      </w:pPr>
      <w:r>
        <w:rPr>
          <w:rFonts w:ascii="宋体" w:hAnsi="宋体" w:cs="宋体" w:eastAsia="宋体" w:hint="default"/>
          <w:sz w:val="20"/>
          <w:szCs w:val="20"/>
        </w:rPr>
        <w:t>2011-2018</w:t>
      </w:r>
      <w:r>
        <w:rPr>
          <w:rFonts w:ascii="宋体" w:hAnsi="宋体" w:cs="宋体" w:eastAsia="宋体" w:hint="default"/>
          <w:spacing w:val="-52"/>
          <w:sz w:val="20"/>
          <w:szCs w:val="20"/>
        </w:rPr>
        <w:t> </w:t>
      </w:r>
      <w:r>
        <w:rPr>
          <w:rFonts w:ascii="宋体" w:hAnsi="宋体" w:cs="宋体" w:eastAsia="宋体" w:hint="default"/>
          <w:sz w:val="20"/>
          <w:szCs w:val="20"/>
        </w:rPr>
        <w:t>年全球光伏年度新增装机规模以及</w:t>
      </w:r>
      <w:r>
        <w:rPr>
          <w:rFonts w:ascii="宋体" w:hAnsi="宋体" w:cs="宋体" w:eastAsia="宋体" w:hint="default"/>
          <w:spacing w:val="-53"/>
          <w:sz w:val="20"/>
          <w:szCs w:val="20"/>
        </w:rPr>
        <w:t> </w:t>
      </w:r>
      <w:r>
        <w:rPr>
          <w:rFonts w:ascii="宋体" w:hAnsi="宋体" w:cs="宋体" w:eastAsia="宋体" w:hint="default"/>
          <w:sz w:val="20"/>
          <w:szCs w:val="20"/>
        </w:rPr>
        <w:t>2019-2025</w:t>
      </w:r>
      <w:r>
        <w:rPr>
          <w:rFonts w:ascii="宋体" w:hAnsi="宋体" w:cs="宋体" w:eastAsia="宋体" w:hint="default"/>
          <w:spacing w:val="-53"/>
          <w:sz w:val="20"/>
          <w:szCs w:val="20"/>
        </w:rPr>
        <w:t> </w:t>
      </w:r>
      <w:r>
        <w:rPr>
          <w:rFonts w:ascii="宋体" w:hAnsi="宋体" w:cs="宋体" w:eastAsia="宋体" w:hint="default"/>
          <w:sz w:val="20"/>
          <w:szCs w:val="20"/>
        </w:rPr>
        <w:t>年新增规模预测（单位：</w:t>
      </w:r>
      <w:r>
        <w:rPr>
          <w:rFonts w:ascii="宋体" w:hAnsi="宋体" w:cs="宋体" w:eastAsia="宋体" w:hint="default"/>
          <w:sz w:val="20"/>
          <w:szCs w:val="20"/>
        </w:rPr>
        <w:t>GW</w:t>
      </w:r>
      <w:r>
        <w:rPr>
          <w:rFonts w:ascii="宋体" w:hAnsi="宋体" w:cs="宋体" w:eastAsia="宋体" w:hint="default"/>
          <w:sz w:val="20"/>
          <w:szCs w:val="20"/>
        </w:rPr>
        <w:t>）</w:t>
      </w:r>
    </w:p>
    <w:p>
      <w:pPr>
        <w:spacing w:before="50"/>
        <w:ind w:left="3213" w:right="1815" w:firstLine="0"/>
        <w:jc w:val="left"/>
        <w:rPr>
          <w:rFonts w:ascii="宋体" w:hAnsi="宋体" w:cs="宋体" w:eastAsia="宋体" w:hint="default"/>
          <w:sz w:val="20"/>
          <w:szCs w:val="20"/>
        </w:rPr>
      </w:pPr>
      <w:r>
        <w:rPr>
          <w:rFonts w:ascii="宋体" w:hAnsi="宋体" w:cs="宋体" w:eastAsia="宋体" w:hint="default"/>
          <w:sz w:val="20"/>
          <w:szCs w:val="20"/>
        </w:rPr>
        <w:t>（数据来源：中国光伏行业协会）</w:t>
      </w:r>
    </w:p>
    <w:p>
      <w:pPr>
        <w:spacing w:line="240" w:lineRule="auto" w:before="6"/>
        <w:rPr>
          <w:rFonts w:ascii="宋体" w:hAnsi="宋体" w:cs="宋体" w:eastAsia="宋体" w:hint="default"/>
          <w:sz w:val="15"/>
          <w:szCs w:val="15"/>
        </w:rPr>
      </w:pPr>
    </w:p>
    <w:p>
      <w:pPr>
        <w:pStyle w:val="BodyText"/>
        <w:spacing w:line="273" w:lineRule="auto"/>
        <w:ind w:left="178" w:right="111" w:firstLine="420"/>
        <w:jc w:val="both"/>
      </w:pPr>
      <w:r>
        <w:rPr>
          <w:spacing w:val="-2"/>
        </w:rPr>
        <w:t>近年来，光伏新能源产业持续健康发展，产业链竞争力不断提升。我国多晶硅、硅片、电池和</w:t>
      </w:r>
      <w:r>
        <w:rPr>
          <w:w w:val="100"/>
        </w:rPr>
        <w:t> </w:t>
      </w:r>
      <w:r>
        <w:rPr>
          <w:spacing w:val="-2"/>
        </w:rPr>
        <w:t>组件等产业链主要环节的全球市场占有率位居世界前列，为全球光伏制造大国，光伏产业已成为我</w:t>
      </w:r>
      <w:r>
        <w:rPr>
          <w:spacing w:val="-25"/>
        </w:rPr>
        <w:t> </w:t>
      </w:r>
      <w:r>
        <w:rPr>
          <w:spacing w:val="-25"/>
        </w:rPr>
      </w:r>
      <w:r>
        <w:rPr>
          <w:spacing w:val="-2"/>
        </w:rPr>
        <w:t>国可参与国际竞争的优势产业之一。与此同时，我国光伏发电应用市场逐步扩大，“十二五”期间</w:t>
      </w:r>
      <w:r>
        <w:rPr>
          <w:spacing w:val="-25"/>
        </w:rPr>
        <w:t> </w:t>
      </w:r>
      <w:r>
        <w:rPr>
          <w:spacing w:val="-25"/>
        </w:rPr>
      </w:r>
      <w:r>
        <w:rPr/>
        <w:t>年均装机增长率超过</w:t>
      </w:r>
      <w:r>
        <w:rPr>
          <w:spacing w:val="-55"/>
        </w:rPr>
        <w:t> </w:t>
      </w:r>
      <w:r>
        <w:rPr>
          <w:rFonts w:ascii="宋体" w:hAnsi="宋体" w:cs="宋体" w:eastAsia="宋体" w:hint="default"/>
        </w:rPr>
        <w:t>50%</w:t>
      </w:r>
      <w:r>
        <w:rPr/>
        <w:t>，进入“十三五”时期，光伏发电建设速度进一步加快，年平均装机增长</w:t>
      </w:r>
      <w:r>
        <w:rPr>
          <w:w w:val="100"/>
        </w:rPr>
        <w:t> </w:t>
      </w:r>
      <w:r>
        <w:rPr/>
        <w:t>率</w:t>
      </w:r>
      <w:r>
        <w:rPr>
          <w:spacing w:val="-54"/>
        </w:rPr>
        <w:t> </w:t>
      </w:r>
      <w:r>
        <w:rPr>
          <w:rFonts w:ascii="宋体" w:hAnsi="宋体" w:cs="宋体" w:eastAsia="宋体" w:hint="default"/>
        </w:rPr>
        <w:t>75%</w:t>
      </w:r>
      <w:r>
        <w:rPr/>
        <w:t>。据国家能源局数据显示，</w:t>
      </w:r>
      <w:r>
        <w:rPr>
          <w:rFonts w:ascii="宋体" w:hAnsi="宋体" w:cs="宋体" w:eastAsia="宋体" w:hint="default"/>
        </w:rPr>
        <w:t>2018</w:t>
      </w:r>
      <w:r>
        <w:rPr>
          <w:rFonts w:ascii="宋体" w:hAnsi="宋体" w:cs="宋体" w:eastAsia="宋体" w:hint="default"/>
          <w:spacing w:val="-56"/>
        </w:rPr>
        <w:t> </w:t>
      </w:r>
      <w:r>
        <w:rPr/>
        <w:t>年国内光伏发电新增装机</w:t>
      </w:r>
      <w:r>
        <w:rPr>
          <w:spacing w:val="-54"/>
        </w:rPr>
        <w:t> </w:t>
      </w:r>
      <w:r>
        <w:rPr>
          <w:rFonts w:ascii="宋体" w:hAnsi="宋体" w:cs="宋体" w:eastAsia="宋体" w:hint="default"/>
        </w:rPr>
        <w:t>4,426</w:t>
      </w:r>
      <w:r>
        <w:rPr>
          <w:rFonts w:ascii="宋体" w:hAnsi="宋体" w:cs="宋体" w:eastAsia="宋体" w:hint="default"/>
          <w:spacing w:val="-56"/>
        </w:rPr>
        <w:t> </w:t>
      </w:r>
      <w:r>
        <w:rPr/>
        <w:t>万千瓦，其中，集中式电站</w:t>
      </w:r>
      <w:r>
        <w:rPr>
          <w:w w:val="100"/>
        </w:rPr>
        <w:t> </w:t>
      </w:r>
      <w:r>
        <w:rPr>
          <w:spacing w:val="-2"/>
          <w:w w:val="100"/>
        </w:rPr>
        <w:t>和分布式光伏分别新增</w:t>
      </w:r>
      <w:r>
        <w:rPr>
          <w:spacing w:val="-52"/>
          <w:w w:val="100"/>
        </w:rPr>
        <w:t> </w:t>
      </w:r>
      <w:r>
        <w:rPr>
          <w:rFonts w:ascii="宋体" w:hAnsi="宋体" w:cs="宋体" w:eastAsia="宋体" w:hint="default"/>
          <w:spacing w:val="-2"/>
          <w:w w:val="100"/>
        </w:rPr>
        <w:t>2,330</w:t>
      </w:r>
      <w:r>
        <w:rPr>
          <w:rFonts w:ascii="宋体" w:hAnsi="宋体" w:cs="宋体" w:eastAsia="宋体" w:hint="default"/>
          <w:spacing w:val="-51"/>
          <w:w w:val="100"/>
        </w:rPr>
        <w:t> </w:t>
      </w:r>
      <w:r>
        <w:rPr>
          <w:spacing w:val="-2"/>
          <w:w w:val="100"/>
        </w:rPr>
        <w:t>万千瓦和</w:t>
      </w:r>
      <w:r>
        <w:rPr>
          <w:spacing w:val="-52"/>
          <w:w w:val="100"/>
        </w:rPr>
        <w:t> </w:t>
      </w:r>
      <w:r>
        <w:rPr>
          <w:rFonts w:ascii="宋体" w:hAnsi="宋体" w:cs="宋体" w:eastAsia="宋体" w:hint="default"/>
          <w:spacing w:val="-1"/>
          <w:w w:val="100"/>
        </w:rPr>
        <w:t>2,096</w:t>
      </w:r>
      <w:r>
        <w:rPr>
          <w:rFonts w:ascii="宋体" w:hAnsi="宋体" w:cs="宋体" w:eastAsia="宋体" w:hint="default"/>
          <w:spacing w:val="-54"/>
          <w:w w:val="100"/>
        </w:rPr>
        <w:t> </w:t>
      </w:r>
      <w:r>
        <w:rPr>
          <w:spacing w:val="-12"/>
          <w:w w:val="100"/>
        </w:rPr>
        <w:t>万千瓦，发展布局进一步优化。截止</w:t>
      </w:r>
      <w:r>
        <w:rPr>
          <w:spacing w:val="-52"/>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spacing w:val="-1"/>
          <w:w w:val="100"/>
        </w:rPr>
        <w:t>月底，</w:t>
      </w:r>
    </w:p>
    <w:p>
      <w:pPr>
        <w:pStyle w:val="BodyText"/>
        <w:spacing w:line="240" w:lineRule="auto" w:before="7"/>
        <w:ind w:left="178" w:right="0"/>
        <w:jc w:val="left"/>
      </w:pPr>
      <w:r>
        <w:rPr/>
        <w:t>全国光伏发电装机达到</w:t>
      </w:r>
      <w:r>
        <w:rPr>
          <w:spacing w:val="-49"/>
        </w:rPr>
        <w:t> </w:t>
      </w:r>
      <w:r>
        <w:rPr>
          <w:rFonts w:ascii="宋体" w:hAnsi="宋体" w:cs="宋体" w:eastAsia="宋体" w:hint="default"/>
        </w:rPr>
        <w:t>1.74</w:t>
      </w:r>
      <w:r>
        <w:rPr>
          <w:rFonts w:ascii="宋体" w:hAnsi="宋体" w:cs="宋体" w:eastAsia="宋体" w:hint="default"/>
          <w:spacing w:val="-48"/>
        </w:rPr>
        <w:t> </w:t>
      </w:r>
      <w:r>
        <w:rPr>
          <w:spacing w:val="-11"/>
        </w:rPr>
        <w:t>亿千瓦，其中，集中式电站</w:t>
      </w:r>
      <w:r>
        <w:rPr>
          <w:spacing w:val="-49"/>
        </w:rPr>
        <w:t> </w:t>
      </w:r>
      <w:r>
        <w:rPr>
          <w:rFonts w:ascii="宋体" w:hAnsi="宋体" w:cs="宋体" w:eastAsia="宋体" w:hint="default"/>
        </w:rPr>
        <w:t>12,384</w:t>
      </w:r>
      <w:r>
        <w:rPr>
          <w:rFonts w:ascii="宋体" w:hAnsi="宋体" w:cs="宋体" w:eastAsia="宋体" w:hint="default"/>
          <w:spacing w:val="-49"/>
        </w:rPr>
        <w:t> </w:t>
      </w:r>
      <w:r>
        <w:rPr>
          <w:spacing w:val="-8"/>
        </w:rPr>
        <w:t>万千瓦，分布式光伏</w:t>
      </w:r>
      <w:r>
        <w:rPr>
          <w:spacing w:val="-48"/>
        </w:rPr>
        <w:t> </w:t>
      </w:r>
      <w:r>
        <w:rPr>
          <w:rFonts w:ascii="宋体" w:hAnsi="宋体" w:cs="宋体" w:eastAsia="宋体" w:hint="default"/>
        </w:rPr>
        <w:t>5,061</w:t>
      </w:r>
      <w:r>
        <w:rPr>
          <w:rFonts w:ascii="宋体" w:hAnsi="宋体" w:cs="宋体" w:eastAsia="宋体" w:hint="default"/>
          <w:spacing w:val="-49"/>
        </w:rPr>
        <w:t> </w:t>
      </w:r>
      <w:r>
        <w:rPr/>
        <w:t>万千瓦。</w:t>
      </w:r>
    </w:p>
    <w:p>
      <w:pPr>
        <w:pStyle w:val="BodyText"/>
        <w:spacing w:line="240" w:lineRule="auto" w:before="37"/>
        <w:ind w:left="178" w:right="0"/>
        <w:jc w:val="left"/>
      </w:pPr>
      <w:r>
        <w:rPr>
          <w:rFonts w:ascii="宋体" w:hAnsi="宋体" w:cs="宋体" w:eastAsia="宋体" w:hint="default"/>
        </w:rPr>
        <w:t>2018</w:t>
      </w:r>
      <w:r>
        <w:rPr>
          <w:rFonts w:ascii="宋体" w:hAnsi="宋体" w:cs="宋体" w:eastAsia="宋体" w:hint="default"/>
          <w:spacing w:val="-55"/>
        </w:rPr>
        <w:t> </w:t>
      </w:r>
      <w:r>
        <w:rPr/>
        <w:t>年，全国光伏发电量</w:t>
      </w:r>
      <w:r>
        <w:rPr>
          <w:spacing w:val="-55"/>
        </w:rPr>
        <w:t> </w:t>
      </w:r>
      <w:r>
        <w:rPr>
          <w:rFonts w:ascii="宋体" w:hAnsi="宋体" w:cs="宋体" w:eastAsia="宋体" w:hint="default"/>
        </w:rPr>
        <w:t>1,775</w:t>
      </w:r>
      <w:r>
        <w:rPr>
          <w:rFonts w:ascii="宋体" w:hAnsi="宋体" w:cs="宋体" w:eastAsia="宋体" w:hint="default"/>
          <w:spacing w:val="-55"/>
        </w:rPr>
        <w:t> </w:t>
      </w:r>
      <w:r>
        <w:rPr/>
        <w:t>亿千瓦时，同比增长</w:t>
      </w:r>
      <w:r>
        <w:rPr>
          <w:spacing w:val="-53"/>
        </w:rPr>
        <w:t> </w:t>
      </w:r>
      <w:r>
        <w:rPr>
          <w:rFonts w:ascii="宋体" w:hAnsi="宋体" w:cs="宋体" w:eastAsia="宋体" w:hint="default"/>
        </w:rPr>
        <w:t>50%</w:t>
      </w:r>
      <w:r>
        <w:rPr/>
        <w:t>。平均利用小时数</w:t>
      </w:r>
      <w:r>
        <w:rPr>
          <w:spacing w:val="-55"/>
        </w:rPr>
        <w:t> </w:t>
      </w:r>
      <w:r>
        <w:rPr>
          <w:rFonts w:ascii="宋体" w:hAnsi="宋体" w:cs="宋体" w:eastAsia="宋体" w:hint="default"/>
        </w:rPr>
        <w:t>1,115</w:t>
      </w:r>
      <w:r>
        <w:rPr>
          <w:rFonts w:ascii="宋体" w:hAnsi="宋体" w:cs="宋体" w:eastAsia="宋体" w:hint="default"/>
          <w:spacing w:val="-55"/>
        </w:rPr>
        <w:t> </w:t>
      </w:r>
      <w:r>
        <w:rPr/>
        <w:t>小时，同比增加</w:t>
      </w:r>
    </w:p>
    <w:p>
      <w:pPr>
        <w:pStyle w:val="BodyText"/>
        <w:spacing w:line="273" w:lineRule="auto" w:before="37"/>
        <w:ind w:left="178" w:right="0"/>
        <w:jc w:val="left"/>
      </w:pPr>
      <w:r>
        <w:rPr>
          <w:rFonts w:ascii="宋体" w:hAnsi="宋体" w:cs="宋体" w:eastAsia="宋体" w:hint="default"/>
        </w:rPr>
        <w:t>37</w:t>
      </w:r>
      <w:r>
        <w:rPr>
          <w:rFonts w:ascii="宋体" w:hAnsi="宋体" w:cs="宋体" w:eastAsia="宋体" w:hint="default"/>
          <w:spacing w:val="-55"/>
        </w:rPr>
        <w:t> </w:t>
      </w:r>
      <w:r>
        <w:rPr/>
        <w:t>小时；</w:t>
      </w:r>
      <w:r>
        <w:rPr>
          <w:rFonts w:ascii="宋体" w:hAnsi="宋体" w:cs="宋体" w:eastAsia="宋体" w:hint="default"/>
        </w:rPr>
        <w:t>2018</w:t>
      </w:r>
      <w:r>
        <w:rPr>
          <w:rFonts w:ascii="宋体" w:hAnsi="宋体" w:cs="宋体" w:eastAsia="宋体" w:hint="default"/>
          <w:spacing w:val="-57"/>
        </w:rPr>
        <w:t> </w:t>
      </w:r>
      <w:r>
        <w:rPr/>
        <w:t>年，全国光伏发电弃光电量同比减少</w:t>
      </w:r>
      <w:r>
        <w:rPr>
          <w:spacing w:val="-57"/>
        </w:rPr>
        <w:t> </w:t>
      </w:r>
      <w:r>
        <w:rPr>
          <w:rFonts w:ascii="宋体" w:hAnsi="宋体" w:cs="宋体" w:eastAsia="宋体" w:hint="default"/>
        </w:rPr>
        <w:t>18</w:t>
      </w:r>
      <w:r>
        <w:rPr>
          <w:rFonts w:ascii="宋体" w:hAnsi="宋体" w:cs="宋体" w:eastAsia="宋体" w:hint="default"/>
          <w:spacing w:val="-54"/>
        </w:rPr>
        <w:t> </w:t>
      </w:r>
      <w:r>
        <w:rPr/>
        <w:t>亿千瓦时，弃光率同比下降</w:t>
      </w:r>
      <w:r>
        <w:rPr>
          <w:spacing w:val="-55"/>
        </w:rPr>
        <w:t> </w:t>
      </w:r>
      <w:r>
        <w:rPr>
          <w:rFonts w:ascii="宋体" w:hAnsi="宋体" w:cs="宋体" w:eastAsia="宋体" w:hint="default"/>
        </w:rPr>
        <w:t>2.8</w:t>
      </w:r>
      <w:r>
        <w:rPr>
          <w:rFonts w:ascii="宋体" w:hAnsi="宋体" w:cs="宋体" w:eastAsia="宋体" w:hint="default"/>
          <w:spacing w:val="-55"/>
        </w:rPr>
        <w:t> </w:t>
      </w:r>
      <w:r>
        <w:rPr/>
        <w:t>个百分点，</w:t>
      </w:r>
      <w:r>
        <w:rPr>
          <w:w w:val="100"/>
        </w:rPr>
        <w:t> </w:t>
      </w:r>
      <w:r>
        <w:rPr/>
        <w:t>实现弃光电量和弃光率“双降”。</w:t>
      </w:r>
    </w:p>
    <w:p>
      <w:pPr>
        <w:pStyle w:val="BodyText"/>
        <w:spacing w:line="273" w:lineRule="auto" w:before="163"/>
        <w:ind w:left="178" w:right="109" w:firstLine="420"/>
        <w:jc w:val="both"/>
      </w:pPr>
      <w:r>
        <w:rPr>
          <w:w w:val="100"/>
        </w:rPr>
        <w:t>展望</w:t>
      </w:r>
      <w:r>
        <w:rPr>
          <w:spacing w:val="-49"/>
          <w:w w:val="100"/>
        </w:rPr>
        <w:t> </w:t>
      </w:r>
      <w:r>
        <w:rPr>
          <w:rFonts w:ascii="宋体" w:hAnsi="宋体" w:cs="宋体" w:eastAsia="宋体" w:hint="default"/>
          <w:spacing w:val="-7"/>
          <w:w w:val="100"/>
        </w:rPr>
        <w:t>2019</w:t>
      </w:r>
      <w:r>
        <w:rPr>
          <w:spacing w:val="-7"/>
          <w:w w:val="100"/>
        </w:rPr>
        <w:t>，在光伏发电成本持续下降，政策持续利好和新兴市场快速兴起等有利因素的推动下，</w:t>
      </w:r>
      <w:r>
        <w:rPr>
          <w:w w:val="100"/>
        </w:rPr>
        <w:t> </w:t>
      </w:r>
      <w:r>
        <w:rPr>
          <w:spacing w:val="-2"/>
        </w:rPr>
        <w:t>全球光伏市场仍保持在较高水平，高效电池产品市场需求将继续扩大，未来技术进步仍将是产业发</w:t>
      </w:r>
      <w:r>
        <w:rPr>
          <w:spacing w:val="-25"/>
        </w:rPr>
        <w:t> </w:t>
      </w:r>
      <w:r>
        <w:rPr>
          <w:spacing w:val="-25"/>
        </w:rPr>
      </w:r>
      <w:r>
        <w:rPr>
          <w:spacing w:val="-3"/>
        </w:rPr>
        <w:t>展的主题。组件生产成本将进一步下降，部分项目的系统投资成本有望下降至</w:t>
      </w:r>
      <w:r>
        <w:rPr>
          <w:spacing w:val="-27"/>
        </w:rPr>
        <w:t> </w:t>
      </w:r>
      <w:r>
        <w:rPr>
          <w:rFonts w:ascii="宋体" w:hAnsi="宋体" w:cs="宋体" w:eastAsia="宋体" w:hint="default"/>
        </w:rPr>
        <w:t>4</w:t>
      </w:r>
      <w:r>
        <w:rPr>
          <w:rFonts w:ascii="宋体" w:hAnsi="宋体" w:cs="宋体" w:eastAsia="宋体" w:hint="default"/>
          <w:spacing w:val="-27"/>
        </w:rPr>
        <w:t> </w:t>
      </w:r>
      <w:r>
        <w:rPr>
          <w:spacing w:val="-4"/>
        </w:rPr>
        <w:t>元</w:t>
      </w:r>
      <w:r>
        <w:rPr>
          <w:rFonts w:ascii="宋体" w:hAnsi="宋体" w:cs="宋体" w:eastAsia="宋体" w:hint="default"/>
          <w:spacing w:val="-4"/>
        </w:rPr>
        <w:t>/</w:t>
      </w:r>
      <w:r>
        <w:rPr>
          <w:spacing w:val="-4"/>
        </w:rPr>
        <w:t>瓦，在一类地区</w:t>
      </w:r>
      <w:r>
        <w:rPr>
          <w:spacing w:val="-94"/>
        </w:rPr>
        <w:t> </w:t>
      </w:r>
      <w:r>
        <w:rPr>
          <w:spacing w:val="-94"/>
        </w:rPr>
      </w:r>
      <w:r>
        <w:rPr>
          <w:spacing w:val="-6"/>
          <w:w w:val="100"/>
        </w:rPr>
        <w:t>发电成本有望低于脱硫燃煤标杆电价，从而实现发电侧上网平价。目前行业整体呈现低端产能过剩、</w:t>
      </w:r>
      <w:r>
        <w:rPr>
          <w:spacing w:val="-73"/>
          <w:w w:val="100"/>
        </w:rPr>
        <w:t> </w:t>
      </w:r>
      <w:r>
        <w:rPr>
          <w:spacing w:val="-73"/>
          <w:w w:val="100"/>
        </w:rPr>
      </w:r>
      <w:r>
        <w:rPr>
          <w:spacing w:val="-2"/>
        </w:rPr>
        <w:t>高效产品市场需求持续提升的状态，行业逐步由过去的粗放式增长、追求规模向精细化发展、追求</w:t>
      </w:r>
      <w:r>
        <w:rPr>
          <w:spacing w:val="-25"/>
        </w:rPr>
        <w:t> </w:t>
      </w:r>
      <w:r>
        <w:rPr>
          <w:spacing w:val="-25"/>
        </w:rPr>
      </w:r>
      <w:r>
        <w:rPr>
          <w:spacing w:val="-2"/>
        </w:rPr>
        <w:t>质量转变。随着光伏全产业链的成本下降，光伏相对传统能源的成本优势将逐步显现，也将进一步</w:t>
      </w:r>
      <w:r>
        <w:rPr>
          <w:spacing w:val="-25"/>
        </w:rPr>
        <w:t> </w:t>
      </w:r>
      <w:r>
        <w:rPr>
          <w:spacing w:val="-25"/>
        </w:rPr>
      </w:r>
      <w:r>
        <w:rPr/>
        <w:t>推动平价上网进程。</w:t>
      </w:r>
    </w:p>
    <w:p>
      <w:pPr>
        <w:spacing w:after="0" w:line="273" w:lineRule="auto"/>
        <w:jc w:val="both"/>
        <w:sectPr>
          <w:pgSz w:w="11910" w:h="16840"/>
          <w:pgMar w:header="728" w:footer="974" w:top="1120" w:bottom="1160" w:left="124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542" w:lineRule="exact"/>
        <w:ind w:left="558"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283266" cy="288436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2" cstate="print"/>
                    <a:stretch>
                      <a:fillRect/>
                    </a:stretch>
                  </pic:blipFill>
                  <pic:spPr>
                    <a:xfrm>
                      <a:off x="0" y="0"/>
                      <a:ext cx="5283266" cy="2884360"/>
                    </a:xfrm>
                    <a:prstGeom prst="rect">
                      <a:avLst/>
                    </a:prstGeom>
                  </pic:spPr>
                </pic:pic>
              </a:graphicData>
            </a:graphic>
          </wp:inline>
        </w:drawing>
      </w:r>
      <w:r>
        <w:rPr>
          <w:rFonts w:ascii="宋体" w:hAnsi="宋体" w:cs="宋体" w:eastAsia="宋体" w:hint="default"/>
          <w:position w:val="-90"/>
          <w:sz w:val="20"/>
          <w:szCs w:val="20"/>
        </w:rPr>
      </w:r>
    </w:p>
    <w:p>
      <w:pPr>
        <w:spacing w:before="57"/>
        <w:ind w:left="923" w:right="961" w:firstLine="0"/>
        <w:jc w:val="center"/>
        <w:rPr>
          <w:rFonts w:ascii="宋体" w:hAnsi="宋体" w:cs="宋体" w:eastAsia="宋体" w:hint="default"/>
          <w:sz w:val="20"/>
          <w:szCs w:val="20"/>
        </w:rPr>
      </w:pPr>
      <w:r>
        <w:rPr>
          <w:rFonts w:ascii="宋体" w:hAnsi="宋体" w:cs="宋体" w:eastAsia="宋体" w:hint="default"/>
          <w:sz w:val="20"/>
          <w:szCs w:val="20"/>
        </w:rPr>
        <w:t>2011-2018</w:t>
      </w:r>
      <w:r>
        <w:rPr>
          <w:rFonts w:ascii="宋体" w:hAnsi="宋体" w:cs="宋体" w:eastAsia="宋体" w:hint="default"/>
          <w:spacing w:val="-52"/>
          <w:sz w:val="20"/>
          <w:szCs w:val="20"/>
        </w:rPr>
        <w:t> </w:t>
      </w:r>
      <w:r>
        <w:rPr>
          <w:rFonts w:ascii="宋体" w:hAnsi="宋体" w:cs="宋体" w:eastAsia="宋体" w:hint="default"/>
          <w:sz w:val="20"/>
          <w:szCs w:val="20"/>
        </w:rPr>
        <w:t>年国内光伏年度新增装机规模以及</w:t>
      </w:r>
      <w:r>
        <w:rPr>
          <w:rFonts w:ascii="宋体" w:hAnsi="宋体" w:cs="宋体" w:eastAsia="宋体" w:hint="default"/>
          <w:spacing w:val="-53"/>
          <w:sz w:val="20"/>
          <w:szCs w:val="20"/>
        </w:rPr>
        <w:t> </w:t>
      </w:r>
      <w:r>
        <w:rPr>
          <w:rFonts w:ascii="宋体" w:hAnsi="宋体" w:cs="宋体" w:eastAsia="宋体" w:hint="default"/>
          <w:sz w:val="20"/>
          <w:szCs w:val="20"/>
        </w:rPr>
        <w:t>2019-2025</w:t>
      </w:r>
      <w:r>
        <w:rPr>
          <w:rFonts w:ascii="宋体" w:hAnsi="宋体" w:cs="宋体" w:eastAsia="宋体" w:hint="default"/>
          <w:spacing w:val="-53"/>
          <w:sz w:val="20"/>
          <w:szCs w:val="20"/>
        </w:rPr>
        <w:t> </w:t>
      </w:r>
      <w:r>
        <w:rPr>
          <w:rFonts w:ascii="宋体" w:hAnsi="宋体" w:cs="宋体" w:eastAsia="宋体" w:hint="default"/>
          <w:sz w:val="20"/>
          <w:szCs w:val="20"/>
        </w:rPr>
        <w:t>年新增规模预测（单位：</w:t>
      </w:r>
      <w:r>
        <w:rPr>
          <w:rFonts w:ascii="宋体" w:hAnsi="宋体" w:cs="宋体" w:eastAsia="宋体" w:hint="default"/>
          <w:sz w:val="20"/>
          <w:szCs w:val="20"/>
        </w:rPr>
        <w:t>GW</w:t>
      </w:r>
      <w:r>
        <w:rPr>
          <w:rFonts w:ascii="宋体" w:hAnsi="宋体" w:cs="宋体" w:eastAsia="宋体" w:hint="default"/>
          <w:sz w:val="20"/>
          <w:szCs w:val="20"/>
        </w:rPr>
        <w:t>）</w:t>
      </w:r>
    </w:p>
    <w:p>
      <w:pPr>
        <w:spacing w:before="50"/>
        <w:ind w:left="920" w:right="961" w:firstLine="0"/>
        <w:jc w:val="center"/>
        <w:rPr>
          <w:rFonts w:ascii="宋体" w:hAnsi="宋体" w:cs="宋体" w:eastAsia="宋体" w:hint="default"/>
          <w:sz w:val="20"/>
          <w:szCs w:val="20"/>
        </w:rPr>
      </w:pPr>
      <w:r>
        <w:rPr>
          <w:rFonts w:ascii="宋体" w:hAnsi="宋体" w:cs="宋体" w:eastAsia="宋体" w:hint="default"/>
          <w:sz w:val="20"/>
          <w:szCs w:val="20"/>
        </w:rPr>
        <w:t>（数据来源：中国光伏行业协会）</w:t>
      </w:r>
    </w:p>
    <w:p>
      <w:pPr>
        <w:pStyle w:val="BodyText"/>
        <w:spacing w:line="460" w:lineRule="atLeast" w:before="16"/>
        <w:ind w:left="598" w:right="207" w:firstLine="2"/>
        <w:jc w:val="left"/>
      </w:pPr>
      <w:r>
        <w:rPr>
          <w:rFonts w:ascii="宋体" w:hAnsi="宋体" w:cs="宋体" w:eastAsia="宋体" w:hint="default"/>
          <w:b/>
          <w:bCs/>
        </w:rPr>
        <w:t>3</w:t>
      </w:r>
      <w:r>
        <w:rPr>
          <w:rFonts w:ascii="宋体" w:hAnsi="宋体" w:cs="宋体" w:eastAsia="宋体" w:hint="default"/>
          <w:b/>
          <w:bCs/>
        </w:rPr>
        <w:t>、节能领域</w:t>
      </w:r>
      <w:r>
        <w:rPr>
          <w:rFonts w:ascii="宋体" w:hAnsi="宋体" w:cs="宋体" w:eastAsia="宋体" w:hint="default"/>
          <w:b/>
          <w:bCs/>
          <w:w w:val="100"/>
        </w:rPr>
        <w:t> </w:t>
      </w:r>
      <w:r>
        <w:rPr>
          <w:spacing w:val="-2"/>
        </w:rPr>
        <w:t>随着能源转型的提速和电力体制改革的不断深入，能源、电力、用户三者之间的关系变得越来</w:t>
      </w:r>
    </w:p>
    <w:p>
      <w:pPr>
        <w:pStyle w:val="BodyText"/>
        <w:spacing w:line="273" w:lineRule="auto" w:before="37"/>
        <w:ind w:left="178" w:right="0"/>
        <w:jc w:val="left"/>
      </w:pPr>
      <w:r>
        <w:rPr>
          <w:spacing w:val="-13"/>
          <w:w w:val="100"/>
        </w:rPr>
        <w:t>越紧密。当前，我国能源消费结构性问题突出，</w:t>
      </w:r>
      <w:r>
        <w:rPr>
          <w:rFonts w:ascii="宋体" w:hAnsi="宋体" w:cs="宋体" w:eastAsia="宋体" w:hint="default"/>
          <w:spacing w:val="-13"/>
          <w:w w:val="100"/>
        </w:rPr>
        <w:t>2018</w:t>
      </w:r>
      <w:r>
        <w:rPr>
          <w:rFonts w:ascii="宋体" w:hAnsi="宋体" w:cs="宋体" w:eastAsia="宋体" w:hint="default"/>
          <w:spacing w:val="-44"/>
          <w:w w:val="100"/>
        </w:rPr>
        <w:t> </w:t>
      </w:r>
      <w:r>
        <w:rPr>
          <w:spacing w:val="-2"/>
          <w:w w:val="100"/>
        </w:rPr>
        <w:t>年煤炭消费在一次能源消费中比例首次低于</w:t>
      </w:r>
      <w:r>
        <w:rPr>
          <w:spacing w:val="-40"/>
          <w:w w:val="100"/>
        </w:rPr>
        <w:t> </w:t>
      </w:r>
      <w:r>
        <w:rPr>
          <w:rFonts w:ascii="宋体" w:hAnsi="宋体" w:cs="宋体" w:eastAsia="宋体" w:hint="default"/>
          <w:spacing w:val="-1"/>
          <w:w w:val="100"/>
        </w:rPr>
        <w:t>60%</w:t>
      </w:r>
      <w:r>
        <w:rPr>
          <w:spacing w:val="-1"/>
          <w:w w:val="100"/>
        </w:rPr>
        <w:t>，</w:t>
      </w:r>
      <w:r>
        <w:rPr>
          <w:spacing w:val="-101"/>
          <w:w w:val="100"/>
        </w:rPr>
        <w:t> </w:t>
      </w:r>
      <w:r>
        <w:rPr/>
        <w:t>但远远高于</w:t>
      </w:r>
      <w:r>
        <w:rPr>
          <w:spacing w:val="-55"/>
        </w:rPr>
        <w:t> </w:t>
      </w:r>
      <w:r>
        <w:rPr>
          <w:rFonts w:ascii="宋体" w:hAnsi="宋体" w:cs="宋体" w:eastAsia="宋体" w:hint="default"/>
        </w:rPr>
        <w:t>2017</w:t>
      </w:r>
      <w:r>
        <w:rPr>
          <w:rFonts w:ascii="宋体" w:hAnsi="宋体" w:cs="宋体" w:eastAsia="宋体" w:hint="default"/>
          <w:spacing w:val="-55"/>
        </w:rPr>
        <w:t> </w:t>
      </w:r>
      <w:r>
        <w:rPr/>
        <w:t>年世界平均</w:t>
      </w:r>
      <w:r>
        <w:rPr>
          <w:spacing w:val="-54"/>
        </w:rPr>
        <w:t> </w:t>
      </w:r>
      <w:r>
        <w:rPr>
          <w:rFonts w:ascii="宋体" w:hAnsi="宋体" w:cs="宋体" w:eastAsia="宋体" w:hint="default"/>
        </w:rPr>
        <w:t>27.6%</w:t>
      </w:r>
      <w:r>
        <w:rPr/>
        <w:t>的水平。</w:t>
      </w:r>
    </w:p>
    <w:p>
      <w:pPr>
        <w:pStyle w:val="BodyText"/>
        <w:spacing w:line="273" w:lineRule="auto" w:before="163"/>
        <w:ind w:left="178" w:right="209" w:firstLine="420"/>
        <w:jc w:val="both"/>
      </w:pPr>
      <w:r>
        <w:rPr>
          <w:spacing w:val="-3"/>
        </w:rPr>
        <w:t>为推动综合能源服务快速发展，在《能源生产和消费革命战略（</w:t>
      </w:r>
      <w:r>
        <w:rPr>
          <w:rFonts w:ascii="宋体" w:hAnsi="宋体" w:cs="宋体" w:eastAsia="宋体" w:hint="default"/>
          <w:spacing w:val="-3"/>
        </w:rPr>
        <w:t>2016-2030</w:t>
      </w:r>
      <w:r>
        <w:rPr>
          <w:spacing w:val="-3"/>
        </w:rPr>
        <w:t>）》中明确要求在能</w:t>
      </w:r>
      <w:r>
        <w:rPr>
          <w:w w:val="100"/>
        </w:rPr>
        <w:t> </w:t>
      </w:r>
      <w:r>
        <w:rPr>
          <w:spacing w:val="-2"/>
        </w:rPr>
        <w:t>源生产端要以绿色低碳为方向，提高新能源和可再生能源比重，推动城乡电气化发展，优先使用可</w:t>
      </w:r>
      <w:r>
        <w:rPr>
          <w:spacing w:val="-25"/>
        </w:rPr>
        <w:t> </w:t>
      </w:r>
      <w:r>
        <w:rPr>
          <w:spacing w:val="-25"/>
        </w:rPr>
      </w:r>
      <w:r>
        <w:rPr>
          <w:spacing w:val="-2"/>
        </w:rPr>
        <w:t>再生能源电力，推进电气化和信息化建设，提高城镇终端电气化水平，实施终端用能清洁电能替代</w:t>
      </w:r>
      <w:r>
        <w:rPr>
          <w:spacing w:val="-25"/>
        </w:rPr>
        <w:t> </w:t>
      </w:r>
      <w:r>
        <w:rPr>
          <w:spacing w:val="-25"/>
        </w:rPr>
      </w:r>
      <w:r>
        <w:rPr>
          <w:spacing w:val="-1"/>
        </w:rPr>
        <w:t>等。</w:t>
      </w:r>
      <w:r>
        <w:rPr>
          <w:rFonts w:ascii="宋体" w:hAnsi="宋体" w:cs="宋体" w:eastAsia="宋体" w:hint="default"/>
          <w:spacing w:val="-1"/>
        </w:rPr>
        <w:t>2018</w:t>
      </w:r>
      <w:r>
        <w:rPr>
          <w:rFonts w:ascii="宋体" w:hAnsi="宋体" w:cs="宋体" w:eastAsia="宋体" w:hint="default"/>
        </w:rPr>
        <w:t> </w:t>
      </w:r>
      <w:r>
        <w:rPr>
          <w:spacing w:val="-2"/>
        </w:rPr>
        <w:t>年党中央、国务院印发了《关于推动高质量发展的意见》，中央经济工作会议又作出了具</w:t>
      </w:r>
      <w:r>
        <w:rPr>
          <w:spacing w:val="-97"/>
        </w:rPr>
        <w:t> </w:t>
      </w:r>
      <w:r>
        <w:rPr>
          <w:spacing w:val="-97"/>
        </w:rPr>
      </w:r>
      <w:r>
        <w:rPr>
          <w:spacing w:val="-2"/>
        </w:rPr>
        <w:t>体的部署安排。高质量发展是当前和今后一个时期能源行业确定的发展思路。我国也把能源科技创</w:t>
      </w:r>
      <w:r>
        <w:rPr>
          <w:spacing w:val="-25"/>
        </w:rPr>
        <w:t> </w:t>
      </w:r>
      <w:r>
        <w:rPr>
          <w:spacing w:val="-25"/>
        </w:rPr>
      </w:r>
      <w:r>
        <w:rPr>
          <w:spacing w:val="-2"/>
        </w:rPr>
        <w:t>新放在国家能源战略的优先位置。国家电网提出，全力打造“三型两网”企业，加快推进世界一流</w:t>
      </w:r>
      <w:r>
        <w:rPr>
          <w:spacing w:val="-24"/>
        </w:rPr>
        <w:t> </w:t>
      </w:r>
      <w:r>
        <w:rPr>
          <w:spacing w:val="-24"/>
        </w:rPr>
      </w:r>
      <w:r>
        <w:rPr/>
        <w:t>能源互联网企业建设。开展满足多元化能源生产与消费需求的综合能源服务是其重要内容。</w:t>
      </w:r>
    </w:p>
    <w:p>
      <w:pPr>
        <w:spacing w:line="240" w:lineRule="auto" w:before="8"/>
        <w:rPr>
          <w:rFonts w:ascii="宋体" w:hAnsi="宋体" w:cs="宋体" w:eastAsia="宋体" w:hint="default"/>
          <w:sz w:val="5"/>
          <w:szCs w:val="5"/>
        </w:rPr>
      </w:pPr>
    </w:p>
    <w:p>
      <w:pPr>
        <w:spacing w:line="4276" w:lineRule="exact"/>
        <w:ind w:left="178"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297348" cy="2715768"/>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3" cstate="print"/>
                    <a:stretch>
                      <a:fillRect/>
                    </a:stretch>
                  </pic:blipFill>
                  <pic:spPr>
                    <a:xfrm>
                      <a:off x="0" y="0"/>
                      <a:ext cx="5297348" cy="2715768"/>
                    </a:xfrm>
                    <a:prstGeom prst="rect">
                      <a:avLst/>
                    </a:prstGeom>
                  </pic:spPr>
                </pic:pic>
              </a:graphicData>
            </a:graphic>
          </wp:inline>
        </w:drawing>
      </w:r>
      <w:r>
        <w:rPr>
          <w:rFonts w:ascii="宋体" w:hAnsi="宋体" w:cs="宋体" w:eastAsia="宋体" w:hint="default"/>
          <w:position w:val="-85"/>
          <w:sz w:val="20"/>
          <w:szCs w:val="20"/>
        </w:rPr>
      </w:r>
    </w:p>
    <w:p>
      <w:pPr>
        <w:spacing w:before="31"/>
        <w:ind w:left="922" w:right="961" w:firstLine="0"/>
        <w:jc w:val="center"/>
        <w:rPr>
          <w:rFonts w:ascii="宋体" w:hAnsi="宋体" w:cs="宋体" w:eastAsia="宋体" w:hint="default"/>
          <w:sz w:val="20"/>
          <w:szCs w:val="20"/>
        </w:rPr>
      </w:pPr>
      <w:r>
        <w:rPr>
          <w:rFonts w:ascii="宋体" w:hAnsi="宋体" w:cs="宋体" w:eastAsia="宋体" w:hint="default"/>
          <w:sz w:val="20"/>
          <w:szCs w:val="20"/>
        </w:rPr>
        <w:t>图：综合能源服务在工业商业中的应用场景</w:t>
      </w:r>
    </w:p>
    <w:p>
      <w:pPr>
        <w:spacing w:after="0"/>
        <w:jc w:val="center"/>
        <w:rPr>
          <w:rFonts w:ascii="宋体" w:hAnsi="宋体" w:cs="宋体" w:eastAsia="宋体" w:hint="default"/>
          <w:sz w:val="20"/>
          <w:szCs w:val="20"/>
        </w:rPr>
        <w:sectPr>
          <w:pgSz w:w="11910" w:h="16840"/>
          <w:pgMar w:header="728" w:footer="974" w:top="1120" w:bottom="1160" w:left="1240" w:right="1200"/>
        </w:sectPr>
      </w:pPr>
    </w:p>
    <w:p>
      <w:pPr>
        <w:spacing w:line="240" w:lineRule="auto" w:before="10"/>
        <w:rPr>
          <w:rFonts w:ascii="宋体" w:hAnsi="宋体" w:cs="宋体" w:eastAsia="宋体" w:hint="default"/>
          <w:sz w:val="26"/>
          <w:szCs w:val="26"/>
        </w:rPr>
      </w:pPr>
    </w:p>
    <w:p>
      <w:pPr>
        <w:pStyle w:val="BodyText"/>
        <w:spacing w:line="273" w:lineRule="auto" w:before="36"/>
        <w:ind w:left="178" w:right="109" w:firstLine="420"/>
        <w:jc w:val="both"/>
      </w:pPr>
      <w:r>
        <w:rPr>
          <w:spacing w:val="-2"/>
        </w:rPr>
        <w:t>进入“十三五”时期以来，在加快生态文明建设的国家发展新背景下，我国节能服务市场的年</w:t>
      </w:r>
      <w:r>
        <w:rPr>
          <w:w w:val="100"/>
        </w:rPr>
        <w:t> </w:t>
      </w:r>
      <w:r>
        <w:rPr>
          <w:spacing w:val="-2"/>
        </w:rPr>
        <w:t>投资需求均为数千亿元。按照“十三五”规划的总体要求，“十三五”时期我国能源发展的一个重</w:t>
      </w:r>
      <w:r>
        <w:rPr>
          <w:spacing w:val="-25"/>
        </w:rPr>
        <w:t> </w:t>
      </w:r>
      <w:r>
        <w:rPr>
          <w:spacing w:val="-25"/>
        </w:rPr>
      </w:r>
      <w:r>
        <w:rPr/>
        <w:t>大目标是提高能源清洁替代水平，预计</w:t>
      </w:r>
      <w:r>
        <w:rPr>
          <w:spacing w:val="-54"/>
        </w:rPr>
        <w:t> </w:t>
      </w:r>
      <w:r>
        <w:rPr>
          <w:rFonts w:ascii="宋体" w:hAnsi="宋体" w:cs="宋体" w:eastAsia="宋体" w:hint="default"/>
        </w:rPr>
        <w:t>2019</w:t>
      </w:r>
      <w:r>
        <w:rPr/>
        <w:t>—</w:t>
      </w:r>
      <w:r>
        <w:rPr>
          <w:rFonts w:ascii="宋体" w:hAnsi="宋体" w:cs="宋体" w:eastAsia="宋体" w:hint="default"/>
        </w:rPr>
        <w:t>2020</w:t>
      </w:r>
      <w:r>
        <w:rPr>
          <w:rFonts w:ascii="宋体" w:hAnsi="宋体" w:cs="宋体" w:eastAsia="宋体" w:hint="default"/>
          <w:spacing w:val="-56"/>
        </w:rPr>
        <w:t> </w:t>
      </w:r>
      <w:r>
        <w:rPr/>
        <w:t>年，我国年电能替代市场空间在</w:t>
      </w:r>
      <w:r>
        <w:rPr>
          <w:spacing w:val="-53"/>
        </w:rPr>
        <w:t> </w:t>
      </w:r>
      <w:r>
        <w:rPr>
          <w:rFonts w:ascii="宋体" w:hAnsi="宋体" w:cs="宋体" w:eastAsia="宋体" w:hint="default"/>
        </w:rPr>
        <w:t>1000</w:t>
      </w:r>
      <w:r>
        <w:rPr>
          <w:rFonts w:ascii="宋体" w:hAnsi="宋体" w:cs="宋体" w:eastAsia="宋体" w:hint="default"/>
          <w:spacing w:val="-54"/>
        </w:rPr>
        <w:t> </w:t>
      </w:r>
      <w:r>
        <w:rPr/>
        <w:t>亿</w:t>
      </w:r>
      <w:r>
        <w:rPr>
          <w:spacing w:val="-56"/>
        </w:rPr>
        <w:t> </w:t>
      </w:r>
      <w:r>
        <w:rPr>
          <w:rFonts w:ascii="宋体" w:hAnsi="宋体" w:cs="宋体" w:eastAsia="宋体" w:hint="default"/>
        </w:rPr>
        <w:t>kWh</w:t>
      </w:r>
      <w:r>
        <w:rPr>
          <w:rFonts w:ascii="宋体" w:hAnsi="宋体" w:cs="宋体" w:eastAsia="宋体" w:hint="default"/>
          <w:spacing w:val="-56"/>
        </w:rPr>
        <w:t> </w:t>
      </w:r>
      <w:r>
        <w:rPr/>
        <w:t>左</w:t>
      </w:r>
      <w:r>
        <w:rPr>
          <w:w w:val="100"/>
        </w:rPr>
        <w:t> </w:t>
      </w:r>
      <w:r>
        <w:rPr/>
        <w:t>右；</w:t>
      </w:r>
      <w:r>
        <w:rPr>
          <w:rFonts w:ascii="宋体" w:hAnsi="宋体" w:cs="宋体" w:eastAsia="宋体" w:hint="default"/>
        </w:rPr>
        <w:t>2017</w:t>
      </w:r>
      <w:r>
        <w:rPr/>
        <w:t>—</w:t>
      </w:r>
      <w:r>
        <w:rPr>
          <w:rFonts w:ascii="宋体" w:hAnsi="宋体" w:cs="宋体" w:eastAsia="宋体" w:hint="default"/>
        </w:rPr>
        <w:t>2021</w:t>
      </w:r>
      <w:r>
        <w:rPr>
          <w:rFonts w:ascii="宋体" w:hAnsi="宋体" w:cs="宋体" w:eastAsia="宋体" w:hint="default"/>
          <w:spacing w:val="-60"/>
        </w:rPr>
        <w:t> </w:t>
      </w:r>
      <w:r>
        <w:rPr/>
        <w:t>年，北方地区清洁取暖服务市场的投资总需求高达</w:t>
      </w:r>
      <w:r>
        <w:rPr>
          <w:spacing w:val="-57"/>
        </w:rPr>
        <w:t> </w:t>
      </w:r>
      <w:r>
        <w:rPr>
          <w:rFonts w:ascii="宋体" w:hAnsi="宋体" w:cs="宋体" w:eastAsia="宋体" w:hint="default"/>
        </w:rPr>
        <w:t>1.3</w:t>
      </w:r>
      <w:r>
        <w:rPr>
          <w:rFonts w:ascii="宋体" w:hAnsi="宋体" w:cs="宋体" w:eastAsia="宋体" w:hint="default"/>
          <w:spacing w:val="-60"/>
        </w:rPr>
        <w:t> </w:t>
      </w:r>
      <w:r>
        <w:rPr/>
        <w:t>万亿元。根据国家能源局公</w:t>
      </w:r>
      <w:r>
        <w:rPr>
          <w:w w:val="100"/>
        </w:rPr>
        <w:t> </w:t>
      </w:r>
      <w:r>
        <w:rPr/>
        <w:t>布的数据，</w:t>
      </w:r>
      <w:r>
        <w:rPr>
          <w:rFonts w:ascii="宋体" w:hAnsi="宋体" w:cs="宋体" w:eastAsia="宋体" w:hint="default"/>
        </w:rPr>
        <w:t>2018</w:t>
      </w:r>
      <w:r>
        <w:rPr>
          <w:rFonts w:ascii="宋体" w:hAnsi="宋体" w:cs="宋体" w:eastAsia="宋体" w:hint="default"/>
          <w:spacing w:val="-55"/>
        </w:rPr>
        <w:t> </w:t>
      </w:r>
      <w:r>
        <w:rPr/>
        <w:t>年，全社会用电量</w:t>
      </w:r>
      <w:r>
        <w:rPr>
          <w:spacing w:val="-54"/>
        </w:rPr>
        <w:t> </w:t>
      </w:r>
      <w:r>
        <w:rPr>
          <w:rFonts w:ascii="宋体" w:hAnsi="宋体" w:cs="宋体" w:eastAsia="宋体" w:hint="default"/>
        </w:rPr>
        <w:t>68,449</w:t>
      </w:r>
      <w:r>
        <w:rPr>
          <w:rFonts w:ascii="宋体" w:hAnsi="宋体" w:cs="宋体" w:eastAsia="宋体" w:hint="default"/>
          <w:spacing w:val="-55"/>
        </w:rPr>
        <w:t> </w:t>
      </w:r>
      <w:r>
        <w:rPr/>
        <w:t>亿千瓦时，同比增长</w:t>
      </w:r>
      <w:r>
        <w:rPr>
          <w:spacing w:val="-55"/>
        </w:rPr>
        <w:t> </w:t>
      </w:r>
      <w:r>
        <w:rPr>
          <w:rFonts w:ascii="宋体" w:hAnsi="宋体" w:cs="宋体" w:eastAsia="宋体" w:hint="default"/>
        </w:rPr>
        <w:t>8.5%</w:t>
      </w:r>
      <w:r>
        <w:rPr/>
        <w:t>，增速创下</w:t>
      </w:r>
      <w:r>
        <w:rPr>
          <w:spacing w:val="-55"/>
        </w:rPr>
        <w:t> </w:t>
      </w:r>
      <w:r>
        <w:rPr>
          <w:rFonts w:ascii="宋体" w:hAnsi="宋体" w:cs="宋体" w:eastAsia="宋体" w:hint="default"/>
        </w:rPr>
        <w:t>7</w:t>
      </w:r>
      <w:r>
        <w:rPr>
          <w:rFonts w:ascii="宋体" w:hAnsi="宋体" w:cs="宋体" w:eastAsia="宋体" w:hint="default"/>
          <w:spacing w:val="-54"/>
        </w:rPr>
        <w:t> </w:t>
      </w:r>
      <w:r>
        <w:rPr/>
        <w:t>年来新高。用电</w:t>
      </w:r>
      <w:r>
        <w:rPr>
          <w:w w:val="100"/>
        </w:rPr>
        <w:t> </w:t>
      </w:r>
      <w:r>
        <w:rPr>
          <w:spacing w:val="-2"/>
        </w:rPr>
        <w:t>增长较快说明了我国的能源消费结构正在发生变化，电在终端用能源当中的结构比重在增加，能源</w:t>
      </w:r>
      <w:r>
        <w:rPr>
          <w:spacing w:val="-25"/>
        </w:rPr>
        <w:t> </w:t>
      </w:r>
      <w:r>
        <w:rPr>
          <w:spacing w:val="-25"/>
        </w:rPr>
      </w:r>
      <w:r>
        <w:rPr/>
        <w:t>结构正在不断优化，向着清洁低碳的方向发展。</w:t>
      </w:r>
    </w:p>
    <w:p>
      <w:pPr>
        <w:pStyle w:val="BodyText"/>
        <w:spacing w:line="273" w:lineRule="auto" w:before="163"/>
        <w:ind w:left="178" w:right="148" w:firstLine="420"/>
        <w:jc w:val="both"/>
      </w:pPr>
      <w:r>
        <w:rPr>
          <w:spacing w:val="-2"/>
        </w:rPr>
        <w:t>根据相关研究机构预测，综合能源服务市场近期为千亿级市场，中远期将成长为万亿级市场，</w:t>
      </w:r>
      <w:r>
        <w:rPr>
          <w:w w:val="100"/>
        </w:rPr>
        <w:t> </w:t>
      </w:r>
      <w:r>
        <w:rPr/>
        <w:t>未来有望孕育众多千亿级或百亿级综合能源服务商。</w:t>
      </w:r>
    </w:p>
    <w:p>
      <w:pPr>
        <w:spacing w:line="240" w:lineRule="auto" w:before="1"/>
        <w:rPr>
          <w:rFonts w:ascii="宋体" w:hAnsi="宋体" w:cs="宋体" w:eastAsia="宋体" w:hint="default"/>
          <w:sz w:val="29"/>
          <w:szCs w:val="29"/>
        </w:rPr>
      </w:pPr>
    </w:p>
    <w:p>
      <w:pPr>
        <w:pStyle w:val="Heading2"/>
        <w:spacing w:line="240" w:lineRule="auto" w:before="0"/>
        <w:ind w:left="17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2"/>
        </w:rPr>
        <w:t> </w:t>
      </w:r>
      <w:r>
        <w:rPr/>
        <w:t>公司发展战略</w:t>
      </w:r>
      <w:r>
        <w:rPr>
          <w:b w:val="0"/>
          <w:bCs w:val="0"/>
        </w:rPr>
      </w:r>
    </w:p>
    <w:p>
      <w:pPr>
        <w:pStyle w:val="BodyText"/>
        <w:spacing w:line="240" w:lineRule="auto" w:before="97"/>
        <w:ind w:left="178" w:right="0"/>
        <w:jc w:val="both"/>
      </w:pPr>
      <w:r>
        <w:rPr/>
        <w:t>√适用  □不适用</w:t>
      </w:r>
    </w:p>
    <w:p>
      <w:pPr>
        <w:spacing w:line="240" w:lineRule="auto" w:before="10"/>
        <w:rPr>
          <w:rFonts w:ascii="宋体" w:hAnsi="宋体" w:cs="宋体" w:eastAsia="宋体" w:hint="default"/>
          <w:sz w:val="14"/>
          <w:szCs w:val="14"/>
        </w:rPr>
      </w:pPr>
    </w:p>
    <w:p>
      <w:pPr>
        <w:pStyle w:val="BodyText"/>
        <w:spacing w:line="273" w:lineRule="auto"/>
        <w:ind w:left="178" w:right="110" w:firstLine="420"/>
        <w:jc w:val="both"/>
      </w:pPr>
      <w:r>
        <w:rPr>
          <w:spacing w:val="-2"/>
        </w:rPr>
        <w:t>公司将坚定围绕“智能、节能、新能源”三大业务板块，紧紧抓住能源结构调整的历史性发展</w:t>
      </w:r>
      <w:r>
        <w:rPr>
          <w:w w:val="100"/>
        </w:rPr>
        <w:t> </w:t>
      </w:r>
      <w:r>
        <w:rPr>
          <w:spacing w:val="-6"/>
        </w:rPr>
        <w:t>机遇，深化布局，持续创新，致力于成为智慧分布式能源、能效管理领域最大的互联运营和服务商，</w:t>
      </w:r>
      <w:r>
        <w:rPr>
          <w:spacing w:val="-18"/>
        </w:rPr>
        <w:t> </w:t>
      </w:r>
      <w:r>
        <w:rPr>
          <w:spacing w:val="-18"/>
        </w:rPr>
      </w:r>
      <w:r>
        <w:rPr/>
        <w:t>公司发展战略主要定位如下：</w:t>
      </w:r>
    </w:p>
    <w:p>
      <w:pPr>
        <w:pStyle w:val="BodyText"/>
        <w:spacing w:line="273" w:lineRule="auto" w:before="163"/>
        <w:ind w:left="178" w:right="109" w:firstLine="420"/>
        <w:jc w:val="both"/>
      </w:pPr>
      <w:r>
        <w:rPr>
          <w:rFonts w:ascii="宋体" w:hAnsi="宋体" w:cs="宋体" w:eastAsia="宋体" w:hint="default"/>
          <w:spacing w:val="-8"/>
          <w:w w:val="100"/>
        </w:rPr>
        <w:t>1</w:t>
      </w:r>
      <w:r>
        <w:rPr>
          <w:spacing w:val="-8"/>
          <w:w w:val="100"/>
        </w:rPr>
        <w:t>、以智能配用电为核心，紧抓泛在电力物联网建设机遇，聚焦于新型智能终端及相关应用平台，</w:t>
      </w:r>
      <w:r>
        <w:rPr>
          <w:w w:val="100"/>
        </w:rPr>
        <w:t> </w:t>
      </w:r>
      <w:r>
        <w:rPr/>
        <w:t>面向电网侧及用户侧提供能源物联网产品及系统解决方案。</w:t>
      </w:r>
    </w:p>
    <w:p>
      <w:pPr>
        <w:pStyle w:val="BodyText"/>
        <w:spacing w:line="273" w:lineRule="auto" w:before="163"/>
        <w:ind w:left="178" w:right="0" w:firstLine="420"/>
        <w:jc w:val="left"/>
      </w:pPr>
      <w:r>
        <w:rPr>
          <w:rFonts w:ascii="宋体" w:hAnsi="宋体" w:cs="宋体" w:eastAsia="宋体" w:hint="default"/>
          <w:spacing w:val="-8"/>
        </w:rPr>
        <w:t>2</w:t>
      </w:r>
      <w:r>
        <w:rPr>
          <w:spacing w:val="-8"/>
        </w:rPr>
        <w:t>、以</w:t>
      </w:r>
      <w:r>
        <w:rPr>
          <w:spacing w:val="-44"/>
        </w:rPr>
        <w:t> </w:t>
      </w:r>
      <w:r>
        <w:rPr>
          <w:rFonts w:ascii="宋体" w:hAnsi="宋体" w:cs="宋体" w:eastAsia="宋体" w:hint="default"/>
        </w:rPr>
        <w:t>1.5GW</w:t>
      </w:r>
      <w:r>
        <w:rPr>
          <w:rFonts w:ascii="宋体" w:hAnsi="宋体" w:cs="宋体" w:eastAsia="宋体" w:hint="default"/>
          <w:spacing w:val="-42"/>
        </w:rPr>
        <w:t> </w:t>
      </w:r>
      <w:r>
        <w:rPr>
          <w:spacing w:val="-3"/>
        </w:rPr>
        <w:t>光伏电站资产运营为基础，持续开发储备各类分布式电站资源，全面提升</w:t>
      </w:r>
      <w:r>
        <w:rPr>
          <w:spacing w:val="-40"/>
        </w:rPr>
        <w:t> </w:t>
      </w:r>
      <w:r>
        <w:rPr>
          <w:rFonts w:ascii="宋体" w:hAnsi="宋体" w:cs="宋体" w:eastAsia="宋体" w:hint="default"/>
        </w:rPr>
        <w:t>N</w:t>
      </w:r>
      <w:r>
        <w:rPr>
          <w:rFonts w:ascii="宋体" w:hAnsi="宋体" w:cs="宋体" w:eastAsia="宋体" w:hint="default"/>
          <w:spacing w:val="-44"/>
        </w:rPr>
        <w:t> </w:t>
      </w:r>
      <w:r>
        <w:rPr/>
        <w:t>型高效</w:t>
      </w:r>
      <w:r>
        <w:rPr>
          <w:w w:val="100"/>
        </w:rPr>
        <w:t> </w:t>
      </w:r>
      <w:r>
        <w:rPr>
          <w:spacing w:val="-2"/>
        </w:rPr>
        <w:t>双面单晶电池及组件产品核心竞争优势，深化林洋研究院多年的设计经验和林洋运维团队的高效运</w:t>
      </w:r>
      <w:r>
        <w:rPr>
          <w:spacing w:val="-25"/>
        </w:rPr>
        <w:t> </w:t>
      </w:r>
      <w:r>
        <w:rPr>
          <w:spacing w:val="-25"/>
        </w:rPr>
      </w:r>
      <w:r>
        <w:rPr/>
        <w:t>维能力，依托“项目开发、高效产品、高效系统集成、高效运维”等综合优势，打造光伏高效</w:t>
      </w:r>
      <w:r>
        <w:rPr>
          <w:spacing w:val="-55"/>
        </w:rPr>
        <w:t> </w:t>
      </w:r>
      <w:r>
        <w:rPr>
          <w:rFonts w:ascii="宋体" w:hAnsi="宋体" w:cs="宋体" w:eastAsia="宋体" w:hint="default"/>
        </w:rPr>
        <w:t>EPC</w:t>
      </w:r>
      <w:r>
        <w:rPr>
          <w:rFonts w:ascii="宋体" w:hAnsi="宋体" w:cs="宋体" w:eastAsia="宋体" w:hint="default"/>
          <w:w w:val="100"/>
        </w:rPr>
        <w:t> </w:t>
      </w:r>
      <w:r>
        <w:rPr/>
        <w:t>系统集成及运维核心竞争力。</w:t>
      </w:r>
    </w:p>
    <w:p>
      <w:pPr>
        <w:pStyle w:val="BodyText"/>
        <w:spacing w:line="273" w:lineRule="auto" w:before="163"/>
        <w:ind w:left="178" w:right="112" w:firstLine="420"/>
        <w:jc w:val="both"/>
      </w:pPr>
      <w:r>
        <w:rPr>
          <w:rFonts w:ascii="宋体" w:hAnsi="宋体" w:cs="宋体" w:eastAsia="宋体" w:hint="default"/>
          <w:spacing w:val="-8"/>
        </w:rPr>
        <w:t>3</w:t>
      </w:r>
      <w:r>
        <w:rPr>
          <w:spacing w:val="-8"/>
        </w:rPr>
        <w:t>、坚持技术创新，依托公司智慧光伏云平台、智慧能效云平台、智慧微网云平台等互联网技术，</w:t>
      </w:r>
      <w:r>
        <w:rPr>
          <w:w w:val="100"/>
        </w:rPr>
        <w:t> </w:t>
      </w:r>
      <w:r>
        <w:rPr>
          <w:spacing w:val="-2"/>
        </w:rPr>
        <w:t>以智慧能源创新业务全面布局，结合国家在售电市场放开、配网改革、综合能源服务等业务，培育</w:t>
      </w:r>
      <w:r>
        <w:rPr>
          <w:spacing w:val="-28"/>
        </w:rPr>
        <w:t> </w:t>
      </w:r>
      <w:r>
        <w:rPr>
          <w:spacing w:val="-28"/>
        </w:rPr>
      </w:r>
      <w:r>
        <w:rPr/>
        <w:t>公司未来发展新的增长点。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0"/>
        <w:ind w:left="17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1"/>
        </w:rPr>
        <w:t> </w:t>
      </w:r>
      <w:r>
        <w:rPr/>
        <w:t>经营计划</w:t>
      </w:r>
      <w:r>
        <w:rPr>
          <w:b w:val="0"/>
          <w:bCs w:val="0"/>
        </w:rPr>
      </w:r>
    </w:p>
    <w:p>
      <w:pPr>
        <w:pStyle w:val="BodyText"/>
        <w:spacing w:line="240" w:lineRule="auto" w:before="97"/>
        <w:ind w:left="178" w:right="0"/>
        <w:jc w:val="both"/>
      </w:pPr>
      <w:r>
        <w:rPr/>
        <w:t>√适用  □不适用</w:t>
      </w:r>
    </w:p>
    <w:p>
      <w:pPr>
        <w:spacing w:line="240" w:lineRule="auto" w:before="11"/>
        <w:rPr>
          <w:rFonts w:ascii="宋体" w:hAnsi="宋体" w:cs="宋体" w:eastAsia="宋体" w:hint="default"/>
          <w:sz w:val="14"/>
          <w:szCs w:val="14"/>
        </w:rPr>
      </w:pPr>
    </w:p>
    <w:p>
      <w:pPr>
        <w:pStyle w:val="BodyText"/>
        <w:spacing w:line="273" w:lineRule="auto"/>
        <w:ind w:left="178" w:right="109" w:firstLine="420"/>
        <w:jc w:val="both"/>
      </w:pPr>
      <w:r>
        <w:rPr>
          <w:rFonts w:ascii="宋体" w:hAnsi="宋体" w:cs="宋体" w:eastAsia="宋体" w:hint="default"/>
        </w:rPr>
        <w:t>2019</w:t>
      </w:r>
      <w:r>
        <w:rPr>
          <w:rFonts w:ascii="宋体" w:hAnsi="宋体" w:cs="宋体" w:eastAsia="宋体" w:hint="default"/>
          <w:spacing w:val="-11"/>
        </w:rPr>
        <w:t> </w:t>
      </w:r>
      <w:r>
        <w:rPr>
          <w:spacing w:val="-2"/>
        </w:rPr>
        <w:t>年，公司将继续强化在智能电能表、用电采集终端领域的市场地位，紧紧抓住国家智能电</w:t>
      </w:r>
      <w:r>
        <w:rPr>
          <w:w w:val="100"/>
        </w:rPr>
        <w:t> </w:t>
      </w:r>
      <w:r>
        <w:rPr>
          <w:spacing w:val="-2"/>
        </w:rPr>
        <w:t>网与泛在物联网构建能源互联网以及新能源产业的发展机遇，加强内部流程管控、精细化管理，加</w:t>
      </w:r>
      <w:r>
        <w:rPr>
          <w:spacing w:val="-25"/>
        </w:rPr>
        <w:t> </w:t>
      </w:r>
      <w:r>
        <w:rPr>
          <w:spacing w:val="-25"/>
        </w:rPr>
      </w:r>
      <w:r>
        <w:rPr>
          <w:spacing w:val="-2"/>
        </w:rPr>
        <w:t>大科研项目投入，整合营销资源，创新商业模式，确保公司三大业务板块持续高效运行。公司</w:t>
      </w:r>
      <w:r>
        <w:rPr/>
        <w:t> </w:t>
      </w:r>
      <w:r>
        <w:rPr>
          <w:rFonts w:ascii="宋体" w:hAnsi="宋体" w:cs="宋体" w:eastAsia="宋体" w:hint="default"/>
        </w:rPr>
        <w:t>2019</w:t>
      </w:r>
      <w:r>
        <w:rPr>
          <w:rFonts w:ascii="宋体" w:hAnsi="宋体" w:cs="宋体" w:eastAsia="宋体" w:hint="default"/>
          <w:spacing w:val="-95"/>
        </w:rPr>
        <w:t> </w:t>
      </w:r>
      <w:r>
        <w:rPr/>
        <w:t>年度将在以下方面积极开展工作：</w:t>
      </w:r>
    </w:p>
    <w:p>
      <w:pPr>
        <w:spacing w:line="468" w:lineRule="exact" w:before="34"/>
        <w:ind w:left="598" w:right="112"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、紧抓泛在电力物联网机遇，积极推进新产品及新服务，加速优化海外布局；</w:t>
      </w:r>
      <w:r>
        <w:rPr>
          <w:rFonts w:ascii="宋体" w:hAnsi="宋体" w:cs="宋体" w:eastAsia="宋体" w:hint="default"/>
          <w:b/>
          <w:bCs/>
          <w:w w:val="100"/>
          <w:sz w:val="21"/>
          <w:szCs w:val="21"/>
        </w:rPr>
        <w:t> </w:t>
      </w:r>
      <w:r>
        <w:rPr>
          <w:rFonts w:ascii="宋体" w:hAnsi="宋体" w:cs="宋体" w:eastAsia="宋体" w:hint="default"/>
          <w:spacing w:val="-2"/>
          <w:sz w:val="21"/>
          <w:szCs w:val="21"/>
        </w:rPr>
        <w:t>国家电网泛在电力物联网的系统架构包含感知层、网络层、平台层以及应用层。</w:t>
      </w:r>
      <w:r>
        <w:rPr>
          <w:rFonts w:ascii="宋体" w:hAnsi="宋体" w:cs="宋体" w:eastAsia="宋体" w:hint="default"/>
          <w:spacing w:val="-2"/>
          <w:sz w:val="21"/>
          <w:szCs w:val="21"/>
        </w:rPr>
        <w:t>2019</w:t>
      </w:r>
      <w:r>
        <w:rPr>
          <w:rFonts w:ascii="宋体" w:hAnsi="宋体" w:cs="宋体" w:eastAsia="宋体" w:hint="default"/>
          <w:spacing w:val="11"/>
          <w:sz w:val="21"/>
          <w:szCs w:val="21"/>
        </w:rPr>
        <w:t> </w:t>
      </w:r>
      <w:r>
        <w:rPr>
          <w:rFonts w:ascii="宋体" w:hAnsi="宋体" w:cs="宋体" w:eastAsia="宋体" w:hint="default"/>
          <w:spacing w:val="-3"/>
          <w:sz w:val="21"/>
          <w:szCs w:val="21"/>
        </w:rPr>
        <w:t>年，公司</w:t>
      </w:r>
      <w:r>
        <w:rPr>
          <w:rFonts w:ascii="宋体" w:hAnsi="宋体" w:cs="宋体" w:eastAsia="宋体" w:hint="default"/>
          <w:sz w:val="21"/>
          <w:szCs w:val="21"/>
        </w:rPr>
      </w:r>
    </w:p>
    <w:p>
      <w:pPr>
        <w:pStyle w:val="BodyText"/>
        <w:spacing w:line="248" w:lineRule="exact"/>
        <w:ind w:left="178" w:right="0"/>
        <w:jc w:val="both"/>
      </w:pPr>
      <w:r>
        <w:rPr/>
        <w:t>将基于在智能终端方面的核心优势，聚焦于市场体量最大的泛在电力物联网感知层的领域，开发包</w:t>
      </w:r>
    </w:p>
    <w:p>
      <w:pPr>
        <w:pStyle w:val="BodyText"/>
        <w:spacing w:line="273" w:lineRule="auto" w:before="37"/>
        <w:ind w:left="178" w:right="109"/>
        <w:jc w:val="both"/>
      </w:pPr>
      <w:r>
        <w:rPr>
          <w:spacing w:val="-3"/>
        </w:rPr>
        <w:t>含下一代模组化智能终端、能源路由器、能源控制器、智能配电终端</w:t>
      </w:r>
      <w:r>
        <w:rPr>
          <w:rFonts w:ascii="宋体" w:hAnsi="宋体" w:cs="宋体" w:eastAsia="宋体" w:hint="default"/>
          <w:spacing w:val="-3"/>
        </w:rPr>
        <w:t>(TTU)</w:t>
      </w:r>
      <w:r>
        <w:rPr>
          <w:spacing w:val="-3"/>
        </w:rPr>
        <w:t>、新型配网线路故障指示</w:t>
      </w:r>
      <w:r>
        <w:rPr>
          <w:spacing w:val="-41"/>
        </w:rPr>
        <w:t> </w:t>
      </w:r>
      <w:r>
        <w:rPr>
          <w:spacing w:val="-41"/>
        </w:rPr>
      </w:r>
      <w:r>
        <w:rPr>
          <w:spacing w:val="-2"/>
        </w:rPr>
        <w:t>器、智能低压开关、一二次融合智能配电设备等全系列应用在配、用电领域的感知层设备。同时，</w:t>
      </w:r>
      <w:r>
        <w:rPr>
          <w:spacing w:val="-25"/>
        </w:rPr>
        <w:t> </w:t>
      </w:r>
      <w:r>
        <w:rPr>
          <w:spacing w:val="-25"/>
        </w:rPr>
      </w:r>
      <w:r>
        <w:rPr/>
        <w:t>公司将继续与北京智芯微电子科技有限公司加深合作，基于</w:t>
      </w:r>
      <w:r>
        <w:rPr>
          <w:rFonts w:ascii="宋体" w:hAnsi="宋体" w:cs="宋体" w:eastAsia="宋体" w:hint="default"/>
        </w:rPr>
        <w:t>"</w:t>
      </w:r>
      <w:r>
        <w:rPr/>
        <w:t>国网芯</w:t>
      </w:r>
      <w:r>
        <w:rPr>
          <w:rFonts w:ascii="宋体" w:hAnsi="宋体" w:cs="宋体" w:eastAsia="宋体" w:hint="default"/>
        </w:rPr>
        <w:t>"</w:t>
      </w:r>
      <w:r>
        <w:rPr/>
        <w:t>研发全系列新型智能终端。</w:t>
      </w:r>
    </w:p>
    <w:p>
      <w:pPr>
        <w:spacing w:after="0" w:line="273" w:lineRule="auto"/>
        <w:jc w:val="both"/>
        <w:sectPr>
          <w:pgSz w:w="11910" w:h="16840"/>
          <w:pgMar w:header="728" w:footer="974" w:top="1120" w:bottom="1160" w:left="1240" w:right="1300"/>
        </w:sectPr>
      </w:pPr>
    </w:p>
    <w:p>
      <w:pPr>
        <w:spacing w:line="240" w:lineRule="auto" w:before="10"/>
        <w:rPr>
          <w:rFonts w:ascii="宋体" w:hAnsi="宋体" w:cs="宋体" w:eastAsia="宋体" w:hint="default"/>
          <w:sz w:val="26"/>
          <w:szCs w:val="26"/>
        </w:rPr>
      </w:pPr>
    </w:p>
    <w:p>
      <w:pPr>
        <w:pStyle w:val="BodyText"/>
        <w:spacing w:line="273" w:lineRule="auto" w:before="36"/>
        <w:ind w:left="178" w:right="209" w:firstLine="420"/>
        <w:jc w:val="both"/>
      </w:pPr>
      <w:r>
        <w:rPr>
          <w:spacing w:val="-2"/>
        </w:rPr>
        <w:t>根据董事会“增强运营效率，全力降本增效”的指示，公司将继续加强内部管理，不断加大研</w:t>
      </w:r>
      <w:r>
        <w:rPr>
          <w:w w:val="100"/>
        </w:rPr>
        <w:t> </w:t>
      </w:r>
      <w:r>
        <w:rPr>
          <w:spacing w:val="-2"/>
        </w:rPr>
        <w:t>发投入和技术创新、完善管理制度及运行机制、加强与国内外科研机构合作，将更多技术含量高、</w:t>
      </w:r>
      <w:r>
        <w:rPr>
          <w:spacing w:val="-25"/>
        </w:rPr>
        <w:t> </w:t>
      </w:r>
      <w:r>
        <w:rPr>
          <w:spacing w:val="-25"/>
        </w:rPr>
      </w:r>
      <w:r>
        <w:rPr>
          <w:spacing w:val="-2"/>
        </w:rPr>
        <w:t>附加值高、高智能化、更适应市场需求的智能电表、用电信息管理终端与系统产品以及与智能配用</w:t>
      </w:r>
      <w:r>
        <w:rPr>
          <w:spacing w:val="-25"/>
        </w:rPr>
        <w:t> </w:t>
      </w:r>
      <w:r>
        <w:rPr>
          <w:spacing w:val="-25"/>
        </w:rPr>
      </w:r>
      <w:r>
        <w:rPr>
          <w:spacing w:val="-4"/>
        </w:rPr>
        <w:t>电相关的新产品推向市场，同时继续做好</w:t>
      </w:r>
      <w:r>
        <w:rPr>
          <w:spacing w:val="-24"/>
        </w:rPr>
        <w:t> </w:t>
      </w:r>
      <w:r>
        <w:rPr>
          <w:rFonts w:ascii="宋体" w:hAnsi="宋体" w:cs="宋体" w:eastAsia="宋体" w:hint="default"/>
        </w:rPr>
        <w:t>2019</w:t>
      </w:r>
      <w:r>
        <w:rPr>
          <w:rFonts w:ascii="宋体" w:hAnsi="宋体" w:cs="宋体" w:eastAsia="宋体" w:hint="default"/>
          <w:spacing w:val="-27"/>
        </w:rPr>
        <w:t> </w:t>
      </w:r>
      <w:r>
        <w:rPr>
          <w:spacing w:val="-3"/>
        </w:rPr>
        <w:t>年度国网和南网的电能表招投标工作，确保公司在国</w:t>
      </w:r>
      <w:r>
        <w:rPr>
          <w:spacing w:val="-93"/>
        </w:rPr>
        <w:t> </w:t>
      </w:r>
      <w:r>
        <w:rPr>
          <w:spacing w:val="-93"/>
        </w:rPr>
      </w:r>
      <w:r>
        <w:rPr/>
        <w:t>网、南网集中招标中的领先优势。</w:t>
      </w:r>
    </w:p>
    <w:p>
      <w:pPr>
        <w:pStyle w:val="BodyText"/>
        <w:spacing w:line="273" w:lineRule="auto" w:before="163"/>
        <w:ind w:left="178" w:right="209" w:firstLine="420"/>
        <w:jc w:val="both"/>
      </w:pPr>
      <w:r>
        <w:rPr>
          <w:rFonts w:ascii="宋体" w:hAnsi="宋体" w:cs="宋体" w:eastAsia="宋体" w:hint="default"/>
        </w:rPr>
        <w:t>2019</w:t>
      </w:r>
      <w:r>
        <w:rPr>
          <w:rFonts w:ascii="宋体" w:hAnsi="宋体" w:cs="宋体" w:eastAsia="宋体" w:hint="default"/>
          <w:spacing w:val="-15"/>
        </w:rPr>
        <w:t> </w:t>
      </w:r>
      <w:r>
        <w:rPr>
          <w:spacing w:val="-2"/>
        </w:rPr>
        <w:t>年，公司将继续响应国家一带一路政策，通过大客户战略，深化与兰吉尔、区域知名表厂</w:t>
      </w:r>
      <w:r>
        <w:rPr>
          <w:w w:val="100"/>
        </w:rPr>
        <w:t> </w:t>
      </w:r>
      <w:r>
        <w:rPr>
          <w:spacing w:val="-2"/>
        </w:rPr>
        <w:t>的战略合作，利用海外子公司的销售平台积极拓展全球化业务，深耕海外本地市场。目前，公司海</w:t>
      </w:r>
      <w:r>
        <w:rPr>
          <w:spacing w:val="-25"/>
        </w:rPr>
        <w:t> </w:t>
      </w:r>
      <w:r>
        <w:rPr>
          <w:spacing w:val="-25"/>
        </w:rPr>
      </w:r>
      <w:r>
        <w:rPr>
          <w:spacing w:val="-2"/>
        </w:rPr>
        <w:t>外电表业务已成功进入欧洲、中东、拉美、亚太和非洲等重点市场，</w:t>
      </w:r>
      <w:r>
        <w:rPr>
          <w:rFonts w:ascii="宋体" w:hAnsi="宋体" w:cs="宋体" w:eastAsia="宋体" w:hint="default"/>
          <w:spacing w:val="-2"/>
        </w:rPr>
        <w:t>2019</w:t>
      </w:r>
      <w:r>
        <w:rPr>
          <w:rFonts w:ascii="宋体" w:hAnsi="宋体" w:cs="宋体" w:eastAsia="宋体" w:hint="default"/>
        </w:rPr>
        <w:t> </w:t>
      </w:r>
      <w:r>
        <w:rPr>
          <w:spacing w:val="-2"/>
        </w:rPr>
        <w:t>年公司将进一步做好海外</w:t>
      </w:r>
      <w:r>
        <w:rPr>
          <w:spacing w:val="-90"/>
        </w:rPr>
        <w:t> </w:t>
      </w:r>
      <w:r>
        <w:rPr>
          <w:spacing w:val="-90"/>
        </w:rPr>
      </w:r>
      <w:r>
        <w:rPr>
          <w:spacing w:val="-2"/>
        </w:rPr>
        <w:t>市场的布局和培育，拓宽销售渠道、加大产品研发投入、优化海外事业部的组织架构，进一步实现</w:t>
      </w:r>
      <w:r>
        <w:rPr>
          <w:spacing w:val="-25"/>
        </w:rPr>
        <w:t> </w:t>
      </w:r>
      <w:r>
        <w:rPr>
          <w:spacing w:val="-25"/>
        </w:rPr>
      </w:r>
      <w:r>
        <w:rPr>
          <w:spacing w:val="-2"/>
        </w:rPr>
        <w:t>海外销售快速增长。同时，公司将加大海外地区电表的研发投入，通过研发实力、高性价比产品、</w:t>
      </w:r>
      <w:r>
        <w:rPr>
          <w:spacing w:val="-25"/>
        </w:rPr>
        <w:t> </w:t>
      </w:r>
      <w:r>
        <w:rPr>
          <w:spacing w:val="-25"/>
        </w:rPr>
      </w:r>
      <w:r>
        <w:rPr>
          <w:spacing w:val="-7"/>
        </w:rPr>
        <w:t>规模化生产能力，提升海外产品竞争力，充分利用亚洲首家通过</w:t>
      </w:r>
      <w:r>
        <w:rPr>
          <w:spacing w:val="-38"/>
        </w:rPr>
        <w:t> </w:t>
      </w:r>
      <w:r>
        <w:rPr>
          <w:rFonts w:ascii="宋体" w:hAnsi="宋体" w:cs="宋体" w:eastAsia="宋体" w:hint="default"/>
        </w:rPr>
        <w:t>IDIS</w:t>
      </w:r>
      <w:r>
        <w:rPr>
          <w:rFonts w:ascii="宋体" w:hAnsi="宋体" w:cs="宋体" w:eastAsia="宋体" w:hint="default"/>
          <w:spacing w:val="-41"/>
        </w:rPr>
        <w:t> </w:t>
      </w:r>
      <w:r>
        <w:rPr>
          <w:spacing w:val="-9"/>
        </w:rPr>
        <w:t>国际认证，自主研发的</w:t>
      </w:r>
      <w:r>
        <w:rPr>
          <w:spacing w:val="-38"/>
        </w:rPr>
        <w:t> </w:t>
      </w:r>
      <w:r>
        <w:rPr>
          <w:rFonts w:ascii="宋体" w:hAnsi="宋体" w:cs="宋体" w:eastAsia="宋体" w:hint="default"/>
        </w:rPr>
        <w:t>SM120</w:t>
      </w:r>
      <w:r>
        <w:rPr/>
        <w:t>、</w:t>
      </w:r>
      <w:r>
        <w:rPr>
          <w:spacing w:val="-98"/>
        </w:rPr>
        <w:t> </w:t>
      </w:r>
      <w:r>
        <w:rPr>
          <w:rFonts w:ascii="宋体" w:hAnsi="宋体" w:cs="宋体" w:eastAsia="宋体" w:hint="default"/>
          <w:spacing w:val="-1"/>
        </w:rPr>
        <w:t>SM150</w:t>
      </w:r>
      <w:r>
        <w:rPr>
          <w:spacing w:val="-1"/>
        </w:rPr>
        <w:t>、</w:t>
      </w:r>
      <w:r>
        <w:rPr>
          <w:rFonts w:ascii="宋体" w:hAnsi="宋体" w:cs="宋体" w:eastAsia="宋体" w:hint="default"/>
          <w:spacing w:val="-1"/>
        </w:rPr>
        <w:t>SM350</w:t>
      </w:r>
      <w:r>
        <w:rPr>
          <w:rFonts w:ascii="宋体" w:hAnsi="宋体" w:cs="宋体" w:eastAsia="宋体" w:hint="default"/>
        </w:rPr>
        <w:t> </w:t>
      </w:r>
      <w:r>
        <w:rPr>
          <w:spacing w:val="-2"/>
        </w:rPr>
        <w:t>三款国际智能表产品，积极开拓“一带一路”目标市场，重点突破东南亚、欧洲、中</w:t>
      </w:r>
      <w:r>
        <w:rPr>
          <w:spacing w:val="-95"/>
        </w:rPr>
        <w:t> </w:t>
      </w:r>
      <w:r>
        <w:rPr>
          <w:spacing w:val="-95"/>
        </w:rPr>
      </w:r>
      <w:r>
        <w:rPr/>
        <w:t>东、非洲等市场。</w:t>
      </w:r>
    </w:p>
    <w:p>
      <w:pPr>
        <w:pStyle w:val="Heading2"/>
        <w:spacing w:line="240" w:lineRule="auto" w:before="163"/>
        <w:ind w:left="601" w:right="0"/>
        <w:jc w:val="left"/>
        <w:rPr>
          <w:b w:val="0"/>
          <w:bCs w:val="0"/>
        </w:rPr>
      </w:pPr>
      <w:r>
        <w:rPr>
          <w:rFonts w:ascii="宋体" w:hAnsi="宋体" w:cs="宋体" w:eastAsia="宋体" w:hint="default"/>
        </w:rPr>
        <w:t>2</w:t>
      </w:r>
      <w:r>
        <w:rPr/>
        <w:t>、积极推进战略合作落地，打造行业领先的光伏平价上网示范项目，加快拓展海外光伏项目；</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209" w:firstLine="420"/>
        <w:jc w:val="both"/>
      </w:pPr>
      <w:r>
        <w:rPr>
          <w:rFonts w:ascii="宋体" w:hAnsi="宋体" w:cs="宋体" w:eastAsia="宋体" w:hint="default"/>
        </w:rPr>
        <w:t>2019</w:t>
      </w:r>
      <w:r>
        <w:rPr>
          <w:rFonts w:ascii="宋体" w:hAnsi="宋体" w:cs="宋体" w:eastAsia="宋体" w:hint="default"/>
          <w:spacing w:val="-21"/>
        </w:rPr>
        <w:t> </w:t>
      </w:r>
      <w:r>
        <w:rPr>
          <w:spacing w:val="-7"/>
        </w:rPr>
        <w:t>年，公司将继续推进各类光伏电站的开发、建设与运营。在自主开发建设运营电站的同时，</w:t>
      </w:r>
      <w:r>
        <w:rPr>
          <w:w w:val="100"/>
        </w:rPr>
        <w:t> </w:t>
      </w:r>
      <w:r>
        <w:rPr>
          <w:spacing w:val="-6"/>
        </w:rPr>
        <w:t>积极拓展商业模式，通过公司项目开发、电站设计、高效产品、施工管理、电站运维等方面的优势，</w:t>
      </w:r>
      <w:r>
        <w:rPr>
          <w:spacing w:val="-19"/>
        </w:rPr>
        <w:t> </w:t>
      </w:r>
      <w:r>
        <w:rPr>
          <w:spacing w:val="-19"/>
        </w:rPr>
      </w:r>
      <w:r>
        <w:rPr/>
        <w:t>为战略合作的央企和世界</w:t>
      </w:r>
      <w:r>
        <w:rPr>
          <w:spacing w:val="-57"/>
        </w:rPr>
        <w:t> </w:t>
      </w:r>
      <w:r>
        <w:rPr>
          <w:rFonts w:ascii="宋体" w:hAnsi="宋体" w:cs="宋体" w:eastAsia="宋体" w:hint="default"/>
        </w:rPr>
        <w:t>500</w:t>
      </w:r>
      <w:r>
        <w:rPr>
          <w:rFonts w:ascii="宋体" w:hAnsi="宋体" w:cs="宋体" w:eastAsia="宋体" w:hint="default"/>
          <w:spacing w:val="-53"/>
        </w:rPr>
        <w:t> </w:t>
      </w:r>
      <w:r>
        <w:rPr/>
        <w:t>强企业定向开发、建设、运营优质分布式光伏电站，做好高效</w:t>
      </w:r>
      <w:r>
        <w:rPr>
          <w:spacing w:val="-54"/>
        </w:rPr>
        <w:t> </w:t>
      </w:r>
      <w:r>
        <w:rPr>
          <w:rFonts w:ascii="宋体" w:hAnsi="宋体" w:cs="宋体" w:eastAsia="宋体" w:hint="default"/>
        </w:rPr>
        <w:t>EPC</w:t>
      </w:r>
      <w:r>
        <w:rPr>
          <w:rFonts w:ascii="宋体" w:hAnsi="宋体" w:cs="宋体" w:eastAsia="宋体" w:hint="default"/>
          <w:spacing w:val="-56"/>
        </w:rPr>
        <w:t> </w:t>
      </w:r>
      <w:r>
        <w:rPr/>
        <w:t>业</w:t>
      </w:r>
      <w:r>
        <w:rPr>
          <w:w w:val="100"/>
        </w:rPr>
        <w:t> </w:t>
      </w:r>
      <w:r>
        <w:rPr/>
        <w:t>务，力争实现全年</w:t>
      </w:r>
      <w:r>
        <w:rPr>
          <w:spacing w:val="-61"/>
        </w:rPr>
        <w:t> </w:t>
      </w:r>
      <w:r>
        <w:rPr>
          <w:rFonts w:ascii="宋体" w:hAnsi="宋体" w:cs="宋体" w:eastAsia="宋体" w:hint="default"/>
        </w:rPr>
        <w:t>300~500</w:t>
      </w:r>
      <w:r>
        <w:rPr>
          <w:rFonts w:ascii="宋体" w:hAnsi="宋体" w:cs="宋体" w:eastAsia="宋体" w:hint="default"/>
          <w:spacing w:val="-58"/>
        </w:rPr>
        <w:t> </w:t>
      </w:r>
      <w:r>
        <w:rPr/>
        <w:t>兆瓦的项目开发和建设。</w:t>
      </w:r>
      <w:r>
        <w:rPr>
          <w:rFonts w:ascii="宋体" w:hAnsi="宋体" w:cs="宋体" w:eastAsia="宋体" w:hint="default"/>
        </w:rPr>
        <w:t>2019</w:t>
      </w:r>
      <w:r>
        <w:rPr>
          <w:rFonts w:ascii="宋体" w:hAnsi="宋体" w:cs="宋体" w:eastAsia="宋体" w:hint="default"/>
          <w:spacing w:val="-58"/>
        </w:rPr>
        <w:t> </w:t>
      </w:r>
      <w:r>
        <w:rPr/>
        <w:t>年，公司将继续发挥林洋研究院、设计院</w:t>
      </w:r>
      <w:r>
        <w:rPr>
          <w:w w:val="100"/>
        </w:rPr>
        <w:t> </w:t>
      </w:r>
      <w:r>
        <w:rPr/>
        <w:t>的技术优势，开发各类高可靠性、高性价比、高效发电的分布式光伏电站，将量产的</w:t>
      </w:r>
      <w:r>
        <w:rPr>
          <w:spacing w:val="-53"/>
        </w:rPr>
        <w:t> </w:t>
      </w:r>
      <w:r>
        <w:rPr>
          <w:rFonts w:ascii="宋体" w:hAnsi="宋体" w:cs="宋体" w:eastAsia="宋体" w:hint="default"/>
        </w:rPr>
        <w:t>400</w:t>
      </w:r>
      <w:r>
        <w:rPr>
          <w:rFonts w:ascii="宋体" w:hAnsi="宋体" w:cs="宋体" w:eastAsia="宋体" w:hint="default"/>
          <w:spacing w:val="-54"/>
        </w:rPr>
        <w:t> </w:t>
      </w:r>
      <w:r>
        <w:rPr/>
        <w:t>兆瓦</w:t>
      </w:r>
      <w:r>
        <w:rPr>
          <w:spacing w:val="-54"/>
        </w:rPr>
        <w:t> </w:t>
      </w:r>
      <w:r>
        <w:rPr>
          <w:rFonts w:ascii="宋体" w:hAnsi="宋体" w:cs="宋体" w:eastAsia="宋体" w:hint="default"/>
        </w:rPr>
        <w:t>N</w:t>
      </w:r>
      <w:r>
        <w:rPr>
          <w:rFonts w:ascii="宋体" w:hAnsi="宋体" w:cs="宋体" w:eastAsia="宋体" w:hint="default"/>
          <w:spacing w:val="-56"/>
        </w:rPr>
        <w:t> </w:t>
      </w:r>
      <w:r>
        <w:rPr/>
        <w:t>型</w:t>
      </w:r>
      <w:r>
        <w:rPr>
          <w:w w:val="100"/>
        </w:rPr>
        <w:t> </w:t>
      </w:r>
      <w:r>
        <w:rPr>
          <w:spacing w:val="-2"/>
        </w:rPr>
        <w:t>高效双面电池与高效切半组件全部用于各类分布式光伏电站上，让新技术、高效新产品，高效系统</w:t>
      </w:r>
      <w:r>
        <w:rPr>
          <w:spacing w:val="-26"/>
        </w:rPr>
        <w:t> </w:t>
      </w:r>
      <w:r>
        <w:rPr>
          <w:spacing w:val="-26"/>
        </w:rPr>
      </w:r>
      <w:r>
        <w:rPr/>
        <w:t>集成助力度电成本持续下降，实现光伏项目平价上网。</w:t>
      </w:r>
    </w:p>
    <w:p>
      <w:pPr>
        <w:pStyle w:val="BodyText"/>
        <w:spacing w:line="273" w:lineRule="auto" w:before="163"/>
        <w:ind w:left="178" w:right="209" w:firstLine="420"/>
        <w:jc w:val="both"/>
      </w:pPr>
      <w:r>
        <w:rPr>
          <w:spacing w:val="-4"/>
        </w:rPr>
        <w:t>为有效、有序拓展海外光伏业务，公司于 </w:t>
      </w:r>
      <w:r>
        <w:rPr>
          <w:rFonts w:ascii="宋体" w:hAnsi="宋体" w:cs="宋体" w:eastAsia="宋体" w:hint="default"/>
        </w:rPr>
        <w:t>2019</w:t>
      </w:r>
      <w:r>
        <w:rPr>
          <w:rFonts w:ascii="宋体" w:hAnsi="宋体" w:cs="宋体" w:eastAsia="宋体" w:hint="default"/>
          <w:spacing w:val="-52"/>
        </w:rPr>
        <w:t> </w:t>
      </w:r>
      <w:r>
        <w:rPr>
          <w:spacing w:val="-3"/>
        </w:rPr>
        <w:t>年正式成立林洋新能源海外事业部，并组建一支</w:t>
      </w:r>
      <w:r>
        <w:rPr>
          <w:w w:val="100"/>
        </w:rPr>
        <w:t> </w:t>
      </w:r>
      <w:r>
        <w:rPr>
          <w:spacing w:val="-2"/>
        </w:rPr>
        <w:t>具备国际化水准的专业团队，专注、有序地开展海外光伏业务。公司将依托各个业务版块在全球范</w:t>
      </w:r>
      <w:r>
        <w:rPr>
          <w:spacing w:val="-25"/>
        </w:rPr>
        <w:t> </w:t>
      </w:r>
      <w:r>
        <w:rPr>
          <w:spacing w:val="-25"/>
        </w:rPr>
      </w:r>
      <w:r>
        <w:rPr>
          <w:spacing w:val="-2"/>
        </w:rPr>
        <w:t>围内已经建立的渠道资源，整合新能源业务在国内以及海外市场开拓的市场资源，将海外光伏业务</w:t>
      </w:r>
      <w:r>
        <w:rPr>
          <w:spacing w:val="-25"/>
        </w:rPr>
        <w:t> </w:t>
      </w:r>
      <w:r>
        <w:rPr>
          <w:spacing w:val="-25"/>
        </w:rPr>
      </w:r>
      <w:r>
        <w:rPr>
          <w:spacing w:val="-2"/>
        </w:rPr>
        <w:t>发展重点聚集在一些有市场规模且可持续发展、政策经济风险低且市场化水平较高及预期投资收益</w:t>
      </w:r>
      <w:r>
        <w:rPr>
          <w:spacing w:val="-25"/>
        </w:rPr>
        <w:t> </w:t>
      </w:r>
      <w:r>
        <w:rPr>
          <w:spacing w:val="-25"/>
        </w:rPr>
      </w:r>
      <w:r>
        <w:rPr>
          <w:spacing w:val="-2"/>
        </w:rPr>
        <w:t>较好的国家市场。公司积极布局海外光伏业务并通过项目开发投资、工程总包战略合作和设备集成</w:t>
      </w:r>
      <w:r>
        <w:rPr>
          <w:spacing w:val="-25"/>
        </w:rPr>
        <w:t> </w:t>
      </w:r>
      <w:r>
        <w:rPr>
          <w:spacing w:val="-25"/>
        </w:rPr>
      </w:r>
      <w:r>
        <w:rPr/>
        <w:t>销售等多种方式力争实现年度</w:t>
      </w:r>
      <w:r>
        <w:rPr>
          <w:spacing w:val="-54"/>
        </w:rPr>
        <w:t> </w:t>
      </w:r>
      <w:r>
        <w:rPr>
          <w:rFonts w:ascii="宋体" w:hAnsi="宋体" w:cs="宋体" w:eastAsia="宋体" w:hint="default"/>
        </w:rPr>
        <w:t>100~200</w:t>
      </w:r>
      <w:r>
        <w:rPr>
          <w:rFonts w:ascii="宋体" w:hAnsi="宋体" w:cs="宋体" w:eastAsia="宋体" w:hint="default"/>
          <w:spacing w:val="-55"/>
        </w:rPr>
        <w:t> </w:t>
      </w:r>
      <w:r>
        <w:rPr/>
        <w:t>兆瓦海外业务规模。</w:t>
      </w:r>
    </w:p>
    <w:p>
      <w:pPr>
        <w:pStyle w:val="BodyText"/>
        <w:spacing w:line="273" w:lineRule="auto" w:before="163"/>
        <w:ind w:left="178" w:right="207" w:firstLine="420"/>
        <w:jc w:val="left"/>
      </w:pPr>
      <w:r>
        <w:rPr>
          <w:rFonts w:ascii="宋体" w:hAnsi="宋体" w:cs="宋体" w:eastAsia="宋体" w:hint="default"/>
          <w:w w:val="100"/>
        </w:rPr>
        <w:t>2019</w:t>
      </w:r>
      <w:r>
        <w:rPr>
          <w:rFonts w:ascii="宋体" w:hAnsi="宋体" w:cs="宋体" w:eastAsia="宋体" w:hint="default"/>
          <w:spacing w:val="-59"/>
          <w:w w:val="100"/>
        </w:rPr>
        <w:t> </w:t>
      </w:r>
      <w:r>
        <w:rPr>
          <w:spacing w:val="-9"/>
          <w:w w:val="100"/>
        </w:rPr>
        <w:t>年，林洋光伏高效电池与组件线将完成技术升级，电池从现有</w:t>
      </w:r>
      <w:r>
        <w:rPr>
          <w:spacing w:val="-59"/>
          <w:w w:val="100"/>
        </w:rPr>
        <w:t> </w:t>
      </w:r>
      <w:r>
        <w:rPr>
          <w:rFonts w:ascii="宋体" w:hAnsi="宋体" w:cs="宋体" w:eastAsia="宋体" w:hint="default"/>
          <w:spacing w:val="-1"/>
          <w:w w:val="100"/>
        </w:rPr>
        <w:t>N-PERT</w:t>
      </w:r>
      <w:r>
        <w:rPr>
          <w:rFonts w:ascii="宋体" w:hAnsi="宋体" w:cs="宋体" w:eastAsia="宋体" w:hint="default"/>
          <w:spacing w:val="-59"/>
          <w:w w:val="100"/>
        </w:rPr>
        <w:t> </w:t>
      </w:r>
      <w:r>
        <w:rPr>
          <w:spacing w:val="-1"/>
          <w:w w:val="100"/>
        </w:rPr>
        <w:t>升级为</w:t>
      </w:r>
      <w:r>
        <w:rPr>
          <w:spacing w:val="-56"/>
          <w:w w:val="100"/>
        </w:rPr>
        <w:t> </w:t>
      </w:r>
      <w:r>
        <w:rPr>
          <w:rFonts w:ascii="宋体" w:hAnsi="宋体" w:cs="宋体" w:eastAsia="宋体" w:hint="default"/>
          <w:spacing w:val="-1"/>
          <w:w w:val="100"/>
        </w:rPr>
        <w:t>TopCON</w:t>
      </w:r>
      <w:r>
        <w:rPr>
          <w:rFonts w:ascii="宋体" w:hAnsi="宋体" w:cs="宋体" w:eastAsia="宋体" w:hint="default"/>
          <w:spacing w:val="-56"/>
          <w:w w:val="100"/>
        </w:rPr>
        <w:t> </w:t>
      </w:r>
      <w:r>
        <w:rPr>
          <w:spacing w:val="-1"/>
          <w:w w:val="100"/>
        </w:rPr>
        <w:t>技术，</w:t>
      </w:r>
      <w:r>
        <w:rPr>
          <w:w w:val="100"/>
        </w:rPr>
        <w:t> </w:t>
      </w:r>
      <w:r>
        <w:rPr/>
        <w:t>量产平均转换效率可达</w:t>
      </w:r>
      <w:r>
        <w:rPr>
          <w:spacing w:val="-54"/>
        </w:rPr>
        <w:t> </w:t>
      </w:r>
      <w:r>
        <w:rPr>
          <w:rFonts w:ascii="宋体" w:hAnsi="宋体" w:cs="宋体" w:eastAsia="宋体" w:hint="default"/>
        </w:rPr>
        <w:t>23%</w:t>
      </w:r>
      <w:r>
        <w:rPr/>
        <w:t>，组件升级为</w:t>
      </w:r>
      <w:r>
        <w:rPr>
          <w:spacing w:val="-56"/>
        </w:rPr>
        <w:t> </w:t>
      </w:r>
      <w:r>
        <w:rPr>
          <w:rFonts w:ascii="宋体" w:hAnsi="宋体" w:cs="宋体" w:eastAsia="宋体" w:hint="default"/>
        </w:rPr>
        <w:t>9BB</w:t>
      </w:r>
      <w:r>
        <w:rPr>
          <w:rFonts w:ascii="宋体" w:hAnsi="宋体" w:cs="宋体" w:eastAsia="宋体" w:hint="default"/>
          <w:spacing w:val="-56"/>
        </w:rPr>
        <w:t> </w:t>
      </w:r>
      <w:r>
        <w:rPr/>
        <w:t>多主栅技术，三率指标达到行业领先水平，不断增强</w:t>
      </w:r>
      <w:r>
        <w:rPr>
          <w:w w:val="100"/>
        </w:rPr>
        <w:t> </w:t>
      </w:r>
      <w:r>
        <w:rPr/>
        <w:t>市场竞争力。同时，加快</w:t>
      </w:r>
      <w:r>
        <w:rPr>
          <w:spacing w:val="-59"/>
        </w:rPr>
        <w:t> </w:t>
      </w:r>
      <w:r>
        <w:rPr>
          <w:rFonts w:ascii="宋体" w:hAnsi="宋体" w:cs="宋体" w:eastAsia="宋体" w:hint="default"/>
        </w:rPr>
        <w:t>N</w:t>
      </w:r>
      <w:r>
        <w:rPr>
          <w:rFonts w:ascii="宋体" w:hAnsi="宋体" w:cs="宋体" w:eastAsia="宋体" w:hint="default"/>
          <w:spacing w:val="-55"/>
        </w:rPr>
        <w:t> </w:t>
      </w:r>
      <w:r>
        <w:rPr/>
        <w:t>型高效双面电池及组件二期产线的扩产进程并释放产能，有效降低单位</w:t>
      </w:r>
      <w:r>
        <w:rPr>
          <w:spacing w:val="-3"/>
          <w:w w:val="100"/>
        </w:rPr>
        <w:t> </w:t>
      </w:r>
      <w:r>
        <w:rPr/>
        <w:t>产品成本。</w:t>
      </w:r>
    </w:p>
    <w:p>
      <w:pPr>
        <w:pStyle w:val="BodyText"/>
        <w:spacing w:line="273" w:lineRule="auto" w:before="163"/>
        <w:ind w:left="178" w:right="0" w:firstLine="420"/>
        <w:jc w:val="left"/>
      </w:pPr>
      <w:r>
        <w:rPr>
          <w:rFonts w:ascii="宋体" w:hAnsi="宋体" w:cs="宋体" w:eastAsia="宋体" w:hint="default"/>
        </w:rPr>
        <w:t>2019</w:t>
      </w:r>
      <w:r>
        <w:rPr>
          <w:rFonts w:ascii="宋体" w:hAnsi="宋体" w:cs="宋体" w:eastAsia="宋体" w:hint="default"/>
          <w:spacing w:val="16"/>
        </w:rPr>
        <w:t> </w:t>
      </w:r>
      <w:r>
        <w:rPr/>
        <w:t>年，光伏运维将坚持贯彻“安全第一、运行可靠、效益为先、长期受控”的十六字方针，</w:t>
      </w:r>
      <w:r>
        <w:rPr>
          <w:w w:val="100"/>
        </w:rPr>
        <w:t> </w:t>
      </w:r>
      <w:r>
        <w:rPr/>
        <w:t>继续依托智慧光伏云平台和综合监控平台，在抓好安全、效益的同时，拓展第三方运维，积极为公</w:t>
      </w:r>
      <w:r>
        <w:rPr>
          <w:w w:val="100"/>
        </w:rPr>
        <w:t> </w:t>
      </w:r>
      <w:r>
        <w:rPr/>
        <w:t>司创造效益。</w:t>
      </w:r>
    </w:p>
    <w:p>
      <w:pPr>
        <w:pStyle w:val="Heading2"/>
        <w:spacing w:line="240" w:lineRule="auto" w:before="163"/>
        <w:ind w:left="601" w:right="207"/>
        <w:jc w:val="left"/>
        <w:rPr>
          <w:b w:val="0"/>
          <w:bCs w:val="0"/>
        </w:rPr>
      </w:pPr>
      <w:r>
        <w:rPr>
          <w:rFonts w:ascii="宋体" w:hAnsi="宋体" w:cs="宋体" w:eastAsia="宋体" w:hint="default"/>
        </w:rPr>
        <w:t>3</w:t>
      </w:r>
      <w:r>
        <w:rPr/>
        <w:t>、打造综合能源服务闭环体系，加强产业优势融合，提升节能领域核心竞争力；</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178" w:right="209" w:firstLine="420"/>
        <w:jc w:val="both"/>
      </w:pPr>
      <w:r>
        <w:rPr>
          <w:rFonts w:ascii="宋体" w:hAnsi="宋体" w:cs="宋体" w:eastAsia="宋体" w:hint="default"/>
        </w:rPr>
        <w:t>2019</w:t>
      </w:r>
      <w:r>
        <w:rPr>
          <w:rFonts w:ascii="宋体" w:hAnsi="宋体" w:cs="宋体" w:eastAsia="宋体" w:hint="default"/>
          <w:spacing w:val="-11"/>
        </w:rPr>
        <w:t> </w:t>
      </w:r>
      <w:r>
        <w:rPr>
          <w:spacing w:val="-2"/>
        </w:rPr>
        <w:t>年，节能板块仍将紧紧围绕国家节能领域政策导向，依托公司具有核心技术智慧能效云平</w:t>
      </w:r>
      <w:r>
        <w:rPr>
          <w:w w:val="100"/>
        </w:rPr>
        <w:t> </w:t>
      </w:r>
      <w:r>
        <w:rPr>
          <w:spacing w:val="-2"/>
        </w:rPr>
        <w:t>台系统，为智慧低碳园区、工商业用电大户、综合能源生态圈合作伙伴、行业或集团客户提供一站</w:t>
      </w:r>
      <w:r>
        <w:rPr>
          <w:spacing w:val="-25"/>
        </w:rPr>
        <w:t> </w:t>
      </w:r>
      <w:r>
        <w:rPr>
          <w:spacing w:val="-25"/>
        </w:rPr>
      </w:r>
      <w:r>
        <w:rPr/>
        <w:t>式智慧综合能源服务。同时，不断深化高效</w:t>
      </w:r>
      <w:r>
        <w:rPr>
          <w:spacing w:val="-55"/>
        </w:rPr>
        <w:t> </w:t>
      </w:r>
      <w:r>
        <w:rPr>
          <w:rFonts w:ascii="宋体" w:hAnsi="宋体" w:cs="宋体" w:eastAsia="宋体" w:hint="default"/>
        </w:rPr>
        <w:t>LED</w:t>
      </w:r>
      <w:r>
        <w:rPr>
          <w:rFonts w:ascii="宋体" w:hAnsi="宋体" w:cs="宋体" w:eastAsia="宋体" w:hint="default"/>
          <w:spacing w:val="-55"/>
        </w:rPr>
        <w:t> </w:t>
      </w:r>
      <w:r>
        <w:rPr/>
        <w:t>照明、储能及微网、清洁高效电供暖、电能质量治</w:t>
      </w:r>
      <w:r>
        <w:rPr>
          <w:w w:val="100"/>
        </w:rPr>
        <w:t> </w:t>
      </w:r>
      <w:r>
        <w:rPr>
          <w:spacing w:val="-2"/>
        </w:rPr>
        <w:t>理、蓄冷蓄热空调节能、工业余热余压利用、电机及空压机等设备改造、多能互补冷热电三联供等</w:t>
      </w:r>
    </w:p>
    <w:p>
      <w:pPr>
        <w:spacing w:after="0" w:line="273" w:lineRule="auto"/>
        <w:jc w:val="both"/>
        <w:sectPr>
          <w:pgSz w:w="11910" w:h="16840"/>
          <w:pgMar w:header="728" w:footer="974" w:top="1120" w:bottom="1160" w:left="1240" w:right="1200"/>
        </w:sectPr>
      </w:pPr>
    </w:p>
    <w:p>
      <w:pPr>
        <w:spacing w:line="240" w:lineRule="auto" w:before="10"/>
        <w:rPr>
          <w:rFonts w:ascii="宋体" w:hAnsi="宋体" w:cs="宋体" w:eastAsia="宋体" w:hint="default"/>
          <w:sz w:val="26"/>
          <w:szCs w:val="26"/>
        </w:rPr>
      </w:pPr>
    </w:p>
    <w:p>
      <w:pPr>
        <w:pStyle w:val="BodyText"/>
        <w:spacing w:line="273" w:lineRule="auto" w:before="36"/>
        <w:ind w:left="178" w:right="148"/>
        <w:jc w:val="both"/>
      </w:pPr>
      <w:r>
        <w:rPr>
          <w:spacing w:val="-2"/>
        </w:rPr>
        <w:t>综合能源服务解决方案设计能力，并利用智慧能效平台持续提高用户用能效率，重点打造高收益率</w:t>
      </w:r>
      <w:r>
        <w:rPr>
          <w:spacing w:val="-25"/>
        </w:rPr>
        <w:t> </w:t>
      </w:r>
      <w:r>
        <w:rPr>
          <w:spacing w:val="-25"/>
        </w:rPr>
      </w:r>
      <w:r>
        <w:rPr/>
        <w:t>的综合能源服务项目。</w:t>
      </w:r>
    </w:p>
    <w:p>
      <w:pPr>
        <w:pStyle w:val="BodyText"/>
        <w:spacing w:line="240" w:lineRule="auto" w:before="163"/>
        <w:ind w:left="598" w:right="0"/>
        <w:jc w:val="left"/>
      </w:pPr>
      <w:r>
        <w:rPr>
          <w:spacing w:val="-3"/>
        </w:rPr>
        <w:t>在技术研发上，公司智慧能效管理云平台已覆盖</w:t>
      </w:r>
      <w:r>
        <w:rPr>
          <w:spacing w:val="-43"/>
        </w:rPr>
        <w:t> </w:t>
      </w:r>
      <w:r>
        <w:rPr>
          <w:rFonts w:ascii="宋体" w:hAnsi="宋体" w:cs="宋体" w:eastAsia="宋体" w:hint="default"/>
        </w:rPr>
        <w:t>3,469</w:t>
      </w:r>
      <w:r>
        <w:rPr>
          <w:rFonts w:ascii="宋体" w:hAnsi="宋体" w:cs="宋体" w:eastAsia="宋体" w:hint="default"/>
          <w:spacing w:val="-42"/>
        </w:rPr>
        <w:t> </w:t>
      </w:r>
      <w:r>
        <w:rPr>
          <w:spacing w:val="-4"/>
        </w:rPr>
        <w:t>个工商业耗能大户，部署超过</w:t>
      </w:r>
      <w:r>
        <w:rPr>
          <w:spacing w:val="-43"/>
        </w:rPr>
        <w:t> </w:t>
      </w:r>
      <w:r>
        <w:rPr>
          <w:rFonts w:ascii="宋体" w:hAnsi="宋体" w:cs="宋体" w:eastAsia="宋体" w:hint="default"/>
        </w:rPr>
        <w:t>35,000</w:t>
      </w:r>
      <w:r>
        <w:rPr>
          <w:rFonts w:ascii="宋体" w:hAnsi="宋体" w:cs="宋体" w:eastAsia="宋体" w:hint="default"/>
          <w:spacing w:val="-45"/>
        </w:rPr>
        <w:t> </w:t>
      </w:r>
      <w:r>
        <w:rPr/>
        <w:t>个</w:t>
      </w:r>
    </w:p>
    <w:p>
      <w:pPr>
        <w:pStyle w:val="BodyText"/>
        <w:spacing w:line="240" w:lineRule="auto" w:before="37"/>
        <w:ind w:left="178" w:right="0"/>
        <w:jc w:val="both"/>
        <w:rPr>
          <w:rFonts w:ascii="宋体" w:hAnsi="宋体" w:cs="宋体" w:eastAsia="宋体" w:hint="default"/>
        </w:rPr>
      </w:pPr>
      <w:r>
        <w:rPr>
          <w:spacing w:val="-5"/>
        </w:rPr>
        <w:t>能效采集点，管理用电负荷超过</w:t>
      </w:r>
      <w:r>
        <w:rPr>
          <w:spacing w:val="-44"/>
        </w:rPr>
        <w:t> </w:t>
      </w:r>
      <w:r>
        <w:rPr>
          <w:rFonts w:ascii="宋体" w:hAnsi="宋体" w:cs="宋体" w:eastAsia="宋体" w:hint="default"/>
          <w:spacing w:val="-5"/>
        </w:rPr>
        <w:t>750MW</w:t>
      </w:r>
      <w:r>
        <w:rPr>
          <w:spacing w:val="-5"/>
        </w:rPr>
        <w:t>，日用电量超过</w:t>
      </w:r>
      <w:r>
        <w:rPr>
          <w:spacing w:val="-43"/>
        </w:rPr>
        <w:t> </w:t>
      </w:r>
      <w:r>
        <w:rPr>
          <w:rFonts w:ascii="宋体" w:hAnsi="宋体" w:cs="宋体" w:eastAsia="宋体" w:hint="default"/>
        </w:rPr>
        <w:t>1,900</w:t>
      </w:r>
      <w:r>
        <w:rPr>
          <w:rFonts w:ascii="宋体" w:hAnsi="宋体" w:cs="宋体" w:eastAsia="宋体" w:hint="default"/>
          <w:spacing w:val="-44"/>
        </w:rPr>
        <w:t> </w:t>
      </w:r>
      <w:r>
        <w:rPr>
          <w:spacing w:val="-7"/>
        </w:rPr>
        <w:t>万度。</w:t>
      </w:r>
      <w:r>
        <w:rPr>
          <w:rFonts w:ascii="宋体" w:hAnsi="宋体" w:cs="宋体" w:eastAsia="宋体" w:hint="default"/>
          <w:spacing w:val="-7"/>
        </w:rPr>
        <w:t>2019</w:t>
      </w:r>
      <w:r>
        <w:rPr>
          <w:rFonts w:ascii="宋体" w:hAnsi="宋体" w:cs="宋体" w:eastAsia="宋体" w:hint="default"/>
          <w:spacing w:val="-44"/>
        </w:rPr>
        <w:t> </w:t>
      </w:r>
      <w:r>
        <w:rPr/>
        <w:t>年计划新接入企业数</w:t>
      </w:r>
      <w:r>
        <w:rPr>
          <w:spacing w:val="-43"/>
        </w:rPr>
        <w:t> </w:t>
      </w:r>
      <w:r>
        <w:rPr>
          <w:rFonts w:ascii="宋体" w:hAnsi="宋体" w:cs="宋体" w:eastAsia="宋体" w:hint="default"/>
        </w:rPr>
        <w:t>1,000</w:t>
      </w:r>
    </w:p>
    <w:p>
      <w:pPr>
        <w:pStyle w:val="BodyText"/>
        <w:spacing w:line="273" w:lineRule="auto" w:before="37"/>
        <w:ind w:left="178" w:right="110"/>
        <w:jc w:val="both"/>
      </w:pPr>
      <w:r>
        <w:rPr>
          <w:spacing w:val="-13"/>
        </w:rPr>
        <w:t>家，监测点</w:t>
      </w:r>
      <w:r>
        <w:rPr>
          <w:spacing w:val="-23"/>
        </w:rPr>
        <w:t> </w:t>
      </w:r>
      <w:r>
        <w:rPr>
          <w:rFonts w:ascii="宋体" w:hAnsi="宋体" w:cs="宋体" w:eastAsia="宋体" w:hint="default"/>
        </w:rPr>
        <w:t>10,000</w:t>
      </w:r>
      <w:r>
        <w:rPr>
          <w:rFonts w:ascii="宋体" w:hAnsi="宋体" w:cs="宋体" w:eastAsia="宋体" w:hint="default"/>
          <w:spacing w:val="-26"/>
        </w:rPr>
        <w:t> </w:t>
      </w:r>
      <w:r>
        <w:rPr>
          <w:spacing w:val="-8"/>
        </w:rPr>
        <w:t>多个。同时，不断优化与提升系统功能，着重提升能源数据的互联网化、可视化、</w:t>
      </w:r>
      <w:r>
        <w:rPr>
          <w:spacing w:val="-93"/>
        </w:rPr>
        <w:t> </w:t>
      </w:r>
      <w:r>
        <w:rPr>
          <w:spacing w:val="-93"/>
        </w:rPr>
      </w:r>
      <w:r>
        <w:rPr>
          <w:spacing w:val="-2"/>
        </w:rPr>
        <w:t>数据化，提高能源利用效率及用能安全。加强用户粘性和用户活跃度，提高智慧能效平台的行业应</w:t>
      </w:r>
      <w:r>
        <w:rPr>
          <w:spacing w:val="-25"/>
        </w:rPr>
        <w:t> </w:t>
      </w:r>
      <w:r>
        <w:rPr>
          <w:spacing w:val="-25"/>
        </w:rPr>
      </w:r>
      <w:r>
        <w:rPr/>
        <w:t>用能力。</w:t>
      </w:r>
    </w:p>
    <w:p>
      <w:pPr>
        <w:pStyle w:val="BodyText"/>
        <w:spacing w:line="273" w:lineRule="auto" w:before="163"/>
        <w:ind w:left="178" w:right="148" w:firstLine="420"/>
        <w:jc w:val="both"/>
      </w:pPr>
      <w:r>
        <w:rPr>
          <w:spacing w:val="-2"/>
        </w:rPr>
        <w:t>在业务拓展与战略合作上，重点推进与国网、南网综合能源服务公司、区域售电公司合作，加</w:t>
      </w:r>
      <w:r>
        <w:rPr>
          <w:w w:val="100"/>
        </w:rPr>
        <w:t> </w:t>
      </w:r>
      <w:r>
        <w:rPr>
          <w:spacing w:val="-2"/>
        </w:rPr>
        <w:t>强行业示范推广，争取在智慧能效管理平台、储能微网与蓄热、清洁供暖、城市建筑与照明节能改</w:t>
      </w:r>
      <w:r>
        <w:rPr>
          <w:spacing w:val="-25"/>
        </w:rPr>
        <w:t> </w:t>
      </w:r>
      <w:r>
        <w:rPr>
          <w:spacing w:val="-25"/>
        </w:rPr>
      </w:r>
      <w:r>
        <w:rPr>
          <w:spacing w:val="-2"/>
        </w:rPr>
        <w:t>造等方面落实项目合作。加速推广通过英大</w:t>
      </w:r>
      <w:r>
        <w:rPr>
          <w:rFonts w:ascii="宋体" w:hAnsi="宋体" w:cs="宋体" w:eastAsia="宋体" w:hint="default"/>
          <w:spacing w:val="-2"/>
        </w:rPr>
        <w:t>(</w:t>
      </w:r>
      <w:r>
        <w:rPr>
          <w:spacing w:val="-2"/>
        </w:rPr>
        <w:t>苏州</w:t>
      </w:r>
      <w:r>
        <w:rPr>
          <w:rFonts w:ascii="宋体" w:hAnsi="宋体" w:cs="宋体" w:eastAsia="宋体" w:hint="default"/>
          <w:spacing w:val="-2"/>
        </w:rPr>
        <w:t>)</w:t>
      </w:r>
      <w:r>
        <w:rPr>
          <w:spacing w:val="-2"/>
        </w:rPr>
        <w:t>综合能源投资中心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等产业基金引导综</w:t>
      </w:r>
      <w:r>
        <w:rPr>
          <w:spacing w:val="-26"/>
        </w:rPr>
        <w:t> </w:t>
      </w:r>
      <w:r>
        <w:rPr>
          <w:spacing w:val="-26"/>
        </w:rPr>
      </w:r>
      <w:r>
        <w:rPr>
          <w:spacing w:val="-2"/>
        </w:rPr>
        <w:t>合能源业务发展的新商业模式。同时，发挥行业用户的示范推广作用，特别在环保、交通、清洁供</w:t>
      </w:r>
      <w:r>
        <w:rPr>
          <w:spacing w:val="-25"/>
        </w:rPr>
        <w:t> </w:t>
      </w:r>
      <w:r>
        <w:rPr>
          <w:spacing w:val="-25"/>
        </w:rPr>
      </w:r>
      <w:r>
        <w:rPr>
          <w:spacing w:val="-2"/>
        </w:rPr>
        <w:t>暖等领域的应用案例，以河北高速公路综合能源服务、城市路灯照明节能改造、北方清洁供暖等示</w:t>
      </w:r>
      <w:r>
        <w:rPr>
          <w:spacing w:val="-25"/>
        </w:rPr>
        <w:t> </w:t>
      </w:r>
      <w:r>
        <w:rPr>
          <w:spacing w:val="-25"/>
        </w:rPr>
      </w:r>
      <w:r>
        <w:rPr/>
        <w:t>范项目成功经验，在重点区域市场，全面推进高速公路系统综合能源服务业务。</w:t>
      </w:r>
    </w:p>
    <w:p>
      <w:pPr>
        <w:spacing w:line="240" w:lineRule="auto" w:before="0"/>
        <w:rPr>
          <w:rFonts w:ascii="宋体" w:hAnsi="宋体" w:cs="宋体" w:eastAsia="宋体" w:hint="default"/>
          <w:sz w:val="29"/>
          <w:szCs w:val="29"/>
        </w:rPr>
      </w:pPr>
    </w:p>
    <w:p>
      <w:pPr>
        <w:pStyle w:val="Heading2"/>
        <w:spacing w:line="240" w:lineRule="auto" w:before="0"/>
        <w:ind w:left="17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可能面对的风险</w:t>
      </w:r>
      <w:r>
        <w:rPr>
          <w:b w:val="0"/>
          <w:bCs w:val="0"/>
        </w:rPr>
      </w:r>
    </w:p>
    <w:p>
      <w:pPr>
        <w:pStyle w:val="BodyText"/>
        <w:spacing w:line="240" w:lineRule="auto" w:before="97"/>
        <w:ind w:left="178" w:right="0"/>
        <w:jc w:val="both"/>
      </w:pPr>
      <w:r>
        <w:rPr/>
        <w:t>√适用  □不适用</w:t>
      </w:r>
    </w:p>
    <w:p>
      <w:pPr>
        <w:spacing w:line="460" w:lineRule="atLeast" w:before="8"/>
        <w:ind w:left="59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行业发展及产业政策风险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公司提出的“智能、节能、新能源”战略目标与国家宏观经济政策、能源政策、节能环保政策</w:t>
      </w:r>
    </w:p>
    <w:p>
      <w:pPr>
        <w:pStyle w:val="BodyText"/>
        <w:spacing w:line="273" w:lineRule="auto" w:before="37"/>
        <w:ind w:left="178" w:right="148"/>
        <w:jc w:val="both"/>
      </w:pPr>
      <w:r>
        <w:rPr>
          <w:spacing w:val="-2"/>
        </w:rPr>
        <w:t>等密切相关，未来公司可能面临国家出于宏观调控需要调整相关产业政策的风险，从而给公司的业</w:t>
      </w:r>
      <w:r>
        <w:rPr>
          <w:spacing w:val="-25"/>
        </w:rPr>
        <w:t> </w:t>
      </w:r>
      <w:r>
        <w:rPr>
          <w:spacing w:val="-25"/>
        </w:rPr>
      </w:r>
      <w:r>
        <w:rPr/>
        <w:t>务发展造成不利影响。</w:t>
      </w:r>
    </w:p>
    <w:p>
      <w:pPr>
        <w:pStyle w:val="BodyText"/>
        <w:spacing w:line="273" w:lineRule="auto" w:before="163"/>
        <w:ind w:left="178" w:right="109" w:firstLine="420"/>
        <w:jc w:val="both"/>
      </w:pPr>
      <w:r>
        <w:rPr>
          <w:rFonts w:ascii="宋体" w:hAnsi="宋体" w:cs="宋体" w:eastAsia="宋体" w:hint="default"/>
        </w:rPr>
        <w:t>2018 </w:t>
      </w:r>
      <w:r>
        <w:rPr>
          <w:spacing w:val="-4"/>
        </w:rPr>
        <w:t>年，国家接连发布《关于开展光伏发电专项监管工作的通知》、《</w:t>
      </w:r>
      <w:r>
        <w:rPr>
          <w:rFonts w:ascii="宋体" w:hAnsi="宋体" w:cs="宋体" w:eastAsia="宋体" w:hint="default"/>
          <w:spacing w:val="-4"/>
        </w:rPr>
        <w:t>2018</w:t>
      </w:r>
      <w:r>
        <w:rPr>
          <w:rFonts w:ascii="宋体" w:hAnsi="宋体" w:cs="宋体" w:eastAsia="宋体" w:hint="default"/>
          <w:spacing w:val="-58"/>
        </w:rPr>
        <w:t> </w:t>
      </w:r>
      <w:r>
        <w:rPr/>
        <w:t>年能源工作指导意</w:t>
      </w:r>
      <w:r>
        <w:rPr>
          <w:w w:val="100"/>
        </w:rPr>
        <w:t> </w:t>
      </w:r>
      <w:r>
        <w:rPr>
          <w:spacing w:val="-11"/>
          <w:w w:val="100"/>
        </w:rPr>
        <w:t>见》、《分布式发电管理办法（征求意见稿）》、《可再生能源电力配额及考核办法</w:t>
      </w:r>
      <w:r>
        <w:rPr>
          <w:rFonts w:ascii="宋体" w:hAnsi="宋体" w:cs="宋体" w:eastAsia="宋体" w:hint="default"/>
          <w:spacing w:val="-11"/>
          <w:w w:val="100"/>
        </w:rPr>
        <w:t>(</w:t>
      </w:r>
      <w:r>
        <w:rPr>
          <w:spacing w:val="-11"/>
          <w:w w:val="100"/>
        </w:rPr>
        <w:t>征求意见稿</w:t>
      </w:r>
      <w:r>
        <w:rPr>
          <w:rFonts w:ascii="宋体" w:hAnsi="宋体" w:cs="宋体" w:eastAsia="宋体" w:hint="default"/>
          <w:spacing w:val="-11"/>
          <w:w w:val="100"/>
        </w:rPr>
        <w:t>)</w:t>
      </w:r>
      <w:r>
        <w:rPr>
          <w:spacing w:val="-11"/>
          <w:w w:val="100"/>
        </w:rPr>
        <w:t>》、</w:t>
      </w:r>
      <w:r>
        <w:rPr>
          <w:w w:val="100"/>
        </w:rPr>
      </w:r>
    </w:p>
    <w:p>
      <w:pPr>
        <w:pStyle w:val="BodyText"/>
        <w:spacing w:line="273" w:lineRule="auto" w:before="7"/>
        <w:ind w:left="178" w:right="109"/>
        <w:jc w:val="both"/>
      </w:pPr>
      <w:r>
        <w:rPr>
          <w:spacing w:val="-3"/>
        </w:rPr>
        <w:t>《关于征求光伏发电相关政策文件意见的函》、《关于</w:t>
      </w:r>
      <w:r>
        <w:rPr>
          <w:spacing w:val="-24"/>
        </w:rPr>
        <w:t> </w:t>
      </w:r>
      <w:r>
        <w:rPr>
          <w:rFonts w:ascii="宋体" w:hAnsi="宋体" w:cs="宋体" w:eastAsia="宋体" w:hint="default"/>
        </w:rPr>
        <w:t>2018</w:t>
      </w:r>
      <w:r>
        <w:rPr>
          <w:rFonts w:ascii="宋体" w:hAnsi="宋体" w:cs="宋体" w:eastAsia="宋体" w:hint="default"/>
          <w:spacing w:val="-28"/>
        </w:rPr>
        <w:t> </w:t>
      </w:r>
      <w:r>
        <w:rPr>
          <w:spacing w:val="-4"/>
        </w:rPr>
        <w:t>年光伏发电有关事项的通知》、《国家</w:t>
      </w:r>
      <w:r>
        <w:rPr>
          <w:spacing w:val="-93"/>
        </w:rPr>
        <w:t> </w:t>
      </w:r>
      <w:r>
        <w:rPr>
          <w:spacing w:val="-93"/>
        </w:rPr>
      </w:r>
      <w:r>
        <w:rPr>
          <w:spacing w:val="-2"/>
        </w:rPr>
        <w:t>能源局综合司关于做好光伏发电相关工作的紧急通知》、《关于加快推进风电、光伏发电平价上网</w:t>
      </w:r>
      <w:r>
        <w:rPr>
          <w:spacing w:val="-25"/>
        </w:rPr>
        <w:t> </w:t>
      </w:r>
      <w:r>
        <w:rPr>
          <w:spacing w:val="-25"/>
        </w:rPr>
      </w:r>
      <w:r>
        <w:rPr>
          <w:spacing w:val="-4"/>
        </w:rPr>
        <w:t>有关工作的通知</w:t>
      </w:r>
      <w:r>
        <w:rPr>
          <w:rFonts w:ascii="宋体" w:hAnsi="宋体" w:cs="宋体" w:eastAsia="宋体" w:hint="default"/>
          <w:spacing w:val="-4"/>
        </w:rPr>
        <w:t>(</w:t>
      </w:r>
      <w:r>
        <w:rPr>
          <w:spacing w:val="-4"/>
        </w:rPr>
        <w:t>征求意见稿</w:t>
      </w:r>
      <w:r>
        <w:rPr>
          <w:rFonts w:ascii="宋体" w:hAnsi="宋体" w:cs="宋体" w:eastAsia="宋体" w:hint="default"/>
          <w:spacing w:val="-4"/>
        </w:rPr>
        <w:t>)</w:t>
      </w:r>
      <w:r>
        <w:rPr>
          <w:spacing w:val="-4"/>
        </w:rPr>
        <w:t>》、《关于</w:t>
      </w:r>
      <w:r>
        <w:rPr>
          <w:spacing w:val="-27"/>
        </w:rPr>
        <w:t> </w:t>
      </w:r>
      <w:r>
        <w:rPr>
          <w:rFonts w:ascii="宋体" w:hAnsi="宋体" w:cs="宋体" w:eastAsia="宋体" w:hint="default"/>
        </w:rPr>
        <w:t>2018</w:t>
      </w:r>
      <w:r>
        <w:rPr>
          <w:rFonts w:ascii="宋体" w:hAnsi="宋体" w:cs="宋体" w:eastAsia="宋体" w:hint="default"/>
          <w:spacing w:val="-27"/>
        </w:rPr>
        <w:t> </w:t>
      </w:r>
      <w:r>
        <w:rPr>
          <w:spacing w:val="-3"/>
        </w:rPr>
        <w:t>年光伏发电有关事项说明的通知》及《关于实行可再</w:t>
      </w:r>
      <w:r>
        <w:rPr>
          <w:spacing w:val="-92"/>
        </w:rPr>
        <w:t> </w:t>
      </w:r>
      <w:r>
        <w:rPr>
          <w:spacing w:val="-92"/>
        </w:rPr>
      </w:r>
      <w:r>
        <w:rPr>
          <w:spacing w:val="-6"/>
        </w:rPr>
        <w:t>生能源电力配额制的通知</w:t>
      </w:r>
      <w:r>
        <w:rPr>
          <w:rFonts w:ascii="宋体" w:hAnsi="宋体" w:cs="宋体" w:eastAsia="宋体" w:hint="default"/>
          <w:spacing w:val="-6"/>
        </w:rPr>
        <w:t>(</w:t>
      </w:r>
      <w:r>
        <w:rPr>
          <w:spacing w:val="-6"/>
        </w:rPr>
        <w:t>征求意见稿</w:t>
      </w:r>
      <w:r>
        <w:rPr>
          <w:rFonts w:ascii="宋体" w:hAnsi="宋体" w:cs="宋体" w:eastAsia="宋体" w:hint="default"/>
          <w:spacing w:val="-6"/>
        </w:rPr>
        <w:t>)</w:t>
      </w:r>
      <w:r>
        <w:rPr>
          <w:spacing w:val="-6"/>
        </w:rPr>
        <w:t>》等一系列政策文件。平价上网已成为大势所趋，创新技术、</w:t>
      </w:r>
      <w:r>
        <w:rPr>
          <w:spacing w:val="-14"/>
        </w:rPr>
        <w:t> </w:t>
      </w:r>
      <w:r>
        <w:rPr>
          <w:spacing w:val="-14"/>
        </w:rPr>
      </w:r>
      <w:r>
        <w:rPr/>
        <w:t>降成本、增效率、保质量、全球化等关键词正成为行业探索生存之道的破题路径。</w:t>
      </w:r>
    </w:p>
    <w:p>
      <w:pPr>
        <w:pStyle w:val="BodyText"/>
        <w:spacing w:line="273" w:lineRule="auto" w:before="163"/>
        <w:ind w:left="178" w:right="148" w:firstLine="420"/>
        <w:jc w:val="both"/>
      </w:pPr>
      <w:r>
        <w:rPr>
          <w:spacing w:val="-2"/>
        </w:rPr>
        <w:t>对策：公司将进一步加强对国家宏观政策和产业发展趋势的跟踪，增强决策层对经济形势和政</w:t>
      </w:r>
      <w:r>
        <w:rPr>
          <w:w w:val="100"/>
        </w:rPr>
        <w:t> </w:t>
      </w:r>
      <w:r>
        <w:rPr>
          <w:spacing w:val="-2"/>
        </w:rPr>
        <w:t>策变化的预测和判断能力。根据全球光伏行业的发展，对是否进一步扩大产能、投资强度、盈利模</w:t>
      </w:r>
      <w:r>
        <w:rPr>
          <w:spacing w:val="-25"/>
        </w:rPr>
        <w:t> </w:t>
      </w:r>
      <w:r>
        <w:rPr>
          <w:spacing w:val="-25"/>
        </w:rPr>
      </w:r>
      <w:r>
        <w:rPr>
          <w:spacing w:val="-2"/>
        </w:rPr>
        <w:t>式和资金筹措等进行滚动规划调整，创新商业模式，促进公司持续、稳定、健康发展。公司将会持</w:t>
      </w:r>
      <w:r>
        <w:rPr>
          <w:spacing w:val="-25"/>
        </w:rPr>
        <w:t> </w:t>
      </w:r>
      <w:r>
        <w:rPr>
          <w:spacing w:val="-25"/>
        </w:rPr>
      </w:r>
      <w:r>
        <w:rPr>
          <w:spacing w:val="-2"/>
        </w:rPr>
        <w:t>续加强对核心产品的研发、升级、创新，增强核心竞争力，推动传统核心业务保持优势地位、新兴</w:t>
      </w:r>
      <w:r>
        <w:rPr>
          <w:spacing w:val="-25"/>
        </w:rPr>
        <w:t> </w:t>
      </w:r>
      <w:r>
        <w:rPr>
          <w:spacing w:val="-25"/>
        </w:rPr>
      </w:r>
      <w:r>
        <w:rPr/>
        <w:t>业务板块快速成长。</w:t>
      </w:r>
    </w:p>
    <w:p>
      <w:pPr>
        <w:pStyle w:val="BodyText"/>
        <w:spacing w:line="468" w:lineRule="exact" w:before="34"/>
        <w:ind w:left="598" w:right="0" w:firstLine="2"/>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市场竞争风险</w:t>
      </w:r>
      <w:r>
        <w:rPr>
          <w:rFonts w:ascii="宋体" w:hAnsi="宋体" w:cs="宋体" w:eastAsia="宋体" w:hint="default"/>
          <w:b/>
          <w:bCs/>
          <w:w w:val="100"/>
        </w:rPr>
        <w:t> </w:t>
      </w:r>
      <w:r>
        <w:rPr>
          <w:spacing w:val="-2"/>
        </w:rPr>
        <w:t>公司现阶段的主要产品为智能电能表、用电信息管理系统、终端产品、太阳能电池组件及综合</w:t>
      </w:r>
    </w:p>
    <w:p>
      <w:pPr>
        <w:pStyle w:val="BodyText"/>
        <w:spacing w:line="248" w:lineRule="exact"/>
        <w:ind w:left="178" w:right="0"/>
        <w:jc w:val="both"/>
      </w:pPr>
      <w:r>
        <w:rPr/>
        <w:t>能源服务。在智能板块产品中，市场竞争较为激烈，包括公司在内的几家规模化优势企业市场份额</w:t>
      </w:r>
    </w:p>
    <w:p>
      <w:pPr>
        <w:pStyle w:val="BodyText"/>
        <w:spacing w:line="273" w:lineRule="auto" w:before="37"/>
        <w:ind w:left="178" w:right="109"/>
        <w:jc w:val="both"/>
      </w:pPr>
      <w:r>
        <w:rPr>
          <w:spacing w:val="-2"/>
        </w:rPr>
        <w:t>在短期内相对较为稳定，公司进入电工仪器仪表行业的时间较早，经过近二十年的持续发展，在行</w:t>
      </w:r>
      <w:r>
        <w:rPr>
          <w:spacing w:val="-25"/>
        </w:rPr>
        <w:t> </w:t>
      </w:r>
      <w:r>
        <w:rPr>
          <w:spacing w:val="-25"/>
        </w:rPr>
      </w:r>
      <w:r>
        <w:rPr>
          <w:spacing w:val="-2"/>
        </w:rPr>
        <w:t>业竞争中建立了独特的竞争优势。未来，电能表、用电信息管理系统及终端产品将呈现加速智能化</w:t>
      </w:r>
      <w:r>
        <w:rPr>
          <w:spacing w:val="-25"/>
        </w:rPr>
        <w:t> </w:t>
      </w:r>
      <w:r>
        <w:rPr>
          <w:spacing w:val="-25"/>
        </w:rPr>
      </w:r>
      <w:r>
        <w:rPr>
          <w:spacing w:val="-6"/>
        </w:rPr>
        <w:t>发展趋势，如果公司在产品技术升级、营销网络构建、销售策略选择等方面不能及时适应市场变化，</w:t>
      </w:r>
      <w:r>
        <w:rPr>
          <w:spacing w:val="-18"/>
        </w:rPr>
        <w:t> </w:t>
      </w:r>
      <w:r>
        <w:rPr>
          <w:spacing w:val="-18"/>
        </w:rPr>
      </w:r>
      <w:r>
        <w:rPr/>
        <w:t>公司面临的市场竞争风险将会加大，可能导致公司丧失市场优势地位及市场占有率下降。</w:t>
      </w:r>
    </w:p>
    <w:p>
      <w:pPr>
        <w:spacing w:after="0" w:line="273" w:lineRule="auto"/>
        <w:jc w:val="both"/>
        <w:sectPr>
          <w:footerReference w:type="default" r:id="rId24"/>
          <w:pgSz w:w="11910" w:h="16840"/>
          <w:pgMar w:footer="974" w:header="728" w:top="1120" w:bottom="1160" w:left="1240" w:right="1300"/>
        </w:sectPr>
      </w:pPr>
    </w:p>
    <w:p>
      <w:pPr>
        <w:spacing w:line="240" w:lineRule="auto" w:before="10"/>
        <w:rPr>
          <w:rFonts w:ascii="宋体" w:hAnsi="宋体" w:cs="宋体" w:eastAsia="宋体" w:hint="default"/>
          <w:sz w:val="26"/>
          <w:szCs w:val="26"/>
        </w:rPr>
      </w:pPr>
    </w:p>
    <w:p>
      <w:pPr>
        <w:pStyle w:val="BodyText"/>
        <w:spacing w:line="273" w:lineRule="auto" w:before="36"/>
        <w:ind w:left="178" w:right="148" w:firstLine="420"/>
        <w:jc w:val="both"/>
      </w:pPr>
      <w:r>
        <w:rPr>
          <w:spacing w:val="-2"/>
        </w:rPr>
        <w:t>对策：公司将持续以市场为导向，加大细分市场营销力度，不断拓展营销思路和渠道，创新产</w:t>
      </w:r>
      <w:r>
        <w:rPr>
          <w:w w:val="100"/>
        </w:rPr>
        <w:t> </w:t>
      </w:r>
      <w:r>
        <w:rPr>
          <w:spacing w:val="-2"/>
        </w:rPr>
        <w:t>品营销模式，充分利用已经建立的营销渠道、品牌优势等，在巩固国内业务的同时，积极开拓国际</w:t>
      </w:r>
      <w:r>
        <w:rPr>
          <w:spacing w:val="-25"/>
        </w:rPr>
        <w:t> </w:t>
      </w:r>
      <w:r>
        <w:rPr>
          <w:spacing w:val="-25"/>
        </w:rPr>
      </w:r>
      <w:r>
        <w:rPr/>
        <w:t>市场，全面提升国际业务及新产品的销售比例。</w:t>
      </w:r>
    </w:p>
    <w:p>
      <w:pPr>
        <w:pStyle w:val="BodyText"/>
        <w:spacing w:line="468" w:lineRule="exact" w:before="34"/>
        <w:ind w:left="598" w:right="0" w:firstLine="2"/>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技术革新风险</w:t>
      </w:r>
      <w:r>
        <w:rPr>
          <w:rFonts w:ascii="宋体" w:hAnsi="宋体" w:cs="宋体" w:eastAsia="宋体" w:hint="default"/>
          <w:b/>
          <w:bCs/>
          <w:w w:val="100"/>
        </w:rPr>
        <w:t> </w:t>
      </w:r>
      <w:r>
        <w:rPr>
          <w:spacing w:val="-2"/>
        </w:rPr>
        <w:t>领跑者基地招标和光伏新政推动了平价上网进程，在倒逼光伏上游降价的同时，市场对双面高</w:t>
      </w:r>
    </w:p>
    <w:p>
      <w:pPr>
        <w:pStyle w:val="BodyText"/>
        <w:spacing w:line="248" w:lineRule="exact"/>
        <w:ind w:left="178" w:right="0"/>
        <w:jc w:val="left"/>
      </w:pPr>
      <w:r>
        <w:rPr/>
        <w:t>效产品的需求也在不断增加。双面工艺是高效产品发展的趋势，不少企业选择在原先技术上额外搭</w:t>
      </w:r>
    </w:p>
    <w:p>
      <w:pPr>
        <w:pStyle w:val="BodyText"/>
        <w:spacing w:line="273" w:lineRule="auto" w:before="37"/>
        <w:ind w:left="178" w:right="0"/>
        <w:jc w:val="left"/>
      </w:pPr>
      <w:r>
        <w:rPr>
          <w:spacing w:val="-2"/>
        </w:rPr>
        <w:t>配双面制程提升效率。随着技术的持续进步，新的技术线路可能带来更高效、更低成本的电池组件</w:t>
      </w:r>
      <w:r>
        <w:rPr>
          <w:spacing w:val="-25"/>
        </w:rPr>
        <w:t> </w:t>
      </w:r>
      <w:r>
        <w:rPr>
          <w:spacing w:val="-25"/>
        </w:rPr>
      </w:r>
      <w:r>
        <w:rPr/>
        <w:t>产品，对公司市场拓展和利润构成压力。</w:t>
      </w:r>
    </w:p>
    <w:p>
      <w:pPr>
        <w:pStyle w:val="BodyText"/>
        <w:spacing w:line="273" w:lineRule="auto" w:before="163"/>
        <w:ind w:left="178" w:right="147" w:firstLine="420"/>
        <w:jc w:val="both"/>
      </w:pPr>
      <w:r>
        <w:rPr>
          <w:spacing w:val="-2"/>
        </w:rPr>
        <w:t>对策：公司将密切关注客户需求及行业内最新技术应用和市场、技术发展趋势，尤其是双面电</w:t>
      </w:r>
      <w:r>
        <w:rPr>
          <w:w w:val="100"/>
        </w:rPr>
        <w:t> </w:t>
      </w:r>
      <w:r>
        <w:rPr>
          <w:spacing w:val="-2"/>
        </w:rPr>
        <w:t>池和组件的新工艺、新材料、叠加的新技术等；继续加强与科研院所、高校的合作，加大对海内外</w:t>
      </w:r>
      <w:r>
        <w:rPr>
          <w:spacing w:val="-25"/>
        </w:rPr>
        <w:t> </w:t>
      </w:r>
      <w:r>
        <w:rPr>
          <w:spacing w:val="-25"/>
        </w:rPr>
      </w:r>
      <w:r>
        <w:rPr>
          <w:spacing w:val="-2"/>
        </w:rPr>
        <w:t>技术人才的引进和培养。公司将继续提升电池的研发效率并导入生产，使公司在市场竞争中具备更</w:t>
      </w:r>
      <w:r>
        <w:rPr>
          <w:spacing w:val="-25"/>
        </w:rPr>
        <w:t> </w:t>
      </w:r>
      <w:r>
        <w:rPr>
          <w:spacing w:val="-25"/>
        </w:rPr>
      </w:r>
      <w:r>
        <w:rPr>
          <w:spacing w:val="-2"/>
        </w:rPr>
        <w:t>强的技术和成本优势，打造企业核心竞争力；加强系统集成技术的研发创新力度，积极完成技术成</w:t>
      </w:r>
      <w:r>
        <w:rPr>
          <w:spacing w:val="-25"/>
        </w:rPr>
        <w:t> </w:t>
      </w:r>
      <w:r>
        <w:rPr>
          <w:spacing w:val="-25"/>
        </w:rPr>
      </w:r>
      <w:r>
        <w:rPr/>
        <w:t>果转化，进一步优化电站工程设计解决方案，不断降低电站度电成本，展示</w:t>
      </w:r>
      <w:r>
        <w:rPr>
          <w:spacing w:val="-58"/>
        </w:rPr>
        <w:t> </w:t>
      </w:r>
      <w:r>
        <w:rPr>
          <w:rFonts w:ascii="宋体" w:hAnsi="宋体" w:cs="宋体" w:eastAsia="宋体" w:hint="default"/>
        </w:rPr>
        <w:t>N</w:t>
      </w:r>
      <w:r>
        <w:rPr>
          <w:rFonts w:ascii="宋体" w:hAnsi="宋体" w:cs="宋体" w:eastAsia="宋体" w:hint="default"/>
          <w:spacing w:val="-56"/>
        </w:rPr>
        <w:t> </w:t>
      </w:r>
      <w:r>
        <w:rPr/>
        <w:t>型双面产品的系统优</w:t>
      </w:r>
      <w:r>
        <w:rPr>
          <w:w w:val="100"/>
        </w:rPr>
        <w:t> </w:t>
      </w:r>
      <w:r>
        <w:rPr/>
        <w:t>势。</w:t>
      </w:r>
    </w:p>
    <w:p>
      <w:pPr>
        <w:spacing w:line="468" w:lineRule="exact" w:before="34"/>
        <w:ind w:left="59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海外项目经营风险</w:t>
      </w:r>
      <w:r>
        <w:rPr>
          <w:rFonts w:ascii="宋体" w:hAnsi="宋体" w:cs="宋体" w:eastAsia="宋体" w:hint="default"/>
          <w:b/>
          <w:bCs/>
          <w:w w:val="100"/>
          <w:sz w:val="21"/>
          <w:szCs w:val="21"/>
        </w:rPr>
        <w:t> </w:t>
      </w:r>
      <w:r>
        <w:rPr>
          <w:rFonts w:ascii="宋体" w:hAnsi="宋体" w:cs="宋体" w:eastAsia="宋体" w:hint="default"/>
          <w:spacing w:val="-2"/>
          <w:sz w:val="21"/>
          <w:szCs w:val="21"/>
        </w:rPr>
        <w:t>海外市场随着国内众多表厂国际化业务拓展以及参与程度的提高，价格竞争趋向激烈，价格敏</w:t>
      </w:r>
    </w:p>
    <w:p>
      <w:pPr>
        <w:pStyle w:val="BodyText"/>
        <w:spacing w:line="248" w:lineRule="exact"/>
        <w:ind w:left="178" w:right="0"/>
        <w:jc w:val="left"/>
      </w:pPr>
      <w:r>
        <w:rPr/>
        <w:t>感市场项目成功率低。同时，海外客户需求复杂度高，研发投入较大，对项目把握度和成功率提出</w:t>
      </w:r>
    </w:p>
    <w:p>
      <w:pPr>
        <w:pStyle w:val="BodyText"/>
        <w:spacing w:line="273" w:lineRule="auto" w:before="37"/>
        <w:ind w:left="178" w:right="0"/>
        <w:jc w:val="left"/>
      </w:pPr>
      <w:r>
        <w:rPr>
          <w:spacing w:val="-2"/>
        </w:rPr>
        <w:t>了更高要求。在海外市场拓展中，同样会面临所在国政治、汇率以及收款风险等诸多因素，对项目</w:t>
      </w:r>
      <w:r>
        <w:rPr>
          <w:spacing w:val="-26"/>
        </w:rPr>
        <w:t> </w:t>
      </w:r>
      <w:r>
        <w:rPr>
          <w:spacing w:val="-26"/>
        </w:rPr>
      </w:r>
      <w:r>
        <w:rPr/>
        <w:t>风险管控提出了极大挑战。</w:t>
      </w:r>
    </w:p>
    <w:p>
      <w:pPr>
        <w:pStyle w:val="BodyText"/>
        <w:spacing w:line="273" w:lineRule="auto" w:before="163"/>
        <w:ind w:left="178" w:right="148" w:firstLine="420"/>
        <w:jc w:val="both"/>
      </w:pPr>
      <w:r>
        <w:rPr>
          <w:spacing w:val="-2"/>
        </w:rPr>
        <w:t>对策：加强海外市场前期的调研工作，明确公司海外市场战略定位，提升公司产品策略和客户</w:t>
      </w:r>
      <w:r>
        <w:rPr>
          <w:w w:val="100"/>
        </w:rPr>
        <w:t> </w:t>
      </w:r>
      <w:r>
        <w:rPr>
          <w:spacing w:val="-2"/>
        </w:rPr>
        <w:t>需求的匹配度，不断拓展营销思路和渠道，创新产品营销模式，充分利用已经建立的营销渠道、品</w:t>
      </w:r>
      <w:r>
        <w:rPr>
          <w:spacing w:val="-25"/>
        </w:rPr>
        <w:t> </w:t>
      </w:r>
      <w:r>
        <w:rPr>
          <w:spacing w:val="-25"/>
        </w:rPr>
      </w:r>
      <w:r>
        <w:rPr>
          <w:spacing w:val="-2"/>
        </w:rPr>
        <w:t>牌等优势，积极开拓国际市场，全面提升国际业务及新产品的销售比例。在项目管理上，强调规范</w:t>
      </w:r>
      <w:r>
        <w:rPr>
          <w:spacing w:val="-25"/>
        </w:rPr>
        <w:t> </w:t>
      </w:r>
      <w:r>
        <w:rPr>
          <w:spacing w:val="-25"/>
        </w:rPr>
      </w:r>
      <w:r>
        <w:rPr/>
        <w:t>化运作和风险管控意识，全力降本，增强运营效率。</w:t>
      </w:r>
    </w:p>
    <w:p>
      <w:pPr>
        <w:spacing w:line="468" w:lineRule="exact" w:before="34"/>
        <w:ind w:left="59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高端专业化人才缺乏风险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随着公司“智能、节能、新能源”三大战略规划的全面推进，公司新业务领域的拓展和新建设</w:t>
      </w:r>
    </w:p>
    <w:p>
      <w:pPr>
        <w:pStyle w:val="BodyText"/>
        <w:spacing w:line="248" w:lineRule="exact"/>
        <w:ind w:left="178" w:right="0"/>
        <w:jc w:val="left"/>
      </w:pPr>
      <w:r>
        <w:rPr/>
        <w:t>项目的投入，公司将需要更多的高素质的专业化人才，能否吸引并留住足够的人才，对公司的进一</w:t>
      </w:r>
    </w:p>
    <w:p>
      <w:pPr>
        <w:pStyle w:val="BodyText"/>
        <w:spacing w:line="240" w:lineRule="auto" w:before="37"/>
        <w:ind w:left="178" w:right="0"/>
        <w:jc w:val="left"/>
      </w:pPr>
      <w:r>
        <w:rPr/>
        <w:t>步发展至关重要。公司可能存在管理人才和专业人才储备与公司发展需求不能很好匹配的风险。</w:t>
      </w:r>
    </w:p>
    <w:p>
      <w:pPr>
        <w:spacing w:line="240" w:lineRule="auto" w:before="11"/>
        <w:rPr>
          <w:rFonts w:ascii="宋体" w:hAnsi="宋体" w:cs="宋体" w:eastAsia="宋体" w:hint="default"/>
          <w:sz w:val="14"/>
          <w:szCs w:val="14"/>
        </w:rPr>
      </w:pPr>
    </w:p>
    <w:p>
      <w:pPr>
        <w:pStyle w:val="BodyText"/>
        <w:spacing w:line="273" w:lineRule="auto"/>
        <w:ind w:left="178" w:right="148" w:firstLine="420"/>
        <w:jc w:val="both"/>
      </w:pPr>
      <w:r>
        <w:rPr>
          <w:spacing w:val="-2"/>
        </w:rPr>
        <w:t>对策：根据公司的发展战略，制定出一套切实可行的薪酬管理制度和员工绩效考核管理办法。</w:t>
      </w:r>
      <w:r>
        <w:rPr>
          <w:w w:val="100"/>
        </w:rPr>
        <w:t> </w:t>
      </w:r>
      <w:r>
        <w:rPr>
          <w:spacing w:val="-2"/>
        </w:rPr>
        <w:t>目前公司已经完成了第一期股权激励计划，第二期股权激励计划也正在实施期中，股权激励计划的</w:t>
      </w:r>
      <w:r>
        <w:rPr>
          <w:spacing w:val="-25"/>
        </w:rPr>
        <w:t> </w:t>
      </w:r>
      <w:r>
        <w:rPr>
          <w:spacing w:val="-25"/>
        </w:rPr>
      </w:r>
      <w:r>
        <w:rPr>
          <w:spacing w:val="-2"/>
        </w:rPr>
        <w:t>实施在引人、育人、留人方面起到了很好的效果。为促进公司健康稳定长远发展，提高员工的凝聚</w:t>
      </w:r>
      <w:r>
        <w:rPr>
          <w:spacing w:val="-25"/>
        </w:rPr>
        <w:t> </w:t>
      </w:r>
      <w:r>
        <w:rPr>
          <w:spacing w:val="-25"/>
        </w:rPr>
      </w:r>
      <w:r>
        <w:rPr/>
        <w:t>力和公司竞争力，</w:t>
      </w:r>
      <w:r>
        <w:rPr>
          <w:rFonts w:ascii="宋体" w:hAnsi="宋体" w:cs="宋体" w:eastAsia="宋体" w:hint="default"/>
        </w:rPr>
        <w:t>2018</w:t>
      </w:r>
      <w:r>
        <w:rPr>
          <w:rFonts w:ascii="宋体" w:hAnsi="宋体" w:cs="宋体" w:eastAsia="宋体" w:hint="default"/>
          <w:spacing w:val="-57"/>
        </w:rPr>
        <w:t> </w:t>
      </w:r>
      <w:r>
        <w:rPr/>
        <w:t>年公司推出了回购股份计划，已于</w:t>
      </w:r>
      <w:r>
        <w:rPr>
          <w:spacing w:val="-54"/>
        </w:rPr>
        <w:t> </w:t>
      </w:r>
      <w:r>
        <w:rPr>
          <w:rFonts w:ascii="宋体" w:hAnsi="宋体" w:cs="宋体" w:eastAsia="宋体" w:hint="default"/>
        </w:rPr>
        <w:t>2019</w:t>
      </w:r>
      <w:r>
        <w:rPr>
          <w:rFonts w:ascii="宋体" w:hAnsi="宋体" w:cs="宋体" w:eastAsia="宋体" w:hint="default"/>
          <w:spacing w:val="-55"/>
        </w:rPr>
        <w:t> </w:t>
      </w:r>
      <w:r>
        <w:rPr/>
        <w:t>年初实施完成，后续该部分股份将</w:t>
      </w:r>
      <w:r>
        <w:rPr>
          <w:w w:val="100"/>
        </w:rPr>
        <w:t> </w:t>
      </w:r>
      <w:r>
        <w:rPr>
          <w:spacing w:val="-2"/>
        </w:rPr>
        <w:t>用于员工持股计划，也能更好的促使公司经营目标的完成。公司将根据未来业务发展需要，不断完</w:t>
      </w:r>
      <w:r>
        <w:rPr>
          <w:spacing w:val="-25"/>
        </w:rPr>
        <w:t> </w:t>
      </w:r>
      <w:r>
        <w:rPr>
          <w:spacing w:val="-25"/>
        </w:rPr>
      </w:r>
      <w:r>
        <w:rPr>
          <w:spacing w:val="-2"/>
        </w:rPr>
        <w:t>善人力资源管理体系的招聘管理和绩效管理，招募合适的优秀人才加盟公司，实现企业与员工的共</w:t>
      </w:r>
      <w:r>
        <w:rPr>
          <w:spacing w:val="-25"/>
        </w:rPr>
        <w:t> </w:t>
      </w:r>
      <w:r>
        <w:rPr>
          <w:spacing w:val="-25"/>
        </w:rPr>
      </w:r>
      <w:r>
        <w:rPr/>
        <w:t>同发展。</w:t>
      </w:r>
    </w:p>
    <w:p>
      <w:pPr>
        <w:spacing w:line="240" w:lineRule="auto" w:before="0"/>
        <w:rPr>
          <w:rFonts w:ascii="宋体" w:hAnsi="宋体" w:cs="宋体" w:eastAsia="宋体" w:hint="default"/>
          <w:sz w:val="29"/>
          <w:szCs w:val="29"/>
        </w:rPr>
      </w:pPr>
    </w:p>
    <w:p>
      <w:pPr>
        <w:pStyle w:val="Heading2"/>
        <w:tabs>
          <w:tab w:pos="1018" w:val="left" w:leader="none"/>
        </w:tabs>
        <w:spacing w:line="240" w:lineRule="auto" w:before="0"/>
        <w:ind w:left="178" w:right="1815"/>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pStyle w:val="BodyText"/>
        <w:tabs>
          <w:tab w:pos="1021" w:val="left" w:leader="none"/>
        </w:tabs>
        <w:spacing w:line="240" w:lineRule="auto" w:before="97"/>
        <w:ind w:left="178" w:right="1815"/>
        <w:jc w:val="left"/>
      </w:pPr>
      <w:r>
        <w:rPr/>
        <w:t>□适用</w:t>
        <w:tab/>
        <w:t>√不适用</w:t>
      </w:r>
    </w:p>
    <w:p>
      <w:pPr>
        <w:spacing w:after="0" w:line="240" w:lineRule="auto"/>
        <w:jc w:val="left"/>
        <w:sectPr>
          <w:footerReference w:type="default" r:id="rId25"/>
          <w:pgSz w:w="11910" w:h="16840"/>
          <w:pgMar w:footer="974" w:header="728" w:top="1120" w:bottom="1160" w:left="1240" w:right="1300"/>
          <w:pgNumType w:start="41"/>
        </w:sectPr>
      </w:pPr>
    </w:p>
    <w:p>
      <w:pPr>
        <w:spacing w:line="240" w:lineRule="auto" w:before="10"/>
        <w:rPr>
          <w:rFonts w:ascii="宋体" w:hAnsi="宋体" w:cs="宋体" w:eastAsia="宋体" w:hint="default"/>
          <w:sz w:val="26"/>
          <w:szCs w:val="26"/>
        </w:rPr>
      </w:pPr>
    </w:p>
    <w:p>
      <w:pPr>
        <w:pStyle w:val="Heading2"/>
        <w:spacing w:line="240" w:lineRule="auto"/>
        <w:ind w:left="178" w:right="0"/>
        <w:jc w:val="left"/>
        <w:rPr>
          <w:b w:val="0"/>
          <w:bCs w:val="0"/>
        </w:rPr>
      </w:pPr>
      <w:r>
        <w:rPr/>
        <w:t>四、公司因不适用准则规定或国家秘密、商业秘密等特殊原因，未按准则披露的情况和原因说明</w:t>
      </w:r>
      <w:r>
        <w:rPr>
          <w:b w:val="0"/>
          <w:bCs w:val="0"/>
        </w:rPr>
      </w:r>
    </w:p>
    <w:p>
      <w:pPr>
        <w:pStyle w:val="BodyText"/>
        <w:tabs>
          <w:tab w:pos="1021" w:val="left" w:leader="none"/>
        </w:tabs>
        <w:spacing w:line="240" w:lineRule="auto" w:before="97"/>
        <w:ind w:left="178" w:right="1815"/>
        <w:jc w:val="left"/>
      </w:pPr>
      <w:r>
        <w:rPr/>
        <w:t>□适用</w:t>
        <w:tab/>
        <w:t>√不适用</w:t>
      </w:r>
    </w:p>
    <w:p>
      <w:pPr>
        <w:spacing w:after="0" w:line="240" w:lineRule="auto"/>
        <w:jc w:val="left"/>
        <w:sectPr>
          <w:pgSz w:w="11910" w:h="16840"/>
          <w:pgMar w:header="728" w:footer="974" w:top="1120" w:bottom="1160" w:left="124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1259" w:val="left" w:leader="none"/>
        </w:tabs>
        <w:spacing w:line="240" w:lineRule="auto"/>
        <w:ind w:right="18"/>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right="226"/>
        <w:jc w:val="left"/>
        <w:rPr>
          <w:b w:val="0"/>
          <w:bCs w:val="0"/>
        </w:rPr>
      </w:pPr>
      <w:r>
        <w:rPr/>
        <w:t>一、普通股利润分配或资本公积金转增预案</w:t>
      </w:r>
      <w:r>
        <w:rPr>
          <w:b w:val="0"/>
          <w:bCs w:val="0"/>
        </w:rPr>
      </w:r>
    </w:p>
    <w:p>
      <w:pPr>
        <w:pStyle w:val="Heading2"/>
        <w:spacing w:line="240" w:lineRule="auto" w:before="97"/>
        <w:ind w:right="22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1" w:val="left" w:leader="none"/>
        </w:tabs>
        <w:spacing w:line="273" w:lineRule="auto" w:before="70"/>
        <w:ind w:left="638" w:right="271" w:hanging="420"/>
        <w:jc w:val="left"/>
      </w:pPr>
      <w:r>
        <w:rPr/>
        <w:t>√适用</w:t>
        <w:tab/>
        <w:t>□不适用</w:t>
      </w:r>
      <w:r>
        <w:rPr>
          <w:w w:val="100"/>
        </w:rPr>
        <w:t> </w:t>
      </w:r>
      <w:r>
        <w:rPr>
          <w:spacing w:val="-2"/>
        </w:rPr>
        <w:t>根据中国证券监督管理委员会（以下简称</w:t>
      </w:r>
      <w:r>
        <w:rPr>
          <w:rFonts w:ascii="宋体" w:hAnsi="宋体" w:cs="宋体" w:eastAsia="宋体" w:hint="default"/>
          <w:spacing w:val="-2"/>
        </w:rPr>
        <w:t>"</w:t>
      </w:r>
      <w:r>
        <w:rPr>
          <w:spacing w:val="-2"/>
        </w:rPr>
        <w:t>中国证监会</w:t>
      </w:r>
      <w:r>
        <w:rPr>
          <w:rFonts w:ascii="宋体" w:hAnsi="宋体" w:cs="宋体" w:eastAsia="宋体" w:hint="default"/>
          <w:spacing w:val="-2"/>
        </w:rPr>
        <w:t>"</w:t>
      </w:r>
      <w:r>
        <w:rPr>
          <w:spacing w:val="-2"/>
        </w:rPr>
        <w:t>）《关于进一步落实上市公司现金分红</w:t>
      </w:r>
    </w:p>
    <w:p>
      <w:pPr>
        <w:pStyle w:val="BodyText"/>
        <w:spacing w:line="273" w:lineRule="auto" w:before="7"/>
        <w:ind w:right="128"/>
        <w:jc w:val="left"/>
      </w:pPr>
      <w:r>
        <w:rPr>
          <w:spacing w:val="-5"/>
        </w:rPr>
        <w:t>有关事项的通知》（证监发</w:t>
      </w:r>
      <w:r>
        <w:rPr>
          <w:rFonts w:ascii="宋体" w:hAnsi="宋体" w:cs="宋体" w:eastAsia="宋体" w:hint="default"/>
          <w:spacing w:val="-5"/>
        </w:rPr>
        <w:t>[2012]37</w:t>
      </w:r>
      <w:r>
        <w:rPr>
          <w:rFonts w:ascii="宋体" w:hAnsi="宋体" w:cs="宋体" w:eastAsia="宋体" w:hint="default"/>
          <w:spacing w:val="-44"/>
        </w:rPr>
        <w:t> </w:t>
      </w:r>
      <w:r>
        <w:rPr>
          <w:spacing w:val="-7"/>
        </w:rPr>
        <w:t>号）和《上市公司监管指引第</w:t>
      </w:r>
      <w:r>
        <w:rPr>
          <w:spacing w:val="-42"/>
        </w:rPr>
        <w:t> </w:t>
      </w:r>
      <w:r>
        <w:rPr>
          <w:rFonts w:ascii="宋体" w:hAnsi="宋体" w:cs="宋体" w:eastAsia="宋体" w:hint="default"/>
        </w:rPr>
        <w:t>3</w:t>
      </w:r>
      <w:r>
        <w:rPr>
          <w:rFonts w:ascii="宋体" w:hAnsi="宋体" w:cs="宋体" w:eastAsia="宋体" w:hint="default"/>
          <w:spacing w:val="-44"/>
        </w:rPr>
        <w:t> </w:t>
      </w:r>
      <w:r>
        <w:rPr>
          <w:spacing w:val="-7"/>
        </w:rPr>
        <w:t>号——上市公司现金分红》（证</w:t>
      </w:r>
      <w:r>
        <w:rPr>
          <w:spacing w:val="-78"/>
        </w:rPr>
        <w:t> </w:t>
      </w:r>
      <w:r>
        <w:rPr>
          <w:spacing w:val="-78"/>
        </w:rPr>
      </w:r>
      <w:r>
        <w:rPr/>
        <w:t>监会公告（</w:t>
      </w:r>
      <w:r>
        <w:rPr>
          <w:rFonts w:ascii="宋体" w:hAnsi="宋体" w:cs="宋体" w:eastAsia="宋体" w:hint="default"/>
        </w:rPr>
        <w:t>2013</w:t>
      </w:r>
      <w:r>
        <w:rPr/>
        <w:t>）</w:t>
      </w:r>
      <w:r>
        <w:rPr>
          <w:rFonts w:ascii="宋体" w:hAnsi="宋体" w:cs="宋体" w:eastAsia="宋体" w:hint="default"/>
        </w:rPr>
        <w:t>43</w:t>
      </w:r>
      <w:r>
        <w:rPr>
          <w:rFonts w:ascii="宋体" w:hAnsi="宋体" w:cs="宋体" w:eastAsia="宋体" w:hint="default"/>
          <w:spacing w:val="-55"/>
        </w:rPr>
        <w:t> </w:t>
      </w:r>
      <w:r>
        <w:rPr/>
        <w:t>号）、中国证券监督管理委员会江苏监管局《关于认真贯彻落实</w:t>
      </w:r>
      <w:r>
        <w:rPr>
          <w:rFonts w:ascii="宋体" w:hAnsi="宋体" w:cs="宋体" w:eastAsia="宋体" w:hint="default"/>
        </w:rPr>
        <w:t>&lt;</w:t>
      </w:r>
      <w:r>
        <w:rPr/>
        <w:t>关于进一步</w:t>
      </w:r>
      <w:r>
        <w:rPr>
          <w:w w:val="100"/>
        </w:rPr>
        <w:t> </w:t>
      </w:r>
      <w:r>
        <w:rPr/>
        <w:t>落实上市公司现金分红事项的通知</w:t>
      </w:r>
      <w:r>
        <w:rPr>
          <w:rFonts w:ascii="宋体" w:hAnsi="宋体" w:cs="宋体" w:eastAsia="宋体" w:hint="default"/>
        </w:rPr>
        <w:t>&gt;</w:t>
      </w:r>
      <w:r>
        <w:rPr/>
        <w:t>有关要求的通知》（苏证局公司字</w:t>
      </w:r>
      <w:r>
        <w:rPr>
          <w:rFonts w:ascii="宋体" w:hAnsi="宋体" w:cs="宋体" w:eastAsia="宋体" w:hint="default"/>
        </w:rPr>
        <w:t>[2012]276</w:t>
      </w:r>
      <w:r>
        <w:rPr>
          <w:rFonts w:ascii="宋体" w:hAnsi="宋体" w:cs="宋体" w:eastAsia="宋体" w:hint="default"/>
          <w:spacing w:val="-54"/>
        </w:rPr>
        <w:t> </w:t>
      </w:r>
      <w:r>
        <w:rPr>
          <w:spacing w:val="-3"/>
        </w:rPr>
        <w:t>号）、《上海证券</w:t>
      </w:r>
      <w:r>
        <w:rPr>
          <w:w w:val="100"/>
        </w:rPr>
        <w:t> </w:t>
      </w:r>
      <w:r>
        <w:rPr>
          <w:spacing w:val="-3"/>
        </w:rPr>
        <w:t>交易所上市公司现金分红指引》以及上海证券交易所《关于修订</w:t>
      </w:r>
      <w:r>
        <w:rPr>
          <w:rFonts w:ascii="宋体" w:hAnsi="宋体" w:cs="宋体" w:eastAsia="宋体" w:hint="default"/>
          <w:spacing w:val="-3"/>
        </w:rPr>
        <w:t>&lt;</w:t>
      </w:r>
      <w:r>
        <w:rPr>
          <w:spacing w:val="-3"/>
        </w:rPr>
        <w:t>上市公司定期报告工作备忘录第七</w:t>
      </w:r>
      <w:r>
        <w:rPr>
          <w:spacing w:val="-46"/>
        </w:rPr>
        <w:t> </w:t>
      </w:r>
      <w:r>
        <w:rPr>
          <w:spacing w:val="-46"/>
        </w:rPr>
      </w:r>
      <w:r>
        <w:rPr/>
        <w:t>号</w:t>
      </w:r>
      <w:r>
        <w:rPr>
          <w:rFonts w:ascii="宋体" w:hAnsi="宋体" w:cs="宋体" w:eastAsia="宋体" w:hint="default"/>
        </w:rPr>
        <w:t>&gt;</w:t>
      </w:r>
      <w:r>
        <w:rPr/>
        <w:t>的通知》（上证函（</w:t>
      </w:r>
      <w:r>
        <w:rPr>
          <w:rFonts w:ascii="宋体" w:hAnsi="宋体" w:cs="宋体" w:eastAsia="宋体" w:hint="default"/>
        </w:rPr>
        <w:t>2014</w:t>
      </w:r>
      <w:r>
        <w:rPr/>
        <w:t>）</w:t>
      </w:r>
      <w:r>
        <w:rPr>
          <w:rFonts w:ascii="宋体" w:hAnsi="宋体" w:cs="宋体" w:eastAsia="宋体" w:hint="default"/>
        </w:rPr>
        <w:t>17</w:t>
      </w:r>
      <w:r>
        <w:rPr>
          <w:rFonts w:ascii="宋体" w:hAnsi="宋体" w:cs="宋体" w:eastAsia="宋体" w:hint="default"/>
          <w:spacing w:val="-55"/>
        </w:rPr>
        <w:t> </w:t>
      </w:r>
      <w:r>
        <w:rPr/>
        <w:t>号）中“关于年报工作中与现金分红相关的注意事项”相关文件</w:t>
      </w:r>
      <w:r>
        <w:rPr>
          <w:w w:val="100"/>
        </w:rPr>
        <w:t> </w:t>
      </w:r>
      <w:r>
        <w:rPr/>
        <w:t>要求，结合公司实际情况，公司对《公司章程》中有关利润分配政策的相关条款进行了修订，进一</w:t>
      </w:r>
      <w:r>
        <w:rPr>
          <w:w w:val="100"/>
        </w:rPr>
        <w:t> </w:t>
      </w:r>
      <w:r>
        <w:rPr/>
        <w:t>步完善了利润分配的决策程序和机制。公司于</w:t>
      </w:r>
      <w:r>
        <w:rPr>
          <w:spacing w:val="-47"/>
        </w:rPr>
        <w:t> </w:t>
      </w:r>
      <w:r>
        <w:rPr>
          <w:rFonts w:ascii="宋体" w:hAnsi="宋体" w:cs="宋体" w:eastAsia="宋体" w:hint="default"/>
        </w:rPr>
        <w:t>2014</w:t>
      </w:r>
      <w:r>
        <w:rPr>
          <w:rFonts w:ascii="宋体" w:hAnsi="宋体" w:cs="宋体" w:eastAsia="宋体" w:hint="default"/>
          <w:spacing w:val="-50"/>
        </w:rPr>
        <w:t> </w:t>
      </w:r>
      <w:r>
        <w:rPr/>
        <w:t>年</w:t>
      </w:r>
      <w:r>
        <w:rPr>
          <w:spacing w:val="-46"/>
        </w:rPr>
        <w:t> </w:t>
      </w:r>
      <w:r>
        <w:rPr>
          <w:rFonts w:ascii="宋体" w:hAnsi="宋体" w:cs="宋体" w:eastAsia="宋体" w:hint="default"/>
        </w:rPr>
        <w:t>10</w:t>
      </w:r>
      <w:r>
        <w:rPr>
          <w:rFonts w:ascii="宋体" w:hAnsi="宋体" w:cs="宋体" w:eastAsia="宋体" w:hint="default"/>
          <w:spacing w:val="-50"/>
        </w:rPr>
        <w:t> </w:t>
      </w:r>
      <w:r>
        <w:rPr/>
        <w:t>月</w:t>
      </w:r>
      <w:r>
        <w:rPr>
          <w:spacing w:val="-47"/>
        </w:rPr>
        <w:t> </w:t>
      </w:r>
      <w:r>
        <w:rPr>
          <w:rFonts w:ascii="宋体" w:hAnsi="宋体" w:cs="宋体" w:eastAsia="宋体" w:hint="default"/>
        </w:rPr>
        <w:t>10</w:t>
      </w:r>
      <w:r>
        <w:rPr>
          <w:rFonts w:ascii="宋体" w:hAnsi="宋体" w:cs="宋体" w:eastAsia="宋体" w:hint="default"/>
          <w:spacing w:val="-50"/>
        </w:rPr>
        <w:t> </w:t>
      </w:r>
      <w:r>
        <w:rPr/>
        <w:t>日召开第二届董事会第十八次会议，</w:t>
      </w:r>
    </w:p>
    <w:p>
      <w:pPr>
        <w:pStyle w:val="BodyText"/>
        <w:spacing w:line="240" w:lineRule="auto" w:before="7"/>
        <w:ind w:right="226"/>
        <w:jc w:val="left"/>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日召开</w:t>
      </w:r>
      <w:r>
        <w:rPr>
          <w:spacing w:val="-53"/>
        </w:rPr>
        <w:t> </w:t>
      </w:r>
      <w:r>
        <w:rPr>
          <w:rFonts w:ascii="宋体" w:hAnsi="宋体" w:cs="宋体" w:eastAsia="宋体" w:hint="default"/>
        </w:rPr>
        <w:t>2014</w:t>
      </w:r>
      <w:r>
        <w:rPr>
          <w:rFonts w:ascii="宋体" w:hAnsi="宋体" w:cs="宋体" w:eastAsia="宋体" w:hint="default"/>
          <w:spacing w:val="-54"/>
        </w:rPr>
        <w:t> </w:t>
      </w:r>
      <w:r>
        <w:rPr/>
        <w:t>年第三次临时股东大会，审议并通过了《关于修改</w:t>
      </w:r>
      <w:r>
        <w:rPr>
          <w:rFonts w:ascii="宋体" w:hAnsi="宋体" w:cs="宋体" w:eastAsia="宋体" w:hint="default"/>
        </w:rPr>
        <w:t>&lt;</w:t>
      </w:r>
      <w:r>
        <w:rPr/>
        <w:t>公司章程</w:t>
      </w:r>
      <w:r>
        <w:rPr>
          <w:rFonts w:ascii="宋体" w:hAnsi="宋体" w:cs="宋体" w:eastAsia="宋体" w:hint="default"/>
        </w:rPr>
        <w:t>&gt;</w:t>
      </w:r>
      <w:r>
        <w:rPr/>
        <w:t>的议</w:t>
      </w:r>
    </w:p>
    <w:p>
      <w:pPr>
        <w:pStyle w:val="BodyText"/>
        <w:spacing w:line="240" w:lineRule="auto" w:before="37"/>
        <w:ind w:right="226"/>
        <w:jc w:val="left"/>
      </w:pPr>
      <w:r>
        <w:rPr/>
        <w:t>案》，对《公司章程》第</w:t>
      </w:r>
      <w:r>
        <w:rPr>
          <w:spacing w:val="-57"/>
        </w:rPr>
        <w:t> </w:t>
      </w:r>
      <w:r>
        <w:rPr>
          <w:rFonts w:ascii="宋体" w:hAnsi="宋体" w:cs="宋体" w:eastAsia="宋体" w:hint="default"/>
        </w:rPr>
        <w:t>8.06</w:t>
      </w:r>
      <w:r>
        <w:rPr>
          <w:rFonts w:ascii="宋体" w:hAnsi="宋体" w:cs="宋体" w:eastAsia="宋体" w:hint="default"/>
          <w:spacing w:val="-55"/>
        </w:rPr>
        <w:t> </w:t>
      </w:r>
      <w:r>
        <w:rPr/>
        <w:t>条、第</w:t>
      </w:r>
      <w:r>
        <w:rPr>
          <w:spacing w:val="-54"/>
        </w:rPr>
        <w:t> </w:t>
      </w:r>
      <w:r>
        <w:rPr>
          <w:rFonts w:ascii="宋体" w:hAnsi="宋体" w:cs="宋体" w:eastAsia="宋体" w:hint="default"/>
        </w:rPr>
        <w:t>8.07</w:t>
      </w:r>
      <w:r>
        <w:rPr>
          <w:rFonts w:ascii="宋体" w:hAnsi="宋体" w:cs="宋体" w:eastAsia="宋体" w:hint="default"/>
          <w:spacing w:val="-54"/>
        </w:rPr>
        <w:t> </w:t>
      </w:r>
      <w:r>
        <w:rPr/>
        <w:t>条有关股利分配政策、基本原则和具体政策进行修订。</w:t>
      </w:r>
    </w:p>
    <w:p>
      <w:pPr>
        <w:pStyle w:val="BodyText"/>
        <w:spacing w:line="240" w:lineRule="auto" w:before="37"/>
        <w:ind w:left="0" w:right="275"/>
        <w:jc w:val="right"/>
      </w:pPr>
      <w:r>
        <w:rPr/>
        <w:t>报告期内，公司现金分红政策未进行调整。根据</w:t>
      </w:r>
      <w:r>
        <w:rPr>
          <w:spacing w:val="-56"/>
        </w:rPr>
        <w:t> </w:t>
      </w:r>
      <w:r>
        <w:rPr>
          <w:rFonts w:ascii="宋体" w:hAnsi="宋体" w:cs="宋体" w:eastAsia="宋体" w:hint="default"/>
        </w:rPr>
        <w:t>2017</w:t>
      </w:r>
      <w:r>
        <w:rPr>
          <w:rFonts w:ascii="宋体" w:hAnsi="宋体" w:cs="宋体" w:eastAsia="宋体" w:hint="default"/>
          <w:spacing w:val="-56"/>
        </w:rPr>
        <w:t> </w:t>
      </w:r>
      <w:r>
        <w:rPr/>
        <w:t>年年度股东大会决议，实施了</w:t>
      </w:r>
      <w:r>
        <w:rPr>
          <w:spacing w:val="-56"/>
        </w:rPr>
        <w:t> </w:t>
      </w:r>
      <w:r>
        <w:rPr>
          <w:rFonts w:ascii="宋体" w:hAnsi="宋体" w:cs="宋体" w:eastAsia="宋体" w:hint="default"/>
        </w:rPr>
        <w:t>2017</w:t>
      </w:r>
      <w:r>
        <w:rPr>
          <w:rFonts w:ascii="宋体" w:hAnsi="宋体" w:cs="宋体" w:eastAsia="宋体" w:hint="default"/>
          <w:spacing w:val="-56"/>
        </w:rPr>
        <w:t> </w:t>
      </w:r>
      <w:r>
        <w:rPr>
          <w:spacing w:val="-3"/>
        </w:rPr>
        <w:t>年年</w:t>
      </w:r>
      <w:r>
        <w:rPr/>
      </w:r>
    </w:p>
    <w:p>
      <w:pPr>
        <w:pStyle w:val="BodyText"/>
        <w:spacing w:line="240" w:lineRule="auto" w:before="37"/>
        <w:ind w:right="0"/>
        <w:jc w:val="left"/>
      </w:pPr>
      <w:r>
        <w:rPr>
          <w:spacing w:val="-4"/>
        </w:rPr>
        <w:t>度利润分配方案：以本次利润实施方案股权登记日总股本为基数，向全体股东每 </w:t>
      </w:r>
      <w:r>
        <w:rPr>
          <w:rFonts w:ascii="宋体" w:hAnsi="宋体" w:cs="宋体" w:eastAsia="宋体" w:hint="default"/>
        </w:rPr>
        <w:t>10</w:t>
      </w:r>
      <w:r>
        <w:rPr>
          <w:rFonts w:ascii="宋体" w:hAnsi="宋体" w:cs="宋体" w:eastAsia="宋体" w:hint="default"/>
          <w:spacing w:val="-35"/>
        </w:rPr>
        <w:t> </w:t>
      </w:r>
      <w:r>
        <w:rPr/>
        <w:t>股派发现金红利</w:t>
      </w:r>
    </w:p>
    <w:p>
      <w:pPr>
        <w:pStyle w:val="BodyText"/>
        <w:spacing w:line="240" w:lineRule="auto" w:before="37"/>
        <w:ind w:right="226"/>
        <w:jc w:val="left"/>
      </w:pPr>
      <w:r>
        <w:rPr>
          <w:rFonts w:ascii="宋体" w:hAnsi="宋体" w:cs="宋体" w:eastAsia="宋体" w:hint="default"/>
        </w:rPr>
        <w:t>0.4</w:t>
      </w:r>
      <w:r>
        <w:rPr>
          <w:rFonts w:ascii="宋体" w:hAnsi="宋体" w:cs="宋体" w:eastAsia="宋体" w:hint="default"/>
          <w:spacing w:val="23"/>
        </w:rPr>
        <w:t> </w:t>
      </w:r>
      <w:r>
        <w:rPr>
          <w:spacing w:val="-2"/>
        </w:rPr>
        <w:t>元（含税），剩余利润结转下年度。本次利润分配不进行资本公积金转增股本。本次利润分配</w:t>
      </w:r>
    </w:p>
    <w:p>
      <w:pPr>
        <w:pStyle w:val="BodyText"/>
        <w:spacing w:line="273" w:lineRule="auto" w:before="37"/>
        <w:ind w:left="638" w:right="226" w:hanging="420"/>
        <w:jc w:val="left"/>
      </w:pPr>
      <w:r>
        <w:rPr/>
        <w:t>方案已于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日实施完毕。</w:t>
      </w:r>
      <w:r>
        <w:rPr>
          <w:spacing w:val="-100"/>
        </w:rPr>
        <w:t> </w:t>
      </w:r>
      <w:r>
        <w:rPr>
          <w:spacing w:val="-100"/>
        </w:rPr>
      </w:r>
      <w:r>
        <w:rPr>
          <w:spacing w:val="-2"/>
        </w:rPr>
        <w:t>报告期末，公司控股股东提出以下利润分配预案：以本次利润实施方案股权登记日总股本扣除</w:t>
      </w:r>
    </w:p>
    <w:p>
      <w:pPr>
        <w:pStyle w:val="BodyText"/>
        <w:spacing w:line="240" w:lineRule="auto" w:before="8"/>
        <w:ind w:right="226"/>
        <w:jc w:val="left"/>
      </w:pPr>
      <w:r>
        <w:rPr/>
        <w:t>不参与利润分配的回购股份</w:t>
      </w:r>
      <w:r>
        <w:rPr>
          <w:spacing w:val="-55"/>
        </w:rPr>
        <w:t> </w:t>
      </w:r>
      <w:r>
        <w:rPr>
          <w:rFonts w:ascii="宋体" w:hAnsi="宋体" w:cs="宋体" w:eastAsia="宋体" w:hint="default"/>
        </w:rPr>
        <w:t>29,177,999</w:t>
      </w:r>
      <w:r>
        <w:rPr>
          <w:rFonts w:ascii="宋体" w:hAnsi="宋体" w:cs="宋体" w:eastAsia="宋体" w:hint="default"/>
          <w:spacing w:val="-57"/>
        </w:rPr>
        <w:t> </w:t>
      </w:r>
      <w:r>
        <w:rPr/>
        <w:t>股（包含股份回购计划回购专用账户</w:t>
      </w:r>
      <w:r>
        <w:rPr>
          <w:spacing w:val="-57"/>
        </w:rPr>
        <w:t> </w:t>
      </w:r>
      <w:r>
        <w:rPr>
          <w:rFonts w:ascii="宋体" w:hAnsi="宋体" w:cs="宋体" w:eastAsia="宋体" w:hint="default"/>
        </w:rPr>
        <w:t>21,956,999</w:t>
      </w:r>
      <w:r>
        <w:rPr>
          <w:rFonts w:ascii="宋体" w:hAnsi="宋体" w:cs="宋体" w:eastAsia="宋体" w:hint="default"/>
          <w:spacing w:val="-54"/>
        </w:rPr>
        <w:t> </w:t>
      </w:r>
      <w:r>
        <w:rPr/>
        <w:t>股和第二</w:t>
      </w:r>
    </w:p>
    <w:p>
      <w:pPr>
        <w:pStyle w:val="BodyText"/>
        <w:spacing w:line="273" w:lineRule="auto" w:before="37"/>
        <w:ind w:right="268"/>
        <w:jc w:val="both"/>
      </w:pPr>
      <w:r>
        <w:rPr/>
        <w:t>期股权激励待回购注销限制性股份</w:t>
      </w:r>
      <w:r>
        <w:rPr>
          <w:spacing w:val="-54"/>
        </w:rPr>
        <w:t> </w:t>
      </w:r>
      <w:r>
        <w:rPr>
          <w:rFonts w:ascii="宋体" w:hAnsi="宋体" w:cs="宋体" w:eastAsia="宋体" w:hint="default"/>
        </w:rPr>
        <w:t>7,221,000</w:t>
      </w:r>
      <w:r>
        <w:rPr>
          <w:rFonts w:ascii="宋体" w:hAnsi="宋体" w:cs="宋体" w:eastAsia="宋体" w:hint="default"/>
          <w:spacing w:val="-56"/>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3"/>
        </w:rPr>
        <w:t> </w:t>
      </w:r>
      <w:r>
        <w:rPr>
          <w:rFonts w:ascii="宋体" w:hAnsi="宋体" w:cs="宋体" w:eastAsia="宋体" w:hint="default"/>
        </w:rPr>
        <w:t>1.75</w:t>
      </w:r>
      <w:r>
        <w:rPr>
          <w:rFonts w:ascii="宋体" w:hAnsi="宋体" w:cs="宋体" w:eastAsia="宋体" w:hint="default"/>
          <w:w w:val="100"/>
        </w:rPr>
        <w:t> </w:t>
      </w:r>
      <w:r>
        <w:rPr>
          <w:spacing w:val="-2"/>
        </w:rPr>
        <w:t>元（含税），剩余利润结转下年度。本次利润分配不进行资本公积金转增股本。本次利润分配方案</w:t>
      </w:r>
      <w:r>
        <w:rPr>
          <w:spacing w:val="-25"/>
        </w:rPr>
        <w:t> </w:t>
      </w:r>
      <w:r>
        <w:rPr>
          <w:spacing w:val="-25"/>
        </w:rPr>
      </w:r>
      <w:r>
        <w:rPr/>
        <w:t>已经公司第四届董事会第二次会议审议通过，尚需提交</w:t>
      </w:r>
      <w:r>
        <w:rPr>
          <w:spacing w:val="-56"/>
        </w:rPr>
        <w:t> </w:t>
      </w:r>
      <w:r>
        <w:rPr>
          <w:rFonts w:ascii="宋体" w:hAnsi="宋体" w:cs="宋体" w:eastAsia="宋体" w:hint="default"/>
        </w:rPr>
        <w:t>2018</w:t>
      </w:r>
      <w:r>
        <w:rPr>
          <w:rFonts w:ascii="宋体" w:hAnsi="宋体" w:cs="宋体" w:eastAsia="宋体" w:hint="default"/>
          <w:spacing w:val="-58"/>
        </w:rPr>
        <w:t> </w:t>
      </w:r>
      <w:r>
        <w:rPr/>
        <w:t>年度股东大会审议。</w:t>
      </w:r>
    </w:p>
    <w:p>
      <w:pPr>
        <w:spacing w:line="240" w:lineRule="auto" w:before="0"/>
        <w:rPr>
          <w:rFonts w:ascii="宋体" w:hAnsi="宋体" w:cs="宋体" w:eastAsia="宋体" w:hint="default"/>
          <w:sz w:val="29"/>
          <w:szCs w:val="29"/>
        </w:rPr>
      </w:pPr>
    </w:p>
    <w:p>
      <w:pPr>
        <w:pStyle w:val="Heading2"/>
        <w:spacing w:line="240" w:lineRule="auto" w:before="0"/>
        <w:ind w:right="22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0"/>
        <w:ind w:left="0" w:right="231"/>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967"/>
        <w:gridCol w:w="1169"/>
        <w:gridCol w:w="1143"/>
        <w:gridCol w:w="1171"/>
        <w:gridCol w:w="1685"/>
        <w:gridCol w:w="1688"/>
        <w:gridCol w:w="1464"/>
      </w:tblGrid>
      <w:tr>
        <w:trPr>
          <w:trHeight w:val="188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68" w:right="26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5" w:right="10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46" w:right="101" w:hanging="4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8"/>
              <w:ind w:left="14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5" w:firstLine="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197"/>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303,763,565.88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760,512,374.73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39.94</w:t>
            </w:r>
          </w:p>
        </w:tc>
      </w:tr>
      <w:tr>
        <w:trPr>
          <w:trHeight w:val="32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70,616,406.36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686,022,146.29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10.29</w:t>
            </w:r>
          </w:p>
        </w:tc>
      </w:tr>
      <w:tr>
        <w:trPr>
          <w:trHeight w:val="32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240,700,592.32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474,424,821.21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50.74</w:t>
            </w:r>
          </w:p>
        </w:tc>
      </w:tr>
    </w:tbl>
    <w:p>
      <w:pPr>
        <w:spacing w:line="240" w:lineRule="auto" w:before="9"/>
        <w:rPr>
          <w:rFonts w:ascii="宋体" w:hAnsi="宋体" w:cs="宋体" w:eastAsia="宋体" w:hint="default"/>
          <w:sz w:val="24"/>
          <w:szCs w:val="24"/>
        </w:rPr>
      </w:pPr>
    </w:p>
    <w:p>
      <w:pPr>
        <w:pStyle w:val="Heading2"/>
        <w:spacing w:line="240" w:lineRule="auto"/>
        <w:ind w:right="22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right="226"/>
        <w:jc w:val="left"/>
      </w:pPr>
      <w:r>
        <w:rPr/>
        <w:t>□适用 √不适用</w:t>
      </w:r>
    </w:p>
    <w:p>
      <w:pPr>
        <w:spacing w:after="0" w:line="240" w:lineRule="auto"/>
        <w:jc w:val="left"/>
        <w:sectPr>
          <w:pgSz w:w="11910" w:h="16840"/>
          <w:pgMar w:header="728" w:footer="974" w:top="1120" w:bottom="1160" w:left="1200" w:right="1180"/>
        </w:sectPr>
      </w:pPr>
    </w:p>
    <w:p>
      <w:pPr>
        <w:spacing w:line="240" w:lineRule="auto" w:before="10"/>
        <w:rPr>
          <w:rFonts w:ascii="宋体" w:hAnsi="宋体" w:cs="宋体" w:eastAsia="宋体" w:hint="default"/>
          <w:sz w:val="26"/>
          <w:szCs w:val="26"/>
        </w:rPr>
      </w:pPr>
    </w:p>
    <w:p>
      <w:pPr>
        <w:pStyle w:val="Heading2"/>
        <w:spacing w:line="247" w:lineRule="auto"/>
        <w:ind w:left="1478" w:right="1060"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5"/>
        </w:rPr>
        <w:t> </w:t>
      </w:r>
      <w:r>
        <w:rPr/>
        <w:t>报告期内盈利且母公司可供普通股股东分配利润为正，但未提出普通股现金利润分配方案预案</w:t>
      </w:r>
      <w:r>
        <w:rPr>
          <w:w w:val="100"/>
        </w:rPr>
        <w:t> </w:t>
      </w:r>
      <w:r>
        <w:rPr/>
        <w:t>的，公司应当详细披露原因以及未分配利润的用途和使用计划</w:t>
      </w:r>
      <w:r>
        <w:rPr>
          <w:b w:val="0"/>
          <w:bCs w:val="0"/>
        </w:rPr>
      </w:r>
    </w:p>
    <w:p>
      <w:pPr>
        <w:pStyle w:val="BodyText"/>
        <w:spacing w:line="240" w:lineRule="auto" w:before="91"/>
        <w:ind w:left="1058" w:right="106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058" w:right="1060"/>
        <w:jc w:val="left"/>
        <w:rPr>
          <w:b w:val="0"/>
          <w:bCs w:val="0"/>
        </w:rPr>
      </w:pPr>
      <w:r>
        <w:rPr/>
        <w:t>二、承诺事项履行情况</w:t>
      </w:r>
      <w:r>
        <w:rPr>
          <w:b w:val="0"/>
          <w:bCs w:val="0"/>
        </w:rPr>
      </w:r>
    </w:p>
    <w:p>
      <w:pPr>
        <w:pStyle w:val="Heading2"/>
        <w:tabs>
          <w:tab w:pos="1625" w:val="left" w:leader="none"/>
        </w:tabs>
        <w:spacing w:line="247" w:lineRule="auto" w:before="97"/>
        <w:ind w:left="1625" w:right="1078"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w:t>
      </w:r>
      <w:r>
        <w:rPr>
          <w:spacing w:val="-41"/>
        </w:rPr>
        <w:t> </w:t>
      </w:r>
      <w:r>
        <w:rPr>
          <w:spacing w:val="-41"/>
        </w:rPr>
      </w:r>
      <w:r>
        <w:rPr/>
        <w:t>内的承诺事项</w:t>
      </w:r>
      <w:r>
        <w:rPr>
          <w:b w:val="0"/>
          <w:bCs w:val="0"/>
        </w:rPr>
      </w:r>
    </w:p>
    <w:p>
      <w:pPr>
        <w:pStyle w:val="BodyText"/>
        <w:spacing w:line="240" w:lineRule="auto" w:before="91"/>
        <w:ind w:left="1058" w:right="1060"/>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79"/>
        <w:gridCol w:w="730"/>
        <w:gridCol w:w="1166"/>
        <w:gridCol w:w="3589"/>
        <w:gridCol w:w="994"/>
        <w:gridCol w:w="708"/>
        <w:gridCol w:w="694"/>
        <w:gridCol w:w="986"/>
        <w:gridCol w:w="922"/>
      </w:tblGrid>
      <w:tr>
        <w:trPr>
          <w:trHeight w:val="157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79" w:right="17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608" w:right="1608"/>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0" w:right="131" w:hanging="89"/>
              <w:jc w:val="left"/>
              <w:rPr>
                <w:rFonts w:ascii="宋体" w:hAnsi="宋体" w:cs="宋体" w:eastAsia="宋体" w:hint="default"/>
                <w:sz w:val="18"/>
                <w:szCs w:val="18"/>
              </w:rPr>
            </w:pPr>
            <w:r>
              <w:rPr>
                <w:rFonts w:ascii="宋体" w:hAnsi="宋体" w:cs="宋体" w:eastAsia="宋体" w:hint="default"/>
                <w:sz w:val="18"/>
                <w:szCs w:val="18"/>
              </w:rPr>
              <w:t>承诺时间 及期限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65" w:right="170"/>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58" w:right="163"/>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29" w:right="125"/>
              <w:jc w:val="both"/>
              <w:rPr>
                <w:rFonts w:ascii="宋体" w:hAnsi="宋体" w:cs="宋体" w:eastAsia="宋体" w:hint="default"/>
                <w:sz w:val="18"/>
                <w:szCs w:val="18"/>
              </w:rPr>
            </w:pPr>
            <w:r>
              <w:rPr>
                <w:rFonts w:ascii="宋体" w:hAnsi="宋体" w:cs="宋体" w:eastAsia="宋体" w:hint="default"/>
                <w:sz w:val="18"/>
                <w:szCs w:val="18"/>
              </w:rPr>
              <w:t>如未能及 时履行应 说明未完 成履行的 具体原因</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84" w:right="185"/>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219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0" w:right="102"/>
              <w:jc w:val="both"/>
              <w:rPr>
                <w:rFonts w:ascii="宋体" w:hAnsi="宋体" w:cs="宋体" w:eastAsia="宋体" w:hint="default"/>
                <w:sz w:val="18"/>
                <w:szCs w:val="18"/>
              </w:rPr>
            </w:pPr>
            <w:r>
              <w:rPr>
                <w:rFonts w:ascii="宋体" w:hAnsi="宋体" w:cs="宋体" w:eastAsia="宋体" w:hint="default"/>
                <w:spacing w:val="12"/>
                <w:sz w:val="18"/>
                <w:szCs w:val="18"/>
              </w:rPr>
              <w:t>与首次公开</w:t>
            </w:r>
            <w:r>
              <w:rPr>
                <w:rFonts w:ascii="宋体" w:hAnsi="宋体" w:cs="宋体" w:eastAsia="宋体" w:hint="default"/>
                <w:sz w:val="18"/>
                <w:szCs w:val="18"/>
              </w:rPr>
              <w:t> </w:t>
            </w:r>
            <w:r>
              <w:rPr>
                <w:rFonts w:ascii="宋体" w:hAnsi="宋体" w:cs="宋体" w:eastAsia="宋体" w:hint="default"/>
                <w:spacing w:val="12"/>
                <w:sz w:val="18"/>
                <w:szCs w:val="18"/>
              </w:rPr>
              <w:t>发行相关的</w:t>
            </w:r>
            <w:r>
              <w:rPr>
                <w:rFonts w:ascii="宋体" w:hAnsi="宋体" w:cs="宋体" w:eastAsia="宋体" w:hint="default"/>
                <w:sz w:val="18"/>
                <w:szCs w:val="18"/>
              </w:rPr>
              <w:t> 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z w:val="18"/>
                <w:szCs w:val="18"/>
              </w:rPr>
              <w:t> 限售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6"/>
              <w:jc w:val="both"/>
              <w:rPr>
                <w:rFonts w:ascii="宋体" w:hAnsi="宋体" w:cs="宋体" w:eastAsia="宋体" w:hint="default"/>
                <w:sz w:val="18"/>
                <w:szCs w:val="18"/>
              </w:rPr>
            </w:pPr>
            <w:r>
              <w:rPr>
                <w:rFonts w:ascii="宋体" w:hAnsi="宋体" w:cs="宋体" w:eastAsia="宋体" w:hint="default"/>
                <w:spacing w:val="-3"/>
                <w:sz w:val="18"/>
                <w:szCs w:val="18"/>
              </w:rPr>
              <w:t>在担任董事或高级管理人员的期间，每年转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让的股份不超过其持有公司股份数的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 买卖本公司股票交易时间期限不低于</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pacing w:val="-4"/>
                <w:sz w:val="18"/>
                <w:szCs w:val="18"/>
              </w:rPr>
              <w:t>月；在离职后</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pacing w:val="-3"/>
                <w:sz w:val="18"/>
                <w:szCs w:val="18"/>
              </w:rPr>
              <w:t>个月内，不转让其持有的公</w:t>
            </w:r>
          </w:p>
          <w:p>
            <w:pPr>
              <w:pStyle w:val="TableParagraph"/>
              <w:spacing w:line="316" w:lineRule="auto" w:before="76"/>
              <w:ind w:left="103" w:right="7"/>
              <w:jc w:val="left"/>
              <w:rPr>
                <w:rFonts w:ascii="宋体" w:hAnsi="宋体" w:cs="宋体" w:eastAsia="宋体" w:hint="default"/>
                <w:sz w:val="18"/>
                <w:szCs w:val="18"/>
              </w:rPr>
            </w:pPr>
            <w:r>
              <w:rPr>
                <w:rFonts w:ascii="宋体" w:hAnsi="宋体" w:cs="宋体" w:eastAsia="宋体" w:hint="default"/>
                <w:spacing w:val="-6"/>
                <w:sz w:val="18"/>
                <w:szCs w:val="18"/>
              </w:rPr>
              <w:t>司股份；在申报离职</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个月后的</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 转让的公司股份不超过其持有公司股份总 数的</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0" w:right="102"/>
              <w:jc w:val="both"/>
              <w:rPr>
                <w:rFonts w:ascii="宋体" w:hAnsi="宋体" w:cs="宋体" w:eastAsia="宋体" w:hint="default"/>
                <w:sz w:val="18"/>
                <w:szCs w:val="18"/>
              </w:rPr>
            </w:pPr>
            <w:r>
              <w:rPr>
                <w:rFonts w:ascii="宋体" w:hAnsi="宋体" w:cs="宋体" w:eastAsia="宋体" w:hint="default"/>
                <w:spacing w:val="12"/>
                <w:sz w:val="18"/>
                <w:szCs w:val="18"/>
              </w:rPr>
              <w:t>与首次公开</w:t>
            </w:r>
            <w:r>
              <w:rPr>
                <w:rFonts w:ascii="宋体" w:hAnsi="宋体" w:cs="宋体" w:eastAsia="宋体" w:hint="default"/>
                <w:sz w:val="18"/>
                <w:szCs w:val="18"/>
              </w:rPr>
              <w:t> </w:t>
            </w:r>
            <w:r>
              <w:rPr>
                <w:rFonts w:ascii="宋体" w:hAnsi="宋体" w:cs="宋体" w:eastAsia="宋体" w:hint="default"/>
                <w:spacing w:val="12"/>
                <w:sz w:val="18"/>
                <w:szCs w:val="18"/>
              </w:rPr>
              <w:t>发行相关的</w:t>
            </w:r>
            <w:r>
              <w:rPr>
                <w:rFonts w:ascii="宋体" w:hAnsi="宋体" w:cs="宋体" w:eastAsia="宋体" w:hint="default"/>
                <w:sz w:val="18"/>
                <w:szCs w:val="18"/>
              </w:rPr>
              <w:t> 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z w:val="18"/>
                <w:szCs w:val="18"/>
              </w:rPr>
              <w:t> 限售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0" w:right="104"/>
              <w:jc w:val="left"/>
              <w:rPr>
                <w:rFonts w:ascii="宋体" w:hAnsi="宋体" w:cs="宋体" w:eastAsia="宋体" w:hint="default"/>
                <w:sz w:val="18"/>
                <w:szCs w:val="18"/>
              </w:rPr>
            </w:pPr>
            <w:r>
              <w:rPr>
                <w:rFonts w:ascii="宋体" w:hAnsi="宋体" w:cs="宋体" w:eastAsia="宋体" w:hint="default"/>
                <w:spacing w:val="9"/>
                <w:sz w:val="18"/>
                <w:szCs w:val="18"/>
              </w:rPr>
              <w:t>胡生、虞海</w:t>
            </w:r>
            <w:r>
              <w:rPr>
                <w:rFonts w:ascii="宋体" w:hAnsi="宋体" w:cs="宋体" w:eastAsia="宋体" w:hint="default"/>
                <w:sz w:val="18"/>
                <w:szCs w:val="18"/>
              </w:rPr>
              <w:t> 娟</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6"/>
              <w:jc w:val="both"/>
              <w:rPr>
                <w:rFonts w:ascii="宋体" w:hAnsi="宋体" w:cs="宋体" w:eastAsia="宋体" w:hint="default"/>
                <w:sz w:val="18"/>
                <w:szCs w:val="18"/>
              </w:rPr>
            </w:pPr>
            <w:r>
              <w:rPr>
                <w:rFonts w:ascii="宋体" w:hAnsi="宋体" w:cs="宋体" w:eastAsia="宋体" w:hint="default"/>
                <w:spacing w:val="-3"/>
                <w:sz w:val="18"/>
                <w:szCs w:val="18"/>
              </w:rPr>
              <w:t>在担任董事或高级管理人员的期间，每年转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让的股份不超过其持有公司股份数的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 买卖本公司股票交易时间期限不低于</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pacing w:val="-4"/>
                <w:sz w:val="18"/>
                <w:szCs w:val="18"/>
              </w:rPr>
              <w:t>月；在离职后</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pacing w:val="-3"/>
                <w:sz w:val="18"/>
                <w:szCs w:val="18"/>
              </w:rPr>
              <w:t>个月内，不转让其持有的公</w:t>
            </w:r>
          </w:p>
          <w:p>
            <w:pPr>
              <w:pStyle w:val="TableParagraph"/>
              <w:spacing w:line="316" w:lineRule="auto" w:before="76"/>
              <w:ind w:left="103" w:right="7"/>
              <w:jc w:val="left"/>
              <w:rPr>
                <w:rFonts w:ascii="宋体" w:hAnsi="宋体" w:cs="宋体" w:eastAsia="宋体" w:hint="default"/>
                <w:sz w:val="18"/>
                <w:szCs w:val="18"/>
              </w:rPr>
            </w:pPr>
            <w:r>
              <w:rPr>
                <w:rFonts w:ascii="宋体" w:hAnsi="宋体" w:cs="宋体" w:eastAsia="宋体" w:hint="default"/>
                <w:spacing w:val="-6"/>
                <w:sz w:val="18"/>
                <w:szCs w:val="18"/>
              </w:rPr>
              <w:t>司股份；在申报离职</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个月后的</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 转让的公司股份不超过其持有公司股份总 数的</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11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00" w:right="102"/>
              <w:jc w:val="both"/>
              <w:rPr>
                <w:rFonts w:ascii="宋体" w:hAnsi="宋体" w:cs="宋体" w:eastAsia="宋体" w:hint="default"/>
                <w:sz w:val="18"/>
                <w:szCs w:val="18"/>
              </w:rPr>
            </w:pPr>
            <w:r>
              <w:rPr>
                <w:rFonts w:ascii="宋体" w:hAnsi="宋体" w:cs="宋体" w:eastAsia="宋体" w:hint="default"/>
                <w:spacing w:val="12"/>
                <w:sz w:val="18"/>
                <w:szCs w:val="18"/>
              </w:rPr>
              <w:t>与首次公开</w:t>
            </w:r>
            <w:r>
              <w:rPr>
                <w:rFonts w:ascii="宋体" w:hAnsi="宋体" w:cs="宋体" w:eastAsia="宋体" w:hint="default"/>
                <w:sz w:val="18"/>
                <w:szCs w:val="18"/>
              </w:rPr>
              <w:t> </w:t>
            </w:r>
            <w:r>
              <w:rPr>
                <w:rFonts w:ascii="宋体" w:hAnsi="宋体" w:cs="宋体" w:eastAsia="宋体" w:hint="default"/>
                <w:spacing w:val="12"/>
                <w:sz w:val="18"/>
                <w:szCs w:val="18"/>
              </w:rPr>
              <w:t>发行相关的</w:t>
            </w:r>
            <w:r>
              <w:rPr>
                <w:rFonts w:ascii="宋体" w:hAnsi="宋体" w:cs="宋体" w:eastAsia="宋体" w:hint="default"/>
                <w:sz w:val="18"/>
                <w:szCs w:val="18"/>
              </w:rPr>
              <w:t> 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w:t>
            </w:r>
            <w:r>
              <w:rPr>
                <w:rFonts w:ascii="宋体" w:hAnsi="宋体" w:cs="宋体" w:eastAsia="宋体" w:hint="default"/>
                <w:spacing w:val="63"/>
                <w:sz w:val="18"/>
                <w:szCs w:val="18"/>
              </w:rPr>
              <w:t> </w:t>
            </w:r>
            <w:r>
              <w:rPr>
                <w:rFonts w:ascii="宋体" w:hAnsi="宋体" w:cs="宋体" w:eastAsia="宋体" w:hint="default"/>
                <w:sz w:val="18"/>
                <w:szCs w:val="18"/>
              </w:rPr>
              <w:t>决</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63"/>
                <w:sz w:val="18"/>
                <w:szCs w:val="18"/>
              </w:rPr>
              <w:t> </w:t>
            </w:r>
            <w:r>
              <w:rPr>
                <w:rFonts w:ascii="宋体" w:hAnsi="宋体" w:cs="宋体" w:eastAsia="宋体" w:hint="default"/>
                <w:sz w:val="18"/>
                <w:szCs w:val="18"/>
              </w:rPr>
              <w:t>业</w:t>
            </w:r>
            <w:r>
              <w:rPr>
                <w:rFonts w:ascii="宋体" w:hAnsi="宋体" w:cs="宋体" w:eastAsia="宋体" w:hint="default"/>
                <w:sz w:val="18"/>
                <w:szCs w:val="18"/>
              </w:rPr>
              <w:t> 竞争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00" w:right="104"/>
              <w:jc w:val="left"/>
              <w:rPr>
                <w:rFonts w:ascii="宋体" w:hAnsi="宋体" w:cs="宋体" w:eastAsia="宋体" w:hint="default"/>
                <w:sz w:val="18"/>
                <w:szCs w:val="18"/>
              </w:rPr>
            </w:pPr>
            <w:r>
              <w:rPr>
                <w:rFonts w:ascii="宋体" w:hAnsi="宋体" w:cs="宋体" w:eastAsia="宋体" w:hint="default"/>
                <w:spacing w:val="9"/>
                <w:sz w:val="18"/>
                <w:szCs w:val="18"/>
              </w:rPr>
              <w:t>华虹电子、</w:t>
            </w:r>
            <w:r>
              <w:rPr>
                <w:rFonts w:ascii="宋体" w:hAnsi="宋体" w:cs="宋体" w:eastAsia="宋体" w:hint="default"/>
                <w:sz w:val="18"/>
                <w:szCs w:val="18"/>
              </w:rPr>
              <w:t> 华强投资</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
              <w:jc w:val="left"/>
              <w:rPr>
                <w:rFonts w:ascii="宋体" w:hAnsi="宋体" w:cs="宋体" w:eastAsia="宋体" w:hint="default"/>
                <w:sz w:val="18"/>
                <w:szCs w:val="18"/>
              </w:rPr>
            </w:pPr>
            <w:r>
              <w:rPr>
                <w:rFonts w:ascii="宋体" w:hAnsi="宋体" w:cs="宋体" w:eastAsia="宋体" w:hint="default"/>
                <w:spacing w:val="-3"/>
                <w:sz w:val="18"/>
                <w:szCs w:val="18"/>
              </w:rPr>
              <w:t>为避免同业竞争，向公司出具了《避免同业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竞争承诺函》，主要内容为：“本公司将来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不以任何方式（包括但不限于其单独经营、 通过合资经营或拥有另一公司或企业的股 </w:t>
            </w:r>
            <w:r>
              <w:rPr>
                <w:rFonts w:ascii="宋体" w:hAnsi="宋体" w:cs="宋体" w:eastAsia="宋体" w:hint="default"/>
                <w:spacing w:val="-3"/>
                <w:sz w:val="18"/>
                <w:szCs w:val="18"/>
              </w:rPr>
              <w:t>份及其他权益）直接或间接地从事与江苏林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洋能源股份有限公司（以下简称“发行 人”）主营业务构成或可能构成竞争的业 </w:t>
            </w:r>
            <w:r>
              <w:rPr>
                <w:rFonts w:ascii="宋体" w:hAnsi="宋体" w:cs="宋体" w:eastAsia="宋体" w:hint="default"/>
                <w:spacing w:val="-3"/>
                <w:sz w:val="18"/>
                <w:szCs w:val="18"/>
              </w:rPr>
              <w:t>务，不制定与发行人可能发生同业竞争的经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营发展规划，不利用股东地位，做出损害发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行人及全体股东利益的行为，保障发行人资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产、业务、人员、财务、机构方面的独立性，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充分尊重发行人独立经营、自主决策的权 </w:t>
            </w:r>
            <w:r>
              <w:rPr>
                <w:rFonts w:ascii="宋体" w:hAnsi="宋体" w:cs="宋体" w:eastAsia="宋体" w:hint="default"/>
                <w:spacing w:val="-3"/>
                <w:sz w:val="18"/>
                <w:szCs w:val="18"/>
              </w:rPr>
              <w:t>利，严格遵守《公司法》和发行人《公司章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程》的规定，履行应尽的诚信、勤勉责任。”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79"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解</w:t>
            </w:r>
            <w:r>
              <w:rPr>
                <w:rFonts w:ascii="宋体" w:hAnsi="宋体" w:cs="宋体" w:eastAsia="宋体" w:hint="default"/>
                <w:spacing w:val="63"/>
                <w:sz w:val="18"/>
                <w:szCs w:val="18"/>
              </w:rPr>
              <w:t> </w:t>
            </w:r>
            <w:r>
              <w:rPr>
                <w:rFonts w:ascii="宋体" w:hAnsi="宋体" w:cs="宋体" w:eastAsia="宋体" w:hint="default"/>
                <w:sz w:val="18"/>
                <w:szCs w:val="18"/>
              </w:rPr>
              <w:t>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pacing w:val="-3"/>
                <w:sz w:val="18"/>
                <w:szCs w:val="18"/>
              </w:rPr>
              <w:t>实际控制人陆永华先生向公司出具了《避免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同业竞争承诺函》，主要内容为：“本人将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8" w:footer="974" w:top="1120" w:bottom="1160" w:left="36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79"/>
        <w:gridCol w:w="730"/>
        <w:gridCol w:w="1166"/>
        <w:gridCol w:w="3589"/>
        <w:gridCol w:w="994"/>
        <w:gridCol w:w="708"/>
        <w:gridCol w:w="694"/>
        <w:gridCol w:w="986"/>
        <w:gridCol w:w="922"/>
      </w:tblGrid>
      <w:tr>
        <w:trPr>
          <w:trHeight w:val="4069" w:hRule="exact"/>
        </w:trPr>
        <w:tc>
          <w:tcPr>
            <w:tcW w:w="117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1166" w:type="dxa"/>
            <w:tcBorders>
              <w:top w:val="single" w:sz="4" w:space="0" w:color="000000"/>
              <w:left w:val="single" w:sz="4" w:space="0" w:color="000000"/>
              <w:bottom w:val="single" w:sz="4" w:space="0" w:color="000000"/>
              <w:right w:val="single" w:sz="4" w:space="0" w:color="000000"/>
            </w:tcBorders>
          </w:tcPr>
          <w:p>
            <w:pP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54"/>
              <w:jc w:val="left"/>
              <w:rPr>
                <w:rFonts w:ascii="宋体" w:hAnsi="宋体" w:cs="宋体" w:eastAsia="宋体" w:hint="default"/>
                <w:sz w:val="18"/>
                <w:szCs w:val="18"/>
              </w:rPr>
            </w:pPr>
            <w:r>
              <w:rPr>
                <w:rFonts w:ascii="宋体" w:hAnsi="宋体" w:cs="宋体" w:eastAsia="宋体" w:hint="default"/>
                <w:sz w:val="18"/>
                <w:szCs w:val="18"/>
              </w:rPr>
              <w:t>来不以任何方式（包括但不限于其单独经 </w:t>
            </w:r>
            <w:r>
              <w:rPr>
                <w:rFonts w:ascii="宋体" w:hAnsi="宋体" w:cs="宋体" w:eastAsia="宋体" w:hint="default"/>
                <w:spacing w:val="-3"/>
                <w:sz w:val="18"/>
                <w:szCs w:val="18"/>
              </w:rPr>
              <w:t>营、通过合资经营或拥有另一公司或企业的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股份及其他权益）直接或间接地从事与江苏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林洋能源股份有限公司（以下简称“发行</w:t>
            </w:r>
            <w:r>
              <w:rPr>
                <w:rFonts w:ascii="宋体" w:hAnsi="宋体" w:cs="宋体" w:eastAsia="宋体" w:hint="default"/>
                <w:sz w:val="18"/>
                <w:szCs w:val="18"/>
              </w:rPr>
              <w:t> 人”）主营业务构成或可能构成竞争的业 </w:t>
            </w:r>
            <w:r>
              <w:rPr>
                <w:rFonts w:ascii="宋体" w:hAnsi="宋体" w:cs="宋体" w:eastAsia="宋体" w:hint="default"/>
                <w:spacing w:val="-3"/>
                <w:sz w:val="18"/>
                <w:szCs w:val="18"/>
              </w:rPr>
              <w:t>务，不制定与发行人可能发生同业竞争的经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营发展规划，不利用发行人实际控制人的身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份，作出损害发行人及全体股东利益的行 为，保障发行人资产、业务、人员、财务、 </w:t>
            </w:r>
            <w:r>
              <w:rPr>
                <w:rFonts w:ascii="宋体" w:hAnsi="宋体" w:cs="宋体" w:eastAsia="宋体" w:hint="default"/>
                <w:spacing w:val="-3"/>
                <w:sz w:val="18"/>
                <w:szCs w:val="18"/>
              </w:rPr>
              <w:t>机构方面的独立性，充分尊重发行人独立经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营、自主决策的权利，严格遵守《公司法》 </w:t>
            </w:r>
            <w:r>
              <w:rPr>
                <w:rFonts w:ascii="宋体" w:hAnsi="宋体" w:cs="宋体" w:eastAsia="宋体" w:hint="default"/>
                <w:spacing w:val="-3"/>
                <w:sz w:val="18"/>
                <w:szCs w:val="18"/>
              </w:rPr>
              <w:t>和发行人《公司章程》的规定，履行应尽的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诚信、勤勉责任。”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0" w:right="102"/>
              <w:jc w:val="left"/>
              <w:rPr>
                <w:rFonts w:ascii="宋体" w:hAnsi="宋体" w:cs="宋体" w:eastAsia="宋体" w:hint="default"/>
                <w:sz w:val="18"/>
                <w:szCs w:val="18"/>
              </w:rPr>
            </w:pPr>
            <w:r>
              <w:rPr>
                <w:rFonts w:ascii="宋体" w:hAnsi="宋体" w:cs="宋体" w:eastAsia="宋体" w:hint="default"/>
                <w:spacing w:val="12"/>
                <w:sz w:val="18"/>
                <w:szCs w:val="18"/>
              </w:rPr>
              <w:t>与股权激励</w:t>
            </w:r>
            <w:r>
              <w:rPr>
                <w:rFonts w:ascii="宋体" w:hAnsi="宋体" w:cs="宋体" w:eastAsia="宋体" w:hint="default"/>
                <w:sz w:val="18"/>
                <w:szCs w:val="18"/>
              </w:rPr>
              <w:t> 相关的承诺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z w:val="18"/>
                <w:szCs w:val="18"/>
              </w:rPr>
              <w:t> 限售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both"/>
              <w:rPr>
                <w:rFonts w:ascii="宋体" w:hAnsi="宋体" w:cs="宋体" w:eastAsia="宋体" w:hint="default"/>
                <w:sz w:val="18"/>
                <w:szCs w:val="18"/>
              </w:rPr>
            </w:pPr>
            <w:r>
              <w:rPr>
                <w:rFonts w:ascii="宋体" w:hAnsi="宋体" w:cs="宋体" w:eastAsia="宋体" w:hint="default"/>
                <w:spacing w:val="9"/>
                <w:sz w:val="18"/>
                <w:szCs w:val="18"/>
              </w:rPr>
              <w:t>公司第二期</w:t>
            </w:r>
            <w:r>
              <w:rPr>
                <w:rFonts w:ascii="宋体" w:hAnsi="宋体" w:cs="宋体" w:eastAsia="宋体" w:hint="default"/>
                <w:sz w:val="18"/>
                <w:szCs w:val="18"/>
              </w:rPr>
              <w:t> </w:t>
            </w:r>
            <w:r>
              <w:rPr>
                <w:rFonts w:ascii="宋体" w:hAnsi="宋体" w:cs="宋体" w:eastAsia="宋体" w:hint="default"/>
                <w:spacing w:val="9"/>
                <w:sz w:val="18"/>
                <w:szCs w:val="18"/>
              </w:rPr>
              <w:t>限制性股票</w:t>
            </w:r>
          </w:p>
          <w:p>
            <w:pPr>
              <w:pStyle w:val="TableParagraph"/>
              <w:spacing w:line="316" w:lineRule="auto" w:before="19"/>
              <w:ind w:left="100" w:right="26"/>
              <w:jc w:val="both"/>
              <w:rPr>
                <w:rFonts w:ascii="宋体" w:hAnsi="宋体" w:cs="宋体" w:eastAsia="宋体" w:hint="default"/>
                <w:sz w:val="18"/>
                <w:szCs w:val="18"/>
              </w:rPr>
            </w:pPr>
            <w:r>
              <w:rPr>
                <w:rFonts w:ascii="宋体" w:hAnsi="宋体" w:cs="宋体" w:eastAsia="宋体" w:hint="default"/>
                <w:spacing w:val="57"/>
                <w:sz w:val="18"/>
                <w:szCs w:val="18"/>
              </w:rPr>
              <w:t>激励计划</w:t>
            </w:r>
            <w:r>
              <w:rPr>
                <w:rFonts w:ascii="宋体" w:hAnsi="宋体" w:cs="宋体" w:eastAsia="宋体" w:hint="default"/>
                <w:spacing w:val="-14"/>
                <w:sz w:val="18"/>
                <w:szCs w:val="18"/>
              </w:rPr>
              <w:t> </w:t>
            </w:r>
            <w:r>
              <w:rPr>
                <w:rFonts w:ascii="宋体" w:hAnsi="宋体" w:cs="宋体" w:eastAsia="宋体" w:hint="default"/>
                <w:sz w:val="18"/>
                <w:szCs w:val="18"/>
              </w:rPr>
              <w:t>221</w:t>
            </w:r>
            <w:r>
              <w:rPr>
                <w:rFonts w:ascii="宋体" w:hAnsi="宋体" w:cs="宋体" w:eastAsia="宋体" w:hint="default"/>
                <w:spacing w:val="19"/>
                <w:sz w:val="18"/>
                <w:szCs w:val="18"/>
              </w:rPr>
              <w:t> </w:t>
            </w:r>
            <w:r>
              <w:rPr>
                <w:rFonts w:ascii="宋体" w:hAnsi="宋体" w:cs="宋体" w:eastAsia="宋体" w:hint="default"/>
                <w:spacing w:val="10"/>
                <w:sz w:val="18"/>
                <w:szCs w:val="18"/>
              </w:rPr>
              <w:t>名被激</w:t>
            </w:r>
            <w:r>
              <w:rPr>
                <w:rFonts w:ascii="宋体" w:hAnsi="宋体" w:cs="宋体" w:eastAsia="宋体" w:hint="default"/>
                <w:spacing w:val="-74"/>
                <w:sz w:val="18"/>
                <w:szCs w:val="18"/>
              </w:rPr>
              <w:t> </w:t>
            </w:r>
            <w:r>
              <w:rPr>
                <w:rFonts w:ascii="宋体" w:hAnsi="宋体" w:cs="宋体" w:eastAsia="宋体" w:hint="default"/>
                <w:sz w:val="18"/>
                <w:szCs w:val="18"/>
              </w:rPr>
              <w:t>励对象</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自限制性股票授予日起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个月后、</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 后、</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个月后各申请解锁授予限制性股票 总量的</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2017.2.7</w:t>
            </w:r>
          </w:p>
          <w:p>
            <w:pPr>
              <w:pStyle w:val="TableParagraph"/>
              <w:spacing w:line="240" w:lineRule="auto" w:before="76"/>
              <w:ind w:right="0"/>
              <w:jc w:val="center"/>
              <w:rPr>
                <w:rFonts w:ascii="宋体" w:hAnsi="宋体" w:cs="宋体" w:eastAsia="宋体" w:hint="default"/>
                <w:sz w:val="18"/>
                <w:szCs w:val="18"/>
              </w:rPr>
            </w:pPr>
            <w:r>
              <w:rPr>
                <w:rFonts w:ascii="宋体"/>
                <w:sz w:val="18"/>
              </w:rPr>
              <w:t>-2020.2.</w:t>
            </w:r>
          </w:p>
          <w:p>
            <w:pPr>
              <w:pStyle w:val="TableParagraph"/>
              <w:spacing w:line="240" w:lineRule="auto" w:before="76"/>
              <w:ind w:right="1"/>
              <w:jc w:val="center"/>
              <w:rPr>
                <w:rFonts w:ascii="宋体" w:hAnsi="宋体" w:cs="宋体" w:eastAsia="宋体" w:hint="default"/>
                <w:sz w:val="18"/>
                <w:szCs w:val="18"/>
              </w:rPr>
            </w:pPr>
            <w:r>
              <w:rPr>
                <w:rFonts w:ascii="宋体"/>
                <w:sz w:val="18"/>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79"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z w:val="18"/>
                <w:szCs w:val="18"/>
              </w:rPr>
              <w:t> 限售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8"/>
              <w:jc w:val="both"/>
              <w:rPr>
                <w:rFonts w:ascii="宋体" w:hAnsi="宋体" w:cs="宋体" w:eastAsia="宋体" w:hint="default"/>
                <w:sz w:val="18"/>
                <w:szCs w:val="18"/>
              </w:rPr>
            </w:pPr>
            <w:r>
              <w:rPr>
                <w:rFonts w:ascii="宋体" w:hAnsi="宋体" w:cs="宋体" w:eastAsia="宋体" w:hint="default"/>
                <w:spacing w:val="9"/>
                <w:sz w:val="18"/>
                <w:szCs w:val="18"/>
              </w:rPr>
              <w:t>公司第二期</w:t>
            </w:r>
            <w:r>
              <w:rPr>
                <w:rFonts w:ascii="宋体" w:hAnsi="宋体" w:cs="宋体" w:eastAsia="宋体" w:hint="default"/>
                <w:sz w:val="18"/>
                <w:szCs w:val="18"/>
              </w:rPr>
              <w:t> </w:t>
            </w:r>
            <w:r>
              <w:rPr>
                <w:rFonts w:ascii="宋体" w:hAnsi="宋体" w:cs="宋体" w:eastAsia="宋体" w:hint="default"/>
                <w:spacing w:val="9"/>
                <w:sz w:val="18"/>
                <w:szCs w:val="18"/>
              </w:rPr>
              <w:t>限制性股票</w:t>
            </w:r>
            <w:r>
              <w:rPr>
                <w:rFonts w:ascii="宋体" w:hAnsi="宋体" w:cs="宋体" w:eastAsia="宋体" w:hint="default"/>
                <w:sz w:val="18"/>
                <w:szCs w:val="18"/>
              </w:rPr>
              <w:t> </w:t>
            </w:r>
            <w:r>
              <w:rPr>
                <w:rFonts w:ascii="宋体" w:hAnsi="宋体" w:cs="宋体" w:eastAsia="宋体" w:hint="default"/>
                <w:spacing w:val="9"/>
                <w:sz w:val="18"/>
                <w:szCs w:val="18"/>
              </w:rPr>
              <w:t>激励计划预</w:t>
            </w:r>
            <w:r>
              <w:rPr>
                <w:rFonts w:ascii="宋体" w:hAnsi="宋体" w:cs="宋体" w:eastAsia="宋体" w:hint="default"/>
                <w:sz w:val="18"/>
                <w:szCs w:val="18"/>
              </w:rPr>
              <w:t> 留部分</w:t>
            </w:r>
            <w:r>
              <w:rPr>
                <w:rFonts w:ascii="宋体" w:hAnsi="宋体" w:cs="宋体" w:eastAsia="宋体" w:hint="default"/>
                <w:spacing w:val="-64"/>
                <w:sz w:val="18"/>
                <w:szCs w:val="18"/>
              </w:rPr>
              <w:t> </w:t>
            </w:r>
            <w:r>
              <w:rPr>
                <w:rFonts w:ascii="宋体" w:hAnsi="宋体" w:cs="宋体" w:eastAsia="宋体" w:hint="default"/>
                <w:sz w:val="18"/>
                <w:szCs w:val="18"/>
              </w:rPr>
              <w:t>20</w:t>
            </w:r>
            <w:r>
              <w:rPr>
                <w:rFonts w:ascii="宋体" w:hAnsi="宋体" w:cs="宋体" w:eastAsia="宋体" w:hint="default"/>
                <w:spacing w:val="-63"/>
                <w:sz w:val="18"/>
                <w:szCs w:val="18"/>
              </w:rPr>
              <w:t> </w:t>
            </w:r>
            <w:r>
              <w:rPr>
                <w:rFonts w:ascii="宋体" w:hAnsi="宋体" w:cs="宋体" w:eastAsia="宋体" w:hint="default"/>
                <w:sz w:val="18"/>
                <w:szCs w:val="18"/>
              </w:rPr>
              <w:t>名 被激励对象</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6"/>
              <w:jc w:val="both"/>
              <w:rPr>
                <w:rFonts w:ascii="宋体" w:hAnsi="宋体" w:cs="宋体" w:eastAsia="宋体" w:hint="default"/>
                <w:sz w:val="18"/>
                <w:szCs w:val="18"/>
              </w:rPr>
            </w:pPr>
            <w:r>
              <w:rPr>
                <w:rFonts w:ascii="宋体" w:hAnsi="宋体" w:cs="宋体" w:eastAsia="宋体" w:hint="default"/>
                <w:sz w:val="18"/>
                <w:szCs w:val="18"/>
              </w:rPr>
              <w:t>自限制性股票授予日起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个月后、</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 后各申请解锁授予限制性股票总量的</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2017.12.</w:t>
            </w:r>
          </w:p>
          <w:p>
            <w:pPr>
              <w:pStyle w:val="TableParagraph"/>
              <w:spacing w:line="240" w:lineRule="auto" w:before="76"/>
              <w:ind w:right="0"/>
              <w:jc w:val="center"/>
              <w:rPr>
                <w:rFonts w:ascii="宋体" w:hAnsi="宋体" w:cs="宋体" w:eastAsia="宋体" w:hint="default"/>
                <w:sz w:val="18"/>
                <w:szCs w:val="18"/>
              </w:rPr>
            </w:pPr>
            <w:r>
              <w:rPr>
                <w:rFonts w:ascii="宋体"/>
                <w:sz w:val="18"/>
              </w:rPr>
              <w:t>21-2019.</w:t>
            </w:r>
          </w:p>
          <w:p>
            <w:pPr>
              <w:pStyle w:val="TableParagraph"/>
              <w:spacing w:line="240" w:lineRule="auto" w:before="77"/>
              <w:ind w:right="0"/>
              <w:jc w:val="center"/>
              <w:rPr>
                <w:rFonts w:ascii="宋体" w:hAnsi="宋体" w:cs="宋体" w:eastAsia="宋体" w:hint="default"/>
                <w:sz w:val="18"/>
                <w:szCs w:val="18"/>
              </w:rPr>
            </w:pPr>
            <w:r>
              <w:rPr>
                <w:rFonts w:ascii="宋体"/>
                <w:sz w:val="18"/>
              </w:rPr>
              <w:t>12.21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2"/>
              <w:jc w:val="both"/>
              <w:rPr>
                <w:rFonts w:ascii="宋体" w:hAnsi="宋体" w:cs="宋体" w:eastAsia="宋体" w:hint="default"/>
                <w:sz w:val="18"/>
                <w:szCs w:val="18"/>
              </w:rPr>
            </w:pPr>
            <w:r>
              <w:rPr>
                <w:rFonts w:ascii="宋体" w:hAnsi="宋体" w:cs="宋体" w:eastAsia="宋体" w:hint="default"/>
                <w:spacing w:val="12"/>
                <w:sz w:val="18"/>
                <w:szCs w:val="18"/>
              </w:rPr>
              <w:t>其他对公司</w:t>
            </w:r>
            <w:r>
              <w:rPr>
                <w:rFonts w:ascii="宋体" w:hAnsi="宋体" w:cs="宋体" w:eastAsia="宋体" w:hint="default"/>
                <w:sz w:val="18"/>
                <w:szCs w:val="18"/>
              </w:rPr>
              <w:t> </w:t>
            </w:r>
            <w:r>
              <w:rPr>
                <w:rFonts w:ascii="宋体" w:hAnsi="宋体" w:cs="宋体" w:eastAsia="宋体" w:hint="default"/>
                <w:spacing w:val="12"/>
                <w:sz w:val="18"/>
                <w:szCs w:val="18"/>
              </w:rPr>
              <w:t>中小股东所</w:t>
            </w:r>
            <w:r>
              <w:rPr>
                <w:rFonts w:ascii="宋体" w:hAnsi="宋体" w:cs="宋体" w:eastAsia="宋体" w:hint="default"/>
                <w:sz w:val="18"/>
                <w:szCs w:val="18"/>
              </w:rPr>
              <w:t> 作承诺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华虹电子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0"/>
              <w:jc w:val="left"/>
              <w:rPr>
                <w:rFonts w:ascii="宋体" w:hAnsi="宋体" w:cs="宋体" w:eastAsia="宋体" w:hint="default"/>
                <w:sz w:val="18"/>
                <w:szCs w:val="18"/>
              </w:rPr>
            </w:pPr>
            <w:r>
              <w:rPr>
                <w:rFonts w:ascii="宋体" w:hAnsi="宋体" w:cs="宋体" w:eastAsia="宋体" w:hint="default"/>
                <w:sz w:val="18"/>
                <w:szCs w:val="18"/>
              </w:rPr>
              <w:t>在增持实施期间及增持实施完毕之后</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 月内不减持所持有的本公司股份。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2017.5.3</w:t>
            </w:r>
          </w:p>
          <w:p>
            <w:pPr>
              <w:pStyle w:val="TableParagraph"/>
              <w:spacing w:line="240" w:lineRule="auto" w:before="76"/>
              <w:ind w:right="0"/>
              <w:jc w:val="center"/>
              <w:rPr>
                <w:rFonts w:ascii="宋体" w:hAnsi="宋体" w:cs="宋体" w:eastAsia="宋体" w:hint="default"/>
                <w:sz w:val="18"/>
                <w:szCs w:val="18"/>
              </w:rPr>
            </w:pPr>
            <w:r>
              <w:rPr>
                <w:rFonts w:ascii="宋体"/>
                <w:sz w:val="18"/>
              </w:rPr>
              <w:t>1-2018.2</w:t>
            </w:r>
          </w:p>
          <w:p>
            <w:pPr>
              <w:pStyle w:val="TableParagraph"/>
              <w:spacing w:line="240" w:lineRule="auto" w:before="76"/>
              <w:ind w:right="0"/>
              <w:jc w:val="center"/>
              <w:rPr>
                <w:rFonts w:ascii="宋体" w:hAnsi="宋体" w:cs="宋体" w:eastAsia="宋体" w:hint="default"/>
                <w:sz w:val="18"/>
                <w:szCs w:val="18"/>
              </w:rPr>
            </w:pPr>
            <w:r>
              <w:rPr>
                <w:rFonts w:ascii="宋体"/>
                <w:sz w:val="18"/>
              </w:rPr>
              <w:t>.10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98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1625" w:val="left" w:leader="none"/>
        </w:tabs>
        <w:spacing w:line="295" w:lineRule="auto"/>
        <w:ind w:left="1058" w:right="1989"/>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1058" w:right="1060"/>
        <w:jc w:val="left"/>
      </w:pPr>
      <w:r>
        <w:rPr/>
        <w:t>□已达到 □未达到</w:t>
      </w:r>
      <w:r>
        <w:rPr>
          <w:spacing w:val="1"/>
        </w:rPr>
        <w:t> </w:t>
      </w:r>
      <w:r>
        <w:rPr/>
        <w:t>√不适用</w:t>
      </w:r>
    </w:p>
    <w:p>
      <w:pPr>
        <w:spacing w:line="240" w:lineRule="auto" w:before="0"/>
        <w:rPr>
          <w:rFonts w:ascii="宋体" w:hAnsi="宋体" w:cs="宋体" w:eastAsia="宋体" w:hint="default"/>
          <w:sz w:val="20"/>
          <w:szCs w:val="20"/>
        </w:rPr>
      </w:pPr>
    </w:p>
    <w:p>
      <w:pPr>
        <w:pStyle w:val="Heading2"/>
        <w:tabs>
          <w:tab w:pos="1625" w:val="left" w:leader="none"/>
        </w:tabs>
        <w:spacing w:line="240" w:lineRule="auto" w:before="148"/>
        <w:ind w:left="1058" w:right="106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left="1058" w:right="106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058" w:right="1060"/>
        <w:jc w:val="left"/>
        <w:rPr>
          <w:b w:val="0"/>
          <w:bCs w:val="0"/>
        </w:rPr>
      </w:pPr>
      <w:r>
        <w:rPr/>
        <w:t>三、报告期内资金被占用情况及清欠进展情况</w:t>
      </w:r>
      <w:r>
        <w:rPr>
          <w:b w:val="0"/>
          <w:bCs w:val="0"/>
        </w:rPr>
      </w:r>
    </w:p>
    <w:p>
      <w:pPr>
        <w:pStyle w:val="BodyText"/>
        <w:spacing w:line="240" w:lineRule="auto" w:before="97"/>
        <w:ind w:left="1058" w:right="106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058" w:right="1060"/>
        <w:jc w:val="left"/>
        <w:rPr>
          <w:b w:val="0"/>
          <w:bCs w:val="0"/>
        </w:rPr>
      </w:pPr>
      <w:r>
        <w:rPr/>
        <w:t>四、公司对会计师事务所“非标准意见审计报告”的说明</w:t>
      </w:r>
      <w:r>
        <w:rPr>
          <w:b w:val="0"/>
          <w:bCs w:val="0"/>
        </w:rPr>
      </w:r>
    </w:p>
    <w:p>
      <w:pPr>
        <w:pStyle w:val="BodyText"/>
        <w:spacing w:line="240" w:lineRule="auto" w:before="97"/>
        <w:ind w:left="1058" w:right="1060"/>
        <w:jc w:val="left"/>
      </w:pPr>
      <w:r>
        <w:rPr/>
        <w:t>□适用 √不适用</w:t>
      </w:r>
    </w:p>
    <w:p>
      <w:pPr>
        <w:spacing w:after="0" w:line="240" w:lineRule="auto"/>
        <w:jc w:val="left"/>
        <w:sectPr>
          <w:pgSz w:w="11910" w:h="16840"/>
          <w:pgMar w:header="728" w:footer="974" w:top="1120" w:bottom="1160" w:left="360" w:right="340"/>
        </w:sectPr>
      </w:pPr>
    </w:p>
    <w:p>
      <w:pPr>
        <w:spacing w:line="240" w:lineRule="auto" w:before="10"/>
        <w:rPr>
          <w:rFonts w:ascii="宋体" w:hAnsi="宋体" w:cs="宋体" w:eastAsia="宋体" w:hint="default"/>
          <w:sz w:val="26"/>
          <w:szCs w:val="26"/>
        </w:rPr>
      </w:pPr>
    </w:p>
    <w:p>
      <w:pPr>
        <w:pStyle w:val="Heading2"/>
        <w:spacing w:line="240" w:lineRule="auto"/>
        <w:ind w:right="0"/>
        <w:jc w:val="left"/>
        <w:rPr>
          <w:b w:val="0"/>
          <w:bCs w:val="0"/>
        </w:rPr>
      </w:pPr>
      <w:r>
        <w:rPr/>
        <w:t>五、公司对会计政策、会计估计变更或重大会计差错更正原因和影响的分析说明</w:t>
      </w:r>
      <w:r>
        <w:rPr>
          <w:b w:val="0"/>
          <w:bCs w:val="0"/>
        </w:rPr>
      </w:r>
    </w:p>
    <w:p>
      <w:pPr>
        <w:pStyle w:val="Heading2"/>
        <w:tabs>
          <w:tab w:pos="1058" w:val="left" w:leader="none"/>
        </w:tabs>
        <w:spacing w:line="240" w:lineRule="auto" w:before="97"/>
        <w:ind w:right="2585"/>
        <w:jc w:val="left"/>
        <w:rPr>
          <w:b w:val="0"/>
          <w:bCs w:val="0"/>
        </w:rPr>
      </w:pPr>
      <w:r>
        <w:rPr/>
        <w:t>（一）</w:t>
        <w:tab/>
        <w:t>公司对会计政策、会计估计变更原因及影响的分析说明</w:t>
      </w:r>
      <w:r>
        <w:rPr>
          <w:b w:val="0"/>
          <w:bCs w:val="0"/>
        </w:rPr>
      </w:r>
    </w:p>
    <w:p>
      <w:pPr>
        <w:pStyle w:val="BodyText"/>
        <w:tabs>
          <w:tab w:pos="1061" w:val="left" w:leader="none"/>
        </w:tabs>
        <w:spacing w:line="240" w:lineRule="auto" w:before="97"/>
        <w:ind w:right="2585"/>
        <w:jc w:val="left"/>
      </w:pPr>
      <w:r>
        <w:rPr/>
        <w:t>√适用</w:t>
        <w:tab/>
        <w:t>□不适用</w:t>
      </w:r>
    </w:p>
    <w:p>
      <w:pPr>
        <w:pStyle w:val="BodyText"/>
        <w:spacing w:line="273" w:lineRule="auto" w:before="37"/>
        <w:ind w:right="0" w:firstLine="420"/>
        <w:jc w:val="left"/>
      </w:pPr>
      <w:r>
        <w:rPr>
          <w:spacing w:val="-1"/>
          <w:w w:val="100"/>
        </w:rPr>
        <w:t>财政部于</w:t>
      </w:r>
      <w:r>
        <w:rPr>
          <w:spacing w:val="-53"/>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15</w:t>
      </w:r>
      <w:r>
        <w:rPr>
          <w:rFonts w:ascii="宋体" w:hAnsi="宋体" w:cs="宋体" w:eastAsia="宋体" w:hint="default"/>
          <w:spacing w:val="-55"/>
          <w:w w:val="100"/>
        </w:rPr>
        <w:t> </w:t>
      </w:r>
      <w:r>
        <w:rPr>
          <w:spacing w:val="-10"/>
          <w:w w:val="100"/>
        </w:rPr>
        <w:t>日发布了《关于修订印发</w:t>
      </w:r>
      <w:r>
        <w:rPr>
          <w:spacing w:val="-53"/>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spacing w:val="-12"/>
          <w:w w:val="100"/>
        </w:rPr>
        <w:t>年度一般企业财务报表格式的通知》（财</w:t>
      </w:r>
      <w:r>
        <w:rPr>
          <w:w w:val="100"/>
        </w:rPr>
        <w:t> </w:t>
      </w:r>
      <w:r>
        <w:rPr/>
        <w:t>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6"/>
        </w:rPr>
        <w:t> </w:t>
      </w:r>
      <w:r>
        <w:rPr/>
        <w:t>号），对一般企业财务报表格式进行了修订。本公司已采用上述通知编制</w:t>
      </w:r>
      <w:r>
        <w:rPr>
          <w:spacing w:val="-53"/>
        </w:rPr>
        <w:t> </w:t>
      </w:r>
      <w:r>
        <w:rPr>
          <w:rFonts w:ascii="宋体" w:hAnsi="宋体" w:cs="宋体" w:eastAsia="宋体" w:hint="default"/>
        </w:rPr>
        <w:t>2018</w:t>
      </w:r>
      <w:r>
        <w:rPr>
          <w:rFonts w:ascii="宋体" w:hAnsi="宋体" w:cs="宋体" w:eastAsia="宋体" w:hint="default"/>
          <w:spacing w:val="-54"/>
        </w:rPr>
        <w:t> </w:t>
      </w:r>
      <w:r>
        <w:rPr>
          <w:spacing w:val="-3"/>
        </w:rPr>
        <w:t>年度</w:t>
      </w:r>
      <w:r>
        <w:rPr>
          <w:spacing w:val="-3"/>
          <w:w w:val="100"/>
        </w:rPr>
        <w:t> </w:t>
      </w:r>
      <w:r>
        <w:rPr>
          <w:spacing w:val="-4"/>
        </w:rPr>
        <w:t>财务报表。该变更对公司</w:t>
      </w:r>
      <w:r>
        <w:rPr>
          <w:spacing w:val="-29"/>
        </w:rPr>
        <w:t> </w:t>
      </w:r>
      <w:r>
        <w:rPr>
          <w:rFonts w:ascii="宋体" w:hAnsi="宋体" w:cs="宋体" w:eastAsia="宋体" w:hint="default"/>
        </w:rPr>
        <w:t>2018</w:t>
      </w:r>
      <w:r>
        <w:rPr>
          <w:rFonts w:ascii="宋体" w:hAnsi="宋体" w:cs="宋体" w:eastAsia="宋体" w:hint="default"/>
          <w:spacing w:val="-28"/>
        </w:rPr>
        <w:t> </w:t>
      </w:r>
      <w:r>
        <w:rPr>
          <w:spacing w:val="-3"/>
        </w:rPr>
        <w:t>年度财务状况、经营成果和现金流量无重大影响。详见本报告第十一</w:t>
      </w:r>
      <w:r>
        <w:rPr>
          <w:spacing w:val="-95"/>
        </w:rPr>
        <w:t> </w:t>
      </w:r>
      <w:r>
        <w:rPr>
          <w:spacing w:val="-95"/>
        </w:rPr>
      </w:r>
      <w:r>
        <w:rPr/>
        <w:t>节 财务报告附注五、</w:t>
      </w:r>
      <w:r>
        <w:rPr>
          <w:rFonts w:ascii="宋体" w:hAnsi="宋体" w:cs="宋体" w:eastAsia="宋体" w:hint="default"/>
        </w:rPr>
        <w:t>33</w:t>
      </w:r>
      <w:r>
        <w:rPr>
          <w:rFonts w:ascii="宋体" w:hAnsi="宋体" w:cs="宋体" w:eastAsia="宋体" w:hint="default"/>
          <w:spacing w:val="-56"/>
        </w:rPr>
        <w:t> </w:t>
      </w:r>
      <w:r>
        <w:rPr/>
        <w:t>重要会计政策变更。</w:t>
      </w:r>
    </w:p>
    <w:p>
      <w:pPr>
        <w:spacing w:line="240" w:lineRule="auto" w:before="0"/>
        <w:rPr>
          <w:rFonts w:ascii="宋体" w:hAnsi="宋体" w:cs="宋体" w:eastAsia="宋体" w:hint="default"/>
          <w:sz w:val="29"/>
          <w:szCs w:val="29"/>
        </w:rPr>
      </w:pPr>
    </w:p>
    <w:p>
      <w:pPr>
        <w:pStyle w:val="Heading2"/>
        <w:tabs>
          <w:tab w:pos="1058" w:val="left" w:leader="none"/>
        </w:tabs>
        <w:spacing w:line="240" w:lineRule="auto" w:before="0"/>
        <w:ind w:right="2585"/>
        <w:jc w:val="left"/>
        <w:rPr>
          <w:b w:val="0"/>
          <w:bCs w:val="0"/>
        </w:rPr>
      </w:pPr>
      <w:r>
        <w:rPr/>
        <w:t>（二）</w:t>
        <w:tab/>
        <w:t>公司对重大会计差错更正原因及影响的分析说明</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1058" w:val="left" w:leader="none"/>
        </w:tabs>
        <w:spacing w:line="240" w:lineRule="auto" w:before="148"/>
        <w:ind w:right="2585"/>
        <w:jc w:val="left"/>
        <w:rPr>
          <w:b w:val="0"/>
          <w:bCs w:val="0"/>
        </w:rPr>
      </w:pPr>
      <w:r>
        <w:rPr/>
        <w:t>（三）</w:t>
        <w:tab/>
        <w:t>与前任会计师事务所进行的沟通情况</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1058" w:val="left" w:leader="none"/>
        </w:tabs>
        <w:spacing w:line="240" w:lineRule="auto" w:before="147"/>
        <w:ind w:right="2585"/>
        <w:jc w:val="left"/>
        <w:rPr>
          <w:b w:val="0"/>
          <w:bCs w:val="0"/>
        </w:rPr>
      </w:pPr>
      <w:r>
        <w:rPr/>
        <w:t>（四）</w:t>
        <w:tab/>
        <w:t>其他说明</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7"/>
        <w:rPr>
          <w:rFonts w:ascii="宋体" w:hAnsi="宋体" w:cs="宋体" w:eastAsia="宋体" w:hint="default"/>
          <w:sz w:val="28"/>
          <w:szCs w:val="28"/>
        </w:rPr>
      </w:pPr>
    </w:p>
    <w:p>
      <w:pPr>
        <w:pStyle w:val="Heading2"/>
        <w:spacing w:line="240" w:lineRule="auto"/>
        <w:ind w:right="2585"/>
        <w:jc w:val="left"/>
        <w:rPr>
          <w:b w:val="0"/>
          <w:bCs w:val="0"/>
        </w:rPr>
      </w:pPr>
      <w:r>
        <w:rPr/>
        <w:t>六、聘任、解聘会计师事务所情况</w:t>
      </w:r>
      <w:r>
        <w:rPr>
          <w:b w:val="0"/>
          <w:bCs w:val="0"/>
        </w:rPr>
      </w:r>
    </w:p>
    <w:p>
      <w:pPr>
        <w:pStyle w:val="BodyText"/>
        <w:spacing w:line="240" w:lineRule="auto" w:before="97"/>
        <w:ind w:left="0" w:right="111"/>
        <w:jc w:val="right"/>
      </w:pPr>
      <w:r>
        <w:rPr>
          <w:spacing w:val="-2"/>
        </w:rPr>
        <w:t>单位：万元币种：人民币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w:t>
            </w:r>
          </w:p>
        </w:tc>
      </w:tr>
    </w:tbl>
    <w:p>
      <w:pPr>
        <w:spacing w:line="240" w:lineRule="auto" w:before="11"/>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立信会计师事务所（特殊普通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80</w:t>
            </w:r>
          </w:p>
        </w:tc>
      </w:tr>
    </w:tbl>
    <w:p>
      <w:pPr>
        <w:spacing w:line="240" w:lineRule="auto" w:before="2"/>
        <w:rPr>
          <w:rFonts w:ascii="宋体" w:hAnsi="宋体" w:cs="宋体" w:eastAsia="宋体" w:hint="default"/>
          <w:sz w:val="20"/>
          <w:szCs w:val="20"/>
        </w:rPr>
      </w:pPr>
    </w:p>
    <w:p>
      <w:pPr>
        <w:pStyle w:val="BodyText"/>
        <w:spacing w:line="240" w:lineRule="auto" w:before="36"/>
        <w:ind w:right="2585"/>
        <w:jc w:val="left"/>
      </w:pPr>
      <w:r>
        <w:rPr/>
        <w:t>聘任、解聘会计师事务所的情况说明</w:t>
      </w:r>
    </w:p>
    <w:p>
      <w:pPr>
        <w:pStyle w:val="BodyText"/>
        <w:spacing w:line="240" w:lineRule="auto" w:before="37"/>
        <w:ind w:right="2585"/>
        <w:jc w:val="left"/>
      </w:pPr>
      <w:r>
        <w:rPr/>
        <w:t>√适用 □不适用</w:t>
      </w:r>
    </w:p>
    <w:p>
      <w:pPr>
        <w:pStyle w:val="BodyText"/>
        <w:spacing w:line="240" w:lineRule="auto" w:before="37"/>
        <w:ind w:left="638"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spacing w:val="-3"/>
        </w:rPr>
        <w:t>日，经公司</w:t>
      </w:r>
      <w:r>
        <w:rPr>
          <w:spacing w:val="-53"/>
        </w:rPr>
        <w:t> </w:t>
      </w:r>
      <w:r>
        <w:rPr>
          <w:rFonts w:ascii="宋体" w:hAnsi="宋体" w:cs="宋体" w:eastAsia="宋体" w:hint="default"/>
        </w:rPr>
        <w:t>2017</w:t>
      </w:r>
      <w:r>
        <w:rPr>
          <w:rFonts w:ascii="宋体" w:hAnsi="宋体" w:cs="宋体" w:eastAsia="宋体" w:hint="default"/>
          <w:spacing w:val="-54"/>
        </w:rPr>
        <w:t> </w:t>
      </w:r>
      <w:r>
        <w:rPr/>
        <w:t>年度股东大会审议通过，聘请立信会计师事务所（特殊普通合</w:t>
      </w:r>
    </w:p>
    <w:p>
      <w:pPr>
        <w:pStyle w:val="BodyText"/>
        <w:spacing w:line="240" w:lineRule="auto" w:before="37"/>
        <w:ind w:right="2585"/>
        <w:jc w:val="left"/>
      </w:pPr>
      <w:r>
        <w:rPr/>
        <w:t>伙）为公司</w:t>
      </w:r>
      <w:r>
        <w:rPr>
          <w:spacing w:val="-56"/>
        </w:rPr>
        <w:t> </w:t>
      </w:r>
      <w:r>
        <w:rPr>
          <w:rFonts w:ascii="宋体" w:hAnsi="宋体" w:cs="宋体" w:eastAsia="宋体" w:hint="default"/>
        </w:rPr>
        <w:t>2018</w:t>
      </w:r>
      <w:r>
        <w:rPr>
          <w:rFonts w:ascii="宋体" w:hAnsi="宋体" w:cs="宋体" w:eastAsia="宋体" w:hint="default"/>
          <w:spacing w:val="-56"/>
        </w:rPr>
        <w:t> </w:t>
      </w:r>
      <w:r>
        <w:rPr/>
        <w:t>年度财务报告和内部控制审计机构。</w:t>
      </w:r>
    </w:p>
    <w:p>
      <w:pPr>
        <w:spacing w:line="240" w:lineRule="auto" w:before="9"/>
        <w:rPr>
          <w:rFonts w:ascii="宋体" w:hAnsi="宋体" w:cs="宋体" w:eastAsia="宋体" w:hint="default"/>
          <w:sz w:val="26"/>
          <w:szCs w:val="26"/>
        </w:rPr>
      </w:pPr>
    </w:p>
    <w:p>
      <w:pPr>
        <w:pStyle w:val="BodyText"/>
        <w:spacing w:line="240" w:lineRule="auto"/>
        <w:ind w:right="2585"/>
        <w:jc w:val="left"/>
      </w:pPr>
      <w:r>
        <w:rPr/>
        <w:t>审计期间改聘会计师事务所的情况说明</w:t>
      </w:r>
    </w:p>
    <w:p>
      <w:pPr>
        <w:pStyle w:val="BodyText"/>
        <w:tabs>
          <w:tab w:pos="1061" w:val="left" w:leader="none"/>
        </w:tabs>
        <w:spacing w:line="240" w:lineRule="auto" w:before="3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1058" w:val="left" w:leader="none"/>
        </w:tabs>
        <w:spacing w:line="324" w:lineRule="auto" w:before="147"/>
        <w:ind w:right="6442"/>
        <w:jc w:val="left"/>
        <w:rPr>
          <w:b w:val="0"/>
          <w:bCs w:val="0"/>
        </w:rPr>
      </w:pPr>
      <w:r>
        <w:rPr/>
        <w:t>七、面临暂停上市风险的情况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1061" w:val="left" w:leader="none"/>
        </w:tabs>
        <w:spacing w:line="240" w:lineRule="auto" w:before="23"/>
        <w:ind w:right="2585"/>
        <w:jc w:val="left"/>
      </w:pPr>
      <w:r>
        <w:rPr/>
        <w:t>□适用</w:t>
        <w:tab/>
        <w:t>√不适用</w:t>
      </w:r>
    </w:p>
    <w:p>
      <w:pPr>
        <w:pStyle w:val="Heading2"/>
        <w:tabs>
          <w:tab w:pos="1058" w:val="left" w:leader="none"/>
        </w:tabs>
        <w:spacing w:line="240" w:lineRule="auto" w:before="97"/>
        <w:ind w:right="258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97"/>
        <w:ind w:right="2585"/>
        <w:jc w:val="left"/>
      </w:pPr>
      <w:r>
        <w:rPr/>
        <w:t>□适用 √不适用</w:t>
      </w:r>
    </w:p>
    <w:p>
      <w:pPr>
        <w:spacing w:after="0" w:line="240" w:lineRule="auto"/>
        <w:jc w:val="left"/>
        <w:sectPr>
          <w:pgSz w:w="11910" w:h="16840"/>
          <w:pgMar w:header="728" w:footer="974" w:top="1120" w:bottom="1160" w:left="12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t>八、面临终止上市的情况和原因</w:t>
      </w:r>
      <w:r>
        <w:rPr>
          <w:b w:val="0"/>
          <w:bCs w:val="0"/>
        </w:rPr>
      </w:r>
    </w:p>
    <w:p>
      <w:pPr>
        <w:pStyle w:val="BodyText"/>
        <w:tabs>
          <w:tab w:pos="1061" w:val="left" w:leader="none"/>
        </w:tabs>
        <w:spacing w:line="240" w:lineRule="auto" w:before="97"/>
        <w:ind w:right="0"/>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九、破产重整相关事项</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十、重大诉讼、仲裁事项</w:t>
      </w:r>
      <w:r>
        <w:rPr>
          <w:b w:val="0"/>
          <w:bCs w:val="0"/>
        </w:rPr>
      </w:r>
    </w:p>
    <w:p>
      <w:pPr>
        <w:pStyle w:val="BodyText"/>
        <w:spacing w:line="240" w:lineRule="auto" w:before="97"/>
        <w:ind w:right="0"/>
        <w:jc w:val="left"/>
      </w:pPr>
      <w:r>
        <w:rPr/>
        <w:t>□本年度公司有重大诉讼、仲裁事项</w:t>
      </w:r>
      <w:r>
        <w:rPr>
          <w:spacing w:val="-6"/>
        </w:rPr>
        <w:t> </w:t>
      </w:r>
      <w:r>
        <w:rPr/>
        <w:t>√本年度公司无重大诉讼、仲裁事项</w:t>
      </w:r>
    </w:p>
    <w:p>
      <w:pPr>
        <w:spacing w:line="240" w:lineRule="auto" w:before="0"/>
        <w:rPr>
          <w:rFonts w:ascii="宋体" w:hAnsi="宋体" w:cs="宋体" w:eastAsia="宋体" w:hint="default"/>
          <w:sz w:val="20"/>
          <w:szCs w:val="20"/>
        </w:rPr>
      </w:pPr>
    </w:p>
    <w:p>
      <w:pPr>
        <w:pStyle w:val="Heading2"/>
        <w:spacing w:line="240" w:lineRule="auto" w:before="148"/>
        <w:ind w:right="0"/>
        <w:jc w:val="left"/>
        <w:rPr>
          <w:b w:val="0"/>
          <w:bCs w:val="0"/>
        </w:rPr>
      </w:pPr>
      <w:r>
        <w:rPr/>
        <w:t>十一、上市公司及其董事、监事、高级管理人员、控股股东、实际控制人、收购人处罚及整改情况</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十二、报告期内公司及其控股股东、实际控制人诚信状况的说明</w:t>
      </w:r>
      <w:r>
        <w:rPr>
          <w:b w:val="0"/>
          <w:bCs w:val="0"/>
        </w:rPr>
      </w:r>
    </w:p>
    <w:p>
      <w:pPr>
        <w:pStyle w:val="BodyText"/>
        <w:tabs>
          <w:tab w:pos="1061" w:val="left" w:leader="none"/>
        </w:tabs>
        <w:spacing w:line="273" w:lineRule="auto" w:before="97"/>
        <w:ind w:left="638" w:right="168" w:hanging="420"/>
        <w:jc w:val="left"/>
      </w:pPr>
      <w:r>
        <w:rPr/>
        <w:t>√适用</w:t>
        <w:tab/>
        <w:t>□不适用</w:t>
      </w:r>
      <w:r>
        <w:rPr>
          <w:w w:val="100"/>
        </w:rPr>
        <w:t> </w:t>
      </w:r>
      <w:r>
        <w:rPr>
          <w:spacing w:val="-2"/>
        </w:rPr>
        <w:t>报告期内，公司及控股股东、实际控制人诚信状况良好，不存在未履行法院生效判决、所负数</w:t>
      </w:r>
    </w:p>
    <w:p>
      <w:pPr>
        <w:pStyle w:val="BodyText"/>
        <w:spacing w:line="240" w:lineRule="auto" w:before="7"/>
        <w:ind w:right="0"/>
        <w:jc w:val="left"/>
      </w:pPr>
      <w:r>
        <w:rPr/>
        <w:t>额较大的债务到期未清偿等情况。</w:t>
      </w:r>
    </w:p>
    <w:p>
      <w:pPr>
        <w:spacing w:line="240" w:lineRule="auto" w:before="0"/>
        <w:rPr>
          <w:rFonts w:ascii="宋体" w:hAnsi="宋体" w:cs="宋体" w:eastAsia="宋体" w:hint="default"/>
          <w:sz w:val="20"/>
          <w:szCs w:val="20"/>
        </w:rPr>
      </w:pPr>
    </w:p>
    <w:p>
      <w:pPr>
        <w:pStyle w:val="Heading2"/>
        <w:spacing w:line="326" w:lineRule="auto" w:before="147"/>
        <w:ind w:right="167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21"/>
        <w:ind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330"/>
        <w:gridCol w:w="4875"/>
      </w:tblGrid>
      <w:tr>
        <w:trPr>
          <w:trHeight w:val="324"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88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4"/>
                <w:sz w:val="21"/>
                <w:szCs w:val="21"/>
              </w:rPr>
              <w:t>日，公司第三届董事会第二十</w:t>
            </w:r>
            <w:r>
              <w:rPr>
                <w:rFonts w:ascii="宋体" w:hAnsi="宋体" w:cs="宋体" w:eastAsia="宋体" w:hint="default"/>
                <w:w w:val="100"/>
                <w:sz w:val="21"/>
                <w:szCs w:val="21"/>
              </w:rPr>
              <w:t> </w:t>
            </w:r>
            <w:r>
              <w:rPr>
                <w:rFonts w:ascii="宋体" w:hAnsi="宋体" w:cs="宋体" w:eastAsia="宋体" w:hint="default"/>
                <w:spacing w:val="-6"/>
                <w:w w:val="100"/>
                <w:sz w:val="21"/>
                <w:szCs w:val="21"/>
              </w:rPr>
              <w:t>七次会议审议通过了《关于回购注销部分激励</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对象已获授但尚未解锁的第二期限制性股票</w:t>
            </w:r>
            <w:r>
              <w:rPr>
                <w:rFonts w:ascii="宋体" w:hAnsi="宋体" w:cs="宋体" w:eastAsia="宋体" w:hint="default"/>
                <w:w w:val="100"/>
                <w:sz w:val="21"/>
                <w:szCs w:val="21"/>
              </w:rPr>
              <w:t> </w:t>
            </w:r>
            <w:r>
              <w:rPr>
                <w:rFonts w:ascii="宋体" w:hAnsi="宋体" w:cs="宋体" w:eastAsia="宋体" w:hint="default"/>
                <w:sz w:val="21"/>
                <w:szCs w:val="21"/>
              </w:rPr>
              <w:t>的议案》</w:t>
            </w:r>
            <w:r>
              <w:rPr>
                <w:rFonts w:ascii="宋体" w:hAnsi="宋体" w:cs="宋体" w:eastAsia="宋体" w:hint="default"/>
                <w:sz w:val="21"/>
                <w:szCs w:val="21"/>
              </w:rPr>
              <w:t>,</w:t>
            </w:r>
            <w:r>
              <w:rPr>
                <w:rFonts w:ascii="宋体" w:hAnsi="宋体" w:cs="宋体" w:eastAsia="宋体" w:hint="default"/>
                <w:sz w:val="21"/>
                <w:szCs w:val="21"/>
              </w:rPr>
              <w:t>同意公司回购注销</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名已不符合激</w:t>
            </w:r>
            <w:r>
              <w:rPr>
                <w:rFonts w:ascii="宋体" w:hAnsi="宋体" w:cs="宋体" w:eastAsia="宋体" w:hint="default"/>
                <w:w w:val="100"/>
                <w:sz w:val="21"/>
                <w:szCs w:val="21"/>
              </w:rPr>
              <w:t> </w:t>
            </w:r>
            <w:r>
              <w:rPr>
                <w:rFonts w:ascii="宋体" w:hAnsi="宋体" w:cs="宋体" w:eastAsia="宋体" w:hint="default"/>
                <w:sz w:val="21"/>
                <w:szCs w:val="21"/>
              </w:rPr>
              <w:t>励条件的激励对象已获授但尚未解锁的</w:t>
            </w:r>
            <w:r>
              <w:rPr>
                <w:rFonts w:ascii="宋体" w:hAnsi="宋体" w:cs="宋体" w:eastAsia="宋体" w:hint="default"/>
                <w:w w:val="100"/>
                <w:sz w:val="21"/>
                <w:szCs w:val="21"/>
              </w:rPr>
              <w:t> </w:t>
            </w:r>
            <w:r>
              <w:rPr>
                <w:rFonts w:ascii="宋体" w:hAnsi="宋体" w:cs="宋体" w:eastAsia="宋体" w:hint="default"/>
                <w:sz w:val="21"/>
                <w:szCs w:val="21"/>
              </w:rPr>
              <w:t>280,000</w:t>
            </w:r>
            <w:r>
              <w:rPr>
                <w:rFonts w:ascii="宋体" w:hAnsi="宋体" w:cs="宋体" w:eastAsia="宋体" w:hint="default"/>
                <w:spacing w:val="-53"/>
                <w:sz w:val="21"/>
                <w:szCs w:val="21"/>
              </w:rPr>
              <w:t> </w:t>
            </w:r>
            <w:r>
              <w:rPr>
                <w:rFonts w:ascii="宋体" w:hAnsi="宋体" w:cs="宋体" w:eastAsia="宋体" w:hint="default"/>
                <w:sz w:val="21"/>
                <w:szCs w:val="21"/>
              </w:rPr>
              <w:t>股限制性股票。</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上海证券交易所网站公司公告中：《公司第三届董</w:t>
            </w:r>
            <w:r>
              <w:rPr>
                <w:rFonts w:ascii="宋体" w:hAnsi="宋体" w:cs="宋体" w:eastAsia="宋体" w:hint="default"/>
                <w:w w:val="100"/>
                <w:sz w:val="21"/>
                <w:szCs w:val="21"/>
              </w:rPr>
              <w:t> </w:t>
            </w:r>
            <w:r>
              <w:rPr>
                <w:rFonts w:ascii="宋体" w:hAnsi="宋体" w:cs="宋体" w:eastAsia="宋体" w:hint="default"/>
                <w:sz w:val="21"/>
                <w:szCs w:val="21"/>
              </w:rPr>
              <w:t>事会第二十七次会议决议公告》、《关于回购注销</w:t>
            </w:r>
            <w:r>
              <w:rPr>
                <w:rFonts w:ascii="宋体" w:hAnsi="宋体" w:cs="宋体" w:eastAsia="宋体" w:hint="default"/>
                <w:w w:val="100"/>
                <w:sz w:val="21"/>
                <w:szCs w:val="21"/>
              </w:rPr>
              <w:t> </w:t>
            </w:r>
            <w:r>
              <w:rPr>
                <w:rFonts w:ascii="宋体" w:hAnsi="宋体" w:cs="宋体" w:eastAsia="宋体" w:hint="default"/>
                <w:sz w:val="21"/>
                <w:szCs w:val="21"/>
              </w:rPr>
              <w:t>部分激励对象已获授但尚未解锁的第二期限制性股</w:t>
            </w:r>
            <w:r>
              <w:rPr>
                <w:rFonts w:ascii="宋体" w:hAnsi="宋体" w:cs="宋体" w:eastAsia="宋体" w:hint="default"/>
                <w:w w:val="100"/>
                <w:sz w:val="21"/>
                <w:szCs w:val="21"/>
              </w:rPr>
              <w:t> </w:t>
            </w:r>
            <w:r>
              <w:rPr>
                <w:rFonts w:ascii="宋体" w:hAnsi="宋体" w:cs="宋体" w:eastAsia="宋体" w:hint="default"/>
                <w:sz w:val="21"/>
                <w:szCs w:val="21"/>
              </w:rPr>
              <w:t>票的公告》和《关于回购注销部分第二期限制性股</w:t>
            </w:r>
            <w:r>
              <w:rPr>
                <w:rFonts w:ascii="宋体" w:hAnsi="宋体" w:cs="宋体" w:eastAsia="宋体" w:hint="default"/>
                <w:w w:val="100"/>
                <w:sz w:val="21"/>
                <w:szCs w:val="21"/>
              </w:rPr>
              <w:t> </w:t>
            </w:r>
            <w:r>
              <w:rPr>
                <w:rFonts w:ascii="宋体" w:hAnsi="宋体" w:cs="宋体" w:eastAsia="宋体" w:hint="default"/>
                <w:spacing w:val="-13"/>
                <w:w w:val="100"/>
                <w:sz w:val="21"/>
                <w:szCs w:val="21"/>
              </w:rPr>
              <w:t>票通知债权人的公告》，公告编号分别为临</w:t>
            </w:r>
            <w:r>
              <w:rPr>
                <w:rFonts w:ascii="宋体" w:hAnsi="宋体" w:cs="宋体" w:eastAsia="宋体" w:hint="default"/>
                <w:spacing w:val="-60"/>
                <w:w w:val="100"/>
                <w:sz w:val="21"/>
                <w:szCs w:val="21"/>
              </w:rPr>
              <w:t> </w:t>
            </w:r>
            <w:r>
              <w:rPr>
                <w:rFonts w:ascii="宋体" w:hAnsi="宋体" w:cs="宋体" w:eastAsia="宋体" w:hint="default"/>
                <w:spacing w:val="-1"/>
                <w:w w:val="100"/>
                <w:sz w:val="21"/>
                <w:szCs w:val="21"/>
              </w:rPr>
              <w:t>2018-01</w:t>
            </w:r>
            <w:r>
              <w:rPr>
                <w:rFonts w:ascii="宋体" w:hAnsi="宋体" w:cs="宋体" w:eastAsia="宋体" w:hint="default"/>
                <w:spacing w:val="-1"/>
                <w:w w:val="100"/>
                <w:sz w:val="21"/>
                <w:szCs w:val="21"/>
              </w:rPr>
              <w:t>、</w:t>
            </w:r>
            <w:r>
              <w:rPr>
                <w:rFonts w:ascii="宋体" w:hAnsi="宋体" w:cs="宋体" w:eastAsia="宋体" w:hint="default"/>
                <w:spacing w:val="-102"/>
                <w:w w:val="100"/>
                <w:sz w:val="21"/>
                <w:szCs w:val="21"/>
              </w:rPr>
              <w:t> </w:t>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2018-04</w:t>
            </w:r>
            <w:r>
              <w:rPr>
                <w:rFonts w:ascii="宋体" w:hAnsi="宋体" w:cs="宋体" w:eastAsia="宋体" w:hint="default"/>
                <w:spacing w:val="-55"/>
                <w:sz w:val="21"/>
                <w:szCs w:val="21"/>
              </w:rPr>
              <w:t> </w:t>
            </w:r>
            <w:r>
              <w:rPr>
                <w:rFonts w:ascii="宋体" w:hAnsi="宋体" w:cs="宋体" w:eastAsia="宋体" w:hint="default"/>
                <w:sz w:val="21"/>
                <w:szCs w:val="21"/>
              </w:rPr>
              <w:t>和临</w:t>
            </w:r>
            <w:r>
              <w:rPr>
                <w:rFonts w:ascii="宋体" w:hAnsi="宋体" w:cs="宋体" w:eastAsia="宋体" w:hint="default"/>
                <w:spacing w:val="-53"/>
                <w:sz w:val="21"/>
                <w:szCs w:val="21"/>
              </w:rPr>
              <w:t> </w:t>
            </w:r>
            <w:r>
              <w:rPr>
                <w:rFonts w:ascii="宋体" w:hAnsi="宋体" w:cs="宋体" w:eastAsia="宋体" w:hint="default"/>
                <w:sz w:val="21"/>
                <w:szCs w:val="21"/>
              </w:rPr>
              <w:t>2018-05</w:t>
            </w:r>
            <w:r>
              <w:rPr>
                <w:rFonts w:ascii="宋体" w:hAnsi="宋体" w:cs="宋体" w:eastAsia="宋体" w:hint="default"/>
                <w:sz w:val="21"/>
                <w:szCs w:val="21"/>
              </w:rPr>
              <w:t>。</w:t>
            </w:r>
          </w:p>
        </w:tc>
      </w:tr>
      <w:tr>
        <w:trPr>
          <w:trHeight w:val="1258"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日，公司在中国证券登记结算</w:t>
            </w:r>
            <w:r>
              <w:rPr>
                <w:rFonts w:ascii="宋体" w:hAnsi="宋体" w:cs="宋体" w:eastAsia="宋体" w:hint="default"/>
                <w:w w:val="100"/>
                <w:sz w:val="21"/>
                <w:szCs w:val="21"/>
              </w:rPr>
              <w:t> </w:t>
            </w:r>
            <w:r>
              <w:rPr>
                <w:rFonts w:ascii="宋体" w:hAnsi="宋体" w:cs="宋体" w:eastAsia="宋体" w:hint="default"/>
                <w:sz w:val="21"/>
                <w:szCs w:val="21"/>
              </w:rPr>
              <w:t>有限责任公司上海分公司完成第二期股权激</w:t>
            </w:r>
            <w:r>
              <w:rPr>
                <w:rFonts w:ascii="宋体" w:hAnsi="宋体" w:cs="宋体" w:eastAsia="宋体" w:hint="default"/>
                <w:w w:val="100"/>
                <w:sz w:val="21"/>
                <w:szCs w:val="21"/>
              </w:rPr>
              <w:t> </w:t>
            </w:r>
            <w:r>
              <w:rPr>
                <w:rFonts w:ascii="宋体" w:hAnsi="宋体" w:cs="宋体" w:eastAsia="宋体" w:hint="default"/>
                <w:spacing w:val="-6"/>
                <w:w w:val="100"/>
                <w:sz w:val="21"/>
                <w:szCs w:val="21"/>
              </w:rPr>
              <w:t>励计划预留部分限制性股票授予登记手续，并</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日公告。</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上海证券交易所网站公司公告中：《第二期股权激</w:t>
            </w:r>
            <w:r>
              <w:rPr>
                <w:rFonts w:ascii="宋体" w:hAnsi="宋体" w:cs="宋体" w:eastAsia="宋体" w:hint="default"/>
                <w:w w:val="100"/>
                <w:sz w:val="21"/>
                <w:szCs w:val="21"/>
              </w:rPr>
              <w:t> </w:t>
            </w:r>
            <w:r>
              <w:rPr>
                <w:rFonts w:ascii="宋体" w:hAnsi="宋体" w:cs="宋体" w:eastAsia="宋体" w:hint="default"/>
                <w:spacing w:val="-5"/>
                <w:sz w:val="21"/>
                <w:szCs w:val="21"/>
              </w:rPr>
              <w:t>励计划预留限制性股票授予结果公告》</w:t>
            </w:r>
            <w:r>
              <w:rPr>
                <w:rFonts w:ascii="宋体" w:hAnsi="宋体" w:cs="宋体" w:eastAsia="宋体" w:hint="default"/>
                <w:spacing w:val="-5"/>
                <w:sz w:val="21"/>
                <w:szCs w:val="21"/>
              </w:rPr>
              <w:t>,</w:t>
            </w:r>
            <w:r>
              <w:rPr>
                <w:rFonts w:ascii="宋体" w:hAnsi="宋体" w:cs="宋体" w:eastAsia="宋体" w:hint="default"/>
                <w:spacing w:val="-5"/>
                <w:sz w:val="21"/>
                <w:szCs w:val="21"/>
              </w:rPr>
              <w:t>公告编号为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2018-08</w:t>
            </w:r>
            <w:r>
              <w:rPr>
                <w:rFonts w:ascii="宋体" w:hAnsi="宋体" w:cs="宋体" w:eastAsia="宋体" w:hint="default"/>
                <w:sz w:val="21"/>
                <w:szCs w:val="21"/>
              </w:rPr>
              <w:t>。</w:t>
            </w:r>
          </w:p>
        </w:tc>
      </w:tr>
      <w:tr>
        <w:trPr>
          <w:trHeight w:val="2818"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4"/>
                <w:sz w:val="21"/>
                <w:szCs w:val="21"/>
              </w:rPr>
              <w:t>日，公司第三届董事会第三十</w:t>
            </w:r>
            <w:r>
              <w:rPr>
                <w:rFonts w:ascii="宋体" w:hAnsi="宋体" w:cs="宋体" w:eastAsia="宋体" w:hint="default"/>
                <w:w w:val="100"/>
                <w:sz w:val="21"/>
                <w:szCs w:val="21"/>
              </w:rPr>
              <w:t> </w:t>
            </w:r>
            <w:r>
              <w:rPr>
                <w:rFonts w:ascii="宋体" w:hAnsi="宋体" w:cs="宋体" w:eastAsia="宋体" w:hint="default"/>
                <w:spacing w:val="-6"/>
                <w:w w:val="100"/>
                <w:sz w:val="21"/>
                <w:szCs w:val="21"/>
              </w:rPr>
              <w:t>次会议审议通过了《关于回购注销部分激励对</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象已获授但尚未解锁的第二期限制性股票的</w:t>
            </w:r>
            <w:r>
              <w:rPr>
                <w:rFonts w:ascii="宋体" w:hAnsi="宋体" w:cs="宋体" w:eastAsia="宋体" w:hint="default"/>
                <w:w w:val="100"/>
                <w:sz w:val="21"/>
                <w:szCs w:val="21"/>
              </w:rPr>
              <w:t> </w:t>
            </w:r>
            <w:r>
              <w:rPr>
                <w:rFonts w:ascii="宋体" w:hAnsi="宋体" w:cs="宋体" w:eastAsia="宋体" w:hint="default"/>
                <w:spacing w:val="-6"/>
                <w:sz w:val="21"/>
                <w:szCs w:val="21"/>
              </w:rPr>
              <w:t>议案》、《关于第二期限制性股票激励计划之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首次授予限制性股票第一次解锁事宜的议</w:t>
            </w:r>
            <w:r>
              <w:rPr>
                <w:rFonts w:ascii="宋体" w:hAnsi="宋体" w:cs="宋体" w:eastAsia="宋体" w:hint="default"/>
                <w:w w:val="100"/>
                <w:sz w:val="21"/>
                <w:szCs w:val="21"/>
              </w:rPr>
              <w:t> </w:t>
            </w:r>
            <w:r>
              <w:rPr>
                <w:rFonts w:ascii="宋体" w:hAnsi="宋体" w:cs="宋体" w:eastAsia="宋体" w:hint="default"/>
                <w:spacing w:val="-9"/>
                <w:sz w:val="21"/>
                <w:szCs w:val="21"/>
              </w:rPr>
              <w:t>案》，同意公司回购注销将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名激励对象部分</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已获授但尚未解锁共计</w:t>
            </w:r>
            <w:r>
              <w:rPr>
                <w:rFonts w:ascii="宋体" w:hAnsi="宋体" w:cs="宋体" w:eastAsia="宋体" w:hint="default"/>
                <w:spacing w:val="-54"/>
                <w:sz w:val="21"/>
                <w:szCs w:val="21"/>
              </w:rPr>
              <w:t> </w:t>
            </w:r>
            <w:r>
              <w:rPr>
                <w:rFonts w:ascii="宋体" w:hAnsi="宋体" w:cs="宋体" w:eastAsia="宋体" w:hint="default"/>
                <w:sz w:val="21"/>
                <w:szCs w:val="21"/>
              </w:rPr>
              <w:t>85,400</w:t>
            </w:r>
            <w:r>
              <w:rPr>
                <w:rFonts w:ascii="宋体" w:hAnsi="宋体" w:cs="宋体" w:eastAsia="宋体" w:hint="default"/>
                <w:spacing w:val="-56"/>
                <w:sz w:val="21"/>
                <w:szCs w:val="21"/>
              </w:rPr>
              <w:t> </w:t>
            </w:r>
            <w:r>
              <w:rPr>
                <w:rFonts w:ascii="宋体" w:hAnsi="宋体" w:cs="宋体" w:eastAsia="宋体" w:hint="default"/>
                <w:sz w:val="21"/>
                <w:szCs w:val="21"/>
              </w:rPr>
              <w:t>股限制性股</w:t>
            </w:r>
            <w:r>
              <w:rPr>
                <w:rFonts w:ascii="宋体" w:hAnsi="宋体" w:cs="宋体" w:eastAsia="宋体" w:hint="default"/>
                <w:w w:val="100"/>
                <w:sz w:val="21"/>
                <w:szCs w:val="21"/>
              </w:rPr>
              <w:t> </w:t>
            </w:r>
            <w:r>
              <w:rPr>
                <w:rFonts w:ascii="宋体" w:hAnsi="宋体" w:cs="宋体" w:eastAsia="宋体" w:hint="default"/>
                <w:spacing w:val="-6"/>
                <w:w w:val="100"/>
                <w:sz w:val="21"/>
                <w:szCs w:val="21"/>
              </w:rPr>
              <w:t>票；解锁第二期股权激励计划首次授予的部分</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限制性股票</w:t>
            </w:r>
            <w:r>
              <w:rPr>
                <w:rFonts w:ascii="宋体" w:hAnsi="宋体" w:cs="宋体" w:eastAsia="宋体" w:hint="default"/>
                <w:spacing w:val="-54"/>
                <w:sz w:val="21"/>
                <w:szCs w:val="21"/>
              </w:rPr>
              <w:t> </w:t>
            </w:r>
            <w:r>
              <w:rPr>
                <w:rFonts w:ascii="宋体" w:hAnsi="宋体" w:cs="宋体" w:eastAsia="宋体" w:hint="default"/>
                <w:sz w:val="21"/>
                <w:szCs w:val="21"/>
              </w:rPr>
              <w:t>6,333,600</w:t>
            </w:r>
            <w:r>
              <w:rPr>
                <w:rFonts w:ascii="宋体" w:hAnsi="宋体" w:cs="宋体" w:eastAsia="宋体" w:hint="default"/>
                <w:spacing w:val="-54"/>
                <w:sz w:val="21"/>
                <w:szCs w:val="21"/>
              </w:rPr>
              <w:t> </w:t>
            </w:r>
            <w:r>
              <w:rPr>
                <w:rFonts w:ascii="宋体" w:hAnsi="宋体" w:cs="宋体" w:eastAsia="宋体" w:hint="default"/>
                <w:sz w:val="21"/>
                <w:szCs w:val="21"/>
              </w:rPr>
              <w:t>股，上市流通时间：</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上海证券交易所网站公司公告中：《公司第三届董</w:t>
            </w:r>
            <w:r>
              <w:rPr>
                <w:rFonts w:ascii="宋体" w:hAnsi="宋体" w:cs="宋体" w:eastAsia="宋体" w:hint="default"/>
                <w:w w:val="100"/>
                <w:sz w:val="21"/>
                <w:szCs w:val="21"/>
              </w:rPr>
              <w:t> </w:t>
            </w:r>
            <w:r>
              <w:rPr>
                <w:rFonts w:ascii="宋体" w:hAnsi="宋体" w:cs="宋体" w:eastAsia="宋体" w:hint="default"/>
                <w:sz w:val="21"/>
                <w:szCs w:val="21"/>
              </w:rPr>
              <w:t>事会第三十次会议决议公告》、《关于回购注销部</w:t>
            </w:r>
            <w:r>
              <w:rPr>
                <w:rFonts w:ascii="宋体" w:hAnsi="宋体" w:cs="宋体" w:eastAsia="宋体" w:hint="default"/>
                <w:w w:val="100"/>
                <w:sz w:val="21"/>
                <w:szCs w:val="21"/>
              </w:rPr>
              <w:t> </w:t>
            </w:r>
            <w:r>
              <w:rPr>
                <w:rFonts w:ascii="宋体" w:hAnsi="宋体" w:cs="宋体" w:eastAsia="宋体" w:hint="default"/>
                <w:sz w:val="21"/>
                <w:szCs w:val="21"/>
              </w:rPr>
              <w:t>分激励对象已获授但尚未解锁的第二期限制性股票</w:t>
            </w:r>
            <w:r>
              <w:rPr>
                <w:rFonts w:ascii="宋体" w:hAnsi="宋体" w:cs="宋体" w:eastAsia="宋体" w:hint="default"/>
                <w:w w:val="100"/>
                <w:sz w:val="21"/>
                <w:szCs w:val="21"/>
              </w:rPr>
              <w:t> </w:t>
            </w:r>
            <w:r>
              <w:rPr>
                <w:rFonts w:ascii="宋体" w:hAnsi="宋体" w:cs="宋体" w:eastAsia="宋体" w:hint="default"/>
                <w:sz w:val="21"/>
                <w:szCs w:val="21"/>
              </w:rPr>
              <w:t>的公告》、《关于回购注销部分第二期限制性股票</w:t>
            </w:r>
            <w:r>
              <w:rPr>
                <w:rFonts w:ascii="宋体" w:hAnsi="宋体" w:cs="宋体" w:eastAsia="宋体" w:hint="default"/>
                <w:w w:val="100"/>
                <w:sz w:val="21"/>
                <w:szCs w:val="21"/>
              </w:rPr>
              <w:t> </w:t>
            </w:r>
            <w:r>
              <w:rPr>
                <w:rFonts w:ascii="宋体" w:hAnsi="宋体" w:cs="宋体" w:eastAsia="宋体" w:hint="default"/>
                <w:sz w:val="21"/>
                <w:szCs w:val="21"/>
              </w:rPr>
              <w:t>通知债权人的公告》和《第二期股权激励计划首次</w:t>
            </w:r>
            <w:r>
              <w:rPr>
                <w:rFonts w:ascii="宋体" w:hAnsi="宋体" w:cs="宋体" w:eastAsia="宋体" w:hint="default"/>
                <w:w w:val="100"/>
                <w:sz w:val="21"/>
                <w:szCs w:val="21"/>
              </w:rPr>
              <w:t> </w:t>
            </w:r>
            <w:r>
              <w:rPr>
                <w:rFonts w:ascii="宋体" w:hAnsi="宋体" w:cs="宋体" w:eastAsia="宋体" w:hint="default"/>
                <w:spacing w:val="-5"/>
                <w:sz w:val="21"/>
                <w:szCs w:val="21"/>
              </w:rPr>
              <w:t>授予限制性股票第一次解锁暨上市公告》</w:t>
            </w:r>
            <w:r>
              <w:rPr>
                <w:rFonts w:ascii="宋体" w:hAnsi="宋体" w:cs="宋体" w:eastAsia="宋体" w:hint="default"/>
                <w:spacing w:val="-5"/>
                <w:sz w:val="21"/>
                <w:szCs w:val="21"/>
              </w:rPr>
              <w:t>,</w:t>
            </w:r>
            <w:r>
              <w:rPr>
                <w:rFonts w:ascii="宋体" w:hAnsi="宋体" w:cs="宋体" w:eastAsia="宋体" w:hint="default"/>
                <w:spacing w:val="-5"/>
                <w:sz w:val="21"/>
                <w:szCs w:val="21"/>
              </w:rPr>
              <w:t>公告编号</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分别为临</w:t>
            </w:r>
            <w:r>
              <w:rPr>
                <w:rFonts w:ascii="宋体" w:hAnsi="宋体" w:cs="宋体" w:eastAsia="宋体" w:hint="default"/>
                <w:spacing w:val="-53"/>
                <w:sz w:val="21"/>
                <w:szCs w:val="21"/>
              </w:rPr>
              <w:t> </w:t>
            </w:r>
            <w:r>
              <w:rPr>
                <w:rFonts w:ascii="宋体" w:hAnsi="宋体" w:cs="宋体" w:eastAsia="宋体" w:hint="default"/>
                <w:sz w:val="21"/>
                <w:szCs w:val="21"/>
              </w:rPr>
              <w:t>2018-28</w:t>
            </w: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2018-36</w:t>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2018-38</w:t>
            </w:r>
            <w:r>
              <w:rPr>
                <w:rFonts w:ascii="宋体" w:hAnsi="宋体" w:cs="宋体" w:eastAsia="宋体" w:hint="default"/>
                <w:spacing w:val="-54"/>
                <w:sz w:val="21"/>
                <w:szCs w:val="21"/>
              </w:rPr>
              <w:t> </w:t>
            </w:r>
            <w:r>
              <w:rPr>
                <w:rFonts w:ascii="宋体" w:hAnsi="宋体" w:cs="宋体" w:eastAsia="宋体" w:hint="default"/>
                <w:spacing w:val="-3"/>
                <w:sz w:val="21"/>
                <w:szCs w:val="21"/>
              </w:rPr>
              <w:t>和临</w:t>
            </w:r>
            <w:r>
              <w:rPr>
                <w:rFonts w:ascii="宋体" w:hAnsi="宋体" w:cs="宋体" w:eastAsia="宋体" w:hint="default"/>
                <w:spacing w:val="-3"/>
                <w:w w:val="100"/>
                <w:sz w:val="21"/>
                <w:szCs w:val="21"/>
              </w:rPr>
              <w:t> </w:t>
            </w:r>
            <w:r>
              <w:rPr>
                <w:rFonts w:ascii="宋体" w:hAnsi="宋体" w:cs="宋体" w:eastAsia="宋体" w:hint="default"/>
                <w:sz w:val="21"/>
                <w:szCs w:val="21"/>
              </w:rPr>
              <w:t>2018-40</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728" w:footer="974" w:top="1120" w:bottom="1160" w:left="120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330"/>
        <w:gridCol w:w="4875"/>
      </w:tblGrid>
      <w:tr>
        <w:trPr>
          <w:trHeight w:val="324"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5"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公司分别于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日和</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3" w:lineRule="auto" w:before="37"/>
              <w:ind w:left="103" w:right="9"/>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日收到中国证券登记结算有限责任公司上</w:t>
            </w:r>
            <w:r>
              <w:rPr>
                <w:rFonts w:ascii="宋体" w:hAnsi="宋体" w:cs="宋体" w:eastAsia="宋体" w:hint="default"/>
                <w:w w:val="100"/>
                <w:sz w:val="21"/>
                <w:szCs w:val="21"/>
              </w:rPr>
              <w:t> </w:t>
            </w:r>
            <w:r>
              <w:rPr>
                <w:rFonts w:ascii="宋体" w:hAnsi="宋体" w:cs="宋体" w:eastAsia="宋体" w:hint="default"/>
                <w:spacing w:val="-3"/>
                <w:sz w:val="21"/>
                <w:szCs w:val="21"/>
              </w:rPr>
              <w:t>海分公司出具的过户登记确认书，</w:t>
            </w:r>
            <w:r>
              <w:rPr>
                <w:rFonts w:ascii="宋体" w:hAnsi="宋体" w:cs="宋体" w:eastAsia="宋体" w:hint="default"/>
                <w:spacing w:val="-3"/>
                <w:sz w:val="21"/>
                <w:szCs w:val="21"/>
              </w:rPr>
              <w:t>285,400</w:t>
            </w:r>
            <w:r>
              <w:rPr>
                <w:rFonts w:ascii="宋体" w:hAnsi="宋体" w:cs="宋体" w:eastAsia="宋体" w:hint="default"/>
                <w:spacing w:val="-43"/>
                <w:sz w:val="21"/>
                <w:szCs w:val="21"/>
              </w:rPr>
              <w:t> </w:t>
            </w:r>
            <w:r>
              <w:rPr>
                <w:rFonts w:ascii="宋体" w:hAnsi="宋体" w:cs="宋体" w:eastAsia="宋体" w:hint="default"/>
                <w:sz w:val="21"/>
                <w:szCs w:val="21"/>
              </w:rPr>
              <w:t>股</w:t>
            </w:r>
            <w:r>
              <w:rPr>
                <w:rFonts w:ascii="宋体" w:hAnsi="宋体" w:cs="宋体" w:eastAsia="宋体" w:hint="default"/>
                <w:spacing w:val="-84"/>
                <w:sz w:val="21"/>
                <w:szCs w:val="21"/>
              </w:rPr>
              <w:t> </w:t>
            </w:r>
            <w:r>
              <w:rPr>
                <w:rFonts w:ascii="宋体" w:hAnsi="宋体" w:cs="宋体" w:eastAsia="宋体" w:hint="default"/>
                <w:spacing w:val="-2"/>
                <w:sz w:val="21"/>
                <w:szCs w:val="21"/>
              </w:rPr>
              <w:t>限制性股票已过户至公司回购专用证券账户，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并于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日公告，该回购账户于</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日注销完成。</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上海证券交易所网站公司公告中：《关于部分限制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性股票回购注销完成的公告》</w:t>
            </w:r>
            <w:r>
              <w:rPr>
                <w:rFonts w:ascii="宋体" w:hAnsi="宋体" w:cs="宋体" w:eastAsia="宋体" w:hint="default"/>
                <w:sz w:val="21"/>
                <w:szCs w:val="21"/>
              </w:rPr>
              <w:t>,</w:t>
            </w:r>
            <w:r>
              <w:rPr>
                <w:rFonts w:ascii="宋体" w:hAnsi="宋体" w:cs="宋体" w:eastAsia="宋体" w:hint="default"/>
                <w:sz w:val="21"/>
                <w:szCs w:val="21"/>
              </w:rPr>
              <w:t>公告编号为临</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2018-62</w:t>
            </w:r>
            <w:r>
              <w:rPr>
                <w:rFonts w:ascii="宋体" w:hAnsi="宋体" w:cs="宋体" w:eastAsia="宋体" w:hint="default"/>
                <w:sz w:val="21"/>
                <w:szCs w:val="21"/>
              </w:rPr>
              <w:t>。</w:t>
            </w:r>
          </w:p>
        </w:tc>
      </w:tr>
      <w:tr>
        <w:trPr>
          <w:trHeight w:val="188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21</w:t>
            </w:r>
            <w:r>
              <w:rPr>
                <w:rFonts w:ascii="宋体" w:hAnsi="宋体" w:cs="宋体" w:eastAsia="宋体" w:hint="default"/>
                <w:spacing w:val="-49"/>
                <w:sz w:val="21"/>
                <w:szCs w:val="21"/>
              </w:rPr>
              <w:t> </w:t>
            </w:r>
            <w:r>
              <w:rPr>
                <w:rFonts w:ascii="宋体" w:hAnsi="宋体" w:cs="宋体" w:eastAsia="宋体" w:hint="default"/>
                <w:spacing w:val="-5"/>
                <w:sz w:val="21"/>
                <w:szCs w:val="21"/>
              </w:rPr>
              <w:t>日，公司第三届董事会第三十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w w:val="100"/>
                <w:sz w:val="21"/>
                <w:szCs w:val="21"/>
              </w:rPr>
              <w:t>九次会议审议通过了《关于回购注销部分激励</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对象已获授但尚未解锁的第二期限制性股票</w:t>
            </w:r>
            <w:r>
              <w:rPr>
                <w:rFonts w:ascii="宋体" w:hAnsi="宋体" w:cs="宋体" w:eastAsia="宋体" w:hint="default"/>
                <w:w w:val="100"/>
                <w:sz w:val="21"/>
                <w:szCs w:val="21"/>
              </w:rPr>
              <w:t> </w:t>
            </w:r>
            <w:r>
              <w:rPr>
                <w:rFonts w:ascii="宋体" w:hAnsi="宋体" w:cs="宋体" w:eastAsia="宋体" w:hint="default"/>
                <w:sz w:val="21"/>
                <w:szCs w:val="21"/>
              </w:rPr>
              <w:t>的议案》，同意公司将</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名激励对象已获授</w:t>
            </w:r>
          </w:p>
          <w:p>
            <w:pPr>
              <w:pStyle w:val="TableParagraph"/>
              <w:spacing w:line="273" w:lineRule="auto" w:before="7"/>
              <w:ind w:left="103" w:right="221"/>
              <w:jc w:val="left"/>
              <w:rPr>
                <w:rFonts w:ascii="宋体" w:hAnsi="宋体" w:cs="宋体" w:eastAsia="宋体" w:hint="default"/>
                <w:sz w:val="21"/>
                <w:szCs w:val="21"/>
              </w:rPr>
            </w:pPr>
            <w:r>
              <w:rPr>
                <w:rFonts w:ascii="宋体" w:hAnsi="宋体" w:cs="宋体" w:eastAsia="宋体" w:hint="default"/>
                <w:sz w:val="21"/>
                <w:szCs w:val="21"/>
              </w:rPr>
              <w:t>但尚未解锁的</w:t>
            </w:r>
            <w:r>
              <w:rPr>
                <w:rFonts w:ascii="宋体" w:hAnsi="宋体" w:cs="宋体" w:eastAsia="宋体" w:hint="default"/>
                <w:spacing w:val="-55"/>
                <w:sz w:val="21"/>
                <w:szCs w:val="21"/>
              </w:rPr>
              <w:t> </w:t>
            </w:r>
            <w:r>
              <w:rPr>
                <w:rFonts w:ascii="宋体" w:hAnsi="宋体" w:cs="宋体" w:eastAsia="宋体" w:hint="default"/>
                <w:sz w:val="21"/>
                <w:szCs w:val="21"/>
              </w:rPr>
              <w:t>448,000</w:t>
            </w:r>
            <w:r>
              <w:rPr>
                <w:rFonts w:ascii="宋体" w:hAnsi="宋体" w:cs="宋体" w:eastAsia="宋体" w:hint="default"/>
                <w:spacing w:val="-55"/>
                <w:sz w:val="21"/>
                <w:szCs w:val="21"/>
              </w:rPr>
              <w:t> </w:t>
            </w:r>
            <w:r>
              <w:rPr>
                <w:rFonts w:ascii="宋体" w:hAnsi="宋体" w:cs="宋体" w:eastAsia="宋体" w:hint="default"/>
                <w:sz w:val="21"/>
                <w:szCs w:val="21"/>
              </w:rPr>
              <w:t>股限制性股票全部进</w:t>
            </w:r>
            <w:r>
              <w:rPr>
                <w:rFonts w:ascii="宋体" w:hAnsi="宋体" w:cs="宋体" w:eastAsia="宋体" w:hint="default"/>
                <w:w w:val="100"/>
                <w:sz w:val="21"/>
                <w:szCs w:val="21"/>
              </w:rPr>
              <w:t> </w:t>
            </w:r>
            <w:r>
              <w:rPr>
                <w:rFonts w:ascii="宋体" w:hAnsi="宋体" w:cs="宋体" w:eastAsia="宋体" w:hint="default"/>
                <w:sz w:val="21"/>
                <w:szCs w:val="21"/>
              </w:rPr>
              <w:t>行回购注销。</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上海证券交易所网站公司公告中：《关于回购注销</w:t>
            </w:r>
            <w:r>
              <w:rPr>
                <w:rFonts w:ascii="宋体" w:hAnsi="宋体" w:cs="宋体" w:eastAsia="宋体" w:hint="default"/>
                <w:w w:val="100"/>
                <w:sz w:val="21"/>
                <w:szCs w:val="21"/>
              </w:rPr>
              <w:t> </w:t>
            </w:r>
            <w:r>
              <w:rPr>
                <w:rFonts w:ascii="宋体" w:hAnsi="宋体" w:cs="宋体" w:eastAsia="宋体" w:hint="default"/>
                <w:sz w:val="21"/>
                <w:szCs w:val="21"/>
              </w:rPr>
              <w:t>部分激励对象已获授但尚未解锁的第二期限制性股</w:t>
            </w:r>
            <w:r>
              <w:rPr>
                <w:rFonts w:ascii="宋体" w:hAnsi="宋体" w:cs="宋体" w:eastAsia="宋体" w:hint="default"/>
                <w:w w:val="100"/>
                <w:sz w:val="21"/>
                <w:szCs w:val="21"/>
              </w:rPr>
              <w:t> </w:t>
            </w:r>
            <w:r>
              <w:rPr>
                <w:rFonts w:ascii="宋体" w:hAnsi="宋体" w:cs="宋体" w:eastAsia="宋体" w:hint="default"/>
                <w:sz w:val="21"/>
                <w:szCs w:val="21"/>
              </w:rPr>
              <w:t>票的公告》和《关于回购注销部分第二期限制性股</w:t>
            </w:r>
            <w:r>
              <w:rPr>
                <w:rFonts w:ascii="宋体" w:hAnsi="宋体" w:cs="宋体" w:eastAsia="宋体" w:hint="default"/>
                <w:w w:val="100"/>
                <w:sz w:val="21"/>
                <w:szCs w:val="21"/>
              </w:rPr>
              <w:t> </w:t>
            </w:r>
            <w:r>
              <w:rPr>
                <w:rFonts w:ascii="宋体" w:hAnsi="宋体" w:cs="宋体" w:eastAsia="宋体" w:hint="default"/>
                <w:spacing w:val="-8"/>
                <w:sz w:val="21"/>
                <w:szCs w:val="21"/>
              </w:rPr>
              <w:t>票通知债权人的公告》，公告编号分别为临</w:t>
            </w:r>
            <w:r>
              <w:rPr>
                <w:rFonts w:ascii="宋体" w:hAnsi="宋体" w:cs="宋体" w:eastAsia="宋体" w:hint="default"/>
                <w:spacing w:val="-32"/>
                <w:sz w:val="21"/>
                <w:szCs w:val="21"/>
              </w:rPr>
              <w:t> </w:t>
            </w:r>
            <w:r>
              <w:rPr>
                <w:rFonts w:ascii="宋体" w:hAnsi="宋体" w:cs="宋体" w:eastAsia="宋体" w:hint="default"/>
                <w:sz w:val="21"/>
                <w:szCs w:val="21"/>
              </w:rPr>
              <w:t>2019-06</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和临</w:t>
            </w:r>
            <w:r>
              <w:rPr>
                <w:rFonts w:ascii="宋体" w:hAnsi="宋体" w:cs="宋体" w:eastAsia="宋体" w:hint="default"/>
                <w:spacing w:val="-52"/>
                <w:sz w:val="21"/>
                <w:szCs w:val="21"/>
              </w:rPr>
              <w:t> </w:t>
            </w:r>
            <w:r>
              <w:rPr>
                <w:rFonts w:ascii="宋体" w:hAnsi="宋体" w:cs="宋体" w:eastAsia="宋体" w:hint="default"/>
                <w:sz w:val="21"/>
                <w:szCs w:val="21"/>
              </w:rPr>
              <w:t>2019-07</w:t>
            </w:r>
            <w:r>
              <w:rPr>
                <w:rFonts w:ascii="宋体" w:hAnsi="宋体" w:cs="宋体" w:eastAsia="宋体" w:hint="default"/>
                <w:sz w:val="21"/>
                <w:szCs w:val="21"/>
              </w:rPr>
              <w:t>。</w:t>
            </w:r>
          </w:p>
        </w:tc>
      </w:tr>
      <w:tr>
        <w:trPr>
          <w:trHeight w:val="1570"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日收到中国证券登记结</w:t>
            </w:r>
            <w:r>
              <w:rPr>
                <w:rFonts w:ascii="宋体" w:hAnsi="宋体" w:cs="宋体" w:eastAsia="宋体" w:hint="default"/>
                <w:w w:val="100"/>
                <w:sz w:val="21"/>
                <w:szCs w:val="21"/>
              </w:rPr>
              <w:t> </w:t>
            </w:r>
            <w:r>
              <w:rPr>
                <w:rFonts w:ascii="宋体" w:hAnsi="宋体" w:cs="宋体" w:eastAsia="宋体" w:hint="default"/>
                <w:sz w:val="21"/>
                <w:szCs w:val="21"/>
              </w:rPr>
              <w:t>算有限责任公司上海分公司出具的过户登记</w:t>
            </w:r>
            <w:r>
              <w:rPr>
                <w:rFonts w:ascii="宋体" w:hAnsi="宋体" w:cs="宋体" w:eastAsia="宋体" w:hint="default"/>
                <w:w w:val="100"/>
                <w:sz w:val="21"/>
                <w:szCs w:val="21"/>
              </w:rPr>
              <w:t> </w:t>
            </w:r>
            <w:r>
              <w:rPr>
                <w:rFonts w:ascii="宋体" w:hAnsi="宋体" w:cs="宋体" w:eastAsia="宋体" w:hint="default"/>
                <w:spacing w:val="-4"/>
                <w:sz w:val="21"/>
                <w:szCs w:val="21"/>
              </w:rPr>
              <w:t>确认书，</w:t>
            </w:r>
            <w:r>
              <w:rPr>
                <w:rFonts w:ascii="宋体" w:hAnsi="宋体" w:cs="宋体" w:eastAsia="宋体" w:hint="default"/>
                <w:spacing w:val="-4"/>
                <w:sz w:val="21"/>
                <w:szCs w:val="21"/>
              </w:rPr>
              <w:t>448,000</w:t>
            </w:r>
            <w:r>
              <w:rPr>
                <w:rFonts w:ascii="宋体" w:hAnsi="宋体" w:cs="宋体" w:eastAsia="宋体" w:hint="default"/>
                <w:spacing w:val="-50"/>
                <w:sz w:val="21"/>
                <w:szCs w:val="21"/>
              </w:rPr>
              <w:t> </w:t>
            </w:r>
            <w:r>
              <w:rPr>
                <w:rFonts w:ascii="宋体" w:hAnsi="宋体" w:cs="宋体" w:eastAsia="宋体" w:hint="default"/>
                <w:sz w:val="21"/>
                <w:szCs w:val="21"/>
              </w:rPr>
              <w:t>股限制性股票已过户至公司</w:t>
            </w:r>
            <w:r>
              <w:rPr>
                <w:rFonts w:ascii="宋体" w:hAnsi="宋体" w:cs="宋体" w:eastAsia="宋体" w:hint="default"/>
                <w:w w:val="100"/>
                <w:sz w:val="21"/>
                <w:szCs w:val="21"/>
              </w:rPr>
              <w:t> </w:t>
            </w:r>
            <w:r>
              <w:rPr>
                <w:rFonts w:ascii="宋体" w:hAnsi="宋体" w:cs="宋体" w:eastAsia="宋体" w:hint="default"/>
                <w:spacing w:val="-9"/>
                <w:w w:val="100"/>
                <w:sz w:val="21"/>
                <w:szCs w:val="21"/>
              </w:rPr>
              <w:t>回购专用证券账户，并于</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宋体" w:hAnsi="宋体" w:cs="宋体" w:eastAsia="宋体" w:hint="default"/>
                <w:w w:val="100"/>
                <w:sz w:val="21"/>
                <w:szCs w:val="21"/>
              </w:rPr>
              <w:t>4</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日注 </w:t>
            </w:r>
            <w:r>
              <w:rPr>
                <w:rFonts w:ascii="宋体" w:hAnsi="宋体" w:cs="宋体" w:eastAsia="宋体" w:hint="default"/>
                <w:sz w:val="21"/>
                <w:szCs w:val="21"/>
              </w:rPr>
              <w:t>销完成。</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5"/>
              <w:jc w:val="left"/>
              <w:rPr>
                <w:rFonts w:ascii="宋体" w:hAnsi="宋体" w:cs="宋体" w:eastAsia="宋体" w:hint="default"/>
                <w:sz w:val="21"/>
                <w:szCs w:val="21"/>
              </w:rPr>
            </w:pPr>
            <w:r>
              <w:rPr>
                <w:rFonts w:ascii="宋体" w:hAnsi="宋体" w:cs="宋体" w:eastAsia="宋体" w:hint="default"/>
                <w:spacing w:val="-2"/>
                <w:sz w:val="21"/>
                <w:szCs w:val="21"/>
              </w:rPr>
              <w:t>上海证券交易所网站公司公告中：《关于部分限制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性股票回购注销完成的公告》</w:t>
            </w:r>
            <w:r>
              <w:rPr>
                <w:rFonts w:ascii="宋体" w:hAnsi="宋体" w:cs="宋体" w:eastAsia="宋体" w:hint="default"/>
                <w:sz w:val="21"/>
                <w:szCs w:val="21"/>
              </w:rPr>
              <w:t>,</w:t>
            </w:r>
            <w:r>
              <w:rPr>
                <w:rFonts w:ascii="宋体" w:hAnsi="宋体" w:cs="宋体" w:eastAsia="宋体" w:hint="default"/>
                <w:sz w:val="21"/>
                <w:szCs w:val="21"/>
              </w:rPr>
              <w:t>公告编号为临</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2019-30</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spacing w:line="326" w:lineRule="auto" w:before="36"/>
        <w:ind w:left="218" w:right="49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6" w:lineRule="exact"/>
        <w:ind w:right="0"/>
        <w:jc w:val="both"/>
      </w:pPr>
      <w:r>
        <w:rPr/>
        <w:t>□适用 √不适用</w:t>
      </w:r>
    </w:p>
    <w:p>
      <w:pPr>
        <w:pStyle w:val="BodyText"/>
        <w:spacing w:line="240" w:lineRule="auto" w:before="37"/>
        <w:ind w:right="0"/>
        <w:jc w:val="both"/>
      </w:pPr>
      <w:r>
        <w:rPr/>
        <w:t>其他说明</w:t>
      </w:r>
    </w:p>
    <w:p>
      <w:pPr>
        <w:pStyle w:val="BodyText"/>
        <w:spacing w:line="240" w:lineRule="auto" w:before="37"/>
        <w:ind w:right="0"/>
        <w:jc w:val="both"/>
      </w:pPr>
      <w:r>
        <w:rPr/>
        <w:t>□适用  √不适用</w:t>
      </w:r>
    </w:p>
    <w:p>
      <w:pPr>
        <w:spacing w:line="240" w:lineRule="auto" w:before="9"/>
        <w:rPr>
          <w:rFonts w:ascii="宋体" w:hAnsi="宋体" w:cs="宋体" w:eastAsia="宋体" w:hint="default"/>
          <w:sz w:val="26"/>
          <w:szCs w:val="26"/>
        </w:rPr>
      </w:pPr>
    </w:p>
    <w:p>
      <w:pPr>
        <w:pStyle w:val="BodyText"/>
        <w:spacing w:line="240" w:lineRule="auto"/>
        <w:ind w:right="0"/>
        <w:jc w:val="both"/>
      </w:pPr>
      <w:r>
        <w:rPr/>
        <w:t>员工持股计划情况</w:t>
      </w:r>
    </w:p>
    <w:p>
      <w:pPr>
        <w:pStyle w:val="BodyText"/>
        <w:spacing w:line="240" w:lineRule="auto" w:before="37"/>
        <w:ind w:right="0"/>
        <w:jc w:val="both"/>
      </w:pPr>
      <w:r>
        <w:rPr/>
        <w:t>√适用  □不适用</w:t>
      </w:r>
    </w:p>
    <w:p>
      <w:pPr>
        <w:pStyle w:val="BodyText"/>
        <w:spacing w:line="240" w:lineRule="auto" w:before="37"/>
        <w:ind w:left="638" w:right="104"/>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日，公司第三届董事会第三十四次会议审议通过了《关于以集中竞价交易方式</w:t>
      </w:r>
    </w:p>
    <w:p>
      <w:pPr>
        <w:pStyle w:val="BodyText"/>
        <w:spacing w:line="273" w:lineRule="auto" w:before="37"/>
        <w:ind w:right="111"/>
        <w:jc w:val="both"/>
      </w:pPr>
      <w:r>
        <w:rPr/>
        <w:t>回购股份预案的议案》等相关公告。经慎重考虑，公司于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4"/>
        </w:rPr>
        <w:t> </w:t>
      </w:r>
      <w:r>
        <w:rPr/>
        <w:t>日召开了第三届董事会第</w:t>
      </w:r>
      <w:r>
        <w:rPr>
          <w:w w:val="100"/>
        </w:rPr>
        <w:t> </w:t>
      </w:r>
      <w:r>
        <w:rPr/>
        <w:t>三十五次会议，对原《关于以集中竞价交易方式回购股份预案》的内容作出部分调整，进一步明确</w:t>
      </w:r>
      <w:r>
        <w:rPr>
          <w:w w:val="100"/>
        </w:rPr>
        <w:t> </w:t>
      </w:r>
      <w:r>
        <w:rPr/>
        <w:t>本次回购股份的用途，审议通过了《关于以集中竞价交易方式回购股份用于员工持股计划预案的议</w:t>
      </w:r>
      <w:r>
        <w:rPr>
          <w:w w:val="100"/>
        </w:rPr>
        <w:t> </w:t>
      </w:r>
      <w:r>
        <w:rPr/>
        <w:t>案》等相关公告，公司于</w:t>
      </w:r>
      <w:r>
        <w:rPr>
          <w:spacing w:val="-52"/>
        </w:rPr>
        <w:t> </w:t>
      </w:r>
      <w:r>
        <w:rPr>
          <w:rFonts w:ascii="宋体" w:hAnsi="宋体" w:cs="宋体" w:eastAsia="宋体" w:hint="default"/>
        </w:rPr>
        <w:t>2018</w:t>
      </w:r>
      <w:r>
        <w:rPr>
          <w:rFonts w:ascii="宋体" w:hAnsi="宋体" w:cs="宋体" w:eastAsia="宋体" w:hint="default"/>
          <w:spacing w:val="-50"/>
        </w:rPr>
        <w:t> </w:t>
      </w:r>
      <w:r>
        <w:rPr/>
        <w:t>年</w:t>
      </w:r>
      <w:r>
        <w:rPr>
          <w:spacing w:val="-49"/>
        </w:rPr>
        <w:t> </w:t>
      </w:r>
      <w:r>
        <w:rPr>
          <w:rFonts w:ascii="宋体" w:hAnsi="宋体" w:cs="宋体" w:eastAsia="宋体" w:hint="default"/>
        </w:rPr>
        <w:t>8</w:t>
      </w:r>
      <w:r>
        <w:rPr>
          <w:rFonts w:ascii="宋体" w:hAnsi="宋体" w:cs="宋体" w:eastAsia="宋体" w:hint="default"/>
          <w:spacing w:val="-51"/>
        </w:rPr>
        <w:t> </w:t>
      </w:r>
      <w:r>
        <w:rPr/>
        <w:t>月</w:t>
      </w:r>
      <w:r>
        <w:rPr>
          <w:spacing w:val="-49"/>
        </w:rPr>
        <w:t> </w:t>
      </w:r>
      <w:r>
        <w:rPr>
          <w:rFonts w:ascii="宋体" w:hAnsi="宋体" w:cs="宋体" w:eastAsia="宋体" w:hint="default"/>
        </w:rPr>
        <w:t>15</w:t>
      </w:r>
      <w:r>
        <w:rPr>
          <w:rFonts w:ascii="宋体" w:hAnsi="宋体" w:cs="宋体" w:eastAsia="宋体" w:hint="default"/>
          <w:spacing w:val="-51"/>
        </w:rPr>
        <w:t> </w:t>
      </w:r>
      <w:r>
        <w:rPr/>
        <w:t>日召开</w:t>
      </w:r>
      <w:r>
        <w:rPr>
          <w:spacing w:val="-49"/>
        </w:rPr>
        <w:t> </w:t>
      </w:r>
      <w:r>
        <w:rPr>
          <w:rFonts w:ascii="宋体" w:hAnsi="宋体" w:cs="宋体" w:eastAsia="宋体" w:hint="default"/>
        </w:rPr>
        <w:t>2018</w:t>
      </w:r>
      <w:r>
        <w:rPr>
          <w:rFonts w:ascii="宋体" w:hAnsi="宋体" w:cs="宋体" w:eastAsia="宋体" w:hint="default"/>
          <w:spacing w:val="-47"/>
        </w:rPr>
        <w:t> </w:t>
      </w:r>
      <w:r>
        <w:rPr/>
        <w:t>年第五次临时股东大会审议通过了上述议案。</w:t>
      </w:r>
    </w:p>
    <w:p>
      <w:pPr>
        <w:pStyle w:val="BodyText"/>
        <w:spacing w:line="240" w:lineRule="auto" w:before="7"/>
        <w:ind w:right="0"/>
        <w:jc w:val="both"/>
      </w:pPr>
      <w:r>
        <w:rPr/>
        <w:t>截止</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2</w:t>
      </w:r>
      <w:r>
        <w:rPr>
          <w:rFonts w:ascii="宋体" w:hAnsi="宋体" w:cs="宋体" w:eastAsia="宋体" w:hint="default"/>
          <w:spacing w:val="-50"/>
        </w:rPr>
        <w:t> </w:t>
      </w:r>
      <w:r>
        <w:rPr/>
        <w:t>月</w:t>
      </w:r>
      <w:r>
        <w:rPr>
          <w:spacing w:val="-48"/>
        </w:rPr>
        <w:t> </w:t>
      </w:r>
      <w:r>
        <w:rPr>
          <w:rFonts w:ascii="宋体" w:hAnsi="宋体" w:cs="宋体" w:eastAsia="宋体" w:hint="default"/>
        </w:rPr>
        <w:t>14</w:t>
      </w:r>
      <w:r>
        <w:rPr>
          <w:rFonts w:ascii="宋体" w:hAnsi="宋体" w:cs="宋体" w:eastAsia="宋体" w:hint="default"/>
          <w:spacing w:val="-50"/>
        </w:rPr>
        <w:t> </w:t>
      </w:r>
      <w:r>
        <w:rPr>
          <w:spacing w:val="-3"/>
        </w:rPr>
        <w:t>日，公司本次回购股份计划已实施完成，实际回购公司股份</w:t>
      </w:r>
      <w:r>
        <w:rPr>
          <w:spacing w:val="-48"/>
        </w:rPr>
        <w:t> </w:t>
      </w:r>
      <w:r>
        <w:rPr>
          <w:rFonts w:ascii="宋体" w:hAnsi="宋体" w:cs="宋体" w:eastAsia="宋体" w:hint="default"/>
        </w:rPr>
        <w:t>21,956,999</w:t>
      </w:r>
      <w:r>
        <w:rPr>
          <w:rFonts w:ascii="宋体" w:hAnsi="宋体" w:cs="宋体" w:eastAsia="宋体" w:hint="default"/>
          <w:spacing w:val="-47"/>
        </w:rPr>
        <w:t> </w:t>
      </w:r>
      <w:r>
        <w:rPr>
          <w:spacing w:val="-10"/>
        </w:rPr>
        <w:t>股，占</w:t>
      </w:r>
    </w:p>
    <w:p>
      <w:pPr>
        <w:pStyle w:val="BodyText"/>
        <w:spacing w:line="240" w:lineRule="auto" w:before="37"/>
        <w:ind w:right="0"/>
        <w:jc w:val="both"/>
      </w:pPr>
      <w:r>
        <w:rPr/>
        <w:t>公司总股本的</w:t>
      </w:r>
      <w:r>
        <w:rPr>
          <w:spacing w:val="-46"/>
        </w:rPr>
        <w:t> </w:t>
      </w:r>
      <w:r>
        <w:rPr>
          <w:rFonts w:ascii="宋体" w:hAnsi="宋体" w:cs="宋体" w:eastAsia="宋体" w:hint="default"/>
          <w:spacing w:val="-5"/>
        </w:rPr>
        <w:t>1.25%</w:t>
      </w:r>
      <w:r>
        <w:rPr>
          <w:spacing w:val="-5"/>
        </w:rPr>
        <w:t>，回购最高价格</w:t>
      </w:r>
      <w:r>
        <w:rPr>
          <w:spacing w:val="-45"/>
        </w:rPr>
        <w:t> </w:t>
      </w:r>
      <w:r>
        <w:rPr>
          <w:rFonts w:ascii="宋体" w:hAnsi="宋体" w:cs="宋体" w:eastAsia="宋体" w:hint="default"/>
        </w:rPr>
        <w:t>5.56</w:t>
      </w:r>
      <w:r>
        <w:rPr>
          <w:rFonts w:ascii="宋体" w:hAnsi="宋体" w:cs="宋体" w:eastAsia="宋体" w:hint="default"/>
          <w:spacing w:val="-49"/>
        </w:rPr>
        <w:t> </w:t>
      </w:r>
      <w:r>
        <w:rPr>
          <w:spacing w:val="-6"/>
        </w:rPr>
        <w:t>元</w:t>
      </w:r>
      <w:r>
        <w:rPr>
          <w:rFonts w:ascii="宋体" w:hAnsi="宋体" w:cs="宋体" w:eastAsia="宋体" w:hint="default"/>
          <w:spacing w:val="-6"/>
        </w:rPr>
        <w:t>/</w:t>
      </w:r>
      <w:r>
        <w:rPr>
          <w:spacing w:val="-6"/>
        </w:rPr>
        <w:t>股，回购最低价格</w:t>
      </w:r>
      <w:r>
        <w:rPr>
          <w:spacing w:val="-46"/>
        </w:rPr>
        <w:t> </w:t>
      </w:r>
      <w:r>
        <w:rPr>
          <w:rFonts w:ascii="宋体" w:hAnsi="宋体" w:cs="宋体" w:eastAsia="宋体" w:hint="default"/>
        </w:rPr>
        <w:t>4.24</w:t>
      </w:r>
      <w:r>
        <w:rPr>
          <w:rFonts w:ascii="宋体" w:hAnsi="宋体" w:cs="宋体" w:eastAsia="宋体" w:hint="default"/>
          <w:spacing w:val="-46"/>
        </w:rPr>
        <w:t> </w:t>
      </w:r>
      <w:r>
        <w:rPr>
          <w:spacing w:val="-7"/>
        </w:rPr>
        <w:t>元</w:t>
      </w:r>
      <w:r>
        <w:rPr>
          <w:rFonts w:ascii="宋体" w:hAnsi="宋体" w:cs="宋体" w:eastAsia="宋体" w:hint="default"/>
          <w:spacing w:val="-7"/>
        </w:rPr>
        <w:t>/</w:t>
      </w:r>
      <w:r>
        <w:rPr>
          <w:spacing w:val="-7"/>
        </w:rPr>
        <w:t>股，回购均价</w:t>
      </w:r>
      <w:r>
        <w:rPr>
          <w:spacing w:val="-45"/>
        </w:rPr>
        <w:t> </w:t>
      </w:r>
      <w:r>
        <w:rPr>
          <w:rFonts w:ascii="宋体" w:hAnsi="宋体" w:cs="宋体" w:eastAsia="宋体" w:hint="default"/>
        </w:rPr>
        <w:t>4.58</w:t>
      </w:r>
      <w:r>
        <w:rPr>
          <w:rFonts w:ascii="宋体" w:hAnsi="宋体" w:cs="宋体" w:eastAsia="宋体" w:hint="default"/>
          <w:spacing w:val="-49"/>
        </w:rPr>
        <w:t> </w:t>
      </w:r>
      <w:r>
        <w:rPr/>
        <w:t>元</w:t>
      </w:r>
      <w:r>
        <w:rPr>
          <w:rFonts w:ascii="宋体" w:hAnsi="宋体" w:cs="宋体" w:eastAsia="宋体" w:hint="default"/>
        </w:rPr>
        <w:t>/</w:t>
      </w:r>
      <w:r>
        <w:rPr/>
        <w:t>股，</w:t>
      </w:r>
    </w:p>
    <w:p>
      <w:pPr>
        <w:pStyle w:val="BodyText"/>
        <w:spacing w:line="240" w:lineRule="auto" w:before="37"/>
        <w:ind w:right="0"/>
        <w:jc w:val="both"/>
      </w:pPr>
      <w:r>
        <w:rPr/>
        <w:t>使用资金总额</w:t>
      </w:r>
      <w:r>
        <w:rPr>
          <w:spacing w:val="-53"/>
        </w:rPr>
        <w:t> </w:t>
      </w:r>
      <w:r>
        <w:rPr>
          <w:rFonts w:ascii="宋体" w:hAnsi="宋体" w:cs="宋体" w:eastAsia="宋体" w:hint="default"/>
        </w:rPr>
        <w:t>10,048.41</w:t>
      </w:r>
      <w:r>
        <w:rPr>
          <w:rFonts w:ascii="宋体" w:hAnsi="宋体" w:cs="宋体" w:eastAsia="宋体" w:hint="default"/>
          <w:spacing w:val="-55"/>
        </w:rPr>
        <w:t> </w:t>
      </w:r>
      <w:r>
        <w:rPr/>
        <w:t>万元（不含佣金、过户费等交易费用）。</w:t>
      </w:r>
    </w:p>
    <w:p>
      <w:pPr>
        <w:spacing w:line="240" w:lineRule="auto" w:before="9"/>
        <w:rPr>
          <w:rFonts w:ascii="宋体" w:hAnsi="宋体" w:cs="宋体" w:eastAsia="宋体" w:hint="default"/>
          <w:sz w:val="26"/>
          <w:szCs w:val="26"/>
        </w:rPr>
      </w:pPr>
    </w:p>
    <w:p>
      <w:pPr>
        <w:pStyle w:val="BodyText"/>
        <w:spacing w:line="240" w:lineRule="auto"/>
        <w:ind w:right="0"/>
        <w:jc w:val="both"/>
      </w:pPr>
      <w:r>
        <w:rPr/>
        <w:t>其他激励措施</w:t>
      </w:r>
    </w:p>
    <w:p>
      <w:pPr>
        <w:pStyle w:val="BodyText"/>
        <w:spacing w:line="240" w:lineRule="auto" w:before="37"/>
        <w:ind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both"/>
        <w:rPr>
          <w:b w:val="0"/>
          <w:bCs w:val="0"/>
        </w:rPr>
      </w:pPr>
      <w:r>
        <w:rPr/>
        <w:t>十四、重大关联交易</w:t>
      </w:r>
      <w:r>
        <w:rPr>
          <w:b w:val="0"/>
          <w:bCs w:val="0"/>
        </w:rPr>
      </w:r>
    </w:p>
    <w:p>
      <w:pPr>
        <w:pStyle w:val="Heading2"/>
        <w:spacing w:line="240" w:lineRule="auto" w:before="9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both"/>
      </w:pPr>
      <w:r>
        <w:rPr/>
        <w:t>√适用 □不适用</w:t>
      </w:r>
    </w:p>
    <w:p>
      <w:pPr>
        <w:spacing w:after="0" w:line="240" w:lineRule="auto"/>
        <w:jc w:val="both"/>
        <w:sectPr>
          <w:pgSz w:w="11910" w:h="16840"/>
          <w:pgMar w:header="728" w:footer="974" w:top="1120" w:bottom="1160" w:left="1200" w:right="1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66"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28</w:t>
            </w:r>
            <w:r>
              <w:rPr>
                <w:rFonts w:ascii="宋体" w:hAnsi="宋体" w:cs="宋体" w:eastAsia="宋体" w:hint="default"/>
                <w:spacing w:val="-44"/>
                <w:sz w:val="21"/>
                <w:szCs w:val="21"/>
              </w:rPr>
              <w:t> </w:t>
            </w:r>
            <w:r>
              <w:rPr>
                <w:rFonts w:ascii="宋体" w:hAnsi="宋体" w:cs="宋体" w:eastAsia="宋体" w:hint="default"/>
                <w:sz w:val="21"/>
                <w:szCs w:val="21"/>
              </w:rPr>
              <w:t>日，公司</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年度股东大会审</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议通过了《关于公司</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年度预计日常关联交</w:t>
            </w:r>
            <w:r>
              <w:rPr>
                <w:rFonts w:ascii="宋体" w:hAnsi="宋体" w:cs="宋体" w:eastAsia="宋体" w:hint="default"/>
                <w:w w:val="100"/>
                <w:sz w:val="21"/>
                <w:szCs w:val="21"/>
              </w:rPr>
              <w:t> </w:t>
            </w:r>
            <w:r>
              <w:rPr>
                <w:rFonts w:ascii="宋体" w:hAnsi="宋体" w:cs="宋体" w:eastAsia="宋体" w:hint="default"/>
                <w:sz w:val="21"/>
                <w:szCs w:val="21"/>
              </w:rPr>
              <w:t>易的议案》。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w:t>
            </w:r>
            <w:r>
              <w:rPr>
                <w:rFonts w:ascii="宋体" w:hAnsi="宋体" w:cs="宋体" w:eastAsia="宋体" w:hint="default"/>
                <w:sz w:val="21"/>
                <w:szCs w:val="21"/>
              </w:rPr>
              <w:t>2018</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18 </w:t>
            </w:r>
            <w:r>
              <w:rPr>
                <w:rFonts w:ascii="宋体" w:hAnsi="宋体" w:cs="宋体" w:eastAsia="宋体" w:hint="default"/>
                <w:sz w:val="21"/>
                <w:szCs w:val="21"/>
              </w:rPr>
              <w:t>日公告的《公司 </w:t>
            </w:r>
            <w:r>
              <w:rPr>
                <w:rFonts w:ascii="宋体" w:hAnsi="宋体" w:cs="宋体" w:eastAsia="宋体" w:hint="default"/>
                <w:sz w:val="21"/>
                <w:szCs w:val="21"/>
              </w:rPr>
              <w:t>2018</w:t>
            </w:r>
            <w:r>
              <w:rPr>
                <w:rFonts w:ascii="宋体" w:hAnsi="宋体" w:cs="宋体" w:eastAsia="宋体" w:hint="default"/>
                <w:spacing w:val="-1"/>
                <w:sz w:val="21"/>
                <w:szCs w:val="21"/>
              </w:rPr>
              <w:t> </w:t>
            </w:r>
            <w:r>
              <w:rPr>
                <w:rFonts w:ascii="宋体" w:hAnsi="宋体" w:cs="宋体" w:eastAsia="宋体" w:hint="default"/>
                <w:sz w:val="21"/>
                <w:szCs w:val="21"/>
              </w:rPr>
              <w:t>年度日常关联交易公</w:t>
            </w:r>
            <w:r>
              <w:rPr>
                <w:rFonts w:ascii="宋体" w:hAnsi="宋体" w:cs="宋体" w:eastAsia="宋体" w:hint="default"/>
                <w:w w:val="100"/>
                <w:sz w:val="21"/>
                <w:szCs w:val="21"/>
              </w:rPr>
              <w:t> </w:t>
            </w:r>
            <w:r>
              <w:rPr>
                <w:rFonts w:ascii="宋体" w:hAnsi="宋体" w:cs="宋体" w:eastAsia="宋体" w:hint="default"/>
                <w:sz w:val="21"/>
                <w:szCs w:val="21"/>
              </w:rPr>
              <w:t>告》，公告编号为临</w:t>
            </w:r>
            <w:r>
              <w:rPr>
                <w:rFonts w:ascii="宋体" w:hAnsi="宋体" w:cs="宋体" w:eastAsia="宋体" w:hint="default"/>
                <w:spacing w:val="-55"/>
                <w:sz w:val="21"/>
                <w:szCs w:val="21"/>
              </w:rPr>
              <w:t> </w:t>
            </w:r>
            <w:r>
              <w:rPr>
                <w:rFonts w:ascii="宋体" w:hAnsi="宋体" w:cs="宋体" w:eastAsia="宋体" w:hint="default"/>
                <w:sz w:val="21"/>
                <w:szCs w:val="21"/>
              </w:rPr>
              <w:t>2018-31</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2"/>
        <w:spacing w:line="240" w:lineRule="auto"/>
        <w:ind w:left="57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left="578" w:right="0"/>
        <w:jc w:val="left"/>
      </w:pPr>
      <w:r>
        <w:rPr/>
        <w:t>√适用 □不适用</w:t>
      </w:r>
    </w:p>
    <w:p>
      <w:pPr>
        <w:spacing w:line="240" w:lineRule="auto" w:before="8"/>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578"/>
        <w:gridCol w:w="2283"/>
        <w:gridCol w:w="1107"/>
        <w:gridCol w:w="946"/>
        <w:gridCol w:w="1246"/>
        <w:gridCol w:w="1843"/>
      </w:tblGrid>
      <w:tr>
        <w:trPr>
          <w:trHeight w:val="643"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28"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362" w:right="183"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283" w:right="10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523" w:right="161" w:hanging="360"/>
              <w:jc w:val="left"/>
              <w:rPr>
                <w:rFonts w:ascii="宋体" w:hAnsi="宋体" w:cs="宋体" w:eastAsia="宋体" w:hint="default"/>
                <w:sz w:val="18"/>
                <w:szCs w:val="18"/>
              </w:rPr>
            </w:pPr>
            <w:r>
              <w:rPr>
                <w:rFonts w:ascii="宋体" w:hAnsi="宋体" w:cs="宋体" w:eastAsia="宋体" w:hint="default"/>
                <w:sz w:val="18"/>
                <w:szCs w:val="18"/>
              </w:rPr>
              <w:t>关联交易金 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临时公告披露</w:t>
            </w:r>
          </w:p>
        </w:tc>
      </w:tr>
      <w:tr>
        <w:trPr>
          <w:trHeight w:val="334"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员工宿舍</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hAnsi="宋体" w:cs="宋体" w:eastAsia="宋体" w:hint="default"/>
                <w:sz w:val="18"/>
                <w:szCs w:val="18"/>
              </w:rPr>
              <w:t>105.60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5"/>
                <w:sz w:val="18"/>
                <w:szCs w:val="18"/>
              </w:rPr>
              <w:t> </w:t>
            </w:r>
            <w:r>
              <w:rPr>
                <w:rFonts w:ascii="宋体" w:hAnsi="宋体" w:cs="宋体" w:eastAsia="宋体" w:hint="default"/>
                <w:sz w:val="18"/>
                <w:szCs w:val="18"/>
              </w:rPr>
              <w:t>万</w:t>
            </w:r>
          </w:p>
        </w:tc>
      </w:tr>
      <w:tr>
        <w:trPr>
          <w:trHeight w:val="331"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办公场所</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hAnsi="宋体" w:cs="宋体" w:eastAsia="宋体" w:hint="default"/>
                <w:sz w:val="18"/>
                <w:szCs w:val="18"/>
              </w:rPr>
              <w:t>260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r>
      <w:tr>
        <w:trPr>
          <w:trHeight w:val="331"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办公场所</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hAnsi="宋体" w:cs="宋体" w:eastAsia="宋体" w:hint="default"/>
                <w:sz w:val="18"/>
                <w:szCs w:val="18"/>
              </w:rPr>
              <w:t>47.2</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646"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南京华虹融资租赁有限公司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5" w:right="185"/>
              <w:jc w:val="left"/>
              <w:rPr>
                <w:rFonts w:ascii="宋体" w:hAnsi="宋体" w:cs="宋体" w:eastAsia="宋体" w:hint="default"/>
                <w:sz w:val="18"/>
                <w:szCs w:val="18"/>
              </w:rPr>
            </w:pPr>
            <w:r>
              <w:rPr>
                <w:rFonts w:ascii="宋体" w:hAnsi="宋体" w:cs="宋体" w:eastAsia="宋体" w:hint="default"/>
                <w:sz w:val="18"/>
                <w:szCs w:val="18"/>
              </w:rPr>
              <w:t>本公司控股股东控制的公 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办公场所</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70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宋体" w:hAnsi="宋体" w:cs="宋体" w:eastAsia="宋体" w:hint="default"/>
                <w:sz w:val="18"/>
                <w:szCs w:val="18"/>
              </w:rPr>
              <w:t>70</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331"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hAnsi="宋体" w:cs="宋体" w:eastAsia="宋体" w:hint="default"/>
                <w:sz w:val="18"/>
                <w:szCs w:val="18"/>
              </w:rPr>
              <w:t>4437.76</w:t>
            </w:r>
            <w:r>
              <w:rPr>
                <w:rFonts w:ascii="宋体" w:hAnsi="宋体" w:cs="宋体" w:eastAsia="宋体" w:hint="default"/>
                <w:spacing w:val="-51"/>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亿</w:t>
            </w:r>
          </w:p>
        </w:tc>
      </w:tr>
      <w:tr>
        <w:trPr>
          <w:trHeight w:val="643"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南京华虹融资租赁有限公司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5" w:right="185"/>
              <w:jc w:val="left"/>
              <w:rPr>
                <w:rFonts w:ascii="宋体" w:hAnsi="宋体" w:cs="宋体" w:eastAsia="宋体" w:hint="default"/>
                <w:sz w:val="18"/>
                <w:szCs w:val="18"/>
              </w:rPr>
            </w:pPr>
            <w:r>
              <w:rPr>
                <w:rFonts w:ascii="宋体" w:hAnsi="宋体" w:cs="宋体" w:eastAsia="宋体" w:hint="default"/>
                <w:sz w:val="18"/>
                <w:szCs w:val="18"/>
              </w:rPr>
              <w:t>本公司控股股东控制的公 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2.66</w:t>
            </w:r>
            <w:r>
              <w:rPr>
                <w:rFonts w:ascii="宋体" w:hAnsi="宋体" w:cs="宋体" w:eastAsia="宋体" w:hint="default"/>
                <w:spacing w:val="-43"/>
                <w:sz w:val="18"/>
                <w:szCs w:val="18"/>
              </w:rPr>
              <w:t> </w:t>
            </w:r>
            <w:r>
              <w:rPr>
                <w:rFonts w:ascii="宋体" w:hAnsi="宋体" w:cs="宋体" w:eastAsia="宋体" w:hint="default"/>
                <w:sz w:val="18"/>
                <w:szCs w:val="18"/>
              </w:rPr>
              <w:t>亿</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亿</w:t>
            </w:r>
          </w:p>
        </w:tc>
      </w:tr>
      <w:tr>
        <w:trPr>
          <w:trHeight w:val="646"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南通华虹生态园艺有限公司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5" w:right="185"/>
              <w:jc w:val="left"/>
              <w:rPr>
                <w:rFonts w:ascii="宋体" w:hAnsi="宋体" w:cs="宋体" w:eastAsia="宋体" w:hint="default"/>
                <w:sz w:val="18"/>
                <w:szCs w:val="18"/>
              </w:rPr>
            </w:pPr>
            <w:r>
              <w:rPr>
                <w:rFonts w:ascii="宋体" w:hAnsi="宋体" w:cs="宋体" w:eastAsia="宋体" w:hint="default"/>
                <w:sz w:val="18"/>
                <w:szCs w:val="18"/>
              </w:rPr>
              <w:t>本公司控股股东控制的公 司</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绿化景观</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79.26</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644" w:hRule="exact"/>
        </w:trPr>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上海精鼎电力科技有限公司</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5" w:right="185"/>
              <w:jc w:val="left"/>
              <w:rPr>
                <w:rFonts w:ascii="宋体" w:hAnsi="宋体" w:cs="宋体" w:eastAsia="宋体" w:hint="default"/>
                <w:sz w:val="18"/>
                <w:szCs w:val="18"/>
              </w:rPr>
            </w:pPr>
            <w:r>
              <w:rPr>
                <w:rFonts w:ascii="宋体" w:hAnsi="宋体" w:cs="宋体" w:eastAsia="宋体" w:hint="default"/>
                <w:sz w:val="18"/>
                <w:szCs w:val="18"/>
              </w:rPr>
              <w:t>本公司董事施加重大影响 的其他企业</w:t>
            </w:r>
          </w:p>
        </w:tc>
        <w:tc>
          <w:tcPr>
            <w:tcW w:w="11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07"/>
              <w:jc w:val="left"/>
              <w:rPr>
                <w:rFonts w:ascii="宋体" w:hAnsi="宋体" w:cs="宋体" w:eastAsia="宋体" w:hint="default"/>
                <w:sz w:val="18"/>
                <w:szCs w:val="18"/>
              </w:rPr>
            </w:pPr>
            <w:r>
              <w:rPr>
                <w:rFonts w:ascii="宋体" w:hAnsi="宋体" w:cs="宋体" w:eastAsia="宋体" w:hint="default"/>
                <w:sz w:val="18"/>
                <w:szCs w:val="18"/>
              </w:rPr>
              <w:t>电站系统 工程</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620.43</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28" w:footer="974" w:top="1120" w:bottom="1160" w:left="840" w:right="720"/>
        </w:sectPr>
      </w:pPr>
    </w:p>
    <w:p>
      <w:pPr>
        <w:pStyle w:val="Heading2"/>
        <w:spacing w:line="240" w:lineRule="auto"/>
        <w:ind w:left="57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5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7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840" w:right="720"/>
          <w:cols w:num="2" w:equalWidth="0">
            <w:col w:w="3109" w:space="4070"/>
            <w:col w:w="3171"/>
          </w:cols>
        </w:sectPr>
      </w:pP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50"/>
        <w:gridCol w:w="746"/>
        <w:gridCol w:w="746"/>
        <w:gridCol w:w="749"/>
        <w:gridCol w:w="792"/>
        <w:gridCol w:w="761"/>
        <w:gridCol w:w="1407"/>
        <w:gridCol w:w="1022"/>
        <w:gridCol w:w="709"/>
        <w:gridCol w:w="710"/>
        <w:gridCol w:w="1274"/>
      </w:tblGrid>
      <w:tr>
        <w:trPr>
          <w:trHeight w:val="946"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75"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8" w:right="99"/>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1" w:right="2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5" w:right="55"/>
              <w:jc w:val="center"/>
              <w:rPr>
                <w:rFonts w:ascii="宋体" w:hAnsi="宋体" w:cs="宋体" w:eastAsia="宋体" w:hint="default"/>
                <w:sz w:val="18"/>
                <w:szCs w:val="18"/>
              </w:rPr>
            </w:pPr>
            <w:r>
              <w:rPr>
                <w:rFonts w:ascii="宋体" w:hAnsi="宋体" w:cs="宋体" w:eastAsia="宋体" w:hint="default"/>
                <w:sz w:val="18"/>
                <w:szCs w:val="18"/>
              </w:rPr>
              <w:t>占同类交易 金额的比例 </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6" w:right="8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7" w:right="170"/>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交易价格与市 场参考价格差 异较大的原因</w:t>
            </w:r>
          </w:p>
        </w:tc>
      </w:tr>
      <w:tr>
        <w:trPr>
          <w:trHeight w:val="949"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23"/>
              <w:jc w:val="both"/>
              <w:rPr>
                <w:rFonts w:ascii="宋体" w:hAnsi="宋体" w:cs="宋体" w:eastAsia="宋体" w:hint="default"/>
                <w:sz w:val="18"/>
                <w:szCs w:val="18"/>
              </w:rPr>
            </w:pPr>
            <w:r>
              <w:rPr>
                <w:rFonts w:ascii="宋体" w:hAnsi="宋体" w:cs="宋体" w:eastAsia="宋体" w:hint="default"/>
                <w:sz w:val="18"/>
                <w:szCs w:val="18"/>
              </w:rPr>
              <w:t>南通林洋交通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建设工程有限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1"/>
              <w:jc w:val="both"/>
              <w:rPr>
                <w:rFonts w:ascii="宋体" w:hAnsi="宋体" w:cs="宋体" w:eastAsia="宋体" w:hint="default"/>
                <w:sz w:val="18"/>
                <w:szCs w:val="18"/>
              </w:rPr>
            </w:pPr>
            <w:r>
              <w:rPr>
                <w:rFonts w:ascii="宋体" w:hAnsi="宋体" w:cs="宋体" w:eastAsia="宋体" w:hint="default"/>
                <w:spacing w:val="49"/>
                <w:sz w:val="18"/>
                <w:szCs w:val="18"/>
              </w:rPr>
              <w:t>母公司</w:t>
            </w:r>
            <w:r>
              <w:rPr>
                <w:rFonts w:ascii="宋体" w:hAnsi="宋体" w:cs="宋体" w:eastAsia="宋体" w:hint="default"/>
                <w:spacing w:val="-16"/>
                <w:sz w:val="18"/>
                <w:szCs w:val="18"/>
              </w:rPr>
              <w:t> </w:t>
            </w:r>
            <w:r>
              <w:rPr>
                <w:rFonts w:ascii="宋体" w:hAnsi="宋体" w:cs="宋体" w:eastAsia="宋体" w:hint="default"/>
                <w:spacing w:val="49"/>
                <w:sz w:val="18"/>
                <w:szCs w:val="18"/>
              </w:rPr>
              <w:t>的控股</w:t>
            </w:r>
            <w:r>
              <w:rPr>
                <w:rFonts w:ascii="宋体" w:hAnsi="宋体" w:cs="宋体" w:eastAsia="宋体" w:hint="default"/>
                <w:spacing w:val="-16"/>
                <w:sz w:val="18"/>
                <w:szCs w:val="18"/>
              </w:rPr>
              <w:t> </w:t>
            </w:r>
            <w:r>
              <w:rPr>
                <w:rFonts w:ascii="宋体" w:hAnsi="宋体" w:cs="宋体" w:eastAsia="宋体" w:hint="default"/>
                <w:sz w:val="18"/>
                <w:szCs w:val="18"/>
              </w:rPr>
              <w:t>子公司</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5" w:right="98" w:hanging="180"/>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参照市场 定价</w:t>
            </w:r>
          </w:p>
        </w:tc>
        <w:tc>
          <w:tcPr>
            <w:tcW w:w="76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295,920.05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4" w:right="0"/>
              <w:jc w:val="left"/>
              <w:rPr>
                <w:rFonts w:ascii="宋体" w:hAnsi="宋体" w:cs="宋体" w:eastAsia="宋体" w:hint="default"/>
                <w:sz w:val="18"/>
                <w:szCs w:val="18"/>
              </w:rPr>
            </w:pPr>
            <w:r>
              <w:rPr>
                <w:rFonts w:ascii="宋体"/>
                <w:sz w:val="18"/>
              </w:rPr>
              <w:t>0.01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6" w:right="80"/>
              <w:jc w:val="left"/>
              <w:rPr>
                <w:rFonts w:ascii="宋体" w:hAnsi="宋体" w:cs="宋体" w:eastAsia="宋体" w:hint="default"/>
                <w:sz w:val="18"/>
                <w:szCs w:val="18"/>
              </w:rPr>
            </w:pPr>
            <w:r>
              <w:rPr>
                <w:rFonts w:ascii="宋体" w:hAnsi="宋体" w:cs="宋体" w:eastAsia="宋体" w:hint="default"/>
                <w:sz w:val="18"/>
                <w:szCs w:val="18"/>
              </w:rPr>
              <w:t>工程进 度付款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3"/>
              <w:jc w:val="left"/>
              <w:rPr>
                <w:rFonts w:ascii="宋体" w:hAnsi="宋体" w:cs="宋体" w:eastAsia="宋体" w:hint="default"/>
                <w:sz w:val="18"/>
                <w:szCs w:val="18"/>
              </w:rPr>
            </w:pPr>
            <w:r>
              <w:rPr>
                <w:rFonts w:ascii="宋体" w:hAnsi="宋体" w:cs="宋体" w:eastAsia="宋体" w:hint="default"/>
                <w:sz w:val="18"/>
                <w:szCs w:val="18"/>
              </w:rPr>
              <w:t>江苏华源仪器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仪表有限公司</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1"/>
              <w:jc w:val="left"/>
              <w:rPr>
                <w:rFonts w:ascii="宋体" w:hAnsi="宋体" w:cs="宋体" w:eastAsia="宋体" w:hint="default"/>
                <w:sz w:val="18"/>
                <w:szCs w:val="18"/>
              </w:rPr>
            </w:pPr>
            <w:r>
              <w:rPr>
                <w:rFonts w:ascii="宋体" w:hAnsi="宋体" w:cs="宋体" w:eastAsia="宋体" w:hint="default"/>
                <w:spacing w:val="49"/>
                <w:sz w:val="18"/>
                <w:szCs w:val="18"/>
              </w:rPr>
              <w:t>联营公</w:t>
            </w:r>
            <w:r>
              <w:rPr>
                <w:rFonts w:ascii="宋体" w:hAnsi="宋体" w:cs="宋体" w:eastAsia="宋体" w:hint="default"/>
                <w:spacing w:val="-16"/>
                <w:sz w:val="18"/>
                <w:szCs w:val="18"/>
              </w:rPr>
              <w:t> </w:t>
            </w:r>
            <w:r>
              <w:rPr>
                <w:rFonts w:ascii="宋体" w:hAnsi="宋体" w:cs="宋体" w:eastAsia="宋体" w:hint="default"/>
                <w:sz w:val="18"/>
                <w:szCs w:val="18"/>
              </w:rPr>
              <w:t>司</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5" w:right="98" w:hanging="180"/>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原材料</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1" w:right="29" w:hanging="180"/>
              <w:jc w:val="left"/>
              <w:rPr>
                <w:rFonts w:ascii="宋体" w:hAnsi="宋体" w:cs="宋体" w:eastAsia="宋体" w:hint="default"/>
                <w:sz w:val="18"/>
                <w:szCs w:val="18"/>
              </w:rPr>
            </w:pPr>
            <w:r>
              <w:rPr>
                <w:rFonts w:ascii="宋体" w:hAnsi="宋体" w:cs="宋体" w:eastAsia="宋体" w:hint="default"/>
                <w:sz w:val="18"/>
                <w:szCs w:val="18"/>
              </w:rPr>
              <w:t>参照市场 定价</w:t>
            </w:r>
          </w:p>
        </w:tc>
        <w:tc>
          <w:tcPr>
            <w:tcW w:w="76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1,098,214.97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4" w:right="0"/>
              <w:jc w:val="left"/>
              <w:rPr>
                <w:rFonts w:ascii="宋体" w:hAnsi="宋体" w:cs="宋体" w:eastAsia="宋体" w:hint="default"/>
                <w:sz w:val="18"/>
                <w:szCs w:val="18"/>
              </w:rPr>
            </w:pPr>
            <w:r>
              <w:rPr>
                <w:rFonts w:ascii="宋体"/>
                <w:sz w:val="18"/>
              </w:rPr>
              <w:t>0.04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6" w:right="80" w:hanging="180"/>
              <w:jc w:val="left"/>
              <w:rPr>
                <w:rFonts w:ascii="宋体" w:hAnsi="宋体" w:cs="宋体" w:eastAsia="宋体" w:hint="default"/>
                <w:sz w:val="18"/>
                <w:szCs w:val="18"/>
              </w:rPr>
            </w:pPr>
            <w:r>
              <w:rPr>
                <w:rFonts w:ascii="宋体" w:hAnsi="宋体" w:cs="宋体" w:eastAsia="宋体" w:hint="default"/>
                <w:sz w:val="18"/>
                <w:szCs w:val="18"/>
              </w:rPr>
              <w:t>货到付 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1,394,135.02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2" w:hRule="exact"/>
        </w:trPr>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5883"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5883"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left="57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97"/>
        <w:ind w:left="57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57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466" w:type="dxa"/>
        <w:tblLayout w:type="fixed"/>
        <w:tblCellMar>
          <w:top w:w="0" w:type="dxa"/>
          <w:left w:w="0" w:type="dxa"/>
          <w:bottom w:w="0" w:type="dxa"/>
          <w:right w:w="0" w:type="dxa"/>
        </w:tblCellMar>
        <w:tblLook w:val="01E0"/>
      </w:tblPr>
      <w:tblGrid>
        <w:gridCol w:w="4645"/>
        <w:gridCol w:w="4643"/>
      </w:tblGrid>
      <w:tr>
        <w:trPr>
          <w:trHeight w:val="32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bl>
    <w:p>
      <w:pPr>
        <w:spacing w:after="0" w:line="265" w:lineRule="exact"/>
        <w:jc w:val="center"/>
        <w:rPr>
          <w:rFonts w:ascii="宋体" w:hAnsi="宋体" w:cs="宋体" w:eastAsia="宋体" w:hint="default"/>
          <w:sz w:val="21"/>
          <w:szCs w:val="21"/>
        </w:rPr>
        <w:sectPr>
          <w:type w:val="continuous"/>
          <w:pgSz w:w="11910" w:h="16840"/>
          <w:pgMar w:top="1580" w:bottom="280" w:left="8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6" w:type="dxa"/>
        <w:tblLayout w:type="fixed"/>
        <w:tblCellMar>
          <w:top w:w="0" w:type="dxa"/>
          <w:left w:w="0" w:type="dxa"/>
          <w:bottom w:w="0" w:type="dxa"/>
          <w:right w:w="0" w:type="dxa"/>
        </w:tblCellMar>
        <w:tblLook w:val="01E0"/>
      </w:tblPr>
      <w:tblGrid>
        <w:gridCol w:w="4645"/>
        <w:gridCol w:w="4643"/>
      </w:tblGrid>
      <w:tr>
        <w:trPr>
          <w:trHeight w:val="157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21</w:t>
            </w:r>
            <w:r>
              <w:rPr>
                <w:rFonts w:ascii="宋体" w:hAnsi="宋体" w:cs="宋体" w:eastAsia="宋体" w:hint="default"/>
                <w:spacing w:val="-40"/>
                <w:sz w:val="21"/>
                <w:szCs w:val="21"/>
              </w:rPr>
              <w:t> </w:t>
            </w:r>
            <w:r>
              <w:rPr>
                <w:rFonts w:ascii="宋体" w:hAnsi="宋体" w:cs="宋体" w:eastAsia="宋体" w:hint="default"/>
                <w:sz w:val="21"/>
                <w:szCs w:val="21"/>
              </w:rPr>
              <w:t>日，公司第三届董事会第三十六</w:t>
            </w:r>
            <w:r>
              <w:rPr>
                <w:rFonts w:ascii="宋体" w:hAnsi="宋体" w:cs="宋体" w:eastAsia="宋体" w:hint="default"/>
                <w:w w:val="100"/>
                <w:sz w:val="21"/>
                <w:szCs w:val="21"/>
              </w:rPr>
              <w:t> </w:t>
            </w:r>
            <w:r>
              <w:rPr>
                <w:rFonts w:ascii="宋体" w:hAnsi="宋体" w:cs="宋体" w:eastAsia="宋体" w:hint="default"/>
                <w:sz w:val="21"/>
                <w:szCs w:val="21"/>
              </w:rPr>
              <w:t>次会议审议通过了《关于公司下属公司收购关联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公司子公司相关资产暨关联交易的议案》，公司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下属公司收购现代农业及其子公司所持部分生物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资产。</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上海证券交易所网站公司公告中：</w:t>
            </w:r>
            <w:r>
              <w:rPr>
                <w:rFonts w:ascii="宋体" w:hAnsi="宋体" w:cs="宋体" w:eastAsia="宋体" w:hint="default"/>
                <w:spacing w:val="-6"/>
                <w:w w:val="100"/>
                <w:sz w:val="21"/>
                <w:szCs w:val="21"/>
              </w:rPr>
              <w:t>2018</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8</w:t>
            </w:r>
            <w:r>
              <w:rPr>
                <w:rFonts w:ascii="宋体" w:hAnsi="宋体" w:cs="宋体" w:eastAsia="宋体" w:hint="default"/>
                <w:spacing w:val="-53"/>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22 </w:t>
            </w:r>
            <w:r>
              <w:rPr>
                <w:rFonts w:ascii="宋体" w:hAnsi="宋体" w:cs="宋体" w:eastAsia="宋体" w:hint="default"/>
                <w:sz w:val="21"/>
                <w:szCs w:val="21"/>
              </w:rPr>
              <w:t>日公告的《江苏林洋能源股份有限公司关于公司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下属公司收购关联公司子公司相关资产暨关联交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易的公告》，公告编号为临</w:t>
            </w:r>
            <w:r>
              <w:rPr>
                <w:rFonts w:ascii="宋体" w:hAnsi="宋体" w:cs="宋体" w:eastAsia="宋体" w:hint="default"/>
                <w:spacing w:val="-54"/>
                <w:sz w:val="21"/>
                <w:szCs w:val="21"/>
              </w:rPr>
              <w:t> </w:t>
            </w:r>
            <w:r>
              <w:rPr>
                <w:rFonts w:ascii="宋体" w:hAnsi="宋体" w:cs="宋体" w:eastAsia="宋体" w:hint="default"/>
                <w:sz w:val="21"/>
                <w:szCs w:val="21"/>
              </w:rPr>
              <w:t>2018-85</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2"/>
        <w:spacing w:line="240" w:lineRule="auto"/>
        <w:ind w:left="31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161" w:val="left" w:leader="none"/>
        </w:tabs>
        <w:spacing w:line="240" w:lineRule="auto" w:before="97"/>
        <w:ind w:left="318" w:right="0"/>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665"/>
        <w:gridCol w:w="1418"/>
        <w:gridCol w:w="1361"/>
        <w:gridCol w:w="1474"/>
        <w:gridCol w:w="1419"/>
        <w:gridCol w:w="1133"/>
      </w:tblGrid>
      <w:tr>
        <w:trPr>
          <w:trHeight w:val="644"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8"/>
              <w:ind w:left="463" w:right="108" w:hanging="360"/>
              <w:jc w:val="left"/>
              <w:rPr>
                <w:rFonts w:ascii="宋体" w:hAnsi="宋体" w:cs="宋体" w:eastAsia="宋体" w:hint="default"/>
                <w:sz w:val="18"/>
                <w:szCs w:val="18"/>
              </w:rPr>
            </w:pPr>
            <w:r>
              <w:rPr>
                <w:rFonts w:ascii="宋体" w:hAnsi="宋体" w:cs="宋体" w:eastAsia="宋体" w:hint="default"/>
                <w:sz w:val="18"/>
                <w:szCs w:val="18"/>
              </w:rPr>
              <w:t>临时公告披 露</w:t>
            </w:r>
          </w:p>
        </w:tc>
      </w:tr>
      <w:tr>
        <w:trPr>
          <w:trHeight w:val="643"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德州华虹农业有限公司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210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210</w:t>
            </w:r>
            <w:r>
              <w:rPr>
                <w:rFonts w:ascii="宋体" w:hAnsi="宋体" w:cs="宋体" w:eastAsia="宋体" w:hint="default"/>
                <w:spacing w:val="-45"/>
                <w:sz w:val="18"/>
                <w:szCs w:val="18"/>
              </w:rPr>
              <w:t> </w:t>
            </w:r>
            <w:r>
              <w:rPr>
                <w:rFonts w:ascii="宋体" w:hAnsi="宋体" w:cs="宋体" w:eastAsia="宋体" w:hint="default"/>
                <w:sz w:val="18"/>
                <w:szCs w:val="18"/>
              </w:rPr>
              <w:t>万</w:t>
            </w:r>
          </w:p>
        </w:tc>
      </w:tr>
      <w:tr>
        <w:trPr>
          <w:trHeight w:val="710"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阜阳林洋现代农业有限公司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958.15</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958.15</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710"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江苏林洋现代农业有限公司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681.66</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560.19</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710"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连云港华虹现代农业有限公司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48.15</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48.15</w:t>
            </w:r>
            <w:r>
              <w:rPr>
                <w:rFonts w:ascii="宋体" w:hAnsi="宋体" w:cs="宋体" w:eastAsia="宋体" w:hint="default"/>
                <w:spacing w:val="-45"/>
                <w:sz w:val="18"/>
                <w:szCs w:val="18"/>
              </w:rPr>
              <w:t> </w:t>
            </w:r>
            <w:r>
              <w:rPr>
                <w:rFonts w:ascii="宋体" w:hAnsi="宋体" w:cs="宋体" w:eastAsia="宋体" w:hint="default"/>
                <w:sz w:val="18"/>
                <w:szCs w:val="18"/>
              </w:rPr>
              <w:t>万</w:t>
            </w:r>
          </w:p>
        </w:tc>
      </w:tr>
      <w:tr>
        <w:trPr>
          <w:trHeight w:val="711"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聊城市华虹现代农业有限公司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2"/>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2"/>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2"/>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573</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573</w:t>
            </w:r>
            <w:r>
              <w:rPr>
                <w:rFonts w:ascii="宋体" w:hAnsi="宋体" w:cs="宋体" w:eastAsia="宋体" w:hint="default"/>
                <w:spacing w:val="-45"/>
                <w:sz w:val="18"/>
                <w:szCs w:val="18"/>
              </w:rPr>
              <w:t> </w:t>
            </w:r>
            <w:r>
              <w:rPr>
                <w:rFonts w:ascii="宋体" w:hAnsi="宋体" w:cs="宋体" w:eastAsia="宋体" w:hint="default"/>
                <w:sz w:val="18"/>
                <w:szCs w:val="18"/>
              </w:rPr>
              <w:t>万</w:t>
            </w:r>
          </w:p>
        </w:tc>
      </w:tr>
      <w:tr>
        <w:trPr>
          <w:trHeight w:val="710"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南通林洋现代农业有限公司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121.38</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121.38</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708"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商丘林洋农业科技有限公司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541</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541</w:t>
            </w:r>
            <w:r>
              <w:rPr>
                <w:rFonts w:ascii="宋体" w:hAnsi="宋体" w:cs="宋体" w:eastAsia="宋体" w:hint="default"/>
                <w:spacing w:val="-45"/>
                <w:sz w:val="18"/>
                <w:szCs w:val="18"/>
              </w:rPr>
              <w:t> </w:t>
            </w:r>
            <w:r>
              <w:rPr>
                <w:rFonts w:ascii="宋体" w:hAnsi="宋体" w:cs="宋体" w:eastAsia="宋体" w:hint="default"/>
                <w:sz w:val="18"/>
                <w:szCs w:val="18"/>
              </w:rPr>
              <w:t>万</w:t>
            </w:r>
          </w:p>
        </w:tc>
      </w:tr>
      <w:tr>
        <w:trPr>
          <w:trHeight w:val="710"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宿州林洋现代农业有限公司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1"/>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944.15</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944.15</w:t>
            </w:r>
            <w:r>
              <w:rPr>
                <w:rFonts w:ascii="宋体" w:hAnsi="宋体" w:cs="宋体" w:eastAsia="宋体" w:hint="default"/>
                <w:spacing w:val="-44"/>
                <w:sz w:val="18"/>
                <w:szCs w:val="18"/>
              </w:rPr>
              <w:t> </w:t>
            </w:r>
            <w:r>
              <w:rPr>
                <w:rFonts w:ascii="宋体" w:hAnsi="宋体" w:cs="宋体" w:eastAsia="宋体" w:hint="default"/>
                <w:sz w:val="18"/>
                <w:szCs w:val="18"/>
              </w:rPr>
              <w:t>万</w:t>
            </w:r>
          </w:p>
        </w:tc>
      </w:tr>
      <w:tr>
        <w:trPr>
          <w:trHeight w:val="646" w:hRule="exact"/>
        </w:trPr>
        <w:tc>
          <w:tcPr>
            <w:tcW w:w="26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盐城林洋现代农业有限公司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8"/>
              <w:jc w:val="left"/>
              <w:rPr>
                <w:rFonts w:ascii="宋体" w:hAnsi="宋体" w:cs="宋体" w:eastAsia="宋体" w:hint="default"/>
                <w:sz w:val="18"/>
                <w:szCs w:val="18"/>
              </w:rPr>
            </w:pPr>
            <w:r>
              <w:rPr>
                <w:rFonts w:ascii="宋体" w:hAnsi="宋体" w:cs="宋体" w:eastAsia="宋体" w:hint="default"/>
                <w:sz w:val="18"/>
                <w:szCs w:val="18"/>
              </w:rPr>
              <w:t>本公司控股股 东控制的公司</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61"/>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75"/>
              <w:jc w:val="left"/>
              <w:rPr>
                <w:rFonts w:ascii="宋体" w:hAnsi="宋体" w:cs="宋体" w:eastAsia="宋体" w:hint="default"/>
                <w:sz w:val="18"/>
                <w:szCs w:val="18"/>
              </w:rPr>
            </w:pPr>
            <w:r>
              <w:rPr>
                <w:rFonts w:ascii="宋体" w:hAnsi="宋体" w:cs="宋体" w:eastAsia="宋体" w:hint="default"/>
                <w:sz w:val="18"/>
                <w:szCs w:val="18"/>
              </w:rPr>
              <w:t>生物资产油用 牡丹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143.98</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143.98</w:t>
            </w:r>
            <w:r>
              <w:rPr>
                <w:rFonts w:ascii="宋体" w:hAnsi="宋体" w:cs="宋体" w:eastAsia="宋体" w:hint="default"/>
                <w:spacing w:val="-44"/>
                <w:sz w:val="18"/>
                <w:szCs w:val="18"/>
              </w:rPr>
              <w:t> </w:t>
            </w:r>
            <w:r>
              <w:rPr>
                <w:rFonts w:ascii="宋体" w:hAnsi="宋体" w:cs="宋体" w:eastAsia="宋体" w:hint="default"/>
                <w:sz w:val="18"/>
                <w:szCs w:val="18"/>
              </w:rPr>
              <w:t>万</w:t>
            </w:r>
          </w:p>
        </w:tc>
      </w:tr>
    </w:tbl>
    <w:p>
      <w:pPr>
        <w:spacing w:line="240" w:lineRule="auto" w:before="9"/>
        <w:rPr>
          <w:rFonts w:ascii="宋体" w:hAnsi="宋体" w:cs="宋体" w:eastAsia="宋体" w:hint="default"/>
          <w:sz w:val="24"/>
          <w:szCs w:val="24"/>
        </w:rPr>
      </w:pPr>
    </w:p>
    <w:p>
      <w:pPr>
        <w:pStyle w:val="Heading2"/>
        <w:spacing w:line="240" w:lineRule="auto"/>
        <w:ind w:left="31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3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31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161" w:val="left" w:leader="none"/>
        </w:tabs>
        <w:spacing w:line="240" w:lineRule="auto" w:before="97"/>
        <w:ind w:left="318" w:right="0"/>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3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70"/>
        <w:ind w:left="31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318" w:right="0"/>
        <w:jc w:val="left"/>
      </w:pPr>
      <w:r>
        <w:rPr/>
        <w:t>□适用 √不适用</w:t>
      </w:r>
    </w:p>
    <w:p>
      <w:pPr>
        <w:spacing w:after="0" w:line="240" w:lineRule="auto"/>
        <w:jc w:val="left"/>
        <w:sectPr>
          <w:footerReference w:type="default" r:id="rId26"/>
          <w:pgSz w:w="11910" w:h="16840"/>
          <w:pgMar w:footer="974" w:header="728" w:top="1120" w:bottom="1160" w:left="1100" w:right="1080"/>
        </w:sectPr>
      </w:pPr>
    </w:p>
    <w:p>
      <w:pPr>
        <w:spacing w:line="240" w:lineRule="auto" w:before="10"/>
        <w:rPr>
          <w:rFonts w:ascii="宋体" w:hAnsi="宋体" w:cs="宋体" w:eastAsia="宋体" w:hint="default"/>
          <w:sz w:val="26"/>
          <w:szCs w:val="26"/>
        </w:rPr>
      </w:pPr>
    </w:p>
    <w:p>
      <w:pPr>
        <w:pStyle w:val="Heading2"/>
        <w:spacing w:line="240" w:lineRule="auto"/>
        <w:ind w:left="27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121" w:val="left" w:leader="none"/>
        </w:tabs>
        <w:spacing w:line="240" w:lineRule="auto" w:before="97"/>
        <w:ind w:left="278" w:right="0"/>
        <w:jc w:val="left"/>
      </w:pPr>
      <w:r>
        <w:rPr/>
        <w:t>□适用</w:t>
        <w:tab/>
        <w:t>√不适用</w:t>
      </w:r>
    </w:p>
    <w:p>
      <w:pPr>
        <w:pStyle w:val="Heading2"/>
        <w:spacing w:line="240" w:lineRule="auto" w:before="97"/>
        <w:ind w:left="27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7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7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70"/>
        <w:ind w:left="27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78" w:right="0"/>
        <w:jc w:val="left"/>
      </w:pPr>
      <w:r>
        <w:rPr/>
        <w:t>□适用 √不适用</w:t>
      </w:r>
    </w:p>
    <w:p>
      <w:pPr>
        <w:pStyle w:val="Heading2"/>
        <w:spacing w:line="240" w:lineRule="auto" w:before="97"/>
        <w:ind w:left="27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121" w:val="left" w:leader="none"/>
        </w:tabs>
        <w:spacing w:line="240" w:lineRule="auto" w:before="97"/>
        <w:ind w:left="278" w:right="0"/>
        <w:jc w:val="left"/>
      </w:pPr>
      <w:r>
        <w:rPr/>
        <w:t>□适用</w:t>
        <w:tab/>
        <w:t>√不适用</w:t>
      </w:r>
    </w:p>
    <w:p>
      <w:pPr>
        <w:pStyle w:val="Heading2"/>
        <w:spacing w:line="240" w:lineRule="auto" w:before="97"/>
        <w:ind w:left="27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7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7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121" w:val="left" w:leader="none"/>
        </w:tabs>
        <w:spacing w:line="240" w:lineRule="auto" w:before="70"/>
        <w:ind w:left="278" w:right="0"/>
        <w:jc w:val="left"/>
      </w:pPr>
      <w:r>
        <w:rPr/>
        <w:t>□适用</w:t>
        <w:tab/>
        <w:t>√不适用</w:t>
      </w:r>
    </w:p>
    <w:p>
      <w:pPr>
        <w:spacing w:line="240" w:lineRule="auto" w:before="0"/>
        <w:rPr>
          <w:rFonts w:ascii="宋体" w:hAnsi="宋体" w:cs="宋体" w:eastAsia="宋体" w:hint="default"/>
          <w:sz w:val="20"/>
          <w:szCs w:val="20"/>
        </w:rPr>
      </w:pPr>
    </w:p>
    <w:p>
      <w:pPr>
        <w:pStyle w:val="Heading2"/>
        <w:tabs>
          <w:tab w:pos="1118" w:val="left" w:leader="none"/>
        </w:tabs>
        <w:spacing w:line="324" w:lineRule="auto" w:before="147"/>
        <w:ind w:left="278" w:right="6395"/>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spacing w:line="324" w:lineRule="auto" w:before="23"/>
        <w:ind w:left="278" w:right="775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324" w:lineRule="auto" w:before="23"/>
        <w:ind w:left="278" w:right="775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23"/>
        <w:ind w:left="27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7"/>
          <w:pgSz w:w="11910" w:h="16840"/>
          <w:pgMar w:footer="974" w:header="728" w:top="1120" w:bottom="1160" w:left="1140" w:right="1140"/>
          <w:pgNumType w:start="51"/>
        </w:sectPr>
      </w:pPr>
    </w:p>
    <w:p>
      <w:pPr>
        <w:pStyle w:val="Heading2"/>
        <w:tabs>
          <w:tab w:pos="1118" w:val="left" w:leader="none"/>
        </w:tabs>
        <w:spacing w:line="240" w:lineRule="auto"/>
        <w:ind w:left="278" w:right="-1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97"/>
        <w:ind w:left="2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78"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140" w:right="1140"/>
          <w:cols w:num="2" w:equalWidth="0">
            <w:col w:w="1964" w:space="5006"/>
            <w:col w:w="2660"/>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567"/>
        <w:gridCol w:w="965"/>
        <w:gridCol w:w="641"/>
        <w:gridCol w:w="517"/>
        <w:gridCol w:w="847"/>
        <w:gridCol w:w="646"/>
        <w:gridCol w:w="641"/>
        <w:gridCol w:w="644"/>
        <w:gridCol w:w="641"/>
        <w:gridCol w:w="643"/>
        <w:gridCol w:w="718"/>
        <w:gridCol w:w="644"/>
        <w:gridCol w:w="641"/>
        <w:gridCol w:w="634"/>
      </w:tblGrid>
      <w:tr>
        <w:trPr>
          <w:trHeight w:val="324" w:hRule="exact"/>
        </w:trPr>
        <w:tc>
          <w:tcPr>
            <w:tcW w:w="938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85"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57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3" w:right="65"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57" w:right="53"/>
              <w:jc w:val="both"/>
              <w:rPr>
                <w:rFonts w:ascii="宋体" w:hAnsi="宋体" w:cs="宋体" w:eastAsia="宋体" w:hint="default"/>
                <w:sz w:val="21"/>
                <w:szCs w:val="21"/>
              </w:rPr>
            </w:pPr>
            <w:r>
              <w:rPr>
                <w:rFonts w:ascii="宋体" w:hAnsi="宋体" w:cs="宋体" w:eastAsia="宋体" w:hint="default"/>
                <w:sz w:val="21"/>
                <w:szCs w:val="21"/>
              </w:rPr>
              <w:t>担保方与</w:t>
            </w:r>
            <w:r>
              <w:rPr>
                <w:rFonts w:ascii="宋体" w:hAnsi="宋体" w:cs="宋体" w:eastAsia="宋体" w:hint="default"/>
                <w:w w:val="100"/>
                <w:sz w:val="21"/>
                <w:szCs w:val="21"/>
              </w:rPr>
              <w:t> </w:t>
            </w: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的关系</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3" w:right="39"/>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0" w:right="48" w:firstLine="52"/>
              <w:jc w:val="both"/>
              <w:rPr>
                <w:rFonts w:ascii="宋体" w:hAnsi="宋体" w:cs="宋体" w:eastAsia="宋体" w:hint="default"/>
                <w:sz w:val="21"/>
                <w:szCs w:val="21"/>
              </w:rPr>
            </w:pPr>
            <w:r>
              <w:rPr>
                <w:rFonts w:ascii="宋体" w:hAnsi="宋体" w:cs="宋体" w:eastAsia="宋体" w:hint="default"/>
                <w:sz w:val="21"/>
                <w:szCs w:val="21"/>
              </w:rPr>
              <w:t>担保发</w:t>
            </w:r>
            <w:r>
              <w:rPr>
                <w:rFonts w:ascii="宋体" w:hAnsi="宋体" w:cs="宋体" w:eastAsia="宋体" w:hint="default"/>
                <w:w w:val="100"/>
                <w:sz w:val="21"/>
                <w:szCs w:val="21"/>
              </w:rPr>
              <w:t> </w:t>
            </w:r>
            <w:r>
              <w:rPr>
                <w:rFonts w:ascii="宋体" w:hAnsi="宋体" w:cs="宋体" w:eastAsia="宋体" w:hint="default"/>
                <w:sz w:val="21"/>
                <w:szCs w:val="21"/>
              </w:rPr>
              <w:t>生日期</w:t>
            </w:r>
            <w:r>
              <w:rPr>
                <w:rFonts w:ascii="宋体" w:hAnsi="宋体" w:cs="宋体" w:eastAsia="宋体" w:hint="default"/>
                <w:spacing w:val="-102"/>
                <w:sz w:val="21"/>
                <w:szCs w:val="21"/>
              </w:rPr>
              <w:t> </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5" w:right="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8" w:right="35"/>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7" w:right="10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0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22" w:hRule="exact"/>
        </w:trPr>
        <w:tc>
          <w:tcPr>
            <w:tcW w:w="567"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6"/>
                <w:sz w:val="21"/>
                <w:szCs w:val="21"/>
              </w:rPr>
              <w:t>报告期内担保发生额合计（不包括对子公司的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担保）</w:t>
            </w:r>
          </w:p>
        </w:tc>
        <w:tc>
          <w:tcPr>
            <w:tcW w:w="5204"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8"/>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司的担保）</w:t>
            </w:r>
          </w:p>
        </w:tc>
        <w:tc>
          <w:tcPr>
            <w:tcW w:w="5204"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38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62"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bl>
    <w:p>
      <w:pPr>
        <w:spacing w:after="0" w:line="262" w:lineRule="exact"/>
        <w:jc w:val="left"/>
        <w:rPr>
          <w:rFonts w:ascii="宋体" w:hAnsi="宋体" w:cs="宋体" w:eastAsia="宋体" w:hint="default"/>
          <w:sz w:val="21"/>
          <w:szCs w:val="21"/>
        </w:rPr>
        <w:sectPr>
          <w:type w:val="continuous"/>
          <w:pgSz w:w="11910" w:h="16840"/>
          <w:pgMar w:top="1580" w:bottom="280" w:left="114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182"/>
        <w:gridCol w:w="5204"/>
      </w:tblGrid>
      <w:tr>
        <w:trPr>
          <w:trHeight w:val="324"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80,216</w:t>
            </w:r>
          </w:p>
        </w:tc>
      </w:tr>
      <w:tr>
        <w:trPr>
          <w:trHeight w:val="32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259,346</w:t>
            </w:r>
          </w:p>
        </w:tc>
      </w:tr>
      <w:tr>
        <w:trPr>
          <w:trHeight w:val="322" w:hRule="exact"/>
        </w:trPr>
        <w:tc>
          <w:tcPr>
            <w:tcW w:w="9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4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259,346</w:t>
            </w:r>
          </w:p>
        </w:tc>
      </w:tr>
      <w:tr>
        <w:trPr>
          <w:trHeight w:val="32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6"/>
                <w:sz w:val="21"/>
                <w:szCs w:val="21"/>
              </w:rPr>
              <w:t>为股东、实际控制人及其关联方提供担保的金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额（</w:t>
            </w:r>
            <w:r>
              <w:rPr>
                <w:rFonts w:ascii="宋体" w:hAnsi="宋体" w:cs="宋体" w:eastAsia="宋体" w:hint="default"/>
                <w:sz w:val="21"/>
                <w:szCs w:val="21"/>
              </w:rPr>
              <w:t>C</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5"/>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87,216</w:t>
            </w:r>
          </w:p>
        </w:tc>
      </w:tr>
      <w:tr>
        <w:trPr>
          <w:trHeight w:val="32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87,216</w:t>
            </w:r>
          </w:p>
        </w:tc>
      </w:tr>
      <w:tr>
        <w:trPr>
          <w:trHeight w:val="32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28" w:footer="974" w:top="1120" w:bottom="1160" w:left="1140" w:right="1140"/>
        </w:sectPr>
      </w:pPr>
    </w:p>
    <w:p>
      <w:pPr>
        <w:pStyle w:val="Heading2"/>
        <w:tabs>
          <w:tab w:pos="703" w:val="left" w:leader="none"/>
          <w:tab w:pos="1118" w:val="left" w:leader="none"/>
        </w:tabs>
        <w:spacing w:line="324" w:lineRule="auto"/>
        <w:ind w:left="27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23"/>
        <w:ind w:left="27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97"/>
        <w:ind w:left="2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6"/>
        <w:ind w:left="278" w:right="0"/>
        <w:jc w:val="left"/>
      </w:pPr>
      <w:r>
        <w:rPr/>
        <w:t>单位：万元币种：人民币</w:t>
      </w:r>
    </w:p>
    <w:p>
      <w:pPr>
        <w:spacing w:after="0" w:line="240" w:lineRule="auto"/>
        <w:jc w:val="left"/>
        <w:sectPr>
          <w:type w:val="continuous"/>
          <w:pgSz w:w="11910" w:h="16840"/>
          <w:pgMar w:top="1580" w:bottom="280" w:left="1140" w:right="1140"/>
          <w:cols w:num="2" w:equalWidth="0">
            <w:col w:w="4283" w:space="2477"/>
            <w:col w:w="2870"/>
          </w:cols>
        </w:sectPr>
      </w:pPr>
    </w:p>
    <w:p>
      <w:pPr>
        <w:spacing w:line="240" w:lineRule="auto" w:before="10"/>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2330"/>
        <w:gridCol w:w="1748"/>
        <w:gridCol w:w="1745"/>
        <w:gridCol w:w="1742"/>
        <w:gridCol w:w="1784"/>
      </w:tblGrid>
      <w:tr>
        <w:trPr>
          <w:trHeight w:val="324"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5"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9"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8"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174,305.73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11,205.73</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可转债募集资金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97,000.00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非公开募集资金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20,000.00</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94,200.00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19,000.00</w:t>
            </w:r>
          </w:p>
        </w:tc>
        <w:tc>
          <w:tcPr>
            <w:tcW w:w="1784"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62" w:lineRule="exact" w:before="0"/>
        <w:ind w:left="278" w:right="0"/>
        <w:jc w:val="left"/>
        <w:rPr>
          <w:b w:val="0"/>
          <w:bCs w:val="0"/>
        </w:rPr>
      </w:pPr>
      <w:r>
        <w:rPr/>
        <w:t>其他情况</w:t>
      </w:r>
      <w:r>
        <w:rPr>
          <w:b w:val="0"/>
          <w:bCs w:val="0"/>
        </w:rPr>
      </w:r>
    </w:p>
    <w:p>
      <w:pPr>
        <w:pStyle w:val="BodyText"/>
        <w:spacing w:line="240" w:lineRule="auto" w:before="37"/>
        <w:ind w:left="27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7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73" w:lineRule="auto" w:before="97"/>
        <w:ind w:left="278" w:right="775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278" w:right="0"/>
        <w:jc w:val="left"/>
      </w:pPr>
      <w:r>
        <w:rPr/>
        <w:t>□适用 √不适用</w:t>
      </w:r>
    </w:p>
    <w:p>
      <w:pPr>
        <w:pStyle w:val="Heading2"/>
        <w:spacing w:line="240" w:lineRule="auto" w:before="97"/>
        <w:ind w:left="27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97"/>
        <w:ind w:left="278" w:right="0"/>
        <w:jc w:val="left"/>
      </w:pPr>
      <w:r>
        <w:rPr/>
        <w:t>□适用 √不适用</w:t>
      </w:r>
    </w:p>
    <w:p>
      <w:pPr>
        <w:spacing w:line="240" w:lineRule="auto" w:before="0"/>
        <w:rPr>
          <w:rFonts w:ascii="宋体" w:hAnsi="宋体" w:cs="宋体" w:eastAsia="宋体" w:hint="default"/>
          <w:sz w:val="20"/>
          <w:szCs w:val="20"/>
        </w:rPr>
      </w:pPr>
    </w:p>
    <w:p>
      <w:pPr>
        <w:pStyle w:val="Heading2"/>
        <w:tabs>
          <w:tab w:pos="703" w:val="left" w:leader="none"/>
        </w:tabs>
        <w:spacing w:line="240" w:lineRule="auto" w:before="147"/>
        <w:ind w:left="278" w:right="0"/>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97"/>
        <w:ind w:left="27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1121" w:val="left" w:leader="none"/>
        </w:tabs>
        <w:spacing w:line="273" w:lineRule="auto" w:before="97"/>
        <w:ind w:left="278" w:right="76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121" w:val="left" w:leader="none"/>
        </w:tabs>
        <w:spacing w:line="240" w:lineRule="auto" w:before="8"/>
        <w:ind w:left="278" w:right="0"/>
        <w:jc w:val="left"/>
      </w:pPr>
      <w:r>
        <w:rPr/>
        <w:t>□适用</w:t>
        <w:tab/>
        <w:t>√不适用</w:t>
      </w:r>
    </w:p>
    <w:p>
      <w:pPr>
        <w:spacing w:after="0" w:line="240" w:lineRule="auto"/>
        <w:jc w:val="left"/>
        <w:sectPr>
          <w:type w:val="continuous"/>
          <w:pgSz w:w="11910" w:h="16840"/>
          <w:pgMar w:top="1580" w:bottom="280" w:left="1140" w:right="1140"/>
        </w:sectPr>
      </w:pPr>
    </w:p>
    <w:p>
      <w:pPr>
        <w:spacing w:line="240" w:lineRule="auto" w:before="10"/>
        <w:rPr>
          <w:rFonts w:ascii="宋体" w:hAnsi="宋体" w:cs="宋体" w:eastAsia="宋体" w:hint="default"/>
          <w:sz w:val="26"/>
          <w:szCs w:val="26"/>
        </w:rPr>
      </w:pPr>
    </w:p>
    <w:p>
      <w:pPr>
        <w:pStyle w:val="Heading2"/>
        <w:spacing w:line="240" w:lineRule="auto"/>
        <w:ind w:left="178"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1021" w:val="left" w:leader="none"/>
        </w:tabs>
        <w:spacing w:line="273" w:lineRule="auto" w:before="97"/>
        <w:ind w:left="178" w:right="750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78" w:right="0"/>
        <w:jc w:val="both"/>
      </w:pPr>
      <w:r>
        <w:rPr/>
        <w:t>□适用  √不适用</w:t>
      </w:r>
    </w:p>
    <w:p>
      <w:pPr>
        <w:pStyle w:val="Heading2"/>
        <w:spacing w:line="240" w:lineRule="auto" w:before="97"/>
        <w:ind w:left="178" w:right="0"/>
        <w:jc w:val="both"/>
        <w:rPr>
          <w:b w:val="0"/>
          <w:bCs w:val="0"/>
        </w:rPr>
      </w:pPr>
      <w:r>
        <w:rPr>
          <w:rFonts w:ascii="宋体" w:hAnsi="宋体" w:cs="宋体" w:eastAsia="宋体" w:hint="default"/>
        </w:rPr>
        <w:t>(3)</w:t>
      </w:r>
      <w:r>
        <w:rPr>
          <w:rFonts w:ascii="宋体" w:hAnsi="宋体" w:cs="宋体" w:eastAsia="宋体" w:hint="default"/>
          <w:spacing w:val="-62"/>
        </w:rPr>
        <w:t> </w:t>
      </w:r>
      <w:r>
        <w:rPr/>
        <w:t>委托贷款减值准备</w:t>
      </w:r>
      <w:r>
        <w:rPr>
          <w:b w:val="0"/>
          <w:bCs w:val="0"/>
        </w:rPr>
      </w:r>
    </w:p>
    <w:p>
      <w:pPr>
        <w:pStyle w:val="BodyText"/>
        <w:spacing w:line="240" w:lineRule="auto" w:before="97"/>
        <w:ind w:left="1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0"/>
        <w:jc w:val="both"/>
        <w:rPr>
          <w:b w:val="0"/>
          <w:bCs w:val="0"/>
        </w:rPr>
      </w:pPr>
      <w:r>
        <w:rPr>
          <w:rFonts w:ascii="宋体" w:hAnsi="宋体" w:cs="宋体" w:eastAsia="宋体" w:hint="default"/>
        </w:rPr>
        <w:t>3. </w:t>
      </w:r>
      <w:r>
        <w:rPr>
          <w:rFonts w:ascii="宋体" w:hAnsi="宋体" w:cs="宋体" w:eastAsia="宋体" w:hint="default"/>
          <w:spacing w:val="1"/>
        </w:rPr>
        <w:t> </w:t>
      </w:r>
      <w:r>
        <w:rPr/>
        <w:t>其他情况</w:t>
      </w:r>
      <w:r>
        <w:rPr>
          <w:b w:val="0"/>
          <w:bCs w:val="0"/>
        </w:rPr>
      </w:r>
    </w:p>
    <w:p>
      <w:pPr>
        <w:pStyle w:val="BodyText"/>
        <w:spacing w:line="240" w:lineRule="auto" w:before="97"/>
        <w:ind w:left="1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7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其他重大合同</w:t>
      </w:r>
      <w:r>
        <w:rPr>
          <w:b w:val="0"/>
          <w:bCs w:val="0"/>
        </w:rPr>
      </w:r>
    </w:p>
    <w:p>
      <w:pPr>
        <w:pStyle w:val="BodyText"/>
        <w:spacing w:line="240" w:lineRule="auto" w:before="97"/>
        <w:ind w:left="178" w:right="0"/>
        <w:jc w:val="both"/>
      </w:pPr>
      <w:r>
        <w:rPr/>
        <w:t>√适用  □不适用</w:t>
      </w:r>
    </w:p>
    <w:p>
      <w:pPr>
        <w:pStyle w:val="BodyText"/>
        <w:spacing w:line="240" w:lineRule="auto" w:before="37"/>
        <w:ind w:left="178" w:right="0"/>
        <w:jc w:val="both"/>
      </w:pP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60"/>
        </w:rPr>
        <w:t> </w:t>
      </w:r>
      <w:r>
        <w:rPr/>
        <w:t>年</w:t>
      </w:r>
      <w:r>
        <w:rPr>
          <w:spacing w:val="-58"/>
        </w:rPr>
        <w:t> </w:t>
      </w:r>
      <w:r>
        <w:rPr>
          <w:rFonts w:ascii="宋体" w:hAnsi="宋体" w:cs="宋体" w:eastAsia="宋体" w:hint="default"/>
        </w:rPr>
        <w:t>3</w:t>
      </w:r>
      <w:r>
        <w:rPr>
          <w:rFonts w:ascii="宋体" w:hAnsi="宋体" w:cs="宋体" w:eastAsia="宋体" w:hint="default"/>
          <w:spacing w:val="-60"/>
        </w:rPr>
        <w:t> </w:t>
      </w:r>
      <w:r>
        <w:rPr/>
        <w:t>月，在“广东电网有限责任公司</w:t>
      </w:r>
      <w:r>
        <w:rPr>
          <w:spacing w:val="-57"/>
        </w:rPr>
        <w:t> </w:t>
      </w:r>
      <w:r>
        <w:rPr>
          <w:rFonts w:ascii="宋体" w:hAnsi="宋体" w:cs="宋体" w:eastAsia="宋体" w:hint="default"/>
        </w:rPr>
        <w:t>2018</w:t>
      </w:r>
      <w:r>
        <w:rPr>
          <w:rFonts w:ascii="宋体" w:hAnsi="宋体" w:cs="宋体" w:eastAsia="宋体" w:hint="default"/>
          <w:spacing w:val="-58"/>
        </w:rPr>
        <w:t> </w:t>
      </w:r>
      <w:r>
        <w:rPr/>
        <w:t>年电能表框架招标活动”中，公司为单相智能</w:t>
      </w:r>
    </w:p>
    <w:p>
      <w:pPr>
        <w:pStyle w:val="BodyText"/>
        <w:spacing w:line="273" w:lineRule="auto" w:before="37"/>
        <w:ind w:left="178" w:right="109"/>
        <w:jc w:val="both"/>
      </w:pPr>
      <w:r>
        <w:rPr>
          <w:spacing w:val="-6"/>
          <w:w w:val="100"/>
        </w:rPr>
        <w:t>电表和三相智能电表的中标候选人，预计中标金额约为</w:t>
      </w:r>
      <w:r>
        <w:rPr>
          <w:spacing w:val="-53"/>
          <w:w w:val="100"/>
        </w:rPr>
        <w:t> </w:t>
      </w:r>
      <w:r>
        <w:rPr>
          <w:rFonts w:ascii="宋体" w:hAnsi="宋体" w:cs="宋体" w:eastAsia="宋体" w:hint="default"/>
          <w:w w:val="100"/>
        </w:rPr>
        <w:t>6,600</w:t>
      </w:r>
      <w:r>
        <w:rPr>
          <w:rFonts w:ascii="宋体" w:hAnsi="宋体" w:cs="宋体" w:eastAsia="宋体" w:hint="default"/>
          <w:spacing w:val="-56"/>
          <w:w w:val="100"/>
        </w:rPr>
        <w:t> </w:t>
      </w:r>
      <w:r>
        <w:rPr>
          <w:spacing w:val="-9"/>
          <w:w w:val="100"/>
        </w:rPr>
        <w:t>万元；在“广东电网有限责任公司</w:t>
      </w:r>
      <w:r>
        <w:rPr>
          <w:spacing w:val="-56"/>
          <w:w w:val="100"/>
        </w:rPr>
        <w:t> </w:t>
      </w:r>
      <w:r>
        <w:rPr>
          <w:rFonts w:ascii="宋体" w:hAnsi="宋体" w:cs="宋体" w:eastAsia="宋体" w:hint="default"/>
          <w:w w:val="100"/>
        </w:rPr>
        <w:t>2018</w:t>
      </w:r>
      <w:r>
        <w:rPr>
          <w:rFonts w:ascii="宋体" w:hAnsi="宋体" w:cs="宋体" w:eastAsia="宋体" w:hint="default"/>
          <w:spacing w:val="-104"/>
          <w:w w:val="100"/>
        </w:rPr>
        <w:t> </w:t>
      </w:r>
      <w:r>
        <w:rPr>
          <w:spacing w:val="-2"/>
        </w:rPr>
        <w:t>年负荷管理终端、配变监测计量终端、低压集抄等营销关键设备框架招标活动”中，公司为负荷管</w:t>
      </w:r>
      <w:r>
        <w:rPr>
          <w:spacing w:val="-26"/>
        </w:rPr>
        <w:t> </w:t>
      </w:r>
      <w:r>
        <w:rPr>
          <w:spacing w:val="-26"/>
        </w:rPr>
      </w:r>
      <w:r>
        <w:rPr/>
        <w:t>理终端、配变监测计量终端和低压集抄终端设备的中标候选人，预计中标金额约为</w:t>
      </w:r>
      <w:r>
        <w:rPr>
          <w:spacing w:val="-55"/>
        </w:rPr>
        <w:t> </w:t>
      </w:r>
      <w:r>
        <w:rPr>
          <w:rFonts w:ascii="宋体" w:hAnsi="宋体" w:cs="宋体" w:eastAsia="宋体" w:hint="default"/>
        </w:rPr>
        <w:t>4,600</w:t>
      </w:r>
      <w:r>
        <w:rPr>
          <w:rFonts w:ascii="宋体" w:hAnsi="宋体" w:cs="宋体" w:eastAsia="宋体" w:hint="default"/>
          <w:spacing w:val="-56"/>
        </w:rPr>
        <w:t> </w:t>
      </w:r>
      <w:r>
        <w:rPr/>
        <w:t>万元；合</w:t>
      </w:r>
    </w:p>
    <w:p>
      <w:pPr>
        <w:pStyle w:val="BodyText"/>
        <w:spacing w:line="273" w:lineRule="auto" w:before="7"/>
        <w:ind w:left="178" w:right="0"/>
        <w:jc w:val="left"/>
      </w:pPr>
      <w:r>
        <w:rPr/>
        <w:t>计中标金额约</w:t>
      </w:r>
      <w:r>
        <w:rPr>
          <w:spacing w:val="-28"/>
        </w:rPr>
        <w:t> </w:t>
      </w:r>
      <w:r>
        <w:rPr>
          <w:rFonts w:ascii="宋体" w:hAnsi="宋体" w:cs="宋体" w:eastAsia="宋体" w:hint="default"/>
        </w:rPr>
        <w:t>11,200</w:t>
      </w:r>
      <w:r>
        <w:rPr>
          <w:rFonts w:ascii="宋体" w:hAnsi="宋体" w:cs="宋体" w:eastAsia="宋体" w:hint="default"/>
          <w:spacing w:val="-28"/>
        </w:rPr>
        <w:t> </w:t>
      </w:r>
      <w:r>
        <w:rPr>
          <w:spacing w:val="-4"/>
        </w:rPr>
        <w:t>万元。截至本报告披露日，公司按要求与项目单位签订书面合同，并按合同的</w:t>
      </w:r>
      <w:r>
        <w:rPr>
          <w:spacing w:val="-95"/>
        </w:rPr>
        <w:t> </w:t>
      </w:r>
      <w:r>
        <w:rPr>
          <w:spacing w:val="-95"/>
        </w:rPr>
      </w:r>
      <w:r>
        <w:rPr/>
        <w:t>规定履行相应事宜。</w:t>
      </w:r>
    </w:p>
    <w:p>
      <w:pPr>
        <w:pStyle w:val="BodyText"/>
        <w:spacing w:line="240" w:lineRule="auto" w:before="7"/>
        <w:ind w:left="178" w:right="0"/>
        <w:jc w:val="both"/>
      </w:pPr>
      <w:r>
        <w:rPr>
          <w:w w:val="100"/>
        </w:rPr>
        <w:t>（</w:t>
      </w:r>
      <w:r>
        <w:rPr>
          <w:rFonts w:ascii="宋体" w:hAnsi="宋体" w:cs="宋体" w:eastAsia="宋体" w:hint="default"/>
          <w:w w:val="100"/>
        </w:rPr>
        <w:t>2</w:t>
      </w:r>
      <w:r>
        <w:rPr>
          <w:spacing w:val="-106"/>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7"/>
        </w:rPr>
        <w:t> </w:t>
      </w:r>
      <w:r>
        <w:rPr>
          <w:w w:val="100"/>
        </w:rPr>
        <w:t>月</w:t>
      </w:r>
      <w:r>
        <w:rPr>
          <w:spacing w:val="-106"/>
          <w:w w:val="100"/>
        </w:rPr>
        <w:t>，</w:t>
      </w:r>
      <w:r>
        <w:rPr>
          <w:spacing w:val="-3"/>
          <w:w w:val="100"/>
        </w:rPr>
        <w:t>公</w:t>
      </w:r>
      <w:r>
        <w:rPr>
          <w:w w:val="100"/>
        </w:rPr>
        <w:t>司</w:t>
      </w:r>
      <w:r>
        <w:rPr>
          <w:spacing w:val="-3"/>
          <w:w w:val="100"/>
        </w:rPr>
        <w:t>在</w:t>
      </w:r>
      <w:r>
        <w:rPr>
          <w:w w:val="100"/>
        </w:rPr>
        <w:t>“国</w:t>
      </w:r>
      <w:r>
        <w:rPr>
          <w:spacing w:val="-3"/>
          <w:w w:val="100"/>
        </w:rPr>
        <w:t>家</w:t>
      </w:r>
      <w:r>
        <w:rPr>
          <w:spacing w:val="-1"/>
          <w:w w:val="100"/>
        </w:rPr>
        <w:t>电</w:t>
      </w:r>
      <w:r>
        <w:rPr>
          <w:spacing w:val="-3"/>
          <w:w w:val="100"/>
        </w:rPr>
        <w:t>网</w:t>
      </w:r>
      <w:r>
        <w:rPr>
          <w:w w:val="100"/>
        </w:rPr>
        <w:t>有</w:t>
      </w:r>
      <w:r>
        <w:rPr>
          <w:spacing w:val="-3"/>
          <w:w w:val="100"/>
        </w:rPr>
        <w:t>限公</w:t>
      </w:r>
      <w:r>
        <w:rPr>
          <w:w w:val="100"/>
        </w:rPr>
        <w:t>司</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8"/>
        </w:rPr>
        <w:t> </w:t>
      </w:r>
      <w:r>
        <w:rPr>
          <w:w w:val="100"/>
        </w:rPr>
        <w:t>年第</w:t>
      </w:r>
      <w:r>
        <w:rPr>
          <w:spacing w:val="-3"/>
          <w:w w:val="100"/>
        </w:rPr>
        <w:t>一</w:t>
      </w:r>
      <w:r>
        <w:rPr>
          <w:w w:val="100"/>
        </w:rPr>
        <w:t>次</w:t>
      </w:r>
      <w:r>
        <w:rPr>
          <w:spacing w:val="-3"/>
          <w:w w:val="100"/>
        </w:rPr>
        <w:t>电</w:t>
      </w:r>
      <w:r>
        <w:rPr>
          <w:w w:val="100"/>
        </w:rPr>
        <w:t>能</w:t>
      </w:r>
      <w:r>
        <w:rPr>
          <w:spacing w:val="-3"/>
          <w:w w:val="100"/>
        </w:rPr>
        <w:t>表</w:t>
      </w:r>
      <w:r>
        <w:rPr>
          <w:w w:val="100"/>
        </w:rPr>
        <w:t>及</w:t>
      </w:r>
      <w:r>
        <w:rPr>
          <w:spacing w:val="-3"/>
          <w:w w:val="100"/>
        </w:rPr>
        <w:t>用</w:t>
      </w:r>
      <w:r>
        <w:rPr>
          <w:w w:val="100"/>
        </w:rPr>
        <w:t>电</w:t>
      </w:r>
      <w:r>
        <w:rPr>
          <w:spacing w:val="-3"/>
          <w:w w:val="100"/>
        </w:rPr>
        <w:t>信</w:t>
      </w:r>
      <w:r>
        <w:rPr>
          <w:w w:val="100"/>
        </w:rPr>
        <w:t>息采</w:t>
      </w:r>
      <w:r>
        <w:rPr>
          <w:spacing w:val="-3"/>
          <w:w w:val="100"/>
        </w:rPr>
        <w:t>集</w:t>
      </w:r>
      <w:r>
        <w:rPr>
          <w:w w:val="100"/>
        </w:rPr>
        <w:t>设</w:t>
      </w:r>
      <w:r>
        <w:rPr>
          <w:spacing w:val="-3"/>
          <w:w w:val="100"/>
        </w:rPr>
        <w:t>备</w:t>
      </w:r>
      <w:r>
        <w:rPr>
          <w:w w:val="100"/>
        </w:rPr>
        <w:t>招</w:t>
      </w:r>
      <w:r>
        <w:rPr>
          <w:spacing w:val="-3"/>
          <w:w w:val="100"/>
        </w:rPr>
        <w:t>标</w:t>
      </w:r>
      <w:r>
        <w:rPr>
          <w:w w:val="100"/>
        </w:rPr>
        <w:t>活</w:t>
      </w:r>
      <w:r>
        <w:rPr>
          <w:spacing w:val="-2"/>
          <w:w w:val="100"/>
        </w:rPr>
        <w:t>动</w:t>
      </w:r>
      <w:r>
        <w:rPr>
          <w:w w:val="100"/>
        </w:rPr>
        <w:t>”</w:t>
      </w:r>
    </w:p>
    <w:p>
      <w:pPr>
        <w:pStyle w:val="BodyText"/>
        <w:spacing w:line="273" w:lineRule="auto" w:before="37"/>
        <w:ind w:left="178" w:right="0"/>
        <w:jc w:val="left"/>
      </w:pPr>
      <w:r>
        <w:rPr/>
        <w:t>中，公司中标共计</w:t>
      </w:r>
      <w:r>
        <w:rPr>
          <w:spacing w:val="-55"/>
        </w:rPr>
        <w:t> </w:t>
      </w:r>
      <w:r>
        <w:rPr>
          <w:rFonts w:ascii="宋体" w:hAnsi="宋体" w:cs="宋体" w:eastAsia="宋体" w:hint="default"/>
        </w:rPr>
        <w:t>4</w:t>
      </w:r>
      <w:r>
        <w:rPr>
          <w:rFonts w:ascii="宋体" w:hAnsi="宋体" w:cs="宋体" w:eastAsia="宋体" w:hint="default"/>
          <w:spacing w:val="-57"/>
        </w:rPr>
        <w:t> </w:t>
      </w:r>
      <w:r>
        <w:rPr/>
        <w:t>个包，合计总数量</w:t>
      </w:r>
      <w:r>
        <w:rPr>
          <w:spacing w:val="-54"/>
        </w:rPr>
        <w:t> </w:t>
      </w:r>
      <w:r>
        <w:rPr>
          <w:rFonts w:ascii="宋体" w:hAnsi="宋体" w:cs="宋体" w:eastAsia="宋体" w:hint="default"/>
        </w:rPr>
        <w:t>551,300</w:t>
      </w:r>
      <w:r>
        <w:rPr>
          <w:rFonts w:ascii="宋体" w:hAnsi="宋体" w:cs="宋体" w:eastAsia="宋体" w:hint="default"/>
          <w:spacing w:val="-55"/>
        </w:rPr>
        <w:t> </w:t>
      </w:r>
      <w:r>
        <w:rPr/>
        <w:t>只，合计中标金额约</w:t>
      </w:r>
      <w:r>
        <w:rPr>
          <w:spacing w:val="-55"/>
        </w:rPr>
        <w:t> </w:t>
      </w:r>
      <w:r>
        <w:rPr>
          <w:rFonts w:ascii="宋体" w:hAnsi="宋体" w:cs="宋体" w:eastAsia="宋体" w:hint="default"/>
        </w:rPr>
        <w:t>14,798.11</w:t>
      </w:r>
      <w:r>
        <w:rPr>
          <w:rFonts w:ascii="宋体" w:hAnsi="宋体" w:cs="宋体" w:eastAsia="宋体" w:hint="default"/>
          <w:spacing w:val="-55"/>
        </w:rPr>
        <w:t> </w:t>
      </w:r>
      <w:r>
        <w:rPr/>
        <w:t>万元。截至本报告</w:t>
      </w:r>
      <w:r>
        <w:rPr>
          <w:w w:val="100"/>
        </w:rPr>
        <w:t> </w:t>
      </w:r>
      <w:r>
        <w:rPr/>
        <w:t>披露日，公司按要求与项目单位签订书面合同，并按合同的规定履行相应事宜。</w:t>
      </w:r>
    </w:p>
    <w:p>
      <w:pPr>
        <w:pStyle w:val="BodyText"/>
        <w:spacing w:line="273" w:lineRule="auto" w:before="7"/>
        <w:ind w:left="178" w:right="199"/>
        <w:jc w:val="left"/>
      </w:pPr>
      <w:r>
        <w:rPr/>
        <w:t>（</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月，公司和全资子公司电力服务组成联合体与中广核林洋新能源泗洪有限公司就泗</w:t>
      </w:r>
      <w:r>
        <w:rPr>
          <w:w w:val="100"/>
        </w:rPr>
        <w:t> </w:t>
      </w:r>
      <w:r>
        <w:rPr/>
        <w:t>洪县天岗湖乡天岗湖区域</w:t>
      </w:r>
      <w:r>
        <w:rPr>
          <w:spacing w:val="-57"/>
        </w:rPr>
        <w:t> </w:t>
      </w:r>
      <w:r>
        <w:rPr>
          <w:rFonts w:ascii="宋体" w:hAnsi="宋体" w:cs="宋体" w:eastAsia="宋体" w:hint="default"/>
        </w:rPr>
        <w:t>2</w:t>
      </w:r>
      <w:r>
        <w:rPr>
          <w:rFonts w:ascii="宋体" w:hAnsi="宋体" w:cs="宋体" w:eastAsia="宋体" w:hint="default"/>
          <w:spacing w:val="-53"/>
        </w:rPr>
        <w:t> </w:t>
      </w:r>
      <w:r>
        <w:rPr/>
        <w:t>号领跑者项目和</w:t>
      </w:r>
      <w:r>
        <w:rPr>
          <w:spacing w:val="-54"/>
        </w:rPr>
        <w:t> </w:t>
      </w:r>
      <w:r>
        <w:rPr>
          <w:rFonts w:ascii="宋体" w:hAnsi="宋体" w:cs="宋体" w:eastAsia="宋体" w:hint="default"/>
        </w:rPr>
        <w:t>4</w:t>
      </w:r>
      <w:r>
        <w:rPr>
          <w:rFonts w:ascii="宋体" w:hAnsi="宋体" w:cs="宋体" w:eastAsia="宋体" w:hint="default"/>
          <w:spacing w:val="-56"/>
        </w:rPr>
        <w:t> </w:t>
      </w:r>
      <w:r>
        <w:rPr/>
        <w:t>号领跑者项目共同签订《</w:t>
      </w:r>
      <w:r>
        <w:rPr>
          <w:rFonts w:ascii="宋体" w:hAnsi="宋体" w:cs="宋体" w:eastAsia="宋体" w:hint="default"/>
        </w:rPr>
        <w:t>EPC</w:t>
      </w:r>
      <w:r>
        <w:rPr>
          <w:rFonts w:ascii="宋体" w:hAnsi="宋体" w:cs="宋体" w:eastAsia="宋体" w:hint="default"/>
          <w:spacing w:val="-56"/>
        </w:rPr>
        <w:t> </w:t>
      </w:r>
      <w:r>
        <w:rPr/>
        <w:t>总承包合同》，合同总</w:t>
      </w:r>
    </w:p>
    <w:p>
      <w:pPr>
        <w:pStyle w:val="BodyText"/>
        <w:spacing w:line="273" w:lineRule="auto" w:before="7"/>
        <w:ind w:left="178" w:right="145"/>
        <w:jc w:val="left"/>
      </w:pPr>
      <w:r>
        <w:rPr/>
        <w:t>价合计为人民币</w:t>
      </w:r>
      <w:r>
        <w:rPr>
          <w:spacing w:val="-55"/>
        </w:rPr>
        <w:t> </w:t>
      </w:r>
      <w:r>
        <w:rPr>
          <w:rFonts w:ascii="宋体" w:hAnsi="宋体" w:cs="宋体" w:eastAsia="宋体" w:hint="default"/>
        </w:rPr>
        <w:t>110,890</w:t>
      </w:r>
      <w:r>
        <w:rPr>
          <w:rFonts w:ascii="宋体" w:hAnsi="宋体" w:cs="宋体" w:eastAsia="宋体" w:hint="default"/>
          <w:spacing w:val="-57"/>
        </w:rPr>
        <w:t> </w:t>
      </w:r>
      <w:r>
        <w:rPr/>
        <w:t>万元。截至本报告披露日，公司已与项目单位签订书面合同，并按合同的</w:t>
      </w:r>
      <w:r>
        <w:rPr>
          <w:w w:val="100"/>
        </w:rPr>
        <w:t> </w:t>
      </w:r>
      <w:r>
        <w:rPr/>
        <w:t>规定履行相应事宜。</w:t>
      </w:r>
    </w:p>
    <w:p>
      <w:pPr>
        <w:pStyle w:val="BodyText"/>
        <w:spacing w:line="240" w:lineRule="auto" w:before="7"/>
        <w:ind w:left="178" w:right="0"/>
        <w:jc w:val="both"/>
      </w:pPr>
      <w:r>
        <w:rPr/>
        <w:t>（</w:t>
      </w:r>
      <w:r>
        <w:rPr>
          <w:rFonts w:ascii="宋体" w:hAnsi="宋体" w:cs="宋体" w:eastAsia="宋体" w:hint="default"/>
        </w:rPr>
        <w:t>4</w:t>
      </w:r>
      <w:r>
        <w:rPr/>
        <w:t>）</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月，公司在“国家电网有限公司</w:t>
      </w:r>
      <w:r>
        <w:rPr>
          <w:spacing w:val="-55"/>
        </w:rPr>
        <w:t> </w:t>
      </w:r>
      <w:r>
        <w:rPr>
          <w:rFonts w:ascii="宋体" w:hAnsi="宋体" w:cs="宋体" w:eastAsia="宋体" w:hint="default"/>
        </w:rPr>
        <w:t>2018</w:t>
      </w:r>
      <w:r>
        <w:rPr>
          <w:rFonts w:ascii="宋体" w:hAnsi="宋体" w:cs="宋体" w:eastAsia="宋体" w:hint="default"/>
          <w:spacing w:val="-55"/>
        </w:rPr>
        <w:t> </w:t>
      </w:r>
      <w:r>
        <w:rPr/>
        <w:t>年第二次电能表及用电信息采集设备招标活</w:t>
      </w:r>
    </w:p>
    <w:p>
      <w:pPr>
        <w:pStyle w:val="BodyText"/>
        <w:spacing w:line="273" w:lineRule="auto" w:before="37"/>
        <w:ind w:left="178" w:right="151"/>
        <w:jc w:val="left"/>
      </w:pPr>
      <w:r>
        <w:rPr/>
        <w:t>动”中，公司中标共计</w:t>
      </w:r>
      <w:r>
        <w:rPr>
          <w:spacing w:val="-54"/>
        </w:rPr>
        <w:t> </w:t>
      </w:r>
      <w:r>
        <w:rPr>
          <w:rFonts w:ascii="宋体" w:hAnsi="宋体" w:cs="宋体" w:eastAsia="宋体" w:hint="default"/>
        </w:rPr>
        <w:t>7</w:t>
      </w:r>
      <w:r>
        <w:rPr>
          <w:rFonts w:ascii="宋体" w:hAnsi="宋体" w:cs="宋体" w:eastAsia="宋体" w:hint="default"/>
          <w:spacing w:val="-56"/>
        </w:rPr>
        <w:t> </w:t>
      </w:r>
      <w:r>
        <w:rPr/>
        <w:t>个包，合计总数量</w:t>
      </w:r>
      <w:r>
        <w:rPr>
          <w:spacing w:val="-53"/>
        </w:rPr>
        <w:t> </w:t>
      </w:r>
      <w:r>
        <w:rPr>
          <w:rFonts w:ascii="宋体" w:hAnsi="宋体" w:cs="宋体" w:eastAsia="宋体" w:hint="default"/>
        </w:rPr>
        <w:t>1,153,300</w:t>
      </w:r>
      <w:r>
        <w:rPr>
          <w:rFonts w:ascii="宋体" w:hAnsi="宋体" w:cs="宋体" w:eastAsia="宋体" w:hint="default"/>
          <w:spacing w:val="-53"/>
        </w:rPr>
        <w:t> </w:t>
      </w:r>
      <w:r>
        <w:rPr/>
        <w:t>只，合计中标金额约</w:t>
      </w:r>
      <w:r>
        <w:rPr>
          <w:spacing w:val="-56"/>
        </w:rPr>
        <w:t> </w:t>
      </w:r>
      <w:r>
        <w:rPr>
          <w:rFonts w:ascii="宋体" w:hAnsi="宋体" w:cs="宋体" w:eastAsia="宋体" w:hint="default"/>
        </w:rPr>
        <w:t>25,458.88</w:t>
      </w:r>
      <w:r>
        <w:rPr>
          <w:rFonts w:ascii="宋体" w:hAnsi="宋体" w:cs="宋体" w:eastAsia="宋体" w:hint="default"/>
          <w:spacing w:val="-56"/>
        </w:rPr>
        <w:t> </w:t>
      </w:r>
      <w:r>
        <w:rPr/>
        <w:t>万元。截至</w:t>
      </w:r>
      <w:r>
        <w:rPr>
          <w:w w:val="100"/>
        </w:rPr>
        <w:t> </w:t>
      </w:r>
      <w:r>
        <w:rPr/>
        <w:t>本报告披露日，公司按要求与项目单位签订书面合同，并按合同的规定履行相应事宜。</w:t>
      </w:r>
    </w:p>
    <w:p>
      <w:pPr>
        <w:spacing w:line="240" w:lineRule="auto" w:before="0"/>
        <w:rPr>
          <w:rFonts w:ascii="宋体" w:hAnsi="宋体" w:cs="宋体" w:eastAsia="宋体" w:hint="default"/>
          <w:sz w:val="29"/>
          <w:szCs w:val="29"/>
        </w:rPr>
      </w:pPr>
    </w:p>
    <w:p>
      <w:pPr>
        <w:pStyle w:val="Heading2"/>
        <w:spacing w:line="240" w:lineRule="auto" w:before="0"/>
        <w:ind w:left="178" w:right="0"/>
        <w:jc w:val="both"/>
        <w:rPr>
          <w:b w:val="0"/>
          <w:bCs w:val="0"/>
        </w:rPr>
      </w:pPr>
      <w:r>
        <w:rPr/>
        <w:t>十六、其他重大事项的说明</w:t>
      </w:r>
      <w:r>
        <w:rPr>
          <w:b w:val="0"/>
          <w:bCs w:val="0"/>
        </w:rPr>
      </w:r>
    </w:p>
    <w:p>
      <w:pPr>
        <w:pStyle w:val="BodyText"/>
        <w:spacing w:line="240" w:lineRule="auto" w:before="97"/>
        <w:ind w:left="178" w:right="0"/>
        <w:jc w:val="both"/>
      </w:pPr>
      <w:r>
        <w:rPr/>
        <w:t>□适用 √不适用</w:t>
      </w:r>
    </w:p>
    <w:p>
      <w:pPr>
        <w:spacing w:line="240" w:lineRule="auto" w:before="0"/>
        <w:rPr>
          <w:rFonts w:ascii="宋体" w:hAnsi="宋体" w:cs="宋体" w:eastAsia="宋体" w:hint="default"/>
          <w:sz w:val="20"/>
          <w:szCs w:val="20"/>
        </w:rPr>
      </w:pPr>
    </w:p>
    <w:p>
      <w:pPr>
        <w:pStyle w:val="Heading2"/>
        <w:tabs>
          <w:tab w:pos="1030" w:val="left" w:leader="none"/>
        </w:tabs>
        <w:spacing w:line="324" w:lineRule="auto" w:before="147"/>
        <w:ind w:left="178" w:right="581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tabs>
          <w:tab w:pos="603" w:val="left" w:leader="none"/>
        </w:tabs>
        <w:spacing w:line="324" w:lineRule="auto" w:before="23"/>
        <w:ind w:left="178" w:right="749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3" w:lineRule="auto" w:before="23"/>
        <w:ind w:left="598" w:right="0" w:hanging="420"/>
        <w:jc w:val="left"/>
      </w:pPr>
      <w:r>
        <w:rPr/>
        <w:t>√适用</w:t>
      </w:r>
      <w:r>
        <w:rPr>
          <w:spacing w:val="-2"/>
        </w:rPr>
        <w:t> </w:t>
      </w:r>
      <w:r>
        <w:rPr/>
        <w:t>□不适用</w:t>
      </w:r>
      <w:r>
        <w:rPr>
          <w:spacing w:val="-103"/>
        </w:rPr>
        <w:t> </w:t>
      </w:r>
      <w:r>
        <w:rPr>
          <w:spacing w:val="-103"/>
        </w:rPr>
      </w:r>
      <w:r>
        <w:rPr>
          <w:spacing w:val="-2"/>
        </w:rPr>
        <w:t>为深入贯彻落实国家扶贫开发战略和精神，推进科学扶贫、精准扶贫、精准脱贫，公司加强了</w:t>
      </w:r>
    </w:p>
    <w:p>
      <w:pPr>
        <w:pStyle w:val="BodyText"/>
        <w:spacing w:line="273" w:lineRule="auto" w:before="7"/>
        <w:ind w:left="178" w:right="0"/>
        <w:jc w:val="left"/>
      </w:pPr>
      <w:r>
        <w:rPr>
          <w:spacing w:val="-2"/>
        </w:rPr>
        <w:t>对于贫困地区的扶贫光伏电站的投资开发，在发展新能源业务的同时，也帮扶了当地居民，提高了</w:t>
      </w:r>
      <w:r>
        <w:rPr>
          <w:spacing w:val="-25"/>
        </w:rPr>
        <w:t> </w:t>
      </w:r>
      <w:r>
        <w:rPr>
          <w:spacing w:val="-25"/>
        </w:rPr>
      </w:r>
      <w:r>
        <w:rPr/>
        <w:t>居民的收入，加快推进脱贫攻坚步伐。</w:t>
      </w:r>
    </w:p>
    <w:p>
      <w:pPr>
        <w:spacing w:after="0" w:line="273" w:lineRule="auto"/>
        <w:jc w:val="left"/>
        <w:sectPr>
          <w:pgSz w:w="11910" w:h="16840"/>
          <w:pgMar w:header="728" w:footer="974" w:top="1120" w:bottom="1160" w:left="1240" w:right="1300"/>
        </w:sectPr>
      </w:pPr>
    </w:p>
    <w:p>
      <w:pPr>
        <w:spacing w:line="240" w:lineRule="auto" w:before="10"/>
        <w:rPr>
          <w:rFonts w:ascii="宋体" w:hAnsi="宋体" w:cs="宋体" w:eastAsia="宋体" w:hint="default"/>
          <w:sz w:val="26"/>
          <w:szCs w:val="26"/>
        </w:rPr>
      </w:pPr>
    </w:p>
    <w:p>
      <w:pPr>
        <w:pStyle w:val="Heading2"/>
        <w:tabs>
          <w:tab w:pos="643" w:val="left" w:leader="none"/>
        </w:tabs>
        <w:spacing w:line="240" w:lineRule="auto"/>
        <w:ind w:right="226"/>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73" w:lineRule="auto" w:before="97"/>
        <w:ind w:left="638" w:right="226" w:hanging="420"/>
        <w:jc w:val="left"/>
      </w:pPr>
      <w:r>
        <w:rPr/>
        <w:t>√适用</w:t>
      </w:r>
      <w:r>
        <w:rPr>
          <w:spacing w:val="-2"/>
        </w:rPr>
        <w:t> </w:t>
      </w:r>
      <w:r>
        <w:rPr/>
        <w:t>□不适用</w:t>
      </w:r>
      <w:r>
        <w:rPr>
          <w:spacing w:val="-103"/>
        </w:rPr>
        <w:t> </w:t>
      </w:r>
      <w:r>
        <w:rPr>
          <w:spacing w:val="-103"/>
        </w:rPr>
      </w:r>
      <w:r>
        <w:rPr>
          <w:spacing w:val="-2"/>
        </w:rPr>
        <w:t>公司在经营发展中离不开党和政府的支持和关心，做好本职工作的同时也不忘回报社会，积极</w:t>
      </w:r>
    </w:p>
    <w:p>
      <w:pPr>
        <w:pStyle w:val="BodyText"/>
        <w:spacing w:line="273" w:lineRule="auto" w:before="7"/>
        <w:ind w:right="271"/>
        <w:jc w:val="left"/>
      </w:pPr>
      <w:r>
        <w:rPr/>
        <w:t>做好慈善工作，公司从</w:t>
      </w:r>
      <w:r>
        <w:rPr>
          <w:spacing w:val="-56"/>
        </w:rPr>
        <w:t> </w:t>
      </w:r>
      <w:r>
        <w:rPr>
          <w:rFonts w:ascii="宋体" w:hAnsi="宋体" w:cs="宋体" w:eastAsia="宋体" w:hint="default"/>
        </w:rPr>
        <w:t>2007</w:t>
      </w:r>
      <w:r>
        <w:rPr>
          <w:rFonts w:ascii="宋体" w:hAnsi="宋体" w:cs="宋体" w:eastAsia="宋体" w:hint="default"/>
          <w:spacing w:val="-55"/>
        </w:rPr>
        <w:t> </w:t>
      </w:r>
      <w:r>
        <w:rPr/>
        <w:t>年开始每年都会向启东市慈善基金会捐款</w:t>
      </w:r>
      <w:r>
        <w:rPr>
          <w:spacing w:val="-56"/>
        </w:rPr>
        <w:t> </w:t>
      </w:r>
      <w:r>
        <w:rPr>
          <w:rFonts w:ascii="宋体" w:hAnsi="宋体" w:cs="宋体" w:eastAsia="宋体" w:hint="default"/>
        </w:rPr>
        <w:t>75</w:t>
      </w:r>
      <w:r>
        <w:rPr>
          <w:rFonts w:ascii="宋体" w:hAnsi="宋体" w:cs="宋体" w:eastAsia="宋体" w:hint="default"/>
          <w:spacing w:val="-56"/>
        </w:rPr>
        <w:t> </w:t>
      </w:r>
      <w:r>
        <w:rPr/>
        <w:t>万元，看望市困难职工、</w:t>
      </w:r>
      <w:r>
        <w:rPr>
          <w:w w:val="100"/>
        </w:rPr>
        <w:t> </w:t>
      </w:r>
      <w:r>
        <w:rPr/>
        <w:t>困难劳模和结对帮扶村的困难户，送去慰问金等。</w:t>
      </w:r>
    </w:p>
    <w:p>
      <w:pPr>
        <w:pStyle w:val="BodyText"/>
        <w:spacing w:line="273" w:lineRule="auto" w:before="7"/>
        <w:ind w:right="229" w:firstLine="420"/>
        <w:jc w:val="both"/>
      </w:pPr>
      <w:r>
        <w:rPr>
          <w:rFonts w:ascii="宋体" w:hAnsi="宋体" w:cs="宋体" w:eastAsia="宋体" w:hint="default"/>
        </w:rPr>
        <w:t>2018</w:t>
      </w:r>
      <w:r>
        <w:rPr>
          <w:rFonts w:ascii="宋体" w:hAnsi="宋体" w:cs="宋体" w:eastAsia="宋体" w:hint="default"/>
          <w:spacing w:val="-11"/>
        </w:rPr>
        <w:t> </w:t>
      </w:r>
      <w:r>
        <w:rPr>
          <w:spacing w:val="-2"/>
        </w:rPr>
        <w:t>年，公司继续推进光伏精准扶贫项目，运用光伏发电与农业设施相结合的方式，充分利用</w:t>
      </w:r>
      <w:r>
        <w:rPr>
          <w:w w:val="100"/>
        </w:rPr>
        <w:t> </w:t>
      </w:r>
      <w:r>
        <w:rPr>
          <w:spacing w:val="-2"/>
        </w:rPr>
        <w:t>贫困地区的现有资源，完成从扶贫向脱贫的产业方式目标的转变。目前公司已在江苏、安徽和山东</w:t>
      </w:r>
      <w:r>
        <w:rPr>
          <w:spacing w:val="-25"/>
        </w:rPr>
        <w:t> </w:t>
      </w:r>
      <w:r>
        <w:rPr>
          <w:spacing w:val="-25"/>
        </w:rPr>
      </w:r>
      <w:r>
        <w:rPr>
          <w:spacing w:val="-4"/>
        </w:rPr>
        <w:t>等地建设完成部分光伏扶贫项目，主要扶贫项目有：位于山东冠县的冠县</w:t>
      </w:r>
      <w:r>
        <w:rPr>
          <w:spacing w:val="-28"/>
        </w:rPr>
        <w:t> </w:t>
      </w:r>
      <w:r>
        <w:rPr>
          <w:rFonts w:ascii="宋体" w:hAnsi="宋体" w:cs="宋体" w:eastAsia="宋体" w:hint="default"/>
        </w:rPr>
        <w:t>70MW</w:t>
      </w:r>
      <w:r>
        <w:rPr>
          <w:rFonts w:ascii="宋体" w:hAnsi="宋体" w:cs="宋体" w:eastAsia="宋体" w:hint="default"/>
          <w:spacing w:val="-31"/>
        </w:rPr>
        <w:t> </w:t>
      </w:r>
      <w:r>
        <w:rPr/>
        <w:t>光伏扶贫电站每年给</w:t>
      </w:r>
      <w:r>
        <w:rPr>
          <w:spacing w:val="-96"/>
        </w:rPr>
        <w:t> </w:t>
      </w:r>
      <w:r>
        <w:rPr>
          <w:spacing w:val="-96"/>
        </w:rPr>
      </w:r>
      <w:r>
        <w:rPr/>
        <w:t>当地</w:t>
      </w:r>
      <w:r>
        <w:rPr>
          <w:spacing w:val="-51"/>
        </w:rPr>
        <w:t> </w:t>
      </w:r>
      <w:r>
        <w:rPr>
          <w:rFonts w:ascii="宋体" w:hAnsi="宋体" w:cs="宋体" w:eastAsia="宋体" w:hint="default"/>
        </w:rPr>
        <w:t>2333</w:t>
      </w:r>
      <w:r>
        <w:rPr>
          <w:rFonts w:ascii="宋体" w:hAnsi="宋体" w:cs="宋体" w:eastAsia="宋体" w:hint="default"/>
          <w:spacing w:val="-53"/>
        </w:rPr>
        <w:t> </w:t>
      </w:r>
      <w:r>
        <w:rPr/>
        <w:t>户贫困户每年增加</w:t>
      </w:r>
      <w:r>
        <w:rPr>
          <w:spacing w:val="-50"/>
        </w:rPr>
        <w:t> </w:t>
      </w:r>
      <w:r>
        <w:rPr>
          <w:rFonts w:ascii="宋体" w:hAnsi="宋体" w:cs="宋体" w:eastAsia="宋体" w:hint="default"/>
        </w:rPr>
        <w:t>3000</w:t>
      </w:r>
      <w:r>
        <w:rPr>
          <w:rFonts w:ascii="宋体" w:hAnsi="宋体" w:cs="宋体" w:eastAsia="宋体" w:hint="default"/>
          <w:spacing w:val="-51"/>
        </w:rPr>
        <w:t> </w:t>
      </w:r>
      <w:r>
        <w:rPr>
          <w:spacing w:val="-7"/>
        </w:rPr>
        <w:t>元收入；位于安徽阜阳临泉的</w:t>
      </w:r>
      <w:r>
        <w:rPr>
          <w:spacing w:val="-51"/>
        </w:rPr>
        <w:t> </w:t>
      </w:r>
      <w:r>
        <w:rPr>
          <w:rFonts w:ascii="宋体" w:hAnsi="宋体" w:cs="宋体" w:eastAsia="宋体" w:hint="default"/>
        </w:rPr>
        <w:t>20MW</w:t>
      </w:r>
      <w:r>
        <w:rPr>
          <w:rFonts w:ascii="宋体" w:hAnsi="宋体" w:cs="宋体" w:eastAsia="宋体" w:hint="default"/>
          <w:spacing w:val="-51"/>
        </w:rPr>
        <w:t> </w:t>
      </w:r>
      <w:r>
        <w:rPr/>
        <w:t>农光互补分布式光伏发电项目</w:t>
      </w:r>
      <w:r>
        <w:rPr>
          <w:w w:val="100"/>
        </w:rPr>
        <w:t> </w:t>
      </w:r>
      <w:r>
        <w:rPr/>
        <w:t>给当地</w:t>
      </w:r>
      <w:r>
        <w:rPr>
          <w:spacing w:val="-54"/>
        </w:rPr>
        <w:t> </w:t>
      </w:r>
      <w:r>
        <w:rPr>
          <w:rFonts w:ascii="宋体" w:hAnsi="宋体" w:cs="宋体" w:eastAsia="宋体" w:hint="default"/>
        </w:rPr>
        <w:t>800</w:t>
      </w:r>
      <w:r>
        <w:rPr>
          <w:rFonts w:ascii="宋体" w:hAnsi="宋体" w:cs="宋体" w:eastAsia="宋体" w:hint="default"/>
          <w:spacing w:val="-56"/>
        </w:rPr>
        <w:t> </w:t>
      </w:r>
      <w:r>
        <w:rPr/>
        <w:t>户贫困户每年增加</w:t>
      </w:r>
      <w:r>
        <w:rPr>
          <w:spacing w:val="-53"/>
        </w:rPr>
        <w:t> </w:t>
      </w:r>
      <w:r>
        <w:rPr>
          <w:rFonts w:ascii="宋体" w:hAnsi="宋体" w:cs="宋体" w:eastAsia="宋体" w:hint="default"/>
        </w:rPr>
        <w:t>3000</w:t>
      </w:r>
      <w:r>
        <w:rPr>
          <w:rFonts w:ascii="宋体" w:hAnsi="宋体" w:cs="宋体" w:eastAsia="宋体" w:hint="default"/>
          <w:spacing w:val="-56"/>
        </w:rPr>
        <w:t> </w:t>
      </w:r>
      <w:r>
        <w:rPr/>
        <w:t>元的收入；位于江苏泗洪县的泗洪孙园镇</w:t>
      </w:r>
      <w:r>
        <w:rPr>
          <w:spacing w:val="-56"/>
        </w:rPr>
        <w:t> </w:t>
      </w:r>
      <w:r>
        <w:rPr>
          <w:rFonts w:ascii="宋体" w:hAnsi="宋体" w:cs="宋体" w:eastAsia="宋体" w:hint="default"/>
        </w:rPr>
        <w:t>20MW</w:t>
      </w:r>
      <w:r>
        <w:rPr>
          <w:rFonts w:ascii="宋体" w:hAnsi="宋体" w:cs="宋体" w:eastAsia="宋体" w:hint="default"/>
          <w:spacing w:val="-55"/>
        </w:rPr>
        <w:t> </w:t>
      </w:r>
      <w:r>
        <w:rPr/>
        <w:t>渔光互补分布式</w:t>
      </w:r>
      <w:r>
        <w:rPr>
          <w:w w:val="100"/>
        </w:rPr>
        <w:t> </w:t>
      </w:r>
      <w:r>
        <w:rPr>
          <w:spacing w:val="-4"/>
        </w:rPr>
        <w:t>光伏发电项目，公司支助当地</w:t>
      </w:r>
      <w:r>
        <w:rPr>
          <w:spacing w:val="-48"/>
        </w:rPr>
        <w:t> </w:t>
      </w:r>
      <w:r>
        <w:rPr>
          <w:rFonts w:ascii="宋体" w:hAnsi="宋体" w:cs="宋体" w:eastAsia="宋体" w:hint="default"/>
        </w:rPr>
        <w:t>12</w:t>
      </w:r>
      <w:r>
        <w:rPr>
          <w:rFonts w:ascii="宋体" w:hAnsi="宋体" w:cs="宋体" w:eastAsia="宋体" w:hint="default"/>
          <w:spacing w:val="-48"/>
        </w:rPr>
        <w:t> </w:t>
      </w:r>
      <w:r>
        <w:rPr/>
        <w:t>个村和</w:t>
      </w:r>
      <w:r>
        <w:rPr>
          <w:spacing w:val="-50"/>
        </w:rPr>
        <w:t> </w:t>
      </w:r>
      <w:r>
        <w:rPr>
          <w:rFonts w:ascii="宋体" w:hAnsi="宋体" w:cs="宋体" w:eastAsia="宋体" w:hint="default"/>
        </w:rPr>
        <w:t>60</w:t>
      </w:r>
      <w:r>
        <w:rPr>
          <w:rFonts w:ascii="宋体" w:hAnsi="宋体" w:cs="宋体" w:eastAsia="宋体" w:hint="default"/>
          <w:spacing w:val="-48"/>
        </w:rPr>
        <w:t> </w:t>
      </w:r>
      <w:r>
        <w:rPr>
          <w:spacing w:val="-6"/>
        </w:rPr>
        <w:t>户贫困户，合计每年</w:t>
      </w:r>
      <w:r>
        <w:rPr>
          <w:spacing w:val="-48"/>
        </w:rPr>
        <w:t> </w:t>
      </w:r>
      <w:r>
        <w:rPr>
          <w:rFonts w:ascii="宋体" w:hAnsi="宋体" w:cs="宋体" w:eastAsia="宋体" w:hint="default"/>
        </w:rPr>
        <w:t>24</w:t>
      </w:r>
      <w:r>
        <w:rPr>
          <w:rFonts w:ascii="宋体" w:hAnsi="宋体" w:cs="宋体" w:eastAsia="宋体" w:hint="default"/>
          <w:spacing w:val="-50"/>
        </w:rPr>
        <w:t> </w:t>
      </w:r>
      <w:r>
        <w:rPr/>
        <w:t>万元用于帮扶当地的扶贫建设工</w:t>
      </w:r>
      <w:r>
        <w:rPr>
          <w:spacing w:val="-103"/>
        </w:rPr>
        <w:t> </w:t>
      </w:r>
      <w:r>
        <w:rPr>
          <w:spacing w:val="-103"/>
        </w:rPr>
      </w:r>
      <w:r>
        <w:rPr/>
        <w:t>作。</w:t>
      </w:r>
      <w:r>
        <w:rPr>
          <w:rFonts w:ascii="宋体" w:hAnsi="宋体" w:cs="宋体" w:eastAsia="宋体" w:hint="default"/>
        </w:rPr>
        <w:t>2018</w:t>
      </w:r>
      <w:r>
        <w:rPr>
          <w:rFonts w:ascii="宋体" w:hAnsi="宋体" w:cs="宋体" w:eastAsia="宋体" w:hint="default"/>
          <w:spacing w:val="-56"/>
        </w:rPr>
        <w:t> </w:t>
      </w:r>
      <w:r>
        <w:rPr/>
        <w:t>年度，公司已投入</w:t>
      </w:r>
      <w:r>
        <w:rPr>
          <w:spacing w:val="-53"/>
        </w:rPr>
        <w:t> </w:t>
      </w:r>
      <w:r>
        <w:rPr>
          <w:rFonts w:ascii="宋体" w:hAnsi="宋体" w:cs="宋体" w:eastAsia="宋体" w:hint="default"/>
        </w:rPr>
        <w:t>1289.83</w:t>
      </w:r>
      <w:r>
        <w:rPr>
          <w:rFonts w:ascii="宋体" w:hAnsi="宋体" w:cs="宋体" w:eastAsia="宋体" w:hint="default"/>
          <w:spacing w:val="-56"/>
        </w:rPr>
        <w:t> </w:t>
      </w:r>
      <w:r>
        <w:rPr/>
        <w:t>万元扶持了当地政府的地方经济建设和提高居民收入水平。</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28" w:footer="974" w:top="1120" w:bottom="1160" w:left="1200" w:right="1180"/>
        </w:sectPr>
      </w:pPr>
    </w:p>
    <w:p>
      <w:pPr>
        <w:pStyle w:val="Heading2"/>
        <w:tabs>
          <w:tab w:pos="643" w:val="left" w:leader="none"/>
        </w:tabs>
        <w:spacing w:line="240" w:lineRule="auto"/>
        <w:ind w:right="-18"/>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单位：万元币种：人民币</w:t>
      </w:r>
    </w:p>
    <w:p>
      <w:pPr>
        <w:spacing w:after="0" w:line="240" w:lineRule="auto"/>
        <w:jc w:val="left"/>
        <w:sectPr>
          <w:type w:val="continuous"/>
          <w:pgSz w:w="11910" w:h="16840"/>
          <w:pgMar w:top="1580" w:bottom="280" w:left="1200" w:right="1180"/>
          <w:cols w:num="2" w:equalWidth="0">
            <w:col w:w="1911" w:space="4848"/>
            <w:col w:w="2771"/>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911"/>
        <w:gridCol w:w="4376"/>
      </w:tblGrid>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7"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1,241.88</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125.75</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188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 农林产业扶贫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旅游扶贫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电商扶贫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 资产收益扶贫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科技扶贫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4</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1,099.90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30.00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24.00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204.13</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8</w:t>
            </w:r>
          </w:p>
        </w:tc>
      </w:tr>
    </w:tbl>
    <w:p>
      <w:pPr>
        <w:spacing w:after="0" w:line="262" w:lineRule="exact"/>
        <w:jc w:val="right"/>
        <w:rPr>
          <w:rFonts w:ascii="宋体" w:hAnsi="宋体" w:cs="宋体" w:eastAsia="宋体" w:hint="default"/>
          <w:sz w:val="21"/>
          <w:szCs w:val="21"/>
        </w:rPr>
        <w:sectPr>
          <w:type w:val="continuous"/>
          <w:pgSz w:w="11910" w:h="16840"/>
          <w:pgMar w:top="1580" w:bottom="28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911"/>
        <w:gridCol w:w="4376"/>
      </w:tblGrid>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9.60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643" w:val="left" w:leader="none"/>
        </w:tabs>
        <w:spacing w:line="240" w:lineRule="auto"/>
        <w:ind w:right="226"/>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73" w:lineRule="auto" w:before="97"/>
        <w:ind w:left="638" w:right="226"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3"/>
        </w:rPr>
        <w:t>1</w:t>
      </w:r>
      <w:r>
        <w:rPr>
          <w:spacing w:val="-3"/>
        </w:rPr>
        <w:t>、公司将结合实际情况，做好企业内部及当地困难群众帮扶工作，继续吸收贫困人口就业，加</w:t>
      </w:r>
    </w:p>
    <w:p>
      <w:pPr>
        <w:pStyle w:val="BodyText"/>
        <w:spacing w:line="273" w:lineRule="auto" w:before="7"/>
        <w:ind w:left="0" w:right="229"/>
        <w:jc w:val="right"/>
      </w:pPr>
      <w:r>
        <w:rPr>
          <w:spacing w:val="-2"/>
        </w:rPr>
        <w:t>强职业技能培训，帮助贫困人口实现就业脱贫，全力以赴配合协助本地政府部门的扶贫攻坚工作。</w:t>
      </w:r>
      <w:r>
        <w:rPr>
          <w:spacing w:val="-83"/>
        </w:rPr>
        <w:t> </w:t>
      </w:r>
      <w:r>
        <w:rPr>
          <w:spacing w:val="-83"/>
        </w:rPr>
      </w:r>
      <w:r>
        <w:rPr>
          <w:rFonts w:ascii="宋体" w:hAnsi="宋体" w:cs="宋体" w:eastAsia="宋体" w:hint="default"/>
          <w:spacing w:val="-3"/>
        </w:rPr>
        <w:t>2</w:t>
      </w:r>
      <w:r>
        <w:rPr>
          <w:spacing w:val="-3"/>
        </w:rPr>
        <w:t>、公司将继续在贫困地区与当地政府进行合作，达成相关协议后进行扶贫帮困，利用建设农光</w:t>
      </w:r>
      <w:r>
        <w:rPr>
          <w:w w:val="100"/>
        </w:rPr>
        <w:t> </w:t>
      </w:r>
      <w:r>
        <w:rPr>
          <w:spacing w:val="-2"/>
        </w:rPr>
        <w:t>互补光伏电站取得相关收益以后扶持当地贫困户，当地居民一方面可以获得土地租金，另一方面通</w:t>
      </w:r>
    </w:p>
    <w:p>
      <w:pPr>
        <w:pStyle w:val="BodyText"/>
        <w:spacing w:line="240" w:lineRule="auto" w:before="7"/>
        <w:ind w:right="226"/>
        <w:jc w:val="left"/>
      </w:pPr>
      <w:r>
        <w:rPr/>
        <w:t>过在光伏大棚下集中种植油用牡丹等经济作物来取得收益。</w:t>
      </w:r>
    </w:p>
    <w:p>
      <w:pPr>
        <w:spacing w:line="240" w:lineRule="auto" w:before="0"/>
        <w:rPr>
          <w:rFonts w:ascii="宋体" w:hAnsi="宋体" w:cs="宋体" w:eastAsia="宋体" w:hint="default"/>
          <w:sz w:val="20"/>
          <w:szCs w:val="20"/>
        </w:rPr>
      </w:pPr>
    </w:p>
    <w:p>
      <w:pPr>
        <w:pStyle w:val="Heading2"/>
        <w:tabs>
          <w:tab w:pos="861" w:val="left" w:leader="none"/>
        </w:tabs>
        <w:spacing w:line="240" w:lineRule="auto" w:before="148"/>
        <w:ind w:right="22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BodyText"/>
        <w:tabs>
          <w:tab w:pos="1061" w:val="left" w:leader="none"/>
        </w:tabs>
        <w:spacing w:line="240" w:lineRule="auto" w:before="97"/>
        <w:ind w:right="226"/>
        <w:jc w:val="left"/>
      </w:pPr>
      <w:r>
        <w:rPr/>
        <w:t>√适用</w:t>
        <w:tab/>
        <w:t>□不适用</w:t>
      </w:r>
    </w:p>
    <w:p>
      <w:pPr>
        <w:pStyle w:val="BodyText"/>
        <w:spacing w:line="273" w:lineRule="auto" w:before="37"/>
        <w:ind w:right="226" w:firstLine="420"/>
        <w:jc w:val="left"/>
      </w:pPr>
      <w:r>
        <w:rPr>
          <w:spacing w:val="-4"/>
        </w:rPr>
        <w:t>具体内容详见同日刊登于上海证券交易所网站的《江苏林洋能源股份有限公司 </w:t>
      </w:r>
      <w:r>
        <w:rPr>
          <w:rFonts w:ascii="宋体" w:hAnsi="宋体" w:cs="宋体" w:eastAsia="宋体" w:hint="default"/>
        </w:rPr>
        <w:t>2018</w:t>
      </w:r>
      <w:r>
        <w:rPr>
          <w:rFonts w:ascii="宋体" w:hAnsi="宋体" w:cs="宋体" w:eastAsia="宋体" w:hint="default"/>
          <w:spacing w:val="-51"/>
        </w:rPr>
        <w:t> </w:t>
      </w:r>
      <w:r>
        <w:rPr/>
        <w:t>年度社会责</w:t>
      </w:r>
      <w:r>
        <w:rPr>
          <w:w w:val="100"/>
        </w:rPr>
        <w:t> </w:t>
      </w:r>
      <w:r>
        <w:rPr/>
        <w:t>任报告》。</w:t>
      </w:r>
    </w:p>
    <w:p>
      <w:pPr>
        <w:spacing w:line="240" w:lineRule="auto" w:before="0"/>
        <w:rPr>
          <w:rFonts w:ascii="宋体" w:hAnsi="宋体" w:cs="宋体" w:eastAsia="宋体" w:hint="default"/>
          <w:sz w:val="29"/>
          <w:szCs w:val="29"/>
        </w:rPr>
      </w:pPr>
    </w:p>
    <w:p>
      <w:pPr>
        <w:pStyle w:val="Heading2"/>
        <w:tabs>
          <w:tab w:pos="861" w:val="left" w:leader="none"/>
        </w:tabs>
        <w:spacing w:line="240" w:lineRule="auto" w:before="0"/>
        <w:ind w:right="22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pStyle w:val="Heading2"/>
        <w:tabs>
          <w:tab w:pos="643" w:val="left" w:leader="none"/>
        </w:tabs>
        <w:spacing w:line="240" w:lineRule="auto" w:before="97"/>
        <w:ind w:right="226"/>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97"/>
        <w:ind w:right="226"/>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8"/>
        <w:ind w:right="226"/>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73" w:lineRule="auto" w:before="97"/>
        <w:ind w:left="638" w:right="226" w:hanging="420"/>
        <w:jc w:val="left"/>
      </w:pPr>
      <w:r>
        <w:rPr/>
        <w:t>√适用</w:t>
      </w:r>
      <w:r>
        <w:rPr>
          <w:spacing w:val="-2"/>
        </w:rPr>
        <w:t> </w:t>
      </w:r>
      <w:r>
        <w:rPr/>
        <w:t>□不适用</w:t>
      </w:r>
      <w:r>
        <w:rPr>
          <w:spacing w:val="-103"/>
        </w:rPr>
        <w:t> </w:t>
      </w:r>
      <w:r>
        <w:rPr>
          <w:spacing w:val="-103"/>
        </w:rPr>
      </w:r>
      <w:r>
        <w:rPr>
          <w:spacing w:val="-2"/>
        </w:rPr>
        <w:t>报告期内，公司及下属公司认真遵守国家环境保护法律法规，未发生重大环境违法行为被处罚</w:t>
      </w:r>
    </w:p>
    <w:p>
      <w:pPr>
        <w:pStyle w:val="BodyText"/>
        <w:spacing w:line="240" w:lineRule="auto" w:before="7"/>
        <w:ind w:right="226"/>
        <w:jc w:val="left"/>
      </w:pPr>
      <w:r>
        <w:rPr/>
        <w:t>的情况。</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26"/>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97"/>
        <w:ind w:right="226"/>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26"/>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97"/>
        <w:ind w:right="226"/>
        <w:jc w:val="left"/>
      </w:pPr>
      <w:r>
        <w:rPr/>
        <w:t>□适用 √不适用</w:t>
      </w:r>
    </w:p>
    <w:p>
      <w:pPr>
        <w:spacing w:line="240" w:lineRule="auto" w:before="0"/>
        <w:rPr>
          <w:rFonts w:ascii="宋体" w:hAnsi="宋体" w:cs="宋体" w:eastAsia="宋体" w:hint="default"/>
          <w:sz w:val="20"/>
          <w:szCs w:val="20"/>
        </w:rPr>
      </w:pPr>
    </w:p>
    <w:p>
      <w:pPr>
        <w:pStyle w:val="Heading2"/>
        <w:tabs>
          <w:tab w:pos="861" w:val="left" w:leader="none"/>
        </w:tabs>
        <w:spacing w:line="240" w:lineRule="auto" w:before="147"/>
        <w:ind w:right="226"/>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tabs>
          <w:tab w:pos="1061" w:val="left" w:leader="none"/>
        </w:tabs>
        <w:spacing w:line="240" w:lineRule="auto" w:before="97"/>
        <w:ind w:right="22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right="226"/>
        <w:jc w:val="left"/>
        <w:rPr>
          <w:b w:val="0"/>
          <w:bCs w:val="0"/>
        </w:rPr>
      </w:pPr>
      <w:r>
        <w:rPr/>
        <w:t>十八、可转换公司债券情况</w:t>
      </w:r>
      <w:r>
        <w:rPr>
          <w:b w:val="0"/>
          <w:bCs w:val="0"/>
        </w:rPr>
      </w:r>
    </w:p>
    <w:p>
      <w:pPr>
        <w:pStyle w:val="Heading2"/>
        <w:spacing w:line="240" w:lineRule="auto" w:before="97"/>
        <w:ind w:right="22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061" w:val="left" w:leader="none"/>
        </w:tabs>
        <w:spacing w:line="240" w:lineRule="auto" w:before="70"/>
        <w:ind w:right="226"/>
        <w:jc w:val="left"/>
      </w:pPr>
      <w:r>
        <w:rPr/>
        <w:t>√适用</w:t>
        <w:tab/>
        <w:t>□不适用</w:t>
      </w:r>
    </w:p>
    <w:p>
      <w:pPr>
        <w:pStyle w:val="BodyText"/>
        <w:spacing w:line="240" w:lineRule="auto" w:before="37"/>
        <w:ind w:left="0" w:right="325"/>
        <w:jc w:val="right"/>
      </w:pPr>
      <w:r>
        <w:rPr/>
        <w:t>经中国证券监督管理委员会证监许可</w:t>
      </w:r>
      <w:r>
        <w:rPr>
          <w:rFonts w:ascii="宋体" w:hAnsi="宋体" w:cs="宋体" w:eastAsia="宋体" w:hint="default"/>
        </w:rPr>
        <w:t>[2017]1214</w:t>
      </w:r>
      <w:r>
        <w:rPr>
          <w:rFonts w:ascii="宋体" w:hAnsi="宋体" w:cs="宋体" w:eastAsia="宋体" w:hint="default"/>
          <w:spacing w:val="-56"/>
        </w:rPr>
        <w:t> </w:t>
      </w:r>
      <w:r>
        <w:rPr/>
        <w:t>号文核准，公司于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日公开发</w:t>
      </w:r>
    </w:p>
    <w:p>
      <w:pPr>
        <w:pStyle w:val="BodyText"/>
        <w:spacing w:line="240" w:lineRule="auto" w:before="37"/>
        <w:ind w:right="0"/>
        <w:jc w:val="left"/>
      </w:pPr>
      <w:r>
        <w:rPr/>
        <w:t>行了人民币</w:t>
      </w:r>
      <w:r>
        <w:rPr>
          <w:spacing w:val="-45"/>
        </w:rPr>
        <w:t> </w:t>
      </w:r>
      <w:r>
        <w:rPr>
          <w:rFonts w:ascii="宋体" w:hAnsi="宋体" w:cs="宋体" w:eastAsia="宋体" w:hint="default"/>
        </w:rPr>
        <w:t>30</w:t>
      </w:r>
      <w:r>
        <w:rPr>
          <w:rFonts w:ascii="宋体" w:hAnsi="宋体" w:cs="宋体" w:eastAsia="宋体" w:hint="default"/>
          <w:spacing w:val="-47"/>
        </w:rPr>
        <w:t> </w:t>
      </w:r>
      <w:r>
        <w:rPr>
          <w:spacing w:val="-5"/>
        </w:rPr>
        <w:t>亿元可转换公司债券，债券每张面值为人民币</w:t>
      </w:r>
      <w:r>
        <w:rPr>
          <w:spacing w:val="-45"/>
        </w:rPr>
        <w:t> </w:t>
      </w:r>
      <w:r>
        <w:rPr>
          <w:rFonts w:ascii="宋体" w:hAnsi="宋体" w:cs="宋体" w:eastAsia="宋体" w:hint="default"/>
        </w:rPr>
        <w:t>100</w:t>
      </w:r>
      <w:r>
        <w:rPr>
          <w:rFonts w:ascii="宋体" w:hAnsi="宋体" w:cs="宋体" w:eastAsia="宋体" w:hint="default"/>
          <w:spacing w:val="-45"/>
        </w:rPr>
        <w:t> </w:t>
      </w:r>
      <w:r>
        <w:rPr>
          <w:spacing w:val="-16"/>
        </w:rPr>
        <w:t>元，共计</w:t>
      </w:r>
      <w:r>
        <w:rPr>
          <w:spacing w:val="-45"/>
        </w:rPr>
        <w:t> </w:t>
      </w:r>
      <w:r>
        <w:rPr>
          <w:rFonts w:ascii="宋体" w:hAnsi="宋体" w:cs="宋体" w:eastAsia="宋体" w:hint="default"/>
        </w:rPr>
        <w:t>3,000</w:t>
      </w:r>
      <w:r>
        <w:rPr>
          <w:rFonts w:ascii="宋体" w:hAnsi="宋体" w:cs="宋体" w:eastAsia="宋体" w:hint="default"/>
          <w:spacing w:val="-45"/>
        </w:rPr>
        <w:t> </w:t>
      </w:r>
      <w:r>
        <w:rPr>
          <w:spacing w:val="-11"/>
        </w:rPr>
        <w:t>万张（</w:t>
      </w:r>
      <w:r>
        <w:rPr>
          <w:rFonts w:ascii="宋体" w:hAnsi="宋体" w:cs="宋体" w:eastAsia="宋体" w:hint="default"/>
          <w:spacing w:val="-11"/>
        </w:rPr>
        <w:t>300</w:t>
      </w:r>
      <w:r>
        <w:rPr>
          <w:rFonts w:ascii="宋体" w:hAnsi="宋体" w:cs="宋体" w:eastAsia="宋体" w:hint="default"/>
          <w:spacing w:val="-47"/>
        </w:rPr>
        <w:t> </w:t>
      </w:r>
      <w:r>
        <w:rPr>
          <w:spacing w:val="-15"/>
        </w:rPr>
        <w:t>万手）。</w:t>
      </w:r>
    </w:p>
    <w:p>
      <w:pPr>
        <w:spacing w:after="0" w:line="240" w:lineRule="auto"/>
        <w:jc w:val="left"/>
        <w:sectPr>
          <w:pgSz w:w="11910" w:h="16840"/>
          <w:pgMar w:header="728" w:footer="974" w:top="1120" w:bottom="1160" w:left="1200" w:right="1180"/>
        </w:sectPr>
      </w:pPr>
    </w:p>
    <w:p>
      <w:pPr>
        <w:spacing w:line="240" w:lineRule="auto" w:before="10"/>
        <w:rPr>
          <w:rFonts w:ascii="宋体" w:hAnsi="宋体" w:cs="宋体" w:eastAsia="宋体" w:hint="default"/>
          <w:sz w:val="26"/>
          <w:szCs w:val="26"/>
        </w:rPr>
      </w:pPr>
    </w:p>
    <w:p>
      <w:pPr>
        <w:pStyle w:val="BodyText"/>
        <w:spacing w:line="273" w:lineRule="auto" w:before="36"/>
        <w:ind w:right="232" w:firstLine="420"/>
        <w:jc w:val="both"/>
      </w:pPr>
      <w:r>
        <w:rPr/>
        <w:t>经上交所自律监管决定书</w:t>
      </w:r>
      <w:r>
        <w:rPr>
          <w:rFonts w:ascii="宋体" w:hAnsi="宋体" w:cs="宋体" w:eastAsia="宋体" w:hint="default"/>
        </w:rPr>
        <w:t>[2017]418</w:t>
      </w:r>
      <w:r>
        <w:rPr>
          <w:rFonts w:ascii="宋体" w:hAnsi="宋体" w:cs="宋体" w:eastAsia="宋体" w:hint="default"/>
          <w:spacing w:val="-54"/>
        </w:rPr>
        <w:t> </w:t>
      </w:r>
      <w:r>
        <w:rPr>
          <w:spacing w:val="-11"/>
        </w:rPr>
        <w:t>号文同意，公司</w:t>
      </w:r>
      <w:r>
        <w:rPr>
          <w:spacing w:val="-51"/>
        </w:rPr>
        <w:t> </w:t>
      </w:r>
      <w:r>
        <w:rPr>
          <w:rFonts w:ascii="宋体" w:hAnsi="宋体" w:cs="宋体" w:eastAsia="宋体" w:hint="default"/>
        </w:rPr>
        <w:t>30</w:t>
      </w:r>
      <w:r>
        <w:rPr>
          <w:rFonts w:ascii="宋体" w:hAnsi="宋体" w:cs="宋体" w:eastAsia="宋体" w:hint="default"/>
          <w:spacing w:val="-52"/>
        </w:rPr>
        <w:t> </w:t>
      </w:r>
      <w:r>
        <w:rPr/>
        <w:t>亿元可转换公司债券于</w:t>
      </w:r>
      <w:r>
        <w:rPr>
          <w:spacing w:val="-54"/>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13</w:t>
      </w:r>
      <w:r>
        <w:rPr>
          <w:rFonts w:ascii="宋体" w:hAnsi="宋体" w:cs="宋体" w:eastAsia="宋体" w:hint="default"/>
          <w:w w:val="100"/>
        </w:rPr>
        <w:t> </w:t>
      </w:r>
      <w:r>
        <w:rPr/>
        <w:t>日起在上交所挂牌交易，债券简称“林洋转债”，债券代码“113014”。</w:t>
      </w:r>
    </w:p>
    <w:p>
      <w:pPr>
        <w:pStyle w:val="BodyText"/>
        <w:spacing w:line="273" w:lineRule="auto" w:before="7"/>
        <w:ind w:right="229" w:firstLine="420"/>
        <w:jc w:val="both"/>
      </w:pPr>
      <w:r>
        <w:rPr>
          <w:spacing w:val="-2"/>
        </w:rPr>
        <w:t>根据有关规定和《江苏林洋能源股份有限公司公开发行可转换公司债券募集说明书》的约定，</w:t>
      </w:r>
      <w:r>
        <w:rPr>
          <w:w w:val="100"/>
        </w:rPr>
        <w:t> </w:t>
      </w:r>
      <w:r>
        <w:rPr>
          <w:spacing w:val="-2"/>
          <w:w w:val="100"/>
        </w:rPr>
        <w:t>公司本次发行的林洋转债期限为自发行之日起</w:t>
      </w:r>
      <w:r>
        <w:rPr>
          <w:spacing w:val="-60"/>
          <w:w w:val="100"/>
        </w:rPr>
        <w:t> </w:t>
      </w:r>
      <w:r>
        <w:rPr>
          <w:rFonts w:ascii="宋体" w:hAnsi="宋体" w:cs="宋体" w:eastAsia="宋体" w:hint="default"/>
          <w:w w:val="100"/>
        </w:rPr>
        <w:t>6</w:t>
      </w:r>
      <w:r>
        <w:rPr>
          <w:rFonts w:ascii="宋体" w:hAnsi="宋体" w:cs="宋体" w:eastAsia="宋体" w:hint="default"/>
          <w:spacing w:val="-57"/>
          <w:w w:val="100"/>
        </w:rPr>
        <w:t> </w:t>
      </w:r>
      <w:r>
        <w:rPr>
          <w:spacing w:val="-28"/>
          <w:w w:val="100"/>
        </w:rPr>
        <w:t>年，即自</w:t>
      </w:r>
      <w:r>
        <w:rPr>
          <w:spacing w:val="-57"/>
          <w:w w:val="100"/>
        </w:rPr>
        <w:t> </w:t>
      </w:r>
      <w:r>
        <w:rPr>
          <w:rFonts w:ascii="宋体" w:hAnsi="宋体" w:cs="宋体" w:eastAsia="宋体" w:hint="default"/>
          <w:spacing w:val="-1"/>
          <w:w w:val="100"/>
        </w:rPr>
        <w:t>2017</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w w:val="100"/>
        </w:rPr>
        <w:t>10</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w w:val="100"/>
        </w:rPr>
        <w:t>27</w:t>
      </w:r>
      <w:r>
        <w:rPr>
          <w:rFonts w:ascii="宋体" w:hAnsi="宋体" w:cs="宋体" w:eastAsia="宋体" w:hint="default"/>
          <w:spacing w:val="-60"/>
          <w:w w:val="100"/>
        </w:rPr>
        <w:t> </w:t>
      </w:r>
      <w:r>
        <w:rPr>
          <w:w w:val="100"/>
        </w:rPr>
        <w:t>日至</w:t>
      </w:r>
      <w:r>
        <w:rPr>
          <w:spacing w:val="-60"/>
          <w:w w:val="100"/>
        </w:rPr>
        <w:t> </w:t>
      </w:r>
      <w:r>
        <w:rPr>
          <w:rFonts w:ascii="宋体" w:hAnsi="宋体" w:cs="宋体" w:eastAsia="宋体" w:hint="default"/>
          <w:w w:val="100"/>
        </w:rPr>
        <w:t>2023</w:t>
      </w:r>
      <w:r>
        <w:rPr>
          <w:rFonts w:ascii="宋体" w:hAnsi="宋体" w:cs="宋体" w:eastAsia="宋体" w:hint="default"/>
          <w:spacing w:val="-59"/>
          <w:w w:val="100"/>
        </w:rPr>
        <w:t> </w:t>
      </w:r>
      <w:r>
        <w:rPr>
          <w:w w:val="100"/>
        </w:rPr>
        <w:t>年</w:t>
      </w:r>
      <w:r>
        <w:rPr>
          <w:spacing w:val="-57"/>
          <w:w w:val="100"/>
        </w:rPr>
        <w:t> </w:t>
      </w:r>
      <w:r>
        <w:rPr>
          <w:rFonts w:ascii="宋体" w:hAnsi="宋体" w:cs="宋体" w:eastAsia="宋体" w:hint="default"/>
          <w:w w:val="100"/>
        </w:rPr>
        <w:t>10</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w w:val="100"/>
        </w:rPr>
        <w:t>26</w:t>
      </w:r>
      <w:r>
        <w:rPr>
          <w:rFonts w:ascii="宋体" w:hAnsi="宋体" w:cs="宋体" w:eastAsia="宋体" w:hint="default"/>
          <w:spacing w:val="-60"/>
          <w:w w:val="100"/>
        </w:rPr>
        <w:t> </w:t>
      </w:r>
      <w:r>
        <w:rPr>
          <w:w w:val="100"/>
        </w:rPr>
        <w:t>日。 </w:t>
      </w:r>
      <w:r>
        <w:rPr/>
        <w:t>债券利率为第一年</w:t>
      </w:r>
      <w:r>
        <w:rPr>
          <w:spacing w:val="-45"/>
        </w:rPr>
        <w:t> </w:t>
      </w:r>
      <w:r>
        <w:rPr>
          <w:rFonts w:ascii="宋体" w:hAnsi="宋体" w:cs="宋体" w:eastAsia="宋体" w:hint="default"/>
          <w:spacing w:val="-3"/>
        </w:rPr>
        <w:t>0.3%</w:t>
      </w:r>
      <w:r>
        <w:rPr>
          <w:spacing w:val="-3"/>
        </w:rPr>
        <w:t>，第二年</w:t>
      </w:r>
      <w:r>
        <w:rPr>
          <w:spacing w:val="-44"/>
        </w:rPr>
        <w:t> </w:t>
      </w:r>
      <w:r>
        <w:rPr>
          <w:rFonts w:ascii="宋体" w:hAnsi="宋体" w:cs="宋体" w:eastAsia="宋体" w:hint="default"/>
          <w:spacing w:val="-3"/>
        </w:rPr>
        <w:t>0.5%</w:t>
      </w:r>
      <w:r>
        <w:rPr>
          <w:spacing w:val="-3"/>
        </w:rPr>
        <w:t>，第三年</w:t>
      </w:r>
      <w:r>
        <w:rPr>
          <w:spacing w:val="-45"/>
        </w:rPr>
        <w:t> </w:t>
      </w:r>
      <w:r>
        <w:rPr>
          <w:rFonts w:ascii="宋体" w:hAnsi="宋体" w:cs="宋体" w:eastAsia="宋体" w:hint="default"/>
          <w:spacing w:val="-3"/>
        </w:rPr>
        <w:t>1.0%</w:t>
      </w:r>
      <w:r>
        <w:rPr>
          <w:spacing w:val="-3"/>
        </w:rPr>
        <w:t>，第四年</w:t>
      </w:r>
      <w:r>
        <w:rPr>
          <w:spacing w:val="-44"/>
        </w:rPr>
        <w:t> </w:t>
      </w:r>
      <w:r>
        <w:rPr>
          <w:rFonts w:ascii="宋体" w:hAnsi="宋体" w:cs="宋体" w:eastAsia="宋体" w:hint="default"/>
          <w:spacing w:val="-3"/>
        </w:rPr>
        <w:t>1.5%</w:t>
      </w:r>
      <w:r>
        <w:rPr>
          <w:spacing w:val="-3"/>
        </w:rPr>
        <w:t>，第五年</w:t>
      </w:r>
      <w:r>
        <w:rPr>
          <w:spacing w:val="-45"/>
        </w:rPr>
        <w:t> </w:t>
      </w:r>
      <w:r>
        <w:rPr>
          <w:rFonts w:ascii="宋体" w:hAnsi="宋体" w:cs="宋体" w:eastAsia="宋体" w:hint="default"/>
          <w:spacing w:val="-3"/>
        </w:rPr>
        <w:t>1.8%</w:t>
      </w:r>
      <w:r>
        <w:rPr>
          <w:spacing w:val="-3"/>
        </w:rPr>
        <w:t>，第六年</w:t>
      </w:r>
      <w:r>
        <w:rPr>
          <w:spacing w:val="-44"/>
        </w:rPr>
        <w:t> </w:t>
      </w:r>
      <w:r>
        <w:rPr>
          <w:rFonts w:ascii="宋体" w:hAnsi="宋体" w:cs="宋体" w:eastAsia="宋体" w:hint="default"/>
          <w:spacing w:val="-6"/>
        </w:rPr>
        <w:t>2.0%</w:t>
      </w:r>
      <w:r>
        <w:rPr>
          <w:spacing w:val="-6"/>
        </w:rPr>
        <w:t>。转</w:t>
      </w:r>
      <w:r>
        <w:rPr>
          <w:spacing w:val="-98"/>
        </w:rPr>
        <w:t> </w:t>
      </w:r>
      <w:r>
        <w:rPr/>
        <w:t>股期起止日期为</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日至</w:t>
      </w:r>
      <w:r>
        <w:rPr>
          <w:spacing w:val="-53"/>
        </w:rPr>
        <w:t> </w:t>
      </w:r>
      <w:r>
        <w:rPr>
          <w:rFonts w:ascii="宋体" w:hAnsi="宋体" w:cs="宋体" w:eastAsia="宋体" w:hint="default"/>
        </w:rPr>
        <w:t>2023</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w:t>
      </w:r>
    </w:p>
    <w:p>
      <w:pPr>
        <w:pStyle w:val="BodyText"/>
        <w:spacing w:line="240" w:lineRule="auto" w:before="7"/>
        <w:ind w:left="63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spacing w:val="-3"/>
        </w:rPr>
        <w:t>日，因公司实施</w:t>
      </w:r>
      <w:r>
        <w:rPr>
          <w:spacing w:val="-52"/>
        </w:rPr>
        <w:t> </w:t>
      </w:r>
      <w:r>
        <w:rPr>
          <w:rFonts w:ascii="宋体" w:hAnsi="宋体" w:cs="宋体" w:eastAsia="宋体" w:hint="default"/>
        </w:rPr>
        <w:t>2017</w:t>
      </w:r>
      <w:r>
        <w:rPr>
          <w:rFonts w:ascii="宋体" w:hAnsi="宋体" w:cs="宋体" w:eastAsia="宋体" w:hint="default"/>
          <w:spacing w:val="-53"/>
        </w:rPr>
        <w:t> </w:t>
      </w:r>
      <w:r>
        <w:rPr/>
        <w:t>年度利润分配方案，“林洋转债”的转股价格由</w:t>
      </w:r>
      <w:r>
        <w:rPr>
          <w:spacing w:val="-52"/>
        </w:rPr>
        <w:t> </w:t>
      </w:r>
      <w:r>
        <w:rPr>
          <w:rFonts w:ascii="宋体" w:hAnsi="宋体" w:cs="宋体" w:eastAsia="宋体" w:hint="default"/>
        </w:rPr>
        <w:t>8.80</w:t>
      </w:r>
      <w:r>
        <w:rPr>
          <w:rFonts w:ascii="宋体" w:hAnsi="宋体" w:cs="宋体" w:eastAsia="宋体" w:hint="default"/>
          <w:spacing w:val="-55"/>
        </w:rPr>
        <w:t> </w:t>
      </w:r>
      <w:r>
        <w:rPr/>
        <w:t>元</w:t>
      </w:r>
      <w:r>
        <w:rPr>
          <w:rFonts w:ascii="宋体" w:hAnsi="宋体" w:cs="宋体" w:eastAsia="宋体" w:hint="default"/>
        </w:rPr>
        <w:t>/</w:t>
      </w:r>
    </w:p>
    <w:p>
      <w:pPr>
        <w:pStyle w:val="BodyText"/>
        <w:spacing w:line="240" w:lineRule="auto" w:before="37"/>
        <w:ind w:right="226"/>
        <w:jc w:val="left"/>
      </w:pPr>
      <w:r>
        <w:rPr/>
        <w:t>股调整为</w:t>
      </w:r>
      <w:r>
        <w:rPr>
          <w:spacing w:val="-54"/>
        </w:rPr>
        <w:t> </w:t>
      </w:r>
      <w:r>
        <w:rPr>
          <w:rFonts w:ascii="宋体" w:hAnsi="宋体" w:cs="宋体" w:eastAsia="宋体" w:hint="default"/>
        </w:rPr>
        <w:t>8.76</w:t>
      </w:r>
      <w:r>
        <w:rPr>
          <w:rFonts w:ascii="宋体" w:hAnsi="宋体" w:cs="宋体" w:eastAsia="宋体" w:hint="default"/>
          <w:spacing w:val="-56"/>
        </w:rPr>
        <w:t> </w:t>
      </w:r>
      <w:r>
        <w:rPr/>
        <w:t>元</w:t>
      </w:r>
      <w:r>
        <w:rPr>
          <w:rFonts w:ascii="宋体" w:hAnsi="宋体" w:cs="宋体" w:eastAsia="宋体" w:hint="default"/>
        </w:rPr>
        <w:t>/</w:t>
      </w:r>
      <w:r>
        <w:rPr/>
        <w:t>股。</w:t>
      </w:r>
    </w:p>
    <w:p>
      <w:pPr>
        <w:pStyle w:val="BodyText"/>
        <w:spacing w:line="240" w:lineRule="auto" w:before="37"/>
        <w:ind w:left="638" w:right="226"/>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日，累计共有</w:t>
      </w:r>
      <w:r>
        <w:rPr>
          <w:spacing w:val="-54"/>
        </w:rPr>
        <w:t> </w:t>
      </w:r>
      <w:r>
        <w:rPr>
          <w:rFonts w:ascii="宋体" w:hAnsi="宋体" w:cs="宋体" w:eastAsia="宋体" w:hint="default"/>
        </w:rPr>
        <w:t>39,000</w:t>
      </w:r>
      <w:r>
        <w:rPr>
          <w:rFonts w:ascii="宋体" w:hAnsi="宋体" w:cs="宋体" w:eastAsia="宋体" w:hint="default"/>
          <w:spacing w:val="-54"/>
        </w:rPr>
        <w:t> </w:t>
      </w:r>
      <w:r>
        <w:rPr/>
        <w:t>元“林洋转债”已转换成公司股票，累计转股数为</w:t>
      </w:r>
    </w:p>
    <w:p>
      <w:pPr>
        <w:pStyle w:val="BodyText"/>
        <w:spacing w:line="240" w:lineRule="auto" w:before="37"/>
        <w:ind w:right="226"/>
        <w:jc w:val="left"/>
      </w:pPr>
      <w:r>
        <w:rPr>
          <w:rFonts w:ascii="宋体" w:hAnsi="宋体" w:cs="宋体" w:eastAsia="宋体" w:hint="default"/>
        </w:rPr>
        <w:t>4,424</w:t>
      </w:r>
      <w:r>
        <w:rPr>
          <w:rFonts w:ascii="宋体" w:hAnsi="宋体" w:cs="宋体" w:eastAsia="宋体" w:hint="default"/>
          <w:spacing w:val="-55"/>
        </w:rPr>
        <w:t> </w:t>
      </w:r>
      <w:r>
        <w:rPr/>
        <w:t>股，占可转债转股前公司已发行股份总额的</w:t>
      </w:r>
      <w:r>
        <w:rPr>
          <w:spacing w:val="-55"/>
        </w:rPr>
        <w:t> </w:t>
      </w:r>
      <w:r>
        <w:rPr>
          <w:rFonts w:ascii="宋体" w:hAnsi="宋体" w:cs="宋体" w:eastAsia="宋体" w:hint="default"/>
        </w:rPr>
        <w:t>0.00025%</w:t>
      </w:r>
      <w:r>
        <w:rPr/>
        <w:t>；尚未转股的可转债金额为</w:t>
      </w:r>
    </w:p>
    <w:p>
      <w:pPr>
        <w:pStyle w:val="BodyText"/>
        <w:spacing w:line="240" w:lineRule="auto" w:before="37"/>
        <w:ind w:right="226"/>
        <w:jc w:val="left"/>
      </w:pPr>
      <w:r>
        <w:rPr>
          <w:rFonts w:ascii="宋体" w:hAnsi="宋体" w:cs="宋体" w:eastAsia="宋体" w:hint="default"/>
        </w:rPr>
        <w:t>2,999,961,000</w:t>
      </w:r>
      <w:r>
        <w:rPr>
          <w:rFonts w:ascii="宋体" w:hAnsi="宋体" w:cs="宋体" w:eastAsia="宋体" w:hint="default"/>
          <w:spacing w:val="-57"/>
        </w:rPr>
        <w:t> </w:t>
      </w:r>
      <w:r>
        <w:rPr/>
        <w:t>元，占可转债发行总量的</w:t>
      </w:r>
      <w:r>
        <w:rPr>
          <w:spacing w:val="-54"/>
        </w:rPr>
        <w:t> </w:t>
      </w:r>
      <w:r>
        <w:rPr>
          <w:rFonts w:ascii="宋体" w:hAnsi="宋体" w:cs="宋体" w:eastAsia="宋体" w:hint="default"/>
        </w:rPr>
        <w:t>99.9987%</w:t>
      </w:r>
      <w:r>
        <w:rPr/>
        <w:t>。</w:t>
      </w:r>
    </w:p>
    <w:p>
      <w:pPr>
        <w:spacing w:line="240" w:lineRule="auto" w:before="0"/>
        <w:rPr>
          <w:rFonts w:ascii="宋体" w:hAnsi="宋体" w:cs="宋体" w:eastAsia="宋体" w:hint="default"/>
          <w:sz w:val="20"/>
          <w:szCs w:val="20"/>
        </w:rPr>
      </w:pPr>
    </w:p>
    <w:p>
      <w:pPr>
        <w:pStyle w:val="Heading2"/>
        <w:spacing w:line="240" w:lineRule="auto" w:before="148"/>
        <w:ind w:right="22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right="226"/>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893"/>
        <w:gridCol w:w="3200"/>
        <w:gridCol w:w="2194"/>
      </w:tblGrid>
      <w:tr>
        <w:trPr>
          <w:trHeight w:val="32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5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11,290</w:t>
            </w:r>
          </w:p>
        </w:tc>
      </w:tr>
      <w:tr>
        <w:trPr>
          <w:trHeight w:val="322"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5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9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322"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0"/>
              <w:jc w:val="left"/>
              <w:rPr>
                <w:rFonts w:ascii="宋体" w:hAnsi="宋体" w:cs="宋体" w:eastAsia="宋体" w:hint="default"/>
                <w:sz w:val="21"/>
                <w:szCs w:val="21"/>
              </w:rPr>
            </w:pPr>
            <w:r>
              <w:rPr>
                <w:rFonts w:ascii="宋体" w:hAnsi="宋体" w:cs="宋体" w:eastAsia="宋体" w:hint="default"/>
                <w:sz w:val="21"/>
                <w:szCs w:val="21"/>
              </w:rPr>
              <w:t>期末持债数量（元）</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4"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w:t>
            </w:r>
          </w:p>
        </w:tc>
      </w:tr>
      <w:tr>
        <w:trPr>
          <w:trHeight w:val="322"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201,194,000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6.71</w:t>
            </w:r>
          </w:p>
        </w:tc>
      </w:tr>
      <w:tr>
        <w:trPr>
          <w:trHeight w:val="322"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全国社保基金一零零二组合</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140,309,000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4.68</w:t>
            </w:r>
          </w:p>
        </w:tc>
      </w:tr>
      <w:tr>
        <w:trPr>
          <w:trHeight w:val="32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全国社保基金一零零八组合</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99,732,000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3.32</w:t>
            </w:r>
          </w:p>
        </w:tc>
      </w:tr>
      <w:tr>
        <w:trPr>
          <w:trHeight w:val="63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中国工商银行股份有限公司－易方达安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心回报债券型证券投资基金</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86,000,000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2.87</w:t>
            </w:r>
          </w:p>
        </w:tc>
      </w:tr>
      <w:tr>
        <w:trPr>
          <w:trHeight w:val="63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中银基金公司－中行－中国银行股份有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限公司</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85,585,000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2.85</w:t>
            </w:r>
          </w:p>
        </w:tc>
      </w:tr>
      <w:tr>
        <w:trPr>
          <w:trHeight w:val="63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招商银行股份有限公司－兴全合润分级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混合型证券投资基金</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79,798,000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2.66</w:t>
            </w:r>
          </w:p>
        </w:tc>
      </w:tr>
      <w:tr>
        <w:trPr>
          <w:trHeight w:val="63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中国工商银行股份有限公司－兴全可转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债混合型证券投资基金</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65,724,000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2.19</w:t>
            </w:r>
          </w:p>
        </w:tc>
      </w:tr>
      <w:tr>
        <w:trPr>
          <w:trHeight w:val="322"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基本养老保险基金一零六组合</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64,997,000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2.17</w:t>
            </w:r>
          </w:p>
        </w:tc>
      </w:tr>
      <w:tr>
        <w:trPr>
          <w:trHeight w:val="637"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中国银行－易方达稳健收益债券型证券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投资基金</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52,254,000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1.74</w:t>
            </w:r>
          </w:p>
        </w:tc>
      </w:tr>
      <w:tr>
        <w:trPr>
          <w:trHeight w:val="634"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工银瑞信添颐混合型养老金产品－中国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工商银行股份有限公司</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51,623,000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1.72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28" w:footer="974" w:top="1120" w:bottom="1160" w:left="1200" w:right="1180"/>
        </w:sectPr>
      </w:pPr>
    </w:p>
    <w:p>
      <w:pPr>
        <w:pStyle w:val="Heading2"/>
        <w:spacing w:line="240" w:lineRule="auto"/>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70"/>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200" w:right="1180"/>
          <w:cols w:num="2" w:equalWidth="0">
            <w:col w:w="2540" w:space="4639"/>
            <w:col w:w="2351"/>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07"/>
        <w:gridCol w:w="1582"/>
        <w:gridCol w:w="1507"/>
        <w:gridCol w:w="1510"/>
        <w:gridCol w:w="1508"/>
        <w:gridCol w:w="1582"/>
      </w:tblGrid>
      <w:tr>
        <w:trPr>
          <w:trHeight w:val="322" w:hRule="exact"/>
        </w:trPr>
        <w:tc>
          <w:tcPr>
            <w:tcW w:w="1507" w:type="dxa"/>
            <w:vMerge w:val="restart"/>
            <w:tcBorders>
              <w:top w:val="single" w:sz="4" w:space="0" w:color="000000"/>
              <w:left w:val="single" w:sz="4" w:space="0" w:color="000000"/>
              <w:right w:val="single" w:sz="4" w:space="0" w:color="000000"/>
            </w:tcBorders>
          </w:tcPr>
          <w:p>
            <w:pPr>
              <w:pStyle w:val="TableParagraph"/>
              <w:spacing w:line="273" w:lineRule="auto"/>
              <w:ind w:left="431" w:right="115" w:hanging="315"/>
              <w:jc w:val="left"/>
              <w:rPr>
                <w:rFonts w:ascii="宋体" w:hAnsi="宋体" w:cs="宋体" w:eastAsia="宋体" w:hint="default"/>
                <w:sz w:val="21"/>
                <w:szCs w:val="21"/>
              </w:rPr>
            </w:pPr>
            <w:r>
              <w:rPr>
                <w:rFonts w:ascii="宋体" w:hAnsi="宋体" w:cs="宋体" w:eastAsia="宋体" w:hint="default"/>
                <w:sz w:val="21"/>
                <w:szCs w:val="21"/>
              </w:rPr>
              <w:t>可转换公司债</w:t>
            </w:r>
            <w:r>
              <w:rPr>
                <w:rFonts w:ascii="宋体" w:hAnsi="宋体" w:cs="宋体" w:eastAsia="宋体" w:hint="default"/>
                <w:w w:val="100"/>
                <w:sz w:val="21"/>
                <w:szCs w:val="21"/>
              </w:rPr>
              <w:t> </w:t>
            </w:r>
            <w:r>
              <w:rPr>
                <w:rFonts w:ascii="宋体" w:hAnsi="宋体" w:cs="宋体" w:eastAsia="宋体" w:hint="default"/>
                <w:sz w:val="21"/>
                <w:szCs w:val="21"/>
              </w:rPr>
              <w:t>券名称</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48"/>
              <w:ind w:left="25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本次变动增减</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48"/>
              <w:ind w:left="25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22" w:hRule="exact"/>
        </w:trPr>
        <w:tc>
          <w:tcPr>
            <w:tcW w:w="1507"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赎回</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回售</w:t>
            </w:r>
          </w:p>
        </w:tc>
        <w:tc>
          <w:tcPr>
            <w:tcW w:w="1582" w:type="dxa"/>
            <w:vMerge/>
            <w:tcBorders>
              <w:left w:val="single" w:sz="4" w:space="0" w:color="000000"/>
              <w:bottom w:val="single" w:sz="4" w:space="0" w:color="000000"/>
              <w:right w:val="single" w:sz="4" w:space="0" w:color="000000"/>
            </w:tcBorders>
          </w:tcPr>
          <w:p>
            <w:pPr/>
          </w:p>
        </w:tc>
      </w:tr>
      <w:tr>
        <w:trPr>
          <w:trHeight w:val="32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林洋转债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3,000,000,000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63" w:right="0"/>
              <w:jc w:val="left"/>
              <w:rPr>
                <w:rFonts w:ascii="宋体" w:hAnsi="宋体" w:cs="宋体" w:eastAsia="宋体" w:hint="default"/>
                <w:sz w:val="21"/>
                <w:szCs w:val="21"/>
              </w:rPr>
            </w:pPr>
            <w:r>
              <w:rPr>
                <w:rFonts w:ascii="宋体"/>
                <w:sz w:val="21"/>
              </w:rPr>
              <w:t>39,000</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2,999,961,000</w:t>
            </w:r>
          </w:p>
        </w:tc>
      </w:tr>
    </w:tbl>
    <w:p>
      <w:pPr>
        <w:spacing w:line="240" w:lineRule="auto" w:before="2"/>
        <w:rPr>
          <w:rFonts w:ascii="宋体" w:hAnsi="宋体" w:cs="宋体" w:eastAsia="宋体" w:hint="default"/>
          <w:sz w:val="20"/>
          <w:szCs w:val="20"/>
        </w:rPr>
      </w:pPr>
    </w:p>
    <w:p>
      <w:pPr>
        <w:pStyle w:val="BodyText"/>
        <w:spacing w:line="240" w:lineRule="auto" w:before="36"/>
        <w:ind w:right="226"/>
        <w:jc w:val="left"/>
      </w:pPr>
      <w:r>
        <w:rPr/>
        <w:t>报告期转债累计转股情况</w:t>
      </w:r>
    </w:p>
    <w:p>
      <w:pPr>
        <w:spacing w:after="0" w:line="240" w:lineRule="auto"/>
        <w:jc w:val="left"/>
        <w:sectPr>
          <w:type w:val="continuous"/>
          <w:pgSz w:w="11910" w:h="16840"/>
          <w:pgMar w:top="1580" w:bottom="280" w:left="1200" w:right="1180"/>
        </w:sectPr>
      </w:pPr>
    </w:p>
    <w:p>
      <w:pPr>
        <w:spacing w:line="240" w:lineRule="auto" w:before="10"/>
        <w:rPr>
          <w:rFonts w:ascii="宋体" w:hAnsi="宋体" w:cs="宋体" w:eastAsia="宋体" w:hint="default"/>
          <w:sz w:val="26"/>
          <w:szCs w:val="26"/>
        </w:rPr>
      </w:pPr>
    </w:p>
    <w:p>
      <w:pPr>
        <w:pStyle w:val="BodyText"/>
        <w:spacing w:line="240" w:lineRule="auto" w:before="36"/>
        <w:ind w:left="69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586"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39,000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4,424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4,424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0.00025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2,999,961,000</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99.9987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28" w:footer="974" w:top="1120" w:bottom="1160" w:left="720" w:right="700"/>
        </w:sectPr>
      </w:pPr>
    </w:p>
    <w:p>
      <w:pPr>
        <w:pStyle w:val="Heading2"/>
        <w:spacing w:line="240" w:lineRule="auto"/>
        <w:ind w:left="698" w:right="-1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69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69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720" w:right="700"/>
          <w:cols w:num="2" w:equalWidth="0">
            <w:col w:w="3229" w:space="3950"/>
            <w:col w:w="3311"/>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79"/>
        <w:gridCol w:w="1135"/>
        <w:gridCol w:w="1873"/>
        <w:gridCol w:w="2494"/>
        <w:gridCol w:w="2977"/>
      </w:tblGrid>
      <w:tr>
        <w:trPr>
          <w:trHeight w:val="634"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转股价格调整日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4" w:right="139" w:hanging="104"/>
              <w:jc w:val="left"/>
              <w:rPr>
                <w:rFonts w:ascii="宋体" w:hAnsi="宋体" w:cs="宋体" w:eastAsia="宋体" w:hint="default"/>
                <w:sz w:val="21"/>
                <w:szCs w:val="21"/>
              </w:rPr>
            </w:pPr>
            <w:r>
              <w:rPr>
                <w:rFonts w:ascii="宋体" w:hAnsi="宋体" w:cs="宋体" w:eastAsia="宋体" w:hint="default"/>
                <w:sz w:val="21"/>
                <w:szCs w:val="21"/>
              </w:rPr>
              <w:t>调整后转</w:t>
            </w:r>
            <w:r>
              <w:rPr>
                <w:rFonts w:ascii="宋体" w:hAnsi="宋体" w:cs="宋体" w:eastAsia="宋体" w:hint="default"/>
                <w:w w:val="100"/>
                <w:sz w:val="21"/>
                <w:szCs w:val="21"/>
              </w:rPr>
              <w:t> </w:t>
            </w:r>
            <w:r>
              <w:rPr>
                <w:rFonts w:ascii="宋体" w:hAnsi="宋体" w:cs="宋体" w:eastAsia="宋体" w:hint="default"/>
                <w:sz w:val="21"/>
                <w:szCs w:val="21"/>
              </w:rPr>
              <w:t>股价格</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8" w:right="0"/>
              <w:jc w:val="left"/>
              <w:rPr>
                <w:rFonts w:ascii="宋体" w:hAnsi="宋体" w:cs="宋体" w:eastAsia="宋体" w:hint="default"/>
                <w:sz w:val="21"/>
                <w:szCs w:val="21"/>
              </w:rPr>
            </w:pPr>
            <w:r>
              <w:rPr>
                <w:rFonts w:ascii="宋体" w:hAnsi="宋体" w:cs="宋体" w:eastAsia="宋体" w:hint="default"/>
                <w:sz w:val="21"/>
                <w:szCs w:val="21"/>
              </w:rPr>
              <w:t>披露媒体</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2" w:right="849" w:hanging="420"/>
              <w:jc w:val="left"/>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94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18</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0" w:right="0"/>
              <w:jc w:val="left"/>
              <w:rPr>
                <w:rFonts w:ascii="宋体" w:hAnsi="宋体" w:cs="宋体" w:eastAsia="宋体" w:hint="default"/>
                <w:sz w:val="21"/>
                <w:szCs w:val="21"/>
              </w:rPr>
            </w:pPr>
            <w:r>
              <w:rPr>
                <w:rFonts w:ascii="宋体"/>
                <w:sz w:val="21"/>
              </w:rPr>
              <w:t>8.76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8"/>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1"/>
              <w:jc w:val="both"/>
              <w:rPr>
                <w:rFonts w:ascii="宋体" w:hAnsi="宋体" w:cs="宋体" w:eastAsia="宋体" w:hint="default"/>
                <w:sz w:val="21"/>
                <w:szCs w:val="21"/>
              </w:rPr>
            </w:pPr>
            <w:r>
              <w:rPr>
                <w:rFonts w:ascii="宋体" w:hAnsi="宋体" w:cs="宋体" w:eastAsia="宋体" w:hint="default"/>
                <w:spacing w:val="-5"/>
                <w:sz w:val="21"/>
                <w:szCs w:val="21"/>
              </w:rPr>
              <w:t>《上海证券报》、《证券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时报》和上海证券交易所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网站（</w:t>
            </w:r>
            <w:hyperlink r:id="rId16">
              <w:r>
                <w:rPr>
                  <w:rFonts w:ascii="宋体" w:hAnsi="宋体" w:cs="宋体" w:eastAsia="宋体" w:hint="default"/>
                  <w:spacing w:val="-1"/>
                  <w:sz w:val="21"/>
                  <w:szCs w:val="21"/>
                </w:rPr>
                <w:t>www.sse.com.cn</w:t>
              </w:r>
            </w:hyperlink>
            <w:r>
              <w:rPr>
                <w:rFonts w:ascii="宋体" w:hAnsi="宋体" w:cs="宋体" w:eastAsia="宋体" w:hint="default"/>
                <w:spacing w:val="-1"/>
                <w:sz w:val="21"/>
                <w:szCs w:val="21"/>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因实施</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年利润分配方案，</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15"/>
                <w:sz w:val="21"/>
                <w:szCs w:val="21"/>
              </w:rPr>
              <w:t>林洋转债”</w:t>
            </w:r>
            <w:r>
              <w:rPr>
                <w:rFonts w:ascii="宋体" w:hAnsi="宋体" w:cs="宋体" w:eastAsia="宋体" w:hint="default"/>
                <w:spacing w:val="-83"/>
                <w:sz w:val="21"/>
                <w:szCs w:val="21"/>
              </w:rPr>
              <w:t> </w:t>
            </w:r>
            <w:r>
              <w:rPr>
                <w:rFonts w:ascii="宋体" w:hAnsi="宋体" w:cs="宋体" w:eastAsia="宋体" w:hint="default"/>
                <w:spacing w:val="16"/>
                <w:sz w:val="21"/>
                <w:szCs w:val="21"/>
              </w:rPr>
              <w:t>的转股价格由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8.80</w:t>
            </w:r>
            <w:r>
              <w:rPr>
                <w:rFonts w:ascii="宋体" w:hAnsi="宋体" w:cs="宋体" w:eastAsia="宋体" w:hint="default"/>
                <w:spacing w:val="-6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股调整为</w:t>
            </w:r>
            <w:r>
              <w:rPr>
                <w:rFonts w:ascii="宋体" w:hAnsi="宋体" w:cs="宋体" w:eastAsia="宋体" w:hint="default"/>
                <w:spacing w:val="-59"/>
                <w:sz w:val="21"/>
                <w:szCs w:val="21"/>
              </w:rPr>
              <w:t> </w:t>
            </w:r>
            <w:r>
              <w:rPr>
                <w:rFonts w:ascii="宋体" w:hAnsi="宋体" w:cs="宋体" w:eastAsia="宋体" w:hint="default"/>
                <w:sz w:val="21"/>
                <w:szCs w:val="21"/>
              </w:rPr>
              <w:t>8.76</w:t>
            </w:r>
            <w:r>
              <w:rPr>
                <w:rFonts w:ascii="宋体" w:hAnsi="宋体" w:cs="宋体" w:eastAsia="宋体" w:hint="default"/>
                <w:spacing w:val="-6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634" w:hRule="exact"/>
        </w:trPr>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截止本报告期末最新转股价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格</w:t>
            </w:r>
          </w:p>
        </w:tc>
        <w:tc>
          <w:tcPr>
            <w:tcW w:w="7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sz w:val="21"/>
              </w:rPr>
              <w:t>8.76</w:t>
            </w:r>
          </w:p>
        </w:tc>
      </w:tr>
    </w:tbl>
    <w:p>
      <w:pPr>
        <w:spacing w:line="240" w:lineRule="auto" w:before="9"/>
        <w:rPr>
          <w:rFonts w:ascii="宋体" w:hAnsi="宋体" w:cs="宋体" w:eastAsia="宋体" w:hint="default"/>
          <w:sz w:val="24"/>
          <w:szCs w:val="24"/>
        </w:rPr>
      </w:pPr>
    </w:p>
    <w:p>
      <w:pPr>
        <w:pStyle w:val="Heading2"/>
        <w:spacing w:line="240" w:lineRule="auto"/>
        <w:ind w:left="69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541" w:val="left" w:leader="none"/>
        </w:tabs>
        <w:spacing w:line="273" w:lineRule="auto" w:before="70"/>
        <w:ind w:left="1118" w:right="7577" w:hanging="420"/>
        <w:jc w:val="left"/>
      </w:pPr>
      <w:r>
        <w:rPr/>
        <w:t>√适用</w:t>
        <w:tab/>
        <w:t>□不适用</w:t>
      </w:r>
      <w:r>
        <w:rPr>
          <w:w w:val="100"/>
        </w:rPr>
        <w:t> </w:t>
      </w:r>
      <w:r>
        <w:rPr>
          <w:rFonts w:ascii="宋体" w:hAnsi="宋体" w:cs="宋体" w:eastAsia="宋体" w:hint="default"/>
          <w:spacing w:val="-1"/>
        </w:rPr>
        <w:t>1</w:t>
      </w:r>
      <w:r>
        <w:rPr>
          <w:spacing w:val="-1"/>
        </w:rPr>
        <w:t>、公司负债情况：</w:t>
      </w:r>
    </w:p>
    <w:p>
      <w:pPr>
        <w:pStyle w:val="BodyText"/>
        <w:spacing w:line="273" w:lineRule="auto" w:before="7"/>
        <w:ind w:left="1118" w:right="4374"/>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日，公司资产负债率为</w:t>
      </w:r>
      <w:r>
        <w:rPr>
          <w:spacing w:val="-54"/>
        </w:rPr>
        <w:t> </w:t>
      </w:r>
      <w:r>
        <w:rPr>
          <w:rFonts w:ascii="宋体" w:hAnsi="宋体" w:cs="宋体" w:eastAsia="宋体" w:hint="default"/>
        </w:rPr>
        <w:t>43.01%</w:t>
      </w:r>
      <w:r>
        <w:rPr/>
        <w:t>。</w:t>
      </w:r>
      <w:r>
        <w:rPr>
          <w:w w:val="100"/>
        </w:rPr>
        <w:t> </w:t>
      </w:r>
      <w:r>
        <w:rPr>
          <w:rFonts w:ascii="宋体" w:hAnsi="宋体" w:cs="宋体" w:eastAsia="宋体" w:hint="default"/>
        </w:rPr>
        <w:t>2</w:t>
      </w:r>
      <w:r>
        <w:rPr/>
        <w:t>、公司资信情况：</w:t>
      </w:r>
    </w:p>
    <w:p>
      <w:pPr>
        <w:pStyle w:val="BodyText"/>
        <w:spacing w:line="273" w:lineRule="auto" w:before="7"/>
        <w:ind w:left="698" w:right="709" w:firstLine="420"/>
        <w:jc w:val="both"/>
      </w:pPr>
      <w:r>
        <w:rPr/>
        <w:t>上海新世纪资信评估投资服务有限公司于</w:t>
      </w:r>
      <w:r>
        <w:rPr>
          <w:spacing w:val="-72"/>
        </w:rPr>
        <w:t> </w:t>
      </w:r>
      <w:r>
        <w:rPr>
          <w:rFonts w:ascii="宋体" w:hAnsi="宋体" w:cs="宋体" w:eastAsia="宋体" w:hint="default"/>
        </w:rPr>
        <w:t>2017</w:t>
      </w:r>
      <w:r>
        <w:rPr>
          <w:rFonts w:ascii="宋体" w:hAnsi="宋体" w:cs="宋体" w:eastAsia="宋体" w:hint="default"/>
          <w:spacing w:val="-72"/>
        </w:rPr>
        <w:t> </w:t>
      </w:r>
      <w:r>
        <w:rPr/>
        <w:t>年</w:t>
      </w:r>
      <w:r>
        <w:rPr>
          <w:spacing w:val="-69"/>
        </w:rPr>
        <w:t> </w:t>
      </w:r>
      <w:r>
        <w:rPr>
          <w:rFonts w:ascii="宋体" w:hAnsi="宋体" w:cs="宋体" w:eastAsia="宋体" w:hint="default"/>
        </w:rPr>
        <w:t>8</w:t>
      </w:r>
      <w:r>
        <w:rPr>
          <w:rFonts w:ascii="宋体" w:hAnsi="宋体" w:cs="宋体" w:eastAsia="宋体" w:hint="default"/>
          <w:spacing w:val="-72"/>
        </w:rPr>
        <w:t> </w:t>
      </w:r>
      <w:r>
        <w:rPr/>
        <w:t>月对公司发行的可转换公司债券出具信用评</w:t>
      </w:r>
      <w:r>
        <w:rPr>
          <w:w w:val="100"/>
        </w:rPr>
        <w:t> </w:t>
      </w:r>
      <w:r>
        <w:rPr>
          <w:spacing w:val="-2"/>
        </w:rPr>
        <w:t>级分析报告，评定公司主体长期信用等级为“AA”，评级展望为“稳定”；评定“林洋转债”债项</w:t>
      </w:r>
      <w:r>
        <w:rPr>
          <w:spacing w:val="-27"/>
        </w:rPr>
        <w:t> </w:t>
      </w:r>
      <w:r>
        <w:rPr>
          <w:spacing w:val="-27"/>
        </w:rPr>
      </w:r>
      <w:r>
        <w:rPr/>
        <w:t>信用等级为“AA”。</w:t>
      </w:r>
    </w:p>
    <w:p>
      <w:pPr>
        <w:pStyle w:val="BodyText"/>
        <w:spacing w:line="273" w:lineRule="auto" w:before="7"/>
        <w:ind w:left="698" w:right="709" w:firstLine="420"/>
        <w:jc w:val="both"/>
      </w:pPr>
      <w:r>
        <w:rPr>
          <w:rFonts w:ascii="宋体" w:hAnsi="宋体" w:cs="宋体" w:eastAsia="宋体" w:hint="default"/>
        </w:rPr>
        <w:t>2018</w:t>
      </w:r>
      <w:r>
        <w:rPr>
          <w:rFonts w:ascii="宋体" w:hAnsi="宋体" w:cs="宋体" w:eastAsia="宋体" w:hint="default"/>
          <w:spacing w:val="-60"/>
        </w:rPr>
        <w:t> </w:t>
      </w:r>
      <w:r>
        <w:rPr/>
        <w:t>年</w:t>
      </w:r>
      <w:r>
        <w:rPr>
          <w:spacing w:val="-58"/>
        </w:rPr>
        <w:t> </w:t>
      </w:r>
      <w:r>
        <w:rPr>
          <w:rFonts w:ascii="宋体" w:hAnsi="宋体" w:cs="宋体" w:eastAsia="宋体" w:hint="default"/>
        </w:rPr>
        <w:t>6</w:t>
      </w:r>
      <w:r>
        <w:rPr>
          <w:rFonts w:ascii="宋体" w:hAnsi="宋体" w:cs="宋体" w:eastAsia="宋体" w:hint="default"/>
          <w:spacing w:val="-60"/>
        </w:rPr>
        <w:t> </w:t>
      </w:r>
      <w:r>
        <w:rPr/>
        <w:t>月，上海新世纪资信评估投资服务有限公司对公司可转债进行跟踪信用评级，维持公</w:t>
      </w:r>
      <w:r>
        <w:rPr>
          <w:w w:val="100"/>
        </w:rPr>
        <w:t> </w:t>
      </w:r>
      <w:r>
        <w:rPr/>
        <w:t>司主体信用等级为“AA”，评级展望维持“稳定”；维持“林洋转债”债项信用等级为“AA”。</w:t>
      </w:r>
    </w:p>
    <w:p>
      <w:pPr>
        <w:spacing w:line="240" w:lineRule="auto" w:before="1"/>
        <w:rPr>
          <w:rFonts w:ascii="宋体" w:hAnsi="宋体" w:cs="宋体" w:eastAsia="宋体" w:hint="default"/>
          <w:sz w:val="29"/>
          <w:szCs w:val="29"/>
        </w:rPr>
      </w:pPr>
    </w:p>
    <w:p>
      <w:pPr>
        <w:pStyle w:val="Heading2"/>
        <w:spacing w:line="240" w:lineRule="auto" w:before="0"/>
        <w:ind w:left="69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541" w:val="left" w:leader="none"/>
        </w:tabs>
        <w:spacing w:line="240" w:lineRule="auto" w:before="70"/>
        <w:ind w:left="698" w:right="0"/>
        <w:jc w:val="left"/>
      </w:pPr>
      <w:r>
        <w:rPr/>
        <w:t>□适用</w:t>
        <w:tab/>
        <w:t>√不适用</w:t>
      </w:r>
    </w:p>
    <w:p>
      <w:pPr>
        <w:spacing w:after="0" w:line="240" w:lineRule="auto"/>
        <w:jc w:val="left"/>
        <w:sectPr>
          <w:type w:val="continuous"/>
          <w:pgSz w:w="11910" w:h="16840"/>
          <w:pgMar w:top="1580" w:bottom="280" w:left="72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4576" w:val="left" w:leader="none"/>
        </w:tabs>
        <w:spacing w:line="240" w:lineRule="auto"/>
        <w:ind w:left="331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728" w:footer="974" w:top="1120" w:bottom="1160" w:left="320" w:right="300"/>
        </w:sectPr>
      </w:pPr>
    </w:p>
    <w:p>
      <w:pPr>
        <w:pStyle w:val="Heading2"/>
        <w:tabs>
          <w:tab w:pos="1665" w:val="left" w:leader="none"/>
        </w:tabs>
        <w:spacing w:line="309" w:lineRule="auto"/>
        <w:ind w:left="1098" w:right="0"/>
        <w:jc w:val="left"/>
        <w:rPr>
          <w:b w:val="0"/>
          <w:bCs w:val="0"/>
        </w:rPr>
      </w:pPr>
      <w:r>
        <w:rPr/>
        <w:t>一、</w:t>
      </w:r>
      <w:r>
        <w:rPr>
          <w:spacing w:val="-78"/>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1081" w:right="1094"/>
        <w:jc w:val="center"/>
      </w:pPr>
      <w:r>
        <w:rPr/>
        <w:t>单位：股</w:t>
      </w:r>
    </w:p>
    <w:p>
      <w:pPr>
        <w:spacing w:after="0" w:line="240" w:lineRule="auto"/>
        <w:jc w:val="center"/>
        <w:sectPr>
          <w:type w:val="continuous"/>
          <w:pgSz w:w="11910" w:h="16840"/>
          <w:pgMar w:top="1580" w:bottom="280" w:left="320" w:right="300"/>
          <w:cols w:num="2" w:equalWidth="0">
            <w:col w:w="3775" w:space="4456"/>
            <w:col w:w="3059"/>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076"/>
        <w:gridCol w:w="1424"/>
        <w:gridCol w:w="778"/>
        <w:gridCol w:w="1054"/>
        <w:gridCol w:w="408"/>
        <w:gridCol w:w="665"/>
        <w:gridCol w:w="1166"/>
        <w:gridCol w:w="1165"/>
        <w:gridCol w:w="1555"/>
        <w:gridCol w:w="768"/>
      </w:tblGrid>
      <w:tr>
        <w:trPr>
          <w:trHeight w:val="324" w:hRule="exact"/>
        </w:trPr>
        <w:tc>
          <w:tcPr>
            <w:tcW w:w="2076" w:type="dxa"/>
            <w:vMerge w:val="restart"/>
            <w:tcBorders>
              <w:top w:val="single" w:sz="4" w:space="0" w:color="000000"/>
              <w:left w:val="single" w:sz="4" w:space="0" w:color="000000"/>
              <w:right w:val="single" w:sz="4" w:space="0" w:color="000000"/>
            </w:tcBorders>
          </w:tcPr>
          <w:p>
            <w:pP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0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6" w:hRule="exact"/>
        </w:trPr>
        <w:tc>
          <w:tcPr>
            <w:tcW w:w="2076"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247" w:right="0"/>
              <w:jc w:val="left"/>
              <w:rPr>
                <w:rFonts w:ascii="Times New Roman" w:hAnsi="Times New Roman" w:cs="Times New Roman" w:eastAsia="Times New Roman" w:hint="default"/>
                <w:sz w:val="18"/>
                <w:szCs w:val="18"/>
              </w:rPr>
            </w:pPr>
            <w:r>
              <w:rPr>
                <w:rFonts w:ascii="Times New Roman"/>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7" w:right="108"/>
              <w:jc w:val="left"/>
              <w:rPr>
                <w:rFonts w:ascii="宋体" w:hAnsi="宋体" w:cs="宋体" w:eastAsia="宋体" w:hint="default"/>
                <w:sz w:val="18"/>
                <w:szCs w:val="18"/>
              </w:rPr>
            </w:pPr>
            <w:r>
              <w:rPr>
                <w:rFonts w:ascii="宋体" w:hAnsi="宋体" w:cs="宋体" w:eastAsia="宋体" w:hint="default"/>
                <w:sz w:val="18"/>
                <w:szCs w:val="18"/>
              </w:rPr>
              <w:t>送 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6" w:right="147"/>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242"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1.22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center"/>
              <w:rPr>
                <w:rFonts w:ascii="宋体" w:hAnsi="宋体" w:cs="宋体" w:eastAsia="宋体" w:hint="default"/>
                <w:sz w:val="18"/>
                <w:szCs w:val="18"/>
              </w:rPr>
            </w:pPr>
            <w:r>
              <w:rPr>
                <w:rFonts w:ascii="宋体"/>
                <w:sz w:val="18"/>
              </w:rPr>
              <w:t>1,600,000</w:t>
            </w: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-6,619,000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-5,019,000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16,541,000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0.94</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1.22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center"/>
              <w:rPr>
                <w:rFonts w:ascii="宋体" w:hAnsi="宋体" w:cs="宋体" w:eastAsia="宋体" w:hint="default"/>
                <w:sz w:val="18"/>
                <w:szCs w:val="18"/>
              </w:rPr>
            </w:pPr>
            <w:r>
              <w:rPr>
                <w:rFonts w:ascii="宋体"/>
                <w:sz w:val="18"/>
              </w:rPr>
              <w:t>1,600,000</w:t>
            </w: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-6,619,000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-5,019,000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16,541,000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0.94</w:t>
            </w:r>
          </w:p>
        </w:tc>
      </w:tr>
      <w:tr>
        <w:trPr>
          <w:trHeight w:val="63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1"/>
              <w:jc w:val="left"/>
              <w:rPr>
                <w:rFonts w:ascii="宋体" w:hAnsi="宋体" w:cs="宋体" w:eastAsia="宋体" w:hint="default"/>
                <w:sz w:val="18"/>
                <w:szCs w:val="18"/>
              </w:rPr>
            </w:pPr>
            <w:r>
              <w:rPr>
                <w:rFonts w:ascii="宋体" w:hAnsi="宋体" w:cs="宋体" w:eastAsia="宋体" w:hint="default"/>
                <w:sz w:val="18"/>
                <w:szCs w:val="18"/>
              </w:rPr>
              <w:t>其中：境内非国有法人 持股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1.22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center"/>
              <w:rPr>
                <w:rFonts w:ascii="宋体" w:hAnsi="宋体" w:cs="宋体" w:eastAsia="宋体" w:hint="default"/>
                <w:sz w:val="18"/>
                <w:szCs w:val="18"/>
              </w:rPr>
            </w:pPr>
            <w:r>
              <w:rPr>
                <w:rFonts w:ascii="宋体"/>
                <w:sz w:val="18"/>
              </w:rPr>
              <w:t>1,600,000</w:t>
            </w: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-6,619,000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-5,019,000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16,541,000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0.94</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二、无限售条件流通股 份</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1,742,531,819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98.78</w:t>
            </w: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6,338,024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6,338,024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1,748,869,843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99.06</w:t>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1,742,531,819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98.78</w:t>
            </w: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6,338,024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6,338,024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1,748,869,843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99.06</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三、普通股股份总数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1,764,091,819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center"/>
              <w:rPr>
                <w:rFonts w:ascii="宋体" w:hAnsi="宋体" w:cs="宋体" w:eastAsia="宋体" w:hint="default"/>
                <w:sz w:val="18"/>
                <w:szCs w:val="18"/>
              </w:rPr>
            </w:pPr>
            <w:r>
              <w:rPr>
                <w:rFonts w:ascii="宋体"/>
                <w:sz w:val="18"/>
              </w:rPr>
              <w:t>1,600,000</w:t>
            </w:r>
          </w:p>
        </w:tc>
        <w:tc>
          <w:tcPr>
            <w:tcW w:w="40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-280,976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1,319,024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1,765,410,843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w:t>
            </w:r>
          </w:p>
        </w:tc>
      </w:tr>
    </w:tbl>
    <w:p>
      <w:pPr>
        <w:spacing w:line="240" w:lineRule="auto" w:before="9"/>
        <w:rPr>
          <w:rFonts w:ascii="宋体" w:hAnsi="宋体" w:cs="宋体" w:eastAsia="宋体" w:hint="default"/>
          <w:sz w:val="24"/>
          <w:szCs w:val="24"/>
        </w:rPr>
      </w:pPr>
    </w:p>
    <w:p>
      <w:pPr>
        <w:pStyle w:val="Heading2"/>
        <w:spacing w:line="240" w:lineRule="auto"/>
        <w:ind w:left="1098"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tabs>
          <w:tab w:pos="1941" w:val="left" w:leader="none"/>
        </w:tabs>
        <w:spacing w:line="240" w:lineRule="auto" w:before="97"/>
        <w:ind w:left="1098" w:right="0"/>
        <w:jc w:val="left"/>
      </w:pPr>
      <w:r>
        <w:rPr/>
        <w:t>√适用</w:t>
        <w:tab/>
        <w:t>□不适用</w:t>
      </w:r>
    </w:p>
    <w:p>
      <w:pPr>
        <w:pStyle w:val="BodyText"/>
        <w:spacing w:line="240" w:lineRule="auto" w:before="37"/>
        <w:ind w:left="1518" w:right="0"/>
        <w:jc w:val="left"/>
      </w:pPr>
      <w:r>
        <w:rPr/>
        <w:t>公司第二期股权激励计划向</w:t>
      </w:r>
      <w:r>
        <w:rPr>
          <w:spacing w:val="-54"/>
        </w:rPr>
        <w:t> </w:t>
      </w:r>
      <w:r>
        <w:rPr>
          <w:rFonts w:ascii="宋体" w:hAnsi="宋体" w:cs="宋体" w:eastAsia="宋体" w:hint="default"/>
        </w:rPr>
        <w:t>20</w:t>
      </w:r>
      <w:r>
        <w:rPr>
          <w:rFonts w:ascii="宋体" w:hAnsi="宋体" w:cs="宋体" w:eastAsia="宋体" w:hint="default"/>
          <w:spacing w:val="-56"/>
        </w:rPr>
        <w:t> </w:t>
      </w:r>
      <w:r>
        <w:rPr/>
        <w:t>名激励对象授予</w:t>
      </w:r>
      <w:r>
        <w:rPr>
          <w:spacing w:val="-54"/>
        </w:rPr>
        <w:t> </w:t>
      </w:r>
      <w:r>
        <w:rPr>
          <w:rFonts w:ascii="宋体" w:hAnsi="宋体" w:cs="宋体" w:eastAsia="宋体" w:hint="default"/>
        </w:rPr>
        <w:t>1,600,000</w:t>
      </w:r>
      <w:r>
        <w:rPr>
          <w:rFonts w:ascii="宋体" w:hAnsi="宋体" w:cs="宋体" w:eastAsia="宋体" w:hint="default"/>
          <w:spacing w:val="-54"/>
        </w:rPr>
        <w:t> </w:t>
      </w:r>
      <w:r>
        <w:rPr/>
        <w:t>股预留限制性股票，于</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240" w:lineRule="auto" w:before="37"/>
        <w:ind w:left="1098" w:right="0"/>
        <w:jc w:val="left"/>
      </w:pPr>
      <w:r>
        <w:rPr>
          <w:rFonts w:ascii="宋体" w:hAnsi="宋体" w:cs="宋体" w:eastAsia="宋体" w:hint="default"/>
        </w:rPr>
        <w:t>8</w:t>
      </w:r>
      <w:r>
        <w:rPr>
          <w:rFonts w:ascii="宋体" w:hAnsi="宋体" w:cs="宋体" w:eastAsia="宋体" w:hint="default"/>
          <w:spacing w:val="-55"/>
        </w:rPr>
        <w:t> </w:t>
      </w:r>
      <w:r>
        <w:rPr/>
        <w:t>日在中国证券登记结算有限责任公司上海分公司完成登记。公司总股本由</w:t>
      </w:r>
      <w:r>
        <w:rPr>
          <w:spacing w:val="-57"/>
        </w:rPr>
        <w:t> </w:t>
      </w:r>
      <w:r>
        <w:rPr>
          <w:rFonts w:ascii="宋体" w:hAnsi="宋体" w:cs="宋体" w:eastAsia="宋体" w:hint="default"/>
        </w:rPr>
        <w:t>1,764,091,819</w:t>
      </w:r>
      <w:r>
        <w:rPr>
          <w:rFonts w:ascii="宋体" w:hAnsi="宋体" w:cs="宋体" w:eastAsia="宋体" w:hint="default"/>
          <w:spacing w:val="-57"/>
        </w:rPr>
        <w:t> </w:t>
      </w:r>
      <w:r>
        <w:rPr/>
        <w:t>股增加</w:t>
      </w:r>
    </w:p>
    <w:p>
      <w:pPr>
        <w:pStyle w:val="BodyText"/>
        <w:spacing w:line="240" w:lineRule="auto" w:before="37"/>
        <w:ind w:left="1098" w:right="0"/>
        <w:jc w:val="left"/>
      </w:pPr>
      <w:r>
        <w:rPr/>
        <w:t>至</w:t>
      </w:r>
      <w:r>
        <w:rPr>
          <w:spacing w:val="-54"/>
        </w:rPr>
        <w:t> </w:t>
      </w:r>
      <w:r>
        <w:rPr>
          <w:rFonts w:ascii="宋体" w:hAnsi="宋体" w:cs="宋体" w:eastAsia="宋体" w:hint="default"/>
        </w:rPr>
        <w:t>1,765,691,819</w:t>
      </w:r>
      <w:r>
        <w:rPr>
          <w:rFonts w:ascii="宋体" w:hAnsi="宋体" w:cs="宋体" w:eastAsia="宋体" w:hint="default"/>
          <w:spacing w:val="-54"/>
        </w:rPr>
        <w:t> </w:t>
      </w:r>
      <w:r>
        <w:rPr/>
        <w:t>股，流通股不变，有限售条件股份由</w:t>
      </w:r>
      <w:r>
        <w:rPr>
          <w:spacing w:val="-53"/>
        </w:rPr>
        <w:t> </w:t>
      </w:r>
      <w:r>
        <w:rPr>
          <w:rFonts w:ascii="宋体" w:hAnsi="宋体" w:cs="宋体" w:eastAsia="宋体" w:hint="default"/>
        </w:rPr>
        <w:t>21,560,000</w:t>
      </w:r>
      <w:r>
        <w:rPr>
          <w:rFonts w:ascii="宋体" w:hAnsi="宋体" w:cs="宋体" w:eastAsia="宋体" w:hint="default"/>
          <w:spacing w:val="-54"/>
        </w:rPr>
        <w:t> </w:t>
      </w:r>
      <w:r>
        <w:rPr/>
        <w:t>股增加至</w:t>
      </w:r>
      <w:r>
        <w:rPr>
          <w:spacing w:val="-54"/>
        </w:rPr>
        <w:t> </w:t>
      </w:r>
      <w:r>
        <w:rPr>
          <w:rFonts w:ascii="宋体" w:hAnsi="宋体" w:cs="宋体" w:eastAsia="宋体" w:hint="default"/>
        </w:rPr>
        <w:t>23,160,000</w:t>
      </w:r>
      <w:r>
        <w:rPr>
          <w:rFonts w:ascii="宋体" w:hAnsi="宋体" w:cs="宋体" w:eastAsia="宋体" w:hint="default"/>
          <w:spacing w:val="-56"/>
        </w:rPr>
        <w:t> </w:t>
      </w:r>
      <w:r>
        <w:rPr/>
        <w:t>股。</w:t>
      </w:r>
    </w:p>
    <w:p>
      <w:pPr>
        <w:pStyle w:val="BodyText"/>
        <w:spacing w:line="240" w:lineRule="auto" w:before="37"/>
        <w:ind w:left="1518" w:right="0"/>
        <w:jc w:val="left"/>
      </w:pPr>
      <w:r>
        <w:rPr/>
        <w:t>公司第二期股权激励计划首次授予的限制性股票第一次解锁，本次解锁的</w:t>
      </w:r>
      <w:r>
        <w:rPr>
          <w:spacing w:val="-58"/>
        </w:rPr>
        <w:t> </w:t>
      </w:r>
      <w:r>
        <w:rPr>
          <w:rFonts w:ascii="宋体" w:hAnsi="宋体" w:cs="宋体" w:eastAsia="宋体" w:hint="default"/>
        </w:rPr>
        <w:t>6,333,600</w:t>
      </w:r>
      <w:r>
        <w:rPr>
          <w:rFonts w:ascii="宋体" w:hAnsi="宋体" w:cs="宋体" w:eastAsia="宋体" w:hint="default"/>
          <w:spacing w:val="-57"/>
        </w:rPr>
        <w:t> </w:t>
      </w:r>
      <w:r>
        <w:rPr/>
        <w:t>股限制性</w:t>
      </w:r>
    </w:p>
    <w:p>
      <w:pPr>
        <w:pStyle w:val="BodyText"/>
        <w:spacing w:line="240" w:lineRule="auto" w:before="37"/>
        <w:ind w:left="1098" w:right="0"/>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日上市流通，公司总股本不变，无限售流通股由</w:t>
      </w:r>
      <w:r>
        <w:rPr>
          <w:spacing w:val="-53"/>
        </w:rPr>
        <w:t> </w:t>
      </w:r>
      <w:r>
        <w:rPr>
          <w:rFonts w:ascii="宋体" w:hAnsi="宋体" w:cs="宋体" w:eastAsia="宋体" w:hint="default"/>
        </w:rPr>
        <w:t>1,742,531,819</w:t>
      </w:r>
      <w:r>
        <w:rPr>
          <w:rFonts w:ascii="宋体" w:hAnsi="宋体" w:cs="宋体" w:eastAsia="宋体" w:hint="default"/>
          <w:spacing w:val="-55"/>
        </w:rPr>
        <w:t> </w:t>
      </w:r>
      <w:r>
        <w:rPr/>
        <w:t>股增加至</w:t>
      </w:r>
    </w:p>
    <w:p>
      <w:pPr>
        <w:pStyle w:val="BodyText"/>
        <w:spacing w:line="240" w:lineRule="auto" w:before="37"/>
        <w:ind w:left="1098" w:right="0"/>
        <w:jc w:val="left"/>
      </w:pPr>
      <w:r>
        <w:rPr>
          <w:rFonts w:ascii="宋体" w:hAnsi="宋体" w:cs="宋体" w:eastAsia="宋体" w:hint="default"/>
        </w:rPr>
        <w:t>1,748,865,419</w:t>
      </w:r>
      <w:r>
        <w:rPr>
          <w:rFonts w:ascii="宋体" w:hAnsi="宋体" w:cs="宋体" w:eastAsia="宋体" w:hint="default"/>
          <w:spacing w:val="-51"/>
        </w:rPr>
        <w:t> </w:t>
      </w:r>
      <w:r>
        <w:rPr/>
        <w:t>股。</w:t>
      </w:r>
    </w:p>
    <w:p>
      <w:pPr>
        <w:pStyle w:val="BodyText"/>
        <w:spacing w:line="240" w:lineRule="auto" w:before="37"/>
        <w:ind w:left="1518" w:right="0"/>
        <w:jc w:val="left"/>
      </w:pPr>
      <w:r>
        <w:rPr/>
        <w:t>公司</w:t>
      </w:r>
      <w:r>
        <w:rPr>
          <w:spacing w:val="-51"/>
        </w:rPr>
        <w:t> </w:t>
      </w:r>
      <w:r>
        <w:rPr>
          <w:rFonts w:ascii="宋体" w:hAnsi="宋体" w:cs="宋体" w:eastAsia="宋体" w:hint="default"/>
        </w:rPr>
        <w:t>2017</w:t>
      </w:r>
      <w:r>
        <w:rPr>
          <w:rFonts w:ascii="宋体" w:hAnsi="宋体" w:cs="宋体" w:eastAsia="宋体" w:hint="default"/>
          <w:spacing w:val="-53"/>
        </w:rPr>
        <w:t> </w:t>
      </w:r>
      <w:r>
        <w:rPr/>
        <w:t>年发行的</w:t>
      </w:r>
      <w:r>
        <w:rPr>
          <w:spacing w:val="-53"/>
        </w:rPr>
        <w:t> </w:t>
      </w:r>
      <w:r>
        <w:rPr>
          <w:rFonts w:ascii="宋体" w:hAnsi="宋体" w:cs="宋体" w:eastAsia="宋体" w:hint="default"/>
        </w:rPr>
        <w:t>30</w:t>
      </w:r>
      <w:r>
        <w:rPr>
          <w:rFonts w:ascii="宋体" w:hAnsi="宋体" w:cs="宋体" w:eastAsia="宋体" w:hint="default"/>
          <w:spacing w:val="-50"/>
        </w:rPr>
        <w:t> </w:t>
      </w:r>
      <w:r>
        <w:rPr/>
        <w:t>亿元可转换公司债券于</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3</w:t>
      </w:r>
      <w:r>
        <w:rPr>
          <w:rFonts w:ascii="宋体" w:hAnsi="宋体" w:cs="宋体" w:eastAsia="宋体" w:hint="default"/>
          <w:spacing w:val="-51"/>
        </w:rPr>
        <w:t> </w:t>
      </w:r>
      <w:r>
        <w:rPr>
          <w:spacing w:val="-6"/>
        </w:rPr>
        <w:t>日起进入转股期，因可转债转股使</w:t>
      </w:r>
    </w:p>
    <w:p>
      <w:pPr>
        <w:pStyle w:val="BodyText"/>
        <w:spacing w:line="240" w:lineRule="auto" w:before="37"/>
        <w:ind w:left="1098" w:right="0"/>
        <w:jc w:val="left"/>
      </w:pPr>
      <w:r>
        <w:rPr/>
        <w:t>得公司报告期内普通股股数增加了</w:t>
      </w:r>
      <w:r>
        <w:rPr>
          <w:spacing w:val="-52"/>
        </w:rPr>
        <w:t> </w:t>
      </w:r>
      <w:r>
        <w:rPr>
          <w:rFonts w:ascii="宋体" w:hAnsi="宋体" w:cs="宋体" w:eastAsia="宋体" w:hint="default"/>
        </w:rPr>
        <w:t>4,424</w:t>
      </w:r>
      <w:r>
        <w:rPr>
          <w:rFonts w:ascii="宋体" w:hAnsi="宋体" w:cs="宋体" w:eastAsia="宋体" w:hint="default"/>
          <w:spacing w:val="-54"/>
        </w:rPr>
        <w:t> </w:t>
      </w:r>
      <w:r>
        <w:rPr/>
        <w:t>股。</w:t>
      </w:r>
    </w:p>
    <w:p>
      <w:pPr>
        <w:pStyle w:val="BodyText"/>
        <w:spacing w:line="240" w:lineRule="auto" w:before="37"/>
        <w:ind w:left="1518" w:right="0"/>
        <w:jc w:val="left"/>
      </w:pPr>
      <w:r>
        <w:rPr/>
        <w:t>公司对第二期股权激励计划部分激励对象已获授但尚未解锁的</w:t>
      </w:r>
      <w:r>
        <w:rPr>
          <w:spacing w:val="-55"/>
        </w:rPr>
        <w:t> </w:t>
      </w:r>
      <w:r>
        <w:rPr>
          <w:rFonts w:ascii="宋体" w:hAnsi="宋体" w:cs="宋体" w:eastAsia="宋体" w:hint="default"/>
        </w:rPr>
        <w:t>285,400</w:t>
      </w:r>
      <w:r>
        <w:rPr>
          <w:rFonts w:ascii="宋体" w:hAnsi="宋体" w:cs="宋体" w:eastAsia="宋体" w:hint="default"/>
          <w:spacing w:val="-57"/>
        </w:rPr>
        <w:t> </w:t>
      </w:r>
      <w:r>
        <w:rPr/>
        <w:t>股限制性股票进行回购</w:t>
      </w:r>
    </w:p>
    <w:p>
      <w:pPr>
        <w:pStyle w:val="BodyText"/>
        <w:spacing w:line="240" w:lineRule="auto" w:before="37"/>
        <w:ind w:left="1098" w:right="0"/>
        <w:jc w:val="left"/>
      </w:pPr>
      <w:r>
        <w:rPr>
          <w:w w:val="100"/>
        </w:rPr>
        <w:t>注销</w:t>
      </w:r>
      <w:r>
        <w:rPr>
          <w:spacing w:val="-108"/>
          <w:w w:val="100"/>
        </w:rPr>
        <w:t>，</w:t>
      </w:r>
      <w:r>
        <w:rPr>
          <w:w w:val="100"/>
        </w:rPr>
        <w:t>于</w:t>
      </w:r>
      <w:r>
        <w:rPr>
          <w:spacing w:val="-60"/>
        </w:rPr>
        <w:t> </w:t>
      </w:r>
      <w:r>
        <w:rPr>
          <w:rFonts w:ascii="宋体" w:hAnsi="宋体" w:cs="宋体" w:eastAsia="宋体" w:hint="default"/>
          <w:w w:val="100"/>
        </w:rPr>
        <w:t>2018</w:t>
      </w:r>
      <w:r>
        <w:rPr>
          <w:rFonts w:ascii="宋体" w:hAnsi="宋体" w:cs="宋体" w:eastAsia="宋体" w:hint="default"/>
          <w:spacing w:val="-62"/>
        </w:rPr>
        <w:t> </w:t>
      </w:r>
      <w:r>
        <w:rPr>
          <w:w w:val="100"/>
        </w:rPr>
        <w:t>年</w:t>
      </w:r>
      <w:r>
        <w:rPr>
          <w:spacing w:val="-60"/>
        </w:rPr>
        <w:t> </w:t>
      </w:r>
      <w:r>
        <w:rPr>
          <w:rFonts w:ascii="宋体" w:hAnsi="宋体" w:cs="宋体" w:eastAsia="宋体" w:hint="default"/>
          <w:w w:val="100"/>
        </w:rPr>
        <w:t>7</w:t>
      </w:r>
      <w:r>
        <w:rPr>
          <w:rFonts w:ascii="宋体" w:hAnsi="宋体" w:cs="宋体" w:eastAsia="宋体" w:hint="default"/>
          <w:spacing w:val="-60"/>
        </w:rPr>
        <w:t> </w:t>
      </w:r>
      <w:r>
        <w:rPr>
          <w:w w:val="100"/>
        </w:rPr>
        <w:t>月</w:t>
      </w:r>
      <w:r>
        <w:rPr>
          <w:spacing w:val="-60"/>
        </w:rPr>
        <w:t> </w:t>
      </w:r>
      <w:r>
        <w:rPr>
          <w:rFonts w:ascii="宋体" w:hAnsi="宋体" w:cs="宋体" w:eastAsia="宋体" w:hint="default"/>
          <w:w w:val="100"/>
        </w:rPr>
        <w:t>2</w:t>
      </w:r>
      <w:r>
        <w:rPr>
          <w:rFonts w:ascii="宋体" w:hAnsi="宋体" w:cs="宋体" w:eastAsia="宋体" w:hint="default"/>
          <w:spacing w:val="-62"/>
        </w:rPr>
        <w:t> </w:t>
      </w:r>
      <w:r>
        <w:rPr>
          <w:spacing w:val="-3"/>
          <w:w w:val="100"/>
        </w:rPr>
        <w:t>日</w:t>
      </w:r>
      <w:r>
        <w:rPr>
          <w:w w:val="100"/>
        </w:rPr>
        <w:t>注销</w:t>
      </w:r>
      <w:r>
        <w:rPr>
          <w:spacing w:val="-3"/>
          <w:w w:val="100"/>
        </w:rPr>
        <w:t>完</w:t>
      </w:r>
      <w:r>
        <w:rPr>
          <w:w w:val="100"/>
        </w:rPr>
        <w:t>成</w:t>
      </w:r>
      <w:r>
        <w:rPr>
          <w:spacing w:val="-3"/>
          <w:w w:val="100"/>
        </w:rPr>
        <w:t>后</w:t>
      </w:r>
      <w:r>
        <w:rPr>
          <w:spacing w:val="-106"/>
          <w:w w:val="100"/>
        </w:rPr>
        <w:t>，</w:t>
      </w:r>
      <w:r>
        <w:rPr>
          <w:spacing w:val="-3"/>
          <w:w w:val="100"/>
        </w:rPr>
        <w:t>公</w:t>
      </w:r>
      <w:r>
        <w:rPr>
          <w:w w:val="100"/>
        </w:rPr>
        <w:t>司</w:t>
      </w:r>
      <w:r>
        <w:rPr>
          <w:spacing w:val="-3"/>
          <w:w w:val="100"/>
        </w:rPr>
        <w:t>有</w:t>
      </w:r>
      <w:r>
        <w:rPr>
          <w:w w:val="100"/>
        </w:rPr>
        <w:t>限</w:t>
      </w:r>
      <w:r>
        <w:rPr>
          <w:spacing w:val="-3"/>
          <w:w w:val="100"/>
        </w:rPr>
        <w:t>售条</w:t>
      </w:r>
      <w:r>
        <w:rPr>
          <w:w w:val="100"/>
        </w:rPr>
        <w:t>件股</w:t>
      </w:r>
      <w:r>
        <w:rPr>
          <w:spacing w:val="-3"/>
          <w:w w:val="100"/>
        </w:rPr>
        <w:t>份</w:t>
      </w:r>
      <w:r>
        <w:rPr>
          <w:w w:val="100"/>
        </w:rPr>
        <w:t>由</w:t>
      </w:r>
      <w:r>
        <w:rPr>
          <w:spacing w:val="-59"/>
        </w:rPr>
        <w:t> </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,82</w:t>
      </w:r>
      <w:r>
        <w:rPr>
          <w:rFonts w:ascii="宋体" w:hAnsi="宋体" w:cs="宋体" w:eastAsia="宋体" w:hint="default"/>
          <w:spacing w:val="-3"/>
          <w:w w:val="100"/>
        </w:rPr>
        <w:t>6</w:t>
      </w:r>
      <w:r>
        <w:rPr>
          <w:rFonts w:ascii="宋体" w:hAnsi="宋体" w:cs="宋体" w:eastAsia="宋体" w:hint="default"/>
          <w:w w:val="100"/>
        </w:rPr>
        <w:t>,400</w:t>
      </w:r>
      <w:r>
        <w:rPr>
          <w:rFonts w:ascii="宋体" w:hAnsi="宋体" w:cs="宋体" w:eastAsia="宋体" w:hint="default"/>
          <w:spacing w:val="-62"/>
        </w:rPr>
        <w:t> </w:t>
      </w:r>
      <w:r>
        <w:rPr>
          <w:w w:val="100"/>
        </w:rPr>
        <w:t>股</w:t>
      </w:r>
      <w:r>
        <w:rPr>
          <w:spacing w:val="-3"/>
          <w:w w:val="100"/>
        </w:rPr>
        <w:t>减</w:t>
      </w:r>
      <w:r>
        <w:rPr>
          <w:w w:val="100"/>
        </w:rPr>
        <w:t>少至</w:t>
      </w:r>
      <w:r>
        <w:rPr>
          <w:spacing w:val="-59"/>
        </w:rPr>
        <w:t> </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,54</w:t>
      </w:r>
      <w:r>
        <w:rPr>
          <w:rFonts w:ascii="宋体" w:hAnsi="宋体" w:cs="宋体" w:eastAsia="宋体" w:hint="default"/>
          <w:spacing w:val="-3"/>
          <w:w w:val="100"/>
        </w:rPr>
        <w:t>1</w:t>
      </w:r>
      <w:r>
        <w:rPr>
          <w:rFonts w:ascii="宋体" w:hAnsi="宋体" w:cs="宋体" w:eastAsia="宋体" w:hint="default"/>
          <w:w w:val="100"/>
        </w:rPr>
        <w:t>,000</w:t>
      </w:r>
      <w:r>
        <w:rPr>
          <w:rFonts w:ascii="宋体" w:hAnsi="宋体" w:cs="宋体" w:eastAsia="宋体" w:hint="default"/>
          <w:spacing w:val="-62"/>
        </w:rPr>
        <w:t> </w:t>
      </w:r>
      <w:r>
        <w:rPr>
          <w:w w:val="100"/>
        </w:rPr>
        <w:t>股。</w:t>
      </w:r>
    </w:p>
    <w:p>
      <w:pPr>
        <w:spacing w:after="0" w:line="240" w:lineRule="auto"/>
        <w:jc w:val="left"/>
        <w:sectPr>
          <w:type w:val="continuous"/>
          <w:pgSz w:w="11910" w:h="16840"/>
          <w:pgMar w:top="1580" w:bottom="280" w:left="320" w:right="300"/>
        </w:sectPr>
      </w:pPr>
    </w:p>
    <w:p>
      <w:pPr>
        <w:spacing w:line="240" w:lineRule="auto" w:before="10"/>
        <w:rPr>
          <w:rFonts w:ascii="宋体" w:hAnsi="宋体" w:cs="宋体" w:eastAsia="宋体" w:hint="default"/>
          <w:sz w:val="26"/>
          <w:szCs w:val="26"/>
        </w:rPr>
      </w:pPr>
    </w:p>
    <w:p>
      <w:pPr>
        <w:pStyle w:val="Heading2"/>
        <w:spacing w:line="240" w:lineRule="auto"/>
        <w:ind w:left="678" w:right="0"/>
        <w:jc w:val="both"/>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97"/>
        <w:ind w:left="678" w:right="0"/>
        <w:jc w:val="both"/>
      </w:pPr>
      <w:r>
        <w:rPr/>
        <w:t>√适用  □不适用</w:t>
      </w:r>
    </w:p>
    <w:p>
      <w:pPr>
        <w:pStyle w:val="BodyText"/>
        <w:spacing w:line="240" w:lineRule="auto" w:before="37"/>
        <w:ind w:left="1098" w:right="436"/>
        <w:jc w:val="left"/>
      </w:pPr>
      <w:r>
        <w:rPr>
          <w:spacing w:val="-4"/>
        </w:rPr>
        <w:t>报告期内，公司第二期股权激励计划向</w:t>
      </w:r>
      <w:r>
        <w:rPr>
          <w:spacing w:val="-41"/>
        </w:rPr>
        <w:t> </w:t>
      </w:r>
      <w:r>
        <w:rPr>
          <w:rFonts w:ascii="宋体" w:hAnsi="宋体" w:cs="宋体" w:eastAsia="宋体" w:hint="default"/>
        </w:rPr>
        <w:t>20</w:t>
      </w:r>
      <w:r>
        <w:rPr>
          <w:rFonts w:ascii="宋体" w:hAnsi="宋体" w:cs="宋体" w:eastAsia="宋体" w:hint="default"/>
          <w:spacing w:val="-41"/>
        </w:rPr>
        <w:t> </w:t>
      </w:r>
      <w:r>
        <w:rPr/>
        <w:t>名激励对象授予</w:t>
      </w:r>
      <w:r>
        <w:rPr>
          <w:spacing w:val="-41"/>
        </w:rPr>
        <w:t> </w:t>
      </w:r>
      <w:r>
        <w:rPr>
          <w:rFonts w:ascii="宋体" w:hAnsi="宋体" w:cs="宋体" w:eastAsia="宋体" w:hint="default"/>
        </w:rPr>
        <w:t>1,600,000</w:t>
      </w:r>
      <w:r>
        <w:rPr>
          <w:rFonts w:ascii="宋体" w:hAnsi="宋体" w:cs="宋体" w:eastAsia="宋体" w:hint="default"/>
          <w:spacing w:val="-41"/>
        </w:rPr>
        <w:t> </w:t>
      </w:r>
      <w:r>
        <w:rPr>
          <w:spacing w:val="-5"/>
        </w:rPr>
        <w:t>股预留限制性股票，注销</w:t>
      </w:r>
    </w:p>
    <w:p>
      <w:pPr>
        <w:pStyle w:val="BodyText"/>
        <w:spacing w:line="273" w:lineRule="auto" w:before="37"/>
        <w:ind w:left="678" w:right="728"/>
        <w:jc w:val="both"/>
      </w:pPr>
      <w:r>
        <w:rPr/>
        <w:t>部分激励对象</w:t>
      </w:r>
      <w:r>
        <w:rPr>
          <w:spacing w:val="-55"/>
        </w:rPr>
        <w:t> </w:t>
      </w:r>
      <w:r>
        <w:rPr>
          <w:rFonts w:ascii="宋体" w:hAnsi="宋体" w:cs="宋体" w:eastAsia="宋体" w:hint="default"/>
        </w:rPr>
        <w:t>285,400</w:t>
      </w:r>
      <w:r>
        <w:rPr>
          <w:rFonts w:ascii="宋体" w:hAnsi="宋体" w:cs="宋体" w:eastAsia="宋体" w:hint="default"/>
          <w:spacing w:val="-55"/>
        </w:rPr>
        <w:t> </w:t>
      </w:r>
      <w:r>
        <w:rPr/>
        <w:t>股已获授但尚未解锁的限制性股票，以及因可转换债券转股增加股份</w:t>
      </w:r>
      <w:r>
        <w:rPr>
          <w:spacing w:val="-55"/>
        </w:rPr>
        <w:t> </w:t>
      </w:r>
      <w:r>
        <w:rPr>
          <w:rFonts w:ascii="宋体" w:hAnsi="宋体" w:cs="宋体" w:eastAsia="宋体" w:hint="default"/>
        </w:rPr>
        <w:t>4,424</w:t>
      </w:r>
      <w:r>
        <w:rPr>
          <w:rFonts w:ascii="宋体" w:hAnsi="宋体" w:cs="宋体" w:eastAsia="宋体" w:hint="default"/>
          <w:w w:val="100"/>
        </w:rPr>
        <w:t> </w:t>
      </w:r>
      <w:r>
        <w:rPr>
          <w:spacing w:val="-2"/>
        </w:rPr>
        <w:t>股。上述股份变动后使公司的每股收益和每股净资产有所下降，但由于变动股份数量较小，对公司</w:t>
      </w:r>
      <w:r>
        <w:rPr>
          <w:spacing w:val="-26"/>
        </w:rPr>
        <w:t> </w:t>
      </w:r>
      <w:r>
        <w:rPr>
          <w:spacing w:val="-26"/>
        </w:rPr>
      </w:r>
      <w:r>
        <w:rPr/>
        <w:t>每股收益和每股净资产的影响很小。</w:t>
      </w:r>
    </w:p>
    <w:p>
      <w:pPr>
        <w:spacing w:line="240" w:lineRule="auto" w:before="0"/>
        <w:rPr>
          <w:rFonts w:ascii="宋体" w:hAnsi="宋体" w:cs="宋体" w:eastAsia="宋体" w:hint="default"/>
          <w:sz w:val="29"/>
          <w:szCs w:val="29"/>
        </w:rPr>
      </w:pPr>
    </w:p>
    <w:p>
      <w:pPr>
        <w:pStyle w:val="Heading2"/>
        <w:spacing w:line="240" w:lineRule="auto" w:before="0"/>
        <w:ind w:left="678" w:right="0"/>
        <w:jc w:val="both"/>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97"/>
        <w:ind w:left="678" w:right="0"/>
        <w:jc w:val="both"/>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28" w:footer="974" w:top="1120" w:bottom="1160" w:left="740" w:right="720"/>
        </w:sectPr>
      </w:pPr>
    </w:p>
    <w:p>
      <w:pPr>
        <w:pStyle w:val="Heading2"/>
        <w:tabs>
          <w:tab w:pos="1245" w:val="left" w:leader="none"/>
        </w:tabs>
        <w:spacing w:line="240" w:lineRule="auto"/>
        <w:ind w:left="678"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67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67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580" w:bottom="280" w:left="740" w:right="720"/>
          <w:cols w:num="2" w:equalWidth="0">
            <w:col w:w="2935" w:space="5401"/>
            <w:col w:w="2114"/>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750"/>
        <w:gridCol w:w="1294"/>
        <w:gridCol w:w="1291"/>
        <w:gridCol w:w="1294"/>
        <w:gridCol w:w="1294"/>
        <w:gridCol w:w="1292"/>
        <w:gridCol w:w="1992"/>
      </w:tblGrid>
      <w:tr>
        <w:trPr>
          <w:trHeight w:val="636"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4"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裴骏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4"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朱德省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105,000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105,000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25,000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25,000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105,000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105,000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105,000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施洪生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69,000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69,000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69,000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69,000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92,000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92,000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48"/>
              <w:ind w:left="554" w:right="0"/>
              <w:jc w:val="left"/>
              <w:rPr>
                <w:rFonts w:ascii="宋体" w:hAnsi="宋体" w:cs="宋体" w:eastAsia="宋体" w:hint="default"/>
                <w:sz w:val="21"/>
                <w:szCs w:val="21"/>
              </w:rPr>
            </w:pPr>
            <w:r>
              <w:rPr>
                <w:rFonts w:ascii="宋体" w:hAnsi="宋体" w:cs="宋体" w:eastAsia="宋体" w:hint="default"/>
                <w:sz w:val="21"/>
                <w:szCs w:val="21"/>
              </w:rPr>
              <w:t>崔东旭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60,000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60,000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60,000</w:t>
            </w:r>
          </w:p>
        </w:tc>
        <w:tc>
          <w:tcPr>
            <w:tcW w:w="1292" w:type="dxa"/>
            <w:vMerge/>
            <w:tcBorders>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center"/>
        <w:rPr>
          <w:rFonts w:ascii="宋体" w:hAnsi="宋体" w:cs="宋体" w:eastAsia="宋体" w:hint="default"/>
          <w:sz w:val="21"/>
          <w:szCs w:val="21"/>
        </w:rPr>
        <w:sectPr>
          <w:type w:val="continuous"/>
          <w:pgSz w:w="11910" w:h="16840"/>
          <w:pgMar w:top="1580" w:bottom="280" w:left="7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750"/>
        <w:gridCol w:w="1294"/>
        <w:gridCol w:w="1291"/>
        <w:gridCol w:w="1294"/>
        <w:gridCol w:w="1294"/>
        <w:gridCol w:w="1292"/>
        <w:gridCol w:w="1992"/>
      </w:tblGrid>
      <w:tr>
        <w:trPr>
          <w:trHeight w:val="324" w:hRule="exact"/>
        </w:trPr>
        <w:tc>
          <w:tcPr>
            <w:tcW w:w="1750" w:type="dxa"/>
            <w:vMerge w:val="restart"/>
            <w:tcBorders>
              <w:top w:val="single" w:sz="4" w:space="0" w:color="000000"/>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80,000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80,000</w:t>
            </w:r>
          </w:p>
        </w:tc>
        <w:tc>
          <w:tcPr>
            <w:tcW w:w="1292" w:type="dxa"/>
            <w:vMerge w:val="restart"/>
            <w:tcBorders>
              <w:top w:val="single" w:sz="4" w:space="0" w:color="000000"/>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1750" w:type="dxa"/>
            <w:vMerge w:val="restart"/>
            <w:tcBorders>
              <w:top w:val="single" w:sz="4" w:space="0" w:color="000000"/>
              <w:left w:val="single" w:sz="4" w:space="0" w:color="000000"/>
              <w:right w:val="single" w:sz="4" w:space="0" w:color="000000"/>
            </w:tcBorders>
          </w:tcPr>
          <w:p>
            <w:pPr>
              <w:pStyle w:val="TableParagraph"/>
              <w:spacing w:line="273" w:lineRule="auto"/>
              <w:ind w:left="134" w:right="130"/>
              <w:jc w:val="both"/>
              <w:rPr>
                <w:rFonts w:ascii="宋体" w:hAnsi="宋体" w:cs="宋体" w:eastAsia="宋体" w:hint="default"/>
                <w:sz w:val="21"/>
                <w:szCs w:val="21"/>
              </w:rPr>
            </w:pPr>
            <w:r>
              <w:rPr>
                <w:rFonts w:ascii="宋体" w:hAnsi="宋体" w:cs="宋体" w:eastAsia="宋体" w:hint="default"/>
                <w:sz w:val="21"/>
                <w:szCs w:val="21"/>
              </w:rPr>
              <w:t>第二期激励计划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首次授予的其他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Calibri" w:hAnsi="Calibri" w:cs="Calibri" w:eastAsia="Calibri" w:hint="default"/>
                <w:sz w:val="21"/>
                <w:szCs w:val="21"/>
              </w:rPr>
              <w:t>213</w:t>
            </w:r>
            <w:r>
              <w:rPr>
                <w:rFonts w:ascii="Calibri" w:hAnsi="Calibri" w:cs="Calibri" w:eastAsia="Calibri" w:hint="default"/>
                <w:spacing w:val="3"/>
                <w:sz w:val="21"/>
                <w:szCs w:val="21"/>
              </w:rPr>
              <w:t> </w:t>
            </w:r>
            <w:r>
              <w:rPr>
                <w:rFonts w:ascii="宋体" w:hAnsi="宋体" w:cs="宋体" w:eastAsia="宋体" w:hint="default"/>
                <w:sz w:val="21"/>
                <w:szCs w:val="21"/>
              </w:rPr>
              <w:t>名激励对象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5,694,000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5,670,000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750" w:type="dxa"/>
            <w:vMerge/>
            <w:tcBorders>
              <w:left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5,694,000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5,619,000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7,592,000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7,492,000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4" w:hRule="exact"/>
        </w:trPr>
        <w:tc>
          <w:tcPr>
            <w:tcW w:w="1750" w:type="dxa"/>
            <w:vMerge w:val="restart"/>
            <w:tcBorders>
              <w:top w:val="single" w:sz="4" w:space="0" w:color="000000"/>
              <w:left w:val="single" w:sz="4" w:space="0" w:color="000000"/>
              <w:right w:val="single" w:sz="4" w:space="0" w:color="000000"/>
            </w:tcBorders>
          </w:tcPr>
          <w:p>
            <w:pPr>
              <w:pStyle w:val="TableParagraph"/>
              <w:spacing w:line="273" w:lineRule="auto"/>
              <w:ind w:left="134" w:right="130"/>
              <w:jc w:val="both"/>
              <w:rPr>
                <w:rFonts w:ascii="宋体" w:hAnsi="宋体" w:cs="宋体" w:eastAsia="宋体" w:hint="default"/>
                <w:sz w:val="21"/>
                <w:szCs w:val="21"/>
              </w:rPr>
            </w:pPr>
            <w:r>
              <w:rPr>
                <w:rFonts w:ascii="宋体" w:hAnsi="宋体" w:cs="宋体" w:eastAsia="宋体" w:hint="default"/>
                <w:sz w:val="21"/>
                <w:szCs w:val="21"/>
              </w:rPr>
              <w:t>第二期激励计划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预留授予的其他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Calibri" w:hAnsi="Calibri" w:cs="Calibri" w:eastAsia="Calibri" w:hint="default"/>
                <w:sz w:val="21"/>
                <w:szCs w:val="21"/>
              </w:rPr>
              <w:t>17</w:t>
            </w:r>
            <w:r>
              <w:rPr>
                <w:rFonts w:ascii="Calibri" w:hAnsi="Calibri" w:cs="Calibri" w:eastAsia="Calibri" w:hint="default"/>
                <w:spacing w:val="5"/>
                <w:sz w:val="21"/>
                <w:szCs w:val="21"/>
              </w:rPr>
              <w:t> </w:t>
            </w:r>
            <w:r>
              <w:rPr>
                <w:rFonts w:ascii="宋体" w:hAnsi="宋体" w:cs="宋体" w:eastAsia="宋体" w:hint="default"/>
                <w:sz w:val="21"/>
                <w:szCs w:val="21"/>
              </w:rPr>
              <w:t>名激励对象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625,000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625,000</w:t>
            </w:r>
          </w:p>
        </w:tc>
        <w:tc>
          <w:tcPr>
            <w:tcW w:w="1292" w:type="dxa"/>
            <w:vMerge/>
            <w:tcBorders>
              <w:left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75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宋体" w:hAnsi="宋体" w:cs="宋体" w:eastAsia="宋体" w:hint="default"/>
                <w:sz w:val="21"/>
                <w:szCs w:val="21"/>
              </w:rPr>
            </w:pPr>
            <w:r>
              <w:rPr>
                <w:rFonts w:ascii="宋体"/>
                <w:spacing w:val="-1"/>
                <w:sz w:val="21"/>
              </w:rPr>
              <w:t>625,000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625,000</w:t>
            </w:r>
          </w:p>
        </w:tc>
        <w:tc>
          <w:tcPr>
            <w:tcW w:w="1292" w:type="dxa"/>
            <w:vMerge/>
            <w:tcBorders>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21,560,000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6,619,000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16,541,000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63" w:lineRule="exact"/>
        <w:ind w:left="678" w:right="0"/>
        <w:jc w:val="both"/>
      </w:pPr>
      <w:r>
        <w:rPr>
          <w:spacing w:val="-4"/>
        </w:rPr>
        <w:t>注：（</w:t>
      </w:r>
      <w:r>
        <w:rPr>
          <w:rFonts w:ascii="宋体" w:hAnsi="宋体" w:cs="宋体" w:eastAsia="宋体" w:hint="default"/>
          <w:spacing w:val="-4"/>
        </w:rPr>
        <w:t>1</w:t>
      </w:r>
      <w:r>
        <w:rPr>
          <w:spacing w:val="-4"/>
        </w:rPr>
        <w:t>）上述“报告期解除限售股数”合计数为</w:t>
      </w:r>
      <w:r>
        <w:rPr>
          <w:spacing w:val="-49"/>
        </w:rPr>
        <w:t> </w:t>
      </w:r>
      <w:r>
        <w:rPr>
          <w:rFonts w:ascii="宋体" w:hAnsi="宋体" w:cs="宋体" w:eastAsia="宋体" w:hint="default"/>
        </w:rPr>
        <w:t>6,619,000</w:t>
      </w:r>
      <w:r>
        <w:rPr>
          <w:rFonts w:ascii="宋体" w:hAnsi="宋体" w:cs="宋体" w:eastAsia="宋体" w:hint="default"/>
          <w:spacing w:val="-48"/>
        </w:rPr>
        <w:t> </w:t>
      </w:r>
      <w:r>
        <w:rPr>
          <w:spacing w:val="-5"/>
        </w:rPr>
        <w:t>股，为</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23</w:t>
      </w:r>
      <w:r>
        <w:rPr>
          <w:rFonts w:ascii="宋体" w:hAnsi="宋体" w:cs="宋体" w:eastAsia="宋体" w:hint="default"/>
          <w:spacing w:val="-50"/>
        </w:rPr>
        <w:t> </w:t>
      </w:r>
      <w:r>
        <w:rPr/>
        <w:t>日解锁上市流通</w:t>
      </w:r>
    </w:p>
    <w:p>
      <w:pPr>
        <w:pStyle w:val="BodyText"/>
        <w:spacing w:line="240" w:lineRule="auto" w:before="37"/>
        <w:ind w:left="678" w:right="0"/>
        <w:jc w:val="both"/>
        <w:rPr>
          <w:rFonts w:ascii="宋体" w:hAnsi="宋体" w:cs="宋体" w:eastAsia="宋体" w:hint="default"/>
        </w:rPr>
      </w:pPr>
      <w:r>
        <w:rPr/>
        <w:t>股份</w:t>
      </w:r>
      <w:r>
        <w:rPr>
          <w:spacing w:val="-53"/>
        </w:rPr>
        <w:t> </w:t>
      </w:r>
      <w:r>
        <w:rPr>
          <w:rFonts w:ascii="宋体" w:hAnsi="宋体" w:cs="宋体" w:eastAsia="宋体" w:hint="default"/>
        </w:rPr>
        <w:t>6,333,600</w:t>
      </w:r>
      <w:r>
        <w:rPr>
          <w:rFonts w:ascii="宋体" w:hAnsi="宋体" w:cs="宋体" w:eastAsia="宋体" w:hint="default"/>
          <w:spacing w:val="-55"/>
        </w:rPr>
        <w:t> </w:t>
      </w:r>
      <w:r>
        <w:rPr/>
        <w:t>股和</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日回购注销的股份</w:t>
      </w:r>
      <w:r>
        <w:rPr>
          <w:spacing w:val="-53"/>
        </w:rPr>
        <w:t> </w:t>
      </w:r>
      <w:r>
        <w:rPr>
          <w:rFonts w:ascii="宋体" w:hAnsi="宋体" w:cs="宋体" w:eastAsia="宋体" w:hint="default"/>
        </w:rPr>
        <w:t>285,400</w:t>
      </w:r>
      <w:r>
        <w:rPr>
          <w:rFonts w:ascii="宋体" w:hAnsi="宋体" w:cs="宋体" w:eastAsia="宋体" w:hint="default"/>
          <w:spacing w:val="-55"/>
        </w:rPr>
        <w:t> </w:t>
      </w:r>
      <w:r>
        <w:rPr/>
        <w:t>股。具体内容详见公司于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p>
    <w:p>
      <w:pPr>
        <w:pStyle w:val="BodyText"/>
        <w:spacing w:line="240" w:lineRule="auto" w:before="37"/>
        <w:ind w:left="678" w:right="0"/>
        <w:jc w:val="both"/>
      </w:pP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日和</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日发布的公告（公告编号：临</w:t>
      </w:r>
      <w:r>
        <w:rPr>
          <w:spacing w:val="-53"/>
        </w:rPr>
        <w:t> </w:t>
      </w:r>
      <w:r>
        <w:rPr>
          <w:rFonts w:ascii="宋体" w:hAnsi="宋体" w:cs="宋体" w:eastAsia="宋体" w:hint="default"/>
        </w:rPr>
        <w:t>2018-40</w:t>
      </w:r>
      <w:r>
        <w:rPr>
          <w:rFonts w:ascii="宋体" w:hAnsi="宋体" w:cs="宋体" w:eastAsia="宋体" w:hint="default"/>
          <w:spacing w:val="-55"/>
        </w:rPr>
        <w:t> </w:t>
      </w:r>
      <w:r>
        <w:rPr/>
        <w:t>和临</w:t>
      </w:r>
      <w:r>
        <w:rPr>
          <w:spacing w:val="-55"/>
        </w:rPr>
        <w:t> </w:t>
      </w:r>
      <w:r>
        <w:rPr>
          <w:rFonts w:ascii="宋体" w:hAnsi="宋体" w:cs="宋体" w:eastAsia="宋体" w:hint="default"/>
        </w:rPr>
        <w:t>2018-62</w:t>
      </w:r>
      <w:r>
        <w:rPr/>
        <w:t>）。</w:t>
      </w:r>
    </w:p>
    <w:p>
      <w:pPr>
        <w:pStyle w:val="BodyText"/>
        <w:spacing w:line="273" w:lineRule="auto" w:before="37"/>
        <w:ind w:left="678" w:right="728"/>
        <w:jc w:val="both"/>
      </w:pPr>
      <w:r>
        <w:rPr/>
        <w:t>（</w:t>
      </w:r>
      <w:r>
        <w:rPr>
          <w:rFonts w:ascii="宋体" w:hAnsi="宋体" w:cs="宋体" w:eastAsia="宋体" w:hint="default"/>
        </w:rPr>
        <w:t>2</w:t>
      </w:r>
      <w:r>
        <w:rPr/>
        <w:t>）因</w:t>
      </w:r>
      <w:r>
        <w:rPr>
          <w:spacing w:val="-56"/>
        </w:rPr>
        <w:t> </w:t>
      </w:r>
      <w:r>
        <w:rPr>
          <w:rFonts w:ascii="宋体" w:hAnsi="宋体" w:cs="宋体" w:eastAsia="宋体" w:hint="default"/>
        </w:rPr>
        <w:t>2018</w:t>
      </w:r>
      <w:r>
        <w:rPr>
          <w:rFonts w:ascii="宋体" w:hAnsi="宋体" w:cs="宋体" w:eastAsia="宋体" w:hint="default"/>
          <w:spacing w:val="-56"/>
        </w:rPr>
        <w:t> </w:t>
      </w:r>
      <w:r>
        <w:rPr/>
        <w:t>年度公司层面考核结果未能达到规定的业绩考核指标，第二次股权激励计划首次授予</w:t>
      </w:r>
      <w:r>
        <w:rPr>
          <w:w w:val="100"/>
        </w:rPr>
        <w:t> </w:t>
      </w:r>
      <w:r>
        <w:rPr>
          <w:spacing w:val="-2"/>
        </w:rPr>
        <w:t>限制性股票第二次解锁条件和预留授予限制性股票第一次解锁条件未成就，故未达解锁条件的限制</w:t>
      </w:r>
      <w:r>
        <w:rPr>
          <w:spacing w:val="-25"/>
        </w:rPr>
        <w:t> </w:t>
      </w:r>
      <w:r>
        <w:rPr>
          <w:spacing w:val="-25"/>
        </w:rPr>
      </w:r>
      <w:r>
        <w:rPr/>
        <w:t>性股票将由公司回购注销。</w:t>
      </w:r>
    </w:p>
    <w:p>
      <w:pPr>
        <w:spacing w:line="240" w:lineRule="auto" w:before="0"/>
        <w:rPr>
          <w:rFonts w:ascii="宋体" w:hAnsi="宋体" w:cs="宋体" w:eastAsia="宋体" w:hint="default"/>
          <w:sz w:val="29"/>
          <w:szCs w:val="29"/>
        </w:rPr>
      </w:pPr>
    </w:p>
    <w:p>
      <w:pPr>
        <w:pStyle w:val="Heading2"/>
        <w:spacing w:line="324" w:lineRule="auto" w:before="0"/>
        <w:ind w:left="678" w:right="67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auto" w:before="23"/>
        <w:ind w:left="678" w:right="935"/>
        <w:jc w:val="left"/>
      </w:pPr>
      <w:r>
        <w:rPr/>
        <w:t>□适用</w:t>
      </w:r>
      <w:r>
        <w:rPr>
          <w:spacing w:val="-2"/>
        </w:rPr>
        <w:t> </w:t>
      </w:r>
      <w:r>
        <w:rPr/>
        <w:t>√不适用</w:t>
      </w:r>
      <w:r>
        <w:rPr>
          <w:spacing w:val="-103"/>
        </w:rPr>
        <w:t> </w:t>
      </w:r>
      <w:r>
        <w:rPr>
          <w:spacing w:val="-103"/>
        </w:rPr>
      </w:r>
      <w:r>
        <w:rPr>
          <w:spacing w:val="-2"/>
        </w:rPr>
        <w:t>截至报告期内证券发行情况的说明（存续期内利率不同的债券，请分别说明）：</w:t>
      </w:r>
    </w:p>
    <w:p>
      <w:pPr>
        <w:pStyle w:val="BodyText"/>
        <w:spacing w:line="240" w:lineRule="auto" w:before="7"/>
        <w:ind w:left="6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678"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97"/>
        <w:ind w:left="678" w:right="0"/>
        <w:jc w:val="both"/>
      </w:pPr>
      <w:r>
        <w:rPr/>
        <w:t>√适用  □不适用</w:t>
      </w:r>
    </w:p>
    <w:p>
      <w:pPr>
        <w:pStyle w:val="BodyText"/>
        <w:spacing w:line="240" w:lineRule="auto" w:before="37"/>
        <w:ind w:left="1098" w:right="436"/>
        <w:jc w:val="left"/>
      </w:pPr>
      <w:r>
        <w:rPr/>
        <w:t>公司第二期股权激励计划预留部分授予激励对象</w:t>
      </w:r>
      <w:r>
        <w:rPr>
          <w:spacing w:val="-64"/>
        </w:rPr>
        <w:t> </w:t>
      </w:r>
      <w:r>
        <w:rPr>
          <w:rFonts w:ascii="宋体" w:hAnsi="宋体" w:cs="宋体" w:eastAsia="宋体" w:hint="default"/>
        </w:rPr>
        <w:t>160</w:t>
      </w:r>
      <w:r>
        <w:rPr>
          <w:rFonts w:ascii="宋体" w:hAnsi="宋体" w:cs="宋体" w:eastAsia="宋体" w:hint="default"/>
          <w:spacing w:val="-61"/>
        </w:rPr>
        <w:t> </w:t>
      </w:r>
      <w:r>
        <w:rPr/>
        <w:t>万股于</w:t>
      </w:r>
      <w:r>
        <w:rPr>
          <w:spacing w:val="-61"/>
        </w:rPr>
        <w:t> </w:t>
      </w:r>
      <w:r>
        <w:rPr>
          <w:rFonts w:ascii="宋体" w:hAnsi="宋体" w:cs="宋体" w:eastAsia="宋体" w:hint="default"/>
        </w:rPr>
        <w:t>2018</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8</w:t>
      </w:r>
      <w:r>
        <w:rPr>
          <w:rFonts w:ascii="宋体" w:hAnsi="宋体" w:cs="宋体" w:eastAsia="宋体" w:hint="default"/>
          <w:spacing w:val="-61"/>
        </w:rPr>
        <w:t> </w:t>
      </w:r>
      <w:r>
        <w:rPr/>
        <w:t>日在中国证券登记结</w:t>
      </w:r>
    </w:p>
    <w:p>
      <w:pPr>
        <w:pStyle w:val="BodyText"/>
        <w:spacing w:line="240" w:lineRule="auto" w:before="37"/>
        <w:ind w:left="678" w:right="0"/>
        <w:jc w:val="both"/>
      </w:pPr>
      <w:r>
        <w:rPr/>
        <w:t>算有限责任公司上海分公司完成登记，公司总股本由</w:t>
      </w:r>
      <w:r>
        <w:rPr>
          <w:spacing w:val="-54"/>
        </w:rPr>
        <w:t> </w:t>
      </w:r>
      <w:r>
        <w:rPr>
          <w:rFonts w:ascii="宋体" w:hAnsi="宋体" w:cs="宋体" w:eastAsia="宋体" w:hint="default"/>
        </w:rPr>
        <w:t>1,764,091,819</w:t>
      </w:r>
      <w:r>
        <w:rPr>
          <w:rFonts w:ascii="宋体" w:hAnsi="宋体" w:cs="宋体" w:eastAsia="宋体" w:hint="default"/>
          <w:spacing w:val="-54"/>
        </w:rPr>
        <w:t> </w:t>
      </w:r>
      <w:r>
        <w:rPr/>
        <w:t>股增加至</w:t>
      </w:r>
      <w:r>
        <w:rPr>
          <w:spacing w:val="-54"/>
        </w:rPr>
        <w:t> </w:t>
      </w:r>
      <w:r>
        <w:rPr>
          <w:rFonts w:ascii="宋体" w:hAnsi="宋体" w:cs="宋体" w:eastAsia="宋体" w:hint="default"/>
        </w:rPr>
        <w:t>1,765,691,819</w:t>
      </w:r>
      <w:r>
        <w:rPr>
          <w:rFonts w:ascii="宋体" w:hAnsi="宋体" w:cs="宋体" w:eastAsia="宋体" w:hint="default"/>
          <w:spacing w:val="-53"/>
        </w:rPr>
        <w:t> </w:t>
      </w:r>
      <w:r>
        <w:rPr>
          <w:spacing w:val="-3"/>
        </w:rPr>
        <w:t>股。</w:t>
      </w:r>
      <w:r>
        <w:rPr/>
      </w:r>
    </w:p>
    <w:p>
      <w:pPr>
        <w:pStyle w:val="BodyText"/>
        <w:spacing w:line="240" w:lineRule="auto" w:before="37"/>
        <w:ind w:left="1098" w:right="436"/>
        <w:jc w:val="left"/>
      </w:pPr>
      <w:r>
        <w:rPr/>
        <w:t>公司对第二期股权激励计划部分激励对象已获授但尚未解锁的</w:t>
      </w:r>
      <w:r>
        <w:rPr>
          <w:spacing w:val="-55"/>
        </w:rPr>
        <w:t> </w:t>
      </w:r>
      <w:r>
        <w:rPr>
          <w:rFonts w:ascii="宋体" w:hAnsi="宋体" w:cs="宋体" w:eastAsia="宋体" w:hint="default"/>
        </w:rPr>
        <w:t>285,400</w:t>
      </w:r>
      <w:r>
        <w:rPr>
          <w:rFonts w:ascii="宋体" w:hAnsi="宋体" w:cs="宋体" w:eastAsia="宋体" w:hint="default"/>
          <w:spacing w:val="-57"/>
        </w:rPr>
        <w:t> </w:t>
      </w:r>
      <w:r>
        <w:rPr/>
        <w:t>股限制性股票进行回购</w:t>
      </w:r>
    </w:p>
    <w:p>
      <w:pPr>
        <w:pStyle w:val="BodyText"/>
        <w:spacing w:line="240" w:lineRule="auto" w:before="37"/>
        <w:ind w:left="678" w:right="0"/>
        <w:jc w:val="both"/>
      </w:pPr>
      <w:r>
        <w:rPr>
          <w:w w:val="100"/>
        </w:rPr>
        <w:t>注销</w:t>
      </w:r>
      <w:r>
        <w:rPr>
          <w:spacing w:val="-108"/>
          <w:w w:val="100"/>
        </w:rPr>
        <w:t>，</w:t>
      </w:r>
      <w:r>
        <w:rPr>
          <w:w w:val="100"/>
        </w:rPr>
        <w:t>于</w:t>
      </w:r>
      <w:r>
        <w:rPr>
          <w:spacing w:val="-60"/>
        </w:rPr>
        <w:t> </w:t>
      </w:r>
      <w:r>
        <w:rPr>
          <w:rFonts w:ascii="宋体" w:hAnsi="宋体" w:cs="宋体" w:eastAsia="宋体" w:hint="default"/>
          <w:w w:val="100"/>
        </w:rPr>
        <w:t>2018</w:t>
      </w:r>
      <w:r>
        <w:rPr>
          <w:rFonts w:ascii="宋体" w:hAnsi="宋体" w:cs="宋体" w:eastAsia="宋体" w:hint="default"/>
          <w:spacing w:val="-62"/>
        </w:rPr>
        <w:t> </w:t>
      </w:r>
      <w:r>
        <w:rPr>
          <w:w w:val="100"/>
        </w:rPr>
        <w:t>年</w:t>
      </w:r>
      <w:r>
        <w:rPr>
          <w:spacing w:val="-60"/>
        </w:rPr>
        <w:t> </w:t>
      </w:r>
      <w:r>
        <w:rPr>
          <w:rFonts w:ascii="宋体" w:hAnsi="宋体" w:cs="宋体" w:eastAsia="宋体" w:hint="default"/>
          <w:w w:val="100"/>
        </w:rPr>
        <w:t>7</w:t>
      </w:r>
      <w:r>
        <w:rPr>
          <w:rFonts w:ascii="宋体" w:hAnsi="宋体" w:cs="宋体" w:eastAsia="宋体" w:hint="default"/>
          <w:spacing w:val="-60"/>
        </w:rPr>
        <w:t> </w:t>
      </w:r>
      <w:r>
        <w:rPr>
          <w:w w:val="100"/>
        </w:rPr>
        <w:t>月</w:t>
      </w:r>
      <w:r>
        <w:rPr>
          <w:spacing w:val="-60"/>
        </w:rPr>
        <w:t> </w:t>
      </w:r>
      <w:r>
        <w:rPr>
          <w:rFonts w:ascii="宋体" w:hAnsi="宋体" w:cs="宋体" w:eastAsia="宋体" w:hint="default"/>
          <w:w w:val="100"/>
        </w:rPr>
        <w:t>2</w:t>
      </w:r>
      <w:r>
        <w:rPr>
          <w:rFonts w:ascii="宋体" w:hAnsi="宋体" w:cs="宋体" w:eastAsia="宋体" w:hint="default"/>
          <w:spacing w:val="-62"/>
        </w:rPr>
        <w:t> </w:t>
      </w:r>
      <w:r>
        <w:rPr>
          <w:spacing w:val="-3"/>
          <w:w w:val="100"/>
        </w:rPr>
        <w:t>日</w:t>
      </w:r>
      <w:r>
        <w:rPr>
          <w:w w:val="100"/>
        </w:rPr>
        <w:t>注销</w:t>
      </w:r>
      <w:r>
        <w:rPr>
          <w:spacing w:val="-3"/>
          <w:w w:val="100"/>
        </w:rPr>
        <w:t>完</w:t>
      </w:r>
      <w:r>
        <w:rPr>
          <w:w w:val="100"/>
        </w:rPr>
        <w:t>成</w:t>
      </w:r>
      <w:r>
        <w:rPr>
          <w:spacing w:val="-3"/>
          <w:w w:val="100"/>
        </w:rPr>
        <w:t>后</w:t>
      </w:r>
      <w:r>
        <w:rPr>
          <w:spacing w:val="-106"/>
          <w:w w:val="100"/>
        </w:rPr>
        <w:t>，</w:t>
      </w:r>
      <w:r>
        <w:rPr>
          <w:spacing w:val="-3"/>
          <w:w w:val="100"/>
        </w:rPr>
        <w:t>公</w:t>
      </w:r>
      <w:r>
        <w:rPr>
          <w:w w:val="100"/>
        </w:rPr>
        <w:t>司</w:t>
      </w:r>
      <w:r>
        <w:rPr>
          <w:spacing w:val="-3"/>
          <w:w w:val="100"/>
        </w:rPr>
        <w:t>有</w:t>
      </w:r>
      <w:r>
        <w:rPr>
          <w:w w:val="100"/>
        </w:rPr>
        <w:t>限</w:t>
      </w:r>
      <w:r>
        <w:rPr>
          <w:spacing w:val="-3"/>
          <w:w w:val="100"/>
        </w:rPr>
        <w:t>售条</w:t>
      </w:r>
      <w:r>
        <w:rPr>
          <w:w w:val="100"/>
        </w:rPr>
        <w:t>件股</w:t>
      </w:r>
      <w:r>
        <w:rPr>
          <w:spacing w:val="-3"/>
          <w:w w:val="100"/>
        </w:rPr>
        <w:t>份</w:t>
      </w:r>
      <w:r>
        <w:rPr>
          <w:w w:val="100"/>
        </w:rPr>
        <w:t>由</w:t>
      </w:r>
      <w:r>
        <w:rPr>
          <w:spacing w:val="-59"/>
        </w:rPr>
        <w:t> </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,82</w:t>
      </w:r>
      <w:r>
        <w:rPr>
          <w:rFonts w:ascii="宋体" w:hAnsi="宋体" w:cs="宋体" w:eastAsia="宋体" w:hint="default"/>
          <w:spacing w:val="-3"/>
          <w:w w:val="100"/>
        </w:rPr>
        <w:t>6</w:t>
      </w:r>
      <w:r>
        <w:rPr>
          <w:rFonts w:ascii="宋体" w:hAnsi="宋体" w:cs="宋体" w:eastAsia="宋体" w:hint="default"/>
          <w:w w:val="100"/>
        </w:rPr>
        <w:t>,400</w:t>
      </w:r>
      <w:r>
        <w:rPr>
          <w:rFonts w:ascii="宋体" w:hAnsi="宋体" w:cs="宋体" w:eastAsia="宋体" w:hint="default"/>
          <w:spacing w:val="-62"/>
        </w:rPr>
        <w:t> </w:t>
      </w:r>
      <w:r>
        <w:rPr>
          <w:w w:val="100"/>
        </w:rPr>
        <w:t>股</w:t>
      </w:r>
      <w:r>
        <w:rPr>
          <w:spacing w:val="-3"/>
          <w:w w:val="100"/>
        </w:rPr>
        <w:t>减</w:t>
      </w:r>
      <w:r>
        <w:rPr>
          <w:w w:val="100"/>
        </w:rPr>
        <w:t>少至</w:t>
      </w:r>
      <w:r>
        <w:rPr>
          <w:spacing w:val="-59"/>
        </w:rPr>
        <w:t> </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,54</w:t>
      </w:r>
      <w:r>
        <w:rPr>
          <w:rFonts w:ascii="宋体" w:hAnsi="宋体" w:cs="宋体" w:eastAsia="宋体" w:hint="default"/>
          <w:spacing w:val="-3"/>
          <w:w w:val="100"/>
        </w:rPr>
        <w:t>1</w:t>
      </w:r>
      <w:r>
        <w:rPr>
          <w:rFonts w:ascii="宋体" w:hAnsi="宋体" w:cs="宋体" w:eastAsia="宋体" w:hint="default"/>
          <w:w w:val="100"/>
        </w:rPr>
        <w:t>,000</w:t>
      </w:r>
      <w:r>
        <w:rPr>
          <w:rFonts w:ascii="宋体" w:hAnsi="宋体" w:cs="宋体" w:eastAsia="宋体" w:hint="default"/>
          <w:spacing w:val="-62"/>
        </w:rPr>
        <w:t> </w:t>
      </w:r>
      <w:r>
        <w:rPr>
          <w:w w:val="100"/>
        </w:rPr>
        <w:t>股。</w:t>
      </w:r>
    </w:p>
    <w:p>
      <w:pPr>
        <w:pStyle w:val="BodyText"/>
        <w:spacing w:line="240" w:lineRule="auto" w:before="37"/>
        <w:ind w:left="1098" w:right="436"/>
        <w:jc w:val="left"/>
      </w:pPr>
      <w:r>
        <w:rPr/>
        <w:t>公司</w:t>
      </w:r>
      <w:r>
        <w:rPr>
          <w:spacing w:val="-51"/>
        </w:rPr>
        <w:t> </w:t>
      </w:r>
      <w:r>
        <w:rPr>
          <w:rFonts w:ascii="宋体" w:hAnsi="宋体" w:cs="宋体" w:eastAsia="宋体" w:hint="default"/>
        </w:rPr>
        <w:t>2017</w:t>
      </w:r>
      <w:r>
        <w:rPr>
          <w:rFonts w:ascii="宋体" w:hAnsi="宋体" w:cs="宋体" w:eastAsia="宋体" w:hint="default"/>
          <w:spacing w:val="-53"/>
        </w:rPr>
        <w:t> </w:t>
      </w:r>
      <w:r>
        <w:rPr/>
        <w:t>年发行的</w:t>
      </w:r>
      <w:r>
        <w:rPr>
          <w:spacing w:val="-53"/>
        </w:rPr>
        <w:t> </w:t>
      </w:r>
      <w:r>
        <w:rPr>
          <w:rFonts w:ascii="宋体" w:hAnsi="宋体" w:cs="宋体" w:eastAsia="宋体" w:hint="default"/>
        </w:rPr>
        <w:t>30</w:t>
      </w:r>
      <w:r>
        <w:rPr>
          <w:rFonts w:ascii="宋体" w:hAnsi="宋体" w:cs="宋体" w:eastAsia="宋体" w:hint="default"/>
          <w:spacing w:val="-50"/>
        </w:rPr>
        <w:t> </w:t>
      </w:r>
      <w:r>
        <w:rPr/>
        <w:t>亿元可转换公司债券于</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3</w:t>
      </w:r>
      <w:r>
        <w:rPr>
          <w:rFonts w:ascii="宋体" w:hAnsi="宋体" w:cs="宋体" w:eastAsia="宋体" w:hint="default"/>
          <w:spacing w:val="-51"/>
        </w:rPr>
        <w:t> </w:t>
      </w:r>
      <w:r>
        <w:rPr>
          <w:spacing w:val="-6"/>
        </w:rPr>
        <w:t>日起进入转股期，因可转债转股使</w:t>
      </w:r>
    </w:p>
    <w:p>
      <w:pPr>
        <w:pStyle w:val="BodyText"/>
        <w:spacing w:line="273" w:lineRule="auto" w:before="37"/>
        <w:ind w:left="1098" w:right="436" w:hanging="420"/>
        <w:jc w:val="left"/>
      </w:pPr>
      <w:r>
        <w:rPr/>
        <w:t>得公司报告期内无限售流通股数增加了</w:t>
      </w:r>
      <w:r>
        <w:rPr>
          <w:spacing w:val="-53"/>
        </w:rPr>
        <w:t> </w:t>
      </w:r>
      <w:r>
        <w:rPr>
          <w:rFonts w:ascii="宋体" w:hAnsi="宋体" w:cs="宋体" w:eastAsia="宋体" w:hint="default"/>
        </w:rPr>
        <w:t>4,424</w:t>
      </w:r>
      <w:r>
        <w:rPr>
          <w:rFonts w:ascii="宋体" w:hAnsi="宋体" w:cs="宋体" w:eastAsia="宋体" w:hint="default"/>
          <w:spacing w:val="-55"/>
        </w:rPr>
        <w:t> </w:t>
      </w:r>
      <w:r>
        <w:rPr/>
        <w:t>股。</w:t>
      </w:r>
      <w:r>
        <w:rPr>
          <w:w w:val="100"/>
        </w:rPr>
        <w:t> </w:t>
      </w:r>
      <w:r>
        <w:rPr>
          <w:spacing w:val="-2"/>
        </w:rPr>
        <w:t>上述股份变动将会导致公司资产增加、负债结构下降。</w:t>
      </w:r>
    </w:p>
    <w:p>
      <w:pPr>
        <w:spacing w:line="240" w:lineRule="auto" w:before="0"/>
        <w:rPr>
          <w:rFonts w:ascii="宋体" w:hAnsi="宋体" w:cs="宋体" w:eastAsia="宋体" w:hint="default"/>
          <w:sz w:val="29"/>
          <w:szCs w:val="29"/>
        </w:rPr>
      </w:pPr>
    </w:p>
    <w:p>
      <w:pPr>
        <w:pStyle w:val="Heading2"/>
        <w:spacing w:line="240" w:lineRule="auto" w:before="0"/>
        <w:ind w:left="678" w:right="0"/>
        <w:jc w:val="both"/>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6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678" w:right="0"/>
        <w:jc w:val="both"/>
        <w:rPr>
          <w:b w:val="0"/>
          <w:bCs w:val="0"/>
        </w:rPr>
      </w:pPr>
      <w:r>
        <w:rPr/>
        <w:t>三、</w:t>
      </w:r>
      <w:r>
        <w:rPr>
          <w:spacing w:val="-81"/>
        </w:rPr>
        <w:t> </w:t>
      </w:r>
      <w:r>
        <w:rPr/>
        <w:t>股东和实际控制人情况</w:t>
      </w:r>
      <w:r>
        <w:rPr>
          <w:b w:val="0"/>
          <w:bCs w:val="0"/>
        </w:rPr>
      </w:r>
    </w:p>
    <w:p>
      <w:pPr>
        <w:pStyle w:val="Heading2"/>
        <w:spacing w:line="240" w:lineRule="auto" w:before="97"/>
        <w:ind w:left="67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566"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48,084</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54,496</w:t>
            </w:r>
          </w:p>
        </w:tc>
      </w:tr>
    </w:tbl>
    <w:p>
      <w:pPr>
        <w:spacing w:after="0" w:line="240" w:lineRule="auto"/>
        <w:jc w:val="right"/>
        <w:rPr>
          <w:rFonts w:ascii="宋体" w:hAnsi="宋体" w:cs="宋体" w:eastAsia="宋体" w:hint="default"/>
          <w:sz w:val="21"/>
          <w:szCs w:val="21"/>
        </w:rPr>
        <w:sectPr>
          <w:footerReference w:type="default" r:id="rId28"/>
          <w:pgSz w:w="11910" w:h="16840"/>
          <w:pgMar w:footer="974" w:header="728" w:top="1120" w:bottom="1160" w:left="740" w:right="720"/>
        </w:sectPr>
      </w:pPr>
    </w:p>
    <w:p>
      <w:pPr>
        <w:spacing w:line="240" w:lineRule="auto" w:before="10"/>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footerReference w:type="default" r:id="rId29"/>
          <w:pgSz w:w="11910" w:h="16840"/>
          <w:pgMar w:footer="974" w:header="728" w:top="1120" w:bottom="1160" w:left="320" w:right="300"/>
          <w:pgNumType w:start="61"/>
        </w:sectPr>
      </w:pPr>
    </w:p>
    <w:p>
      <w:pPr>
        <w:pStyle w:val="Heading2"/>
        <w:spacing w:line="240" w:lineRule="auto"/>
        <w:ind w:left="109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702"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580" w:bottom="280" w:left="320" w:right="300"/>
          <w:cols w:num="2" w:equalWidth="0">
            <w:col w:w="8693" w:space="40"/>
            <w:col w:w="255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262"/>
        <w:gridCol w:w="1417"/>
        <w:gridCol w:w="888"/>
        <w:gridCol w:w="531"/>
        <w:gridCol w:w="991"/>
        <w:gridCol w:w="425"/>
        <w:gridCol w:w="569"/>
        <w:gridCol w:w="709"/>
        <w:gridCol w:w="566"/>
        <w:gridCol w:w="710"/>
        <w:gridCol w:w="992"/>
      </w:tblGrid>
      <w:tr>
        <w:trPr>
          <w:trHeight w:val="324" w:hRule="exact"/>
        </w:trPr>
        <w:tc>
          <w:tcPr>
            <w:tcW w:w="110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（全称）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419"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94" w:type="dxa"/>
            <w:gridSpan w:val="2"/>
            <w:vMerge w:val="restart"/>
            <w:tcBorders>
              <w:top w:val="single" w:sz="4" w:space="0" w:color="000000"/>
              <w:left w:val="single" w:sz="4" w:space="0" w:color="000000"/>
              <w:right w:val="single" w:sz="4" w:space="0" w:color="000000"/>
            </w:tcBorders>
          </w:tcPr>
          <w:p>
            <w:pPr>
              <w:pStyle w:val="TableParagraph"/>
              <w:spacing w:line="316" w:lineRule="auto" w:before="13"/>
              <w:ind w:left="129" w:right="132"/>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7" w:right="312"/>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34" w:hRule="exact"/>
        </w:trPr>
        <w:tc>
          <w:tcPr>
            <w:tcW w:w="326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9" w:type="dxa"/>
            <w:gridSpan w:val="2"/>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gridSpan w:val="2"/>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5" w:right="171"/>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2" w:type="dxa"/>
            <w:vMerge/>
            <w:tcBorders>
              <w:left w:val="single" w:sz="4" w:space="0" w:color="000000"/>
              <w:bottom w:val="single" w:sz="4" w:space="0" w:color="000000"/>
              <w:right w:val="single" w:sz="4" w:space="0" w:color="000000"/>
            </w:tcBorders>
          </w:tcPr>
          <w:p>
            <w:pP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-40,000,000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4" w:right="0"/>
              <w:jc w:val="left"/>
              <w:rPr>
                <w:rFonts w:ascii="宋体" w:hAnsi="宋体" w:cs="宋体" w:eastAsia="宋体" w:hint="default"/>
                <w:sz w:val="18"/>
                <w:szCs w:val="18"/>
              </w:rPr>
            </w:pPr>
            <w:r>
              <w:rPr>
                <w:rFonts w:ascii="宋体"/>
                <w:sz w:val="18"/>
              </w:rPr>
              <w:t>581,791,427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32.96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7"/>
              <w:jc w:val="left"/>
              <w:rPr>
                <w:rFonts w:ascii="宋体" w:hAnsi="宋体" w:cs="宋体" w:eastAsia="宋体" w:hint="default"/>
                <w:sz w:val="18"/>
                <w:szCs w:val="18"/>
              </w:rPr>
            </w:pPr>
            <w:r>
              <w:rPr>
                <w:rFonts w:ascii="宋体" w:hAnsi="宋体" w:cs="宋体" w:eastAsia="宋体" w:hint="default"/>
                <w:sz w:val="18"/>
                <w:szCs w:val="18"/>
              </w:rPr>
              <w:t>启东市华虹电子有限公司－非公开发 行</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年可交换公司债券质押专户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40,000,000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4" w:right="0"/>
              <w:jc w:val="left"/>
              <w:rPr>
                <w:rFonts w:ascii="宋体" w:hAnsi="宋体" w:cs="宋体" w:eastAsia="宋体" w:hint="default"/>
                <w:sz w:val="18"/>
                <w:szCs w:val="18"/>
              </w:rPr>
            </w:pPr>
            <w:r>
              <w:rPr>
                <w:rFonts w:ascii="宋体"/>
                <w:sz w:val="18"/>
              </w:rPr>
              <w:t>133,450,000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7.56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sz w:val="18"/>
              </w:rPr>
              <w:t>133,450,000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81,900,000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4.64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7"/>
              <w:jc w:val="left"/>
              <w:rPr>
                <w:rFonts w:ascii="宋体" w:hAnsi="宋体" w:cs="宋体" w:eastAsia="宋体" w:hint="default"/>
                <w:sz w:val="18"/>
                <w:szCs w:val="18"/>
              </w:rPr>
            </w:pPr>
            <w:r>
              <w:rPr>
                <w:rFonts w:ascii="宋体" w:hAnsi="宋体" w:cs="宋体" w:eastAsia="宋体" w:hint="default"/>
                <w:sz w:val="18"/>
                <w:szCs w:val="18"/>
              </w:rPr>
              <w:t>中国银行股份有限公司－上投摩根核 心成长股票型证券投资基金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2,478,930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65,744,459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3.72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中国长城资产管理股份有限公司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-400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46,258,658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2.62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7"/>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中国建设银行股份有限公司－汇添富 环保行业股票型证券投资基金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6,857,219</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32,857,250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中国华电集团资本控股有限公司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29,074,709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26,150,000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1.48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境内自然 人</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7"/>
              <w:jc w:val="left"/>
              <w:rPr>
                <w:rFonts w:ascii="宋体" w:hAnsi="宋体" w:cs="宋体" w:eastAsia="宋体" w:hint="default"/>
                <w:sz w:val="18"/>
                <w:szCs w:val="18"/>
              </w:rPr>
            </w:pPr>
            <w:r>
              <w:rPr>
                <w:rFonts w:ascii="宋体" w:hAnsi="宋体" w:cs="宋体" w:eastAsia="宋体" w:hint="default"/>
                <w:sz w:val="18"/>
                <w:szCs w:val="18"/>
              </w:rPr>
              <w:t>江苏林洋能源股份有限公司回购专用 证券账户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21,796,999</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21,796,999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1.23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18,198,216</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sz w:val="18"/>
              </w:rPr>
              <w:t>18,198,216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59"/>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322" w:hRule="exact"/>
        </w:trPr>
        <w:tc>
          <w:tcPr>
            <w:tcW w:w="110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2" w:hRule="exact"/>
        </w:trPr>
        <w:tc>
          <w:tcPr>
            <w:tcW w:w="5567" w:type="dxa"/>
            <w:gridSpan w:val="3"/>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47" w:type="dxa"/>
            <w:gridSpan w:val="3"/>
            <w:vMerge w:val="restart"/>
            <w:tcBorders>
              <w:top w:val="single" w:sz="4" w:space="0" w:color="000000"/>
              <w:left w:val="single" w:sz="4" w:space="0" w:color="000000"/>
              <w:right w:val="single" w:sz="4" w:space="0" w:color="000000"/>
            </w:tcBorders>
          </w:tcPr>
          <w:p>
            <w:pPr>
              <w:pStyle w:val="TableParagraph"/>
              <w:spacing w:line="316" w:lineRule="auto" w:before="13"/>
              <w:ind w:left="607" w:right="159" w:hanging="452"/>
              <w:jc w:val="left"/>
              <w:rPr>
                <w:rFonts w:ascii="宋体" w:hAnsi="宋体" w:cs="宋体" w:eastAsia="宋体" w:hint="default"/>
                <w:sz w:val="18"/>
                <w:szCs w:val="18"/>
              </w:rPr>
            </w:pPr>
            <w:r>
              <w:rPr>
                <w:rFonts w:ascii="宋体" w:hAnsi="宋体" w:cs="宋体" w:eastAsia="宋体" w:hint="default"/>
                <w:sz w:val="18"/>
                <w:szCs w:val="18"/>
              </w:rPr>
              <w:t>持有无限售条件流通 股的数量</w:t>
            </w:r>
          </w:p>
        </w:tc>
        <w:tc>
          <w:tcPr>
            <w:tcW w:w="35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38"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2" w:hRule="exact"/>
        </w:trPr>
        <w:tc>
          <w:tcPr>
            <w:tcW w:w="5567" w:type="dxa"/>
            <w:gridSpan w:val="3"/>
            <w:vMerge/>
            <w:tcBorders>
              <w:left w:val="single" w:sz="4" w:space="0" w:color="000000"/>
              <w:bottom w:val="single" w:sz="4" w:space="0" w:color="000000"/>
              <w:right w:val="single" w:sz="4" w:space="0" w:color="000000"/>
            </w:tcBorders>
          </w:tcPr>
          <w:p>
            <w:pPr/>
          </w:p>
        </w:tc>
        <w:tc>
          <w:tcPr>
            <w:tcW w:w="1947" w:type="dxa"/>
            <w:gridSpan w:val="3"/>
            <w:vMerge/>
            <w:tcBorders>
              <w:left w:val="single" w:sz="4" w:space="0" w:color="000000"/>
              <w:bottom w:val="single" w:sz="4" w:space="0" w:color="000000"/>
              <w:right w:val="single" w:sz="4" w:space="0" w:color="000000"/>
            </w:tcBorders>
          </w:tcPr>
          <w:p>
            <w:pP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2" w:right="0"/>
              <w:jc w:val="left"/>
              <w:rPr>
                <w:rFonts w:ascii="宋体" w:hAnsi="宋体" w:cs="宋体" w:eastAsia="宋体" w:hint="default"/>
                <w:sz w:val="18"/>
                <w:szCs w:val="18"/>
              </w:rPr>
            </w:pPr>
            <w:r>
              <w:rPr>
                <w:rFonts w:ascii="宋体"/>
                <w:sz w:val="18"/>
              </w:rPr>
              <w:t>581,791,427</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7" w:right="0"/>
              <w:jc w:val="left"/>
              <w:rPr>
                <w:rFonts w:ascii="宋体" w:hAnsi="宋体" w:cs="宋体" w:eastAsia="宋体" w:hint="default"/>
                <w:sz w:val="18"/>
                <w:szCs w:val="18"/>
              </w:rPr>
            </w:pPr>
            <w:r>
              <w:rPr>
                <w:rFonts w:ascii="宋体"/>
                <w:sz w:val="18"/>
              </w:rPr>
              <w:t>581,791,427</w:t>
            </w:r>
          </w:p>
        </w:tc>
      </w:tr>
      <w:tr>
        <w:trPr>
          <w:trHeight w:val="634"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9"/>
              <w:jc w:val="left"/>
              <w:rPr>
                <w:rFonts w:ascii="宋体" w:hAnsi="宋体" w:cs="宋体" w:eastAsia="宋体" w:hint="default"/>
                <w:sz w:val="18"/>
                <w:szCs w:val="18"/>
              </w:rPr>
            </w:pPr>
            <w:r>
              <w:rPr>
                <w:rFonts w:ascii="宋体" w:hAnsi="宋体" w:cs="宋体" w:eastAsia="宋体" w:hint="default"/>
                <w:sz w:val="18"/>
                <w:szCs w:val="18"/>
              </w:rPr>
              <w:t>启东市华虹电子有限公司－非公开发行</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年可交换公司债券质押 专户</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42" w:right="0"/>
              <w:jc w:val="left"/>
              <w:rPr>
                <w:rFonts w:ascii="宋体" w:hAnsi="宋体" w:cs="宋体" w:eastAsia="宋体" w:hint="default"/>
                <w:sz w:val="18"/>
                <w:szCs w:val="18"/>
              </w:rPr>
            </w:pPr>
            <w:r>
              <w:rPr>
                <w:rFonts w:ascii="宋体"/>
                <w:sz w:val="18"/>
              </w:rPr>
              <w:t>133,450,000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97" w:right="0"/>
              <w:jc w:val="left"/>
              <w:rPr>
                <w:rFonts w:ascii="宋体" w:hAnsi="宋体" w:cs="宋体" w:eastAsia="宋体" w:hint="default"/>
                <w:sz w:val="18"/>
                <w:szCs w:val="18"/>
              </w:rPr>
            </w:pPr>
            <w:r>
              <w:rPr>
                <w:rFonts w:ascii="宋体"/>
                <w:sz w:val="18"/>
              </w:rPr>
              <w:t>133,450,000</w:t>
            </w:r>
          </w:p>
        </w:tc>
      </w:tr>
      <w:tr>
        <w:trPr>
          <w:trHeight w:val="324"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3" w:right="0"/>
              <w:jc w:val="left"/>
              <w:rPr>
                <w:rFonts w:ascii="宋体" w:hAnsi="宋体" w:cs="宋体" w:eastAsia="宋体" w:hint="default"/>
                <w:sz w:val="18"/>
                <w:szCs w:val="18"/>
              </w:rPr>
            </w:pPr>
            <w:r>
              <w:rPr>
                <w:rFonts w:ascii="宋体"/>
                <w:sz w:val="18"/>
              </w:rPr>
              <w:t>81,900,000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8" w:right="0"/>
              <w:jc w:val="left"/>
              <w:rPr>
                <w:rFonts w:ascii="宋体" w:hAnsi="宋体" w:cs="宋体" w:eastAsia="宋体" w:hint="default"/>
                <w:sz w:val="18"/>
                <w:szCs w:val="18"/>
              </w:rPr>
            </w:pPr>
            <w:r>
              <w:rPr>
                <w:rFonts w:ascii="宋体"/>
                <w:sz w:val="18"/>
              </w:rPr>
              <w:t>81,900,000</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中国银行股份有限公司－上投摩根核心成长股票型证券投资基金</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sz w:val="18"/>
              </w:rPr>
              <w:t>65,744,459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宋体" w:hAnsi="宋体" w:cs="宋体" w:eastAsia="宋体" w:hint="default"/>
                <w:sz w:val="18"/>
                <w:szCs w:val="18"/>
              </w:rPr>
            </w:pPr>
            <w:r>
              <w:rPr>
                <w:rFonts w:ascii="宋体"/>
                <w:sz w:val="18"/>
              </w:rPr>
              <w:t>65,744,459</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中国长城资产管理股份有限公司</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sz w:val="18"/>
              </w:rPr>
              <w:t>46,258,658</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宋体" w:hAnsi="宋体" w:cs="宋体" w:eastAsia="宋体" w:hint="default"/>
                <w:sz w:val="18"/>
                <w:szCs w:val="18"/>
              </w:rPr>
            </w:pPr>
            <w:r>
              <w:rPr>
                <w:rFonts w:ascii="宋体"/>
                <w:sz w:val="18"/>
              </w:rPr>
              <w:t>46,258,658</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中国建设银行股份有限公司－汇添富环保行业股票型证券投资基金</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sz w:val="18"/>
              </w:rPr>
              <w:t>32,857,250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宋体" w:hAnsi="宋体" w:cs="宋体" w:eastAsia="宋体" w:hint="default"/>
                <w:sz w:val="18"/>
                <w:szCs w:val="18"/>
              </w:rPr>
            </w:pPr>
            <w:r>
              <w:rPr>
                <w:rFonts w:ascii="宋体"/>
                <w:sz w:val="18"/>
              </w:rPr>
              <w:t>32,857,250</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中国华电集团资本控股有限公司</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sz w:val="18"/>
              </w:rPr>
              <w:t>29,074,709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宋体" w:hAnsi="宋体" w:cs="宋体" w:eastAsia="宋体" w:hint="default"/>
                <w:sz w:val="18"/>
                <w:szCs w:val="18"/>
              </w:rPr>
            </w:pPr>
            <w:r>
              <w:rPr>
                <w:rFonts w:ascii="宋体"/>
                <w:sz w:val="18"/>
              </w:rPr>
              <w:t>29,074,709</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sz w:val="18"/>
              </w:rPr>
              <w:t>26,150,000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宋体" w:hAnsi="宋体" w:cs="宋体" w:eastAsia="宋体" w:hint="default"/>
                <w:sz w:val="18"/>
                <w:szCs w:val="18"/>
              </w:rPr>
            </w:pPr>
            <w:r>
              <w:rPr>
                <w:rFonts w:ascii="宋体"/>
                <w:sz w:val="18"/>
              </w:rPr>
              <w:t>26,150,000</w:t>
            </w:r>
          </w:p>
        </w:tc>
      </w:tr>
      <w:tr>
        <w:trPr>
          <w:trHeight w:val="324"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江苏林洋能源股份有限公司回购专用证券账户</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3" w:right="0"/>
              <w:jc w:val="left"/>
              <w:rPr>
                <w:rFonts w:ascii="宋体" w:hAnsi="宋体" w:cs="宋体" w:eastAsia="宋体" w:hint="default"/>
                <w:sz w:val="18"/>
                <w:szCs w:val="18"/>
              </w:rPr>
            </w:pPr>
            <w:r>
              <w:rPr>
                <w:rFonts w:ascii="宋体"/>
                <w:sz w:val="18"/>
              </w:rPr>
              <w:t>21,796,999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8" w:right="0"/>
              <w:jc w:val="left"/>
              <w:rPr>
                <w:rFonts w:ascii="宋体" w:hAnsi="宋体" w:cs="宋体" w:eastAsia="宋体" w:hint="default"/>
                <w:sz w:val="18"/>
                <w:szCs w:val="18"/>
              </w:rPr>
            </w:pPr>
            <w:r>
              <w:rPr>
                <w:rFonts w:ascii="宋体"/>
                <w:sz w:val="18"/>
              </w:rPr>
              <w:t>21,796,999</w:t>
            </w:r>
          </w:p>
        </w:tc>
      </w:tr>
      <w:tr>
        <w:trPr>
          <w:trHeight w:val="322" w:hRule="exact"/>
        </w:trPr>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1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sz w:val="18"/>
              </w:rPr>
              <w:t>18,198,216</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宋体" w:hAnsi="宋体" w:cs="宋体" w:eastAsia="宋体" w:hint="default"/>
                <w:sz w:val="18"/>
                <w:szCs w:val="18"/>
              </w:rPr>
            </w:pPr>
            <w:r>
              <w:rPr>
                <w:rFonts w:ascii="宋体"/>
                <w:sz w:val="18"/>
              </w:rPr>
              <w:t>18,198,216</w:t>
            </w:r>
          </w:p>
        </w:tc>
      </w:tr>
    </w:tbl>
    <w:p>
      <w:pPr>
        <w:spacing w:after="0" w:line="240" w:lineRule="auto"/>
        <w:jc w:val="left"/>
        <w:rPr>
          <w:rFonts w:ascii="宋体" w:hAnsi="宋体" w:cs="宋体" w:eastAsia="宋体" w:hint="default"/>
          <w:sz w:val="18"/>
          <w:szCs w:val="18"/>
        </w:rPr>
        <w:sectPr>
          <w:type w:val="continuous"/>
          <w:pgSz w:w="11910" w:h="16840"/>
          <w:pgMar w:top="1580" w:bottom="280" w:left="3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567"/>
        <w:gridCol w:w="5493"/>
      </w:tblGrid>
      <w:tr>
        <w:trPr>
          <w:trHeight w:val="1572" w:hRule="exact"/>
        </w:trPr>
        <w:tc>
          <w:tcPr>
            <w:tcW w:w="5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4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60"/>
              <w:jc w:val="both"/>
              <w:rPr>
                <w:rFonts w:ascii="宋体" w:hAnsi="宋体" w:cs="宋体" w:eastAsia="宋体" w:hint="default"/>
                <w:sz w:val="18"/>
                <w:szCs w:val="18"/>
              </w:rPr>
            </w:pPr>
            <w:r>
              <w:rPr>
                <w:rFonts w:ascii="宋体" w:hAnsi="宋体" w:cs="宋体" w:eastAsia="宋体" w:hint="default"/>
                <w:sz w:val="18"/>
                <w:szCs w:val="18"/>
              </w:rPr>
              <w:t>启东市华虹电子有限公司与南通华强投资有限公司的实际控制人均 为陆永华先生。其中华虹电子、华强投资、虞海娟与其他股东间不 存在关联关系。本公司未知上述其他股东之间是否存在关联关系， 也未知上述其他股东是否属于《上市公司股东持股变动信息披露管 理办法》规定的一致行动人。</w:t>
            </w:r>
          </w:p>
        </w:tc>
      </w:tr>
      <w:tr>
        <w:trPr>
          <w:trHeight w:val="322" w:hRule="exact"/>
        </w:trPr>
        <w:tc>
          <w:tcPr>
            <w:tcW w:w="5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表决权恢复的优先股股东及持股数量的说明</w:t>
            </w:r>
          </w:p>
        </w:tc>
        <w:tc>
          <w:tcPr>
            <w:tcW w:w="54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28" w:footer="974" w:top="1120" w:bottom="1160" w:left="320" w:right="300"/>
        </w:sectPr>
      </w:pPr>
    </w:p>
    <w:p>
      <w:pPr>
        <w:pStyle w:val="BodyText"/>
        <w:spacing w:line="240" w:lineRule="auto" w:before="36"/>
        <w:ind w:left="1098" w:right="0"/>
        <w:jc w:val="left"/>
      </w:pPr>
      <w:r>
        <w:rPr>
          <w:spacing w:val="-2"/>
        </w:rPr>
        <w:t>前十名有限售条件股东持股数量及限售条件</w:t>
      </w:r>
    </w:p>
    <w:p>
      <w:pPr>
        <w:pStyle w:val="BodyText"/>
        <w:spacing w:line="240" w:lineRule="auto" w:before="37"/>
        <w:ind w:left="109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081" w:right="1094"/>
        <w:jc w:val="center"/>
      </w:pPr>
      <w:r>
        <w:rPr/>
        <w:t>单位：股</w:t>
      </w:r>
    </w:p>
    <w:p>
      <w:pPr>
        <w:spacing w:after="0" w:line="240" w:lineRule="auto"/>
        <w:jc w:val="center"/>
        <w:sectPr>
          <w:type w:val="continuous"/>
          <w:pgSz w:w="11910" w:h="16840"/>
          <w:pgMar w:top="1580" w:bottom="280" w:left="320" w:right="300"/>
          <w:cols w:num="2" w:equalWidth="0">
            <w:col w:w="5094" w:space="3138"/>
            <w:col w:w="3058"/>
          </w:cols>
        </w:sectPr>
      </w:pPr>
    </w:p>
    <w:p>
      <w:pPr>
        <w:spacing w:line="240" w:lineRule="auto" w:before="10"/>
        <w:rPr>
          <w:rFonts w:ascii="宋体" w:hAnsi="宋体" w:cs="宋体" w:eastAsia="宋体" w:hint="default"/>
          <w:sz w:val="3"/>
          <w:szCs w:val="3"/>
        </w:rPr>
      </w:pPr>
    </w:p>
    <w:tbl>
      <w:tblPr>
        <w:tblW w:w="0" w:type="auto"/>
        <w:jc w:val="left"/>
        <w:tblInd w:w="986" w:type="dxa"/>
        <w:tblLayout w:type="fixed"/>
        <w:tblCellMar>
          <w:top w:w="0" w:type="dxa"/>
          <w:left w:w="0" w:type="dxa"/>
          <w:bottom w:w="0" w:type="dxa"/>
          <w:right w:w="0" w:type="dxa"/>
        </w:tblCellMar>
        <w:tblLook w:val="01E0"/>
      </w:tblPr>
      <w:tblGrid>
        <w:gridCol w:w="667"/>
        <w:gridCol w:w="1993"/>
        <w:gridCol w:w="1418"/>
        <w:gridCol w:w="2127"/>
        <w:gridCol w:w="1417"/>
        <w:gridCol w:w="1985"/>
      </w:tblGrid>
      <w:tr>
        <w:trPr>
          <w:trHeight w:val="322"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63" w:right="163"/>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1" w:right="161" w:hanging="89"/>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1985" w:type="dxa"/>
            <w:vMerge/>
            <w:tcBorders>
              <w:left w:val="single" w:sz="4" w:space="0" w:color="000000"/>
              <w:bottom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1</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裴骏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88" w:right="0"/>
              <w:jc w:val="left"/>
              <w:rPr>
                <w:rFonts w:ascii="宋体" w:hAnsi="宋体" w:cs="宋体" w:eastAsia="宋体" w:hint="default"/>
                <w:sz w:val="18"/>
                <w:szCs w:val="18"/>
              </w:rPr>
            </w:pPr>
            <w:r>
              <w:rPr>
                <w:rFonts w:ascii="宋体"/>
                <w:sz w:val="18"/>
              </w:rPr>
              <w:t>480,000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100,000</w:t>
            </w:r>
          </w:p>
        </w:tc>
        <w:tc>
          <w:tcPr>
            <w:tcW w:w="1985" w:type="dxa"/>
            <w:vMerge w:val="restart"/>
            <w:tcBorders>
              <w:top w:val="single" w:sz="4" w:space="0" w:color="000000"/>
              <w:left w:val="single" w:sz="4" w:space="0" w:color="000000"/>
              <w:right w:val="single" w:sz="4" w:space="0" w:color="000000"/>
            </w:tcBorders>
          </w:tcPr>
          <w:p>
            <w:pPr>
              <w:pStyle w:val="TableParagraph"/>
              <w:spacing w:line="316" w:lineRule="auto" w:before="8"/>
              <w:ind w:left="103" w:right="71"/>
              <w:jc w:val="left"/>
              <w:rPr>
                <w:rFonts w:ascii="宋体" w:hAnsi="宋体" w:cs="宋体" w:eastAsia="宋体" w:hint="default"/>
                <w:sz w:val="18"/>
                <w:szCs w:val="18"/>
              </w:rPr>
            </w:pPr>
            <w:r>
              <w:rPr>
                <w:rFonts w:ascii="宋体" w:hAnsi="宋体" w:cs="宋体" w:eastAsia="宋体" w:hint="default"/>
                <w:sz w:val="18"/>
                <w:szCs w:val="18"/>
              </w:rPr>
              <w:t>公司第二期限制性股 票激励计划的首次授 予日为</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 </w:t>
            </w:r>
            <w:r>
              <w:rPr>
                <w:rFonts w:ascii="宋体" w:hAnsi="宋体" w:cs="宋体" w:eastAsia="宋体" w:hint="default"/>
                <w:spacing w:val="-4"/>
                <w:sz w:val="18"/>
                <w:szCs w:val="18"/>
              </w:rPr>
              <w:t>日，若达到激励计划规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定的解锁条件，激励对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象可分三次申请解锁， 分别自授予日起的</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pacing w:val="-7"/>
                <w:sz w:val="18"/>
                <w:szCs w:val="18"/>
              </w:rPr>
              <w:t>个月后、</w:t>
            </w:r>
            <w:r>
              <w:rPr>
                <w:rFonts w:ascii="宋体" w:hAnsi="宋体" w:cs="宋体" w:eastAsia="宋体" w:hint="default"/>
                <w:spacing w:val="-7"/>
                <w:sz w:val="18"/>
                <w:szCs w:val="18"/>
              </w:rPr>
              <w:t>24</w:t>
            </w:r>
            <w:r>
              <w:rPr>
                <w:rFonts w:ascii="宋体" w:hAnsi="宋体" w:cs="宋体" w:eastAsia="宋体" w:hint="default"/>
                <w:spacing w:val="-41"/>
                <w:sz w:val="18"/>
                <w:szCs w:val="18"/>
              </w:rPr>
              <w:t> </w:t>
            </w:r>
            <w:r>
              <w:rPr>
                <w:rFonts w:ascii="宋体" w:hAnsi="宋体" w:cs="宋体" w:eastAsia="宋体" w:hint="default"/>
                <w:spacing w:val="-7"/>
                <w:sz w:val="18"/>
                <w:szCs w:val="18"/>
              </w:rPr>
              <w:t>个月后、</w:t>
            </w:r>
            <w:r>
              <w:rPr>
                <w:rFonts w:ascii="宋体" w:hAnsi="宋体" w:cs="宋体" w:eastAsia="宋体" w:hint="default"/>
                <w:spacing w:val="-7"/>
                <w:sz w:val="18"/>
                <w:szCs w:val="18"/>
              </w:rPr>
              <w:t>36</w:t>
            </w:r>
            <w:r>
              <w:rPr>
                <w:rFonts w:ascii="宋体" w:hAnsi="宋体" w:cs="宋体" w:eastAsia="宋体" w:hint="default"/>
                <w:spacing w:val="-87"/>
                <w:sz w:val="18"/>
                <w:szCs w:val="18"/>
              </w:rPr>
              <w:t> </w:t>
            </w:r>
            <w:r>
              <w:rPr>
                <w:rFonts w:ascii="宋体" w:hAnsi="宋体" w:cs="宋体" w:eastAsia="宋体" w:hint="default"/>
                <w:sz w:val="18"/>
                <w:szCs w:val="18"/>
              </w:rPr>
              <w:t>个月后各申请解锁授 予限制性股票总量的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；第二 期限制性股票激励计 划预留部分的授予日</w:t>
            </w:r>
          </w:p>
          <w:p>
            <w:pPr>
              <w:pStyle w:val="TableParagraph"/>
              <w:spacing w:line="316" w:lineRule="auto" w:before="19"/>
              <w:ind w:left="103" w:right="11"/>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21</w:t>
            </w:r>
            <w:r>
              <w:rPr>
                <w:rFonts w:ascii="宋体" w:hAnsi="宋体" w:cs="宋体" w:eastAsia="宋体" w:hint="default"/>
                <w:spacing w:val="-50"/>
                <w:sz w:val="18"/>
                <w:szCs w:val="18"/>
              </w:rPr>
              <w:t> </w:t>
            </w:r>
            <w:r>
              <w:rPr>
                <w:rFonts w:ascii="宋体" w:hAnsi="宋体" w:cs="宋体" w:eastAsia="宋体" w:hint="default"/>
                <w:sz w:val="18"/>
                <w:szCs w:val="18"/>
              </w:rPr>
              <w:t>日， 若达到激励计划规定 </w:t>
            </w:r>
            <w:r>
              <w:rPr>
                <w:rFonts w:ascii="宋体" w:hAnsi="宋体" w:cs="宋体" w:eastAsia="宋体" w:hint="default"/>
                <w:spacing w:val="-4"/>
                <w:sz w:val="18"/>
                <w:szCs w:val="18"/>
              </w:rPr>
              <w:t>的解锁条件，激励对象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可分两次申请解锁，分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别自授予日起的</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 </w:t>
            </w:r>
            <w:r>
              <w:rPr>
                <w:rFonts w:ascii="宋体" w:hAnsi="宋体" w:cs="宋体" w:eastAsia="宋体" w:hint="default"/>
                <w:spacing w:val="-16"/>
                <w:sz w:val="18"/>
                <w:szCs w:val="18"/>
              </w:rPr>
              <w:t>月后、</w:t>
            </w:r>
            <w:r>
              <w:rPr>
                <w:rFonts w:ascii="宋体" w:hAnsi="宋体" w:cs="宋体" w:eastAsia="宋体" w:hint="default"/>
                <w:spacing w:val="-16"/>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个月后各申请</w:t>
            </w:r>
            <w:r>
              <w:rPr>
                <w:rFonts w:ascii="宋体" w:hAnsi="宋体" w:cs="宋体" w:eastAsia="宋体" w:hint="default"/>
                <w:spacing w:val="-88"/>
                <w:sz w:val="18"/>
                <w:szCs w:val="18"/>
              </w:rPr>
              <w:t> </w:t>
            </w:r>
            <w:r>
              <w:rPr>
                <w:rFonts w:ascii="宋体" w:hAnsi="宋体" w:cs="宋体" w:eastAsia="宋体" w:hint="default"/>
                <w:sz w:val="18"/>
                <w:szCs w:val="18"/>
              </w:rPr>
              <w:t>解锁授予限制性股票 总量的</w:t>
            </w:r>
            <w:r>
              <w:rPr>
                <w:rFonts w:ascii="宋体" w:hAnsi="宋体" w:cs="宋体" w:eastAsia="宋体" w:hint="default"/>
                <w:spacing w:val="-45"/>
                <w:sz w:val="18"/>
                <w:szCs w:val="18"/>
              </w:rPr>
              <w:t> </w:t>
            </w:r>
            <w:r>
              <w:rPr>
                <w:rFonts w:ascii="宋体" w:hAnsi="宋体" w:cs="宋体" w:eastAsia="宋体" w:hint="default"/>
                <w:spacing w:val="-8"/>
                <w:sz w:val="18"/>
                <w:szCs w:val="18"/>
              </w:rPr>
              <w:t>50%</w:t>
            </w:r>
            <w:r>
              <w:rPr>
                <w:rFonts w:ascii="宋体" w:hAnsi="宋体" w:cs="宋体" w:eastAsia="宋体" w:hint="default"/>
                <w:spacing w:val="-8"/>
                <w:sz w:val="18"/>
                <w:szCs w:val="18"/>
              </w:rPr>
              <w:t>、</w:t>
            </w:r>
            <w:r>
              <w:rPr>
                <w:rFonts w:ascii="宋体" w:hAnsi="宋体" w:cs="宋体" w:eastAsia="宋体" w:hint="default"/>
                <w:spacing w:val="-8"/>
                <w:sz w:val="18"/>
                <w:szCs w:val="18"/>
              </w:rPr>
              <w:t>50%</w:t>
            </w:r>
            <w:r>
              <w:rPr>
                <w:rFonts w:ascii="宋体" w:hAnsi="宋体" w:cs="宋体" w:eastAsia="宋体" w:hint="default"/>
                <w:spacing w:val="-8"/>
                <w:sz w:val="18"/>
                <w:szCs w:val="18"/>
              </w:rPr>
              <w:t>。公司</w:t>
            </w:r>
            <w:r>
              <w:rPr>
                <w:rFonts w:ascii="宋体" w:hAnsi="宋体" w:cs="宋体" w:eastAsia="宋体" w:hint="default"/>
                <w:sz w:val="18"/>
                <w:szCs w:val="18"/>
              </w:rPr>
              <w:t> </w:t>
            </w:r>
            <w:r>
              <w:rPr>
                <w:rFonts w:ascii="宋体" w:hAnsi="宋体" w:cs="宋体" w:eastAsia="宋体" w:hint="default"/>
                <w:spacing w:val="-4"/>
                <w:sz w:val="18"/>
                <w:szCs w:val="18"/>
              </w:rPr>
              <w:t>董事、高级管理人员所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持股份的转让应当符 </w:t>
            </w:r>
            <w:r>
              <w:rPr>
                <w:rFonts w:ascii="宋体" w:hAnsi="宋体" w:cs="宋体" w:eastAsia="宋体" w:hint="default"/>
                <w:spacing w:val="-3"/>
                <w:sz w:val="18"/>
                <w:szCs w:val="18"/>
              </w:rPr>
              <w:t>合《公司法》和《证券</w:t>
            </w:r>
            <w:r>
              <w:rPr>
                <w:rFonts w:ascii="宋体" w:hAnsi="宋体" w:cs="宋体" w:eastAsia="宋体" w:hint="default"/>
                <w:sz w:val="18"/>
                <w:szCs w:val="18"/>
              </w:rPr>
              <w:t> </w:t>
            </w:r>
            <w:r>
              <w:rPr>
                <w:rFonts w:ascii="宋体" w:hAnsi="宋体" w:cs="宋体" w:eastAsia="宋体" w:hint="default"/>
                <w:spacing w:val="-4"/>
                <w:sz w:val="18"/>
                <w:szCs w:val="18"/>
              </w:rPr>
              <w:t>法》等法律法规和规范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性文件以及《公司章 程》的相关规定。</w:t>
            </w:r>
          </w:p>
        </w:tc>
      </w:tr>
      <w:tr>
        <w:trPr>
          <w:trHeight w:val="355" w:hRule="exact"/>
        </w:trPr>
        <w:tc>
          <w:tcPr>
            <w:tcW w:w="667" w:type="dxa"/>
            <w:vMerge/>
            <w:tcBorders>
              <w:left w:val="single" w:sz="4" w:space="0" w:color="000000"/>
              <w:right w:val="single" w:sz="4" w:space="0" w:color="000000"/>
            </w:tcBorders>
          </w:tcPr>
          <w:p>
            <w:pPr/>
          </w:p>
        </w:tc>
        <w:tc>
          <w:tcPr>
            <w:tcW w:w="1993"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方壮志</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350,000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3</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朱德省</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88" w:right="0"/>
              <w:jc w:val="left"/>
              <w:rPr>
                <w:rFonts w:ascii="宋体" w:hAnsi="宋体" w:cs="宋体" w:eastAsia="宋体" w:hint="default"/>
                <w:sz w:val="18"/>
                <w:szCs w:val="18"/>
              </w:rPr>
            </w:pPr>
            <w:r>
              <w:rPr>
                <w:rFonts w:ascii="宋体"/>
                <w:sz w:val="18"/>
              </w:rPr>
              <w:t>295,000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25,000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right w:val="single" w:sz="4" w:space="0" w:color="000000"/>
            </w:tcBorders>
          </w:tcPr>
          <w:p>
            <w:pPr/>
          </w:p>
        </w:tc>
        <w:tc>
          <w:tcPr>
            <w:tcW w:w="1993"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140,000</w:t>
            </w:r>
          </w:p>
        </w:tc>
        <w:tc>
          <w:tcPr>
            <w:tcW w:w="1985" w:type="dxa"/>
            <w:vMerge/>
            <w:tcBorders>
              <w:left w:val="single" w:sz="4" w:space="0" w:color="000000"/>
              <w:right w:val="single" w:sz="4" w:space="0" w:color="000000"/>
            </w:tcBorders>
          </w:tcPr>
          <w:p>
            <w:pPr/>
          </w:p>
        </w:tc>
      </w:tr>
      <w:tr>
        <w:trPr>
          <w:trHeight w:val="356"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3"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陆云海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280,000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陆寒熹</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245,000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陆健</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245,000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7</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崔东旭</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88" w:right="0"/>
              <w:jc w:val="left"/>
              <w:rPr>
                <w:rFonts w:ascii="宋体" w:hAnsi="宋体" w:cs="宋体" w:eastAsia="宋体" w:hint="default"/>
                <w:sz w:val="18"/>
                <w:szCs w:val="18"/>
              </w:rPr>
            </w:pPr>
            <w:r>
              <w:rPr>
                <w:rFonts w:ascii="宋体"/>
                <w:sz w:val="18"/>
              </w:rPr>
              <w:t>240,000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right w:val="single" w:sz="4" w:space="0" w:color="000000"/>
            </w:tcBorders>
          </w:tcPr>
          <w:p>
            <w:pPr/>
          </w:p>
        </w:tc>
        <w:tc>
          <w:tcPr>
            <w:tcW w:w="1993"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80,000</w:t>
            </w:r>
          </w:p>
        </w:tc>
        <w:tc>
          <w:tcPr>
            <w:tcW w:w="1985" w:type="dxa"/>
            <w:vMerge/>
            <w:tcBorders>
              <w:left w:val="single" w:sz="4" w:space="0" w:color="000000"/>
              <w:right w:val="single" w:sz="4" w:space="0" w:color="000000"/>
            </w:tcBorders>
          </w:tcPr>
          <w:p>
            <w:pPr/>
          </w:p>
        </w:tc>
      </w:tr>
      <w:tr>
        <w:trPr>
          <w:trHeight w:val="356"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林少武</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210,000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120,000</w:t>
            </w:r>
          </w:p>
        </w:tc>
        <w:tc>
          <w:tcPr>
            <w:tcW w:w="1985" w:type="dxa"/>
            <w:vMerge/>
            <w:tcBorders>
              <w:left w:val="single" w:sz="4" w:space="0" w:color="000000"/>
              <w:right w:val="single" w:sz="4" w:space="0" w:color="000000"/>
            </w:tcBorders>
          </w:tcPr>
          <w:p>
            <w:pPr/>
          </w:p>
        </w:tc>
      </w:tr>
      <w:tr>
        <w:trPr>
          <w:trHeight w:val="355"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施卫兵</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sz w:val="18"/>
              </w:rPr>
              <w:t>210,000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120,000</w:t>
            </w:r>
          </w:p>
        </w:tc>
        <w:tc>
          <w:tcPr>
            <w:tcW w:w="1985" w:type="dxa"/>
            <w:vMerge/>
            <w:tcBorders>
              <w:left w:val="single" w:sz="4" w:space="0" w:color="000000"/>
              <w:right w:val="single" w:sz="4" w:space="0" w:color="000000"/>
            </w:tcBorders>
          </w:tcPr>
          <w:p>
            <w:pPr/>
          </w:p>
        </w:tc>
      </w:tr>
      <w:tr>
        <w:trPr>
          <w:trHeight w:val="353"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right w:val="single" w:sz="4" w:space="0" w:color="000000"/>
            </w:tcBorders>
          </w:tcPr>
          <w:p>
            <w:pPr/>
          </w:p>
        </w:tc>
      </w:tr>
      <w:tr>
        <w:trPr>
          <w:trHeight w:val="355" w:hRule="exact"/>
        </w:trPr>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10</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陆永健</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88" w:right="0"/>
              <w:jc w:val="left"/>
              <w:rPr>
                <w:rFonts w:ascii="宋体" w:hAnsi="宋体" w:cs="宋体" w:eastAsia="宋体" w:hint="default"/>
                <w:sz w:val="18"/>
                <w:szCs w:val="18"/>
              </w:rPr>
            </w:pPr>
            <w:r>
              <w:rPr>
                <w:rFonts w:ascii="宋体"/>
                <w:sz w:val="18"/>
              </w:rPr>
              <w:t>210,000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120,000</w:t>
            </w:r>
          </w:p>
        </w:tc>
        <w:tc>
          <w:tcPr>
            <w:tcW w:w="1985" w:type="dxa"/>
            <w:vMerge/>
            <w:tcBorders>
              <w:left w:val="single" w:sz="4" w:space="0" w:color="000000"/>
              <w:right w:val="single" w:sz="4" w:space="0" w:color="000000"/>
            </w:tcBorders>
          </w:tcPr>
          <w:p>
            <w:pPr/>
          </w:p>
        </w:tc>
      </w:tr>
      <w:tr>
        <w:trPr>
          <w:trHeight w:val="624" w:hRule="exact"/>
        </w:trPr>
        <w:tc>
          <w:tcPr>
            <w:tcW w:w="667" w:type="dxa"/>
            <w:vMerge/>
            <w:tcBorders>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hAnsi="宋体" w:cs="宋体" w:eastAsia="宋体" w:hint="default"/>
                <w:sz w:val="18"/>
                <w:szCs w:val="18"/>
              </w:rPr>
              <w:t>回购注销</w:t>
            </w:r>
          </w:p>
        </w:tc>
        <w:tc>
          <w:tcPr>
            <w:tcW w:w="1985" w:type="dxa"/>
            <w:vMerge/>
            <w:tcBorders>
              <w:left w:val="single" w:sz="4" w:space="0" w:color="000000"/>
              <w:bottom w:val="single" w:sz="4" w:space="0" w:color="000000"/>
              <w:right w:val="single" w:sz="4" w:space="0" w:color="000000"/>
            </w:tcBorders>
          </w:tcPr>
          <w:p>
            <w:pPr/>
          </w:p>
        </w:tc>
      </w:tr>
      <w:tr>
        <w:trPr>
          <w:trHeight w:val="636" w:hRule="exact"/>
        </w:trPr>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6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上述前十名有限售条件股东均为公司第二期股权激励计划的部分激励对象。</w:t>
            </w:r>
          </w:p>
        </w:tc>
      </w:tr>
    </w:tbl>
    <w:p>
      <w:pPr>
        <w:spacing w:after="0" w:line="240" w:lineRule="auto"/>
        <w:jc w:val="left"/>
        <w:rPr>
          <w:rFonts w:ascii="宋体" w:hAnsi="宋体" w:cs="宋体" w:eastAsia="宋体" w:hint="default"/>
          <w:sz w:val="18"/>
          <w:szCs w:val="18"/>
        </w:rPr>
        <w:sectPr>
          <w:type w:val="continuous"/>
          <w:pgSz w:w="11910" w:h="16840"/>
          <w:pgMar w:top="1580" w:bottom="280" w:left="320" w:right="300"/>
        </w:sectPr>
      </w:pPr>
    </w:p>
    <w:p>
      <w:pPr>
        <w:spacing w:line="240" w:lineRule="auto" w:before="9"/>
        <w:rPr>
          <w:rFonts w:ascii="宋体" w:hAnsi="宋体" w:cs="宋体" w:eastAsia="宋体" w:hint="default"/>
          <w:sz w:val="27"/>
          <w:szCs w:val="27"/>
        </w:rPr>
      </w:pPr>
    </w:p>
    <w:p>
      <w:pPr>
        <w:spacing w:line="316" w:lineRule="auto" w:before="44"/>
        <w:ind w:left="218" w:right="101" w:firstLine="0"/>
        <w:jc w:val="left"/>
        <w:rPr>
          <w:rFonts w:ascii="宋体" w:hAnsi="宋体" w:cs="宋体" w:eastAsia="宋体" w:hint="default"/>
          <w:sz w:val="18"/>
          <w:szCs w:val="18"/>
        </w:rPr>
      </w:pPr>
      <w:r>
        <w:rPr>
          <w:rFonts w:ascii="宋体" w:hAnsi="宋体" w:cs="宋体" w:eastAsia="宋体" w:hint="default"/>
          <w:spacing w:val="-4"/>
          <w:sz w:val="18"/>
          <w:szCs w:val="18"/>
        </w:rPr>
        <w:t>注：因</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年度公司层面考核结果未能达到规定的业绩考核指标，第二次股权激励计划首次授予限制性股票第二次 解锁条件和预留授予限制性股票第一次解锁条件未成就，故未达解锁条件的限制性股票将由公司回购注销。</w:t>
      </w:r>
    </w:p>
    <w:p>
      <w:pPr>
        <w:spacing w:line="240" w:lineRule="auto" w:before="0"/>
        <w:rPr>
          <w:rFonts w:ascii="宋体" w:hAnsi="宋体" w:cs="宋体" w:eastAsia="宋体" w:hint="default"/>
          <w:sz w:val="18"/>
          <w:szCs w:val="18"/>
        </w:rPr>
      </w:pPr>
    </w:p>
    <w:p>
      <w:pPr>
        <w:pStyle w:val="Heading2"/>
        <w:tabs>
          <w:tab w:pos="785" w:val="left" w:leader="none"/>
        </w:tabs>
        <w:spacing w:line="240" w:lineRule="auto" w:before="134"/>
        <w:ind w:right="258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70"/>
        <w:ind w:right="258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t>四、</w:t>
      </w:r>
      <w:r>
        <w:rPr>
          <w:spacing w:val="-79"/>
        </w:rPr>
        <w:t> </w:t>
      </w:r>
      <w:r>
        <w:rPr/>
        <w:t>控股股东及实际控制人情况</w:t>
      </w:r>
      <w:r>
        <w:rPr>
          <w:b w:val="0"/>
          <w:bCs w:val="0"/>
        </w:rPr>
      </w:r>
    </w:p>
    <w:p>
      <w:pPr>
        <w:pStyle w:val="Heading2"/>
        <w:tabs>
          <w:tab w:pos="638" w:val="left" w:leader="none"/>
        </w:tabs>
        <w:spacing w:line="295" w:lineRule="auto" w:before="97"/>
        <w:ind w:right="749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right="258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638" w:val="left" w:leader="none"/>
        </w:tabs>
        <w:spacing w:line="240" w:lineRule="auto"/>
        <w:ind w:right="258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right="2585"/>
        <w:jc w:val="left"/>
      </w:pPr>
      <w:r>
        <w:rPr/>
        <w:t>□适用 √不适用</w:t>
      </w:r>
    </w:p>
    <w:p>
      <w:pPr>
        <w:spacing w:line="240" w:lineRule="auto" w:before="0"/>
        <w:rPr>
          <w:rFonts w:ascii="宋体" w:hAnsi="宋体" w:cs="宋体" w:eastAsia="宋体" w:hint="default"/>
          <w:sz w:val="20"/>
          <w:szCs w:val="20"/>
        </w:rPr>
      </w:pPr>
    </w:p>
    <w:p>
      <w:pPr>
        <w:pStyle w:val="Heading2"/>
        <w:tabs>
          <w:tab w:pos="638" w:val="left" w:leader="none"/>
        </w:tabs>
        <w:spacing w:line="240" w:lineRule="auto" w:before="147"/>
        <w:ind w:right="258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638" w:val="left" w:leader="none"/>
        </w:tabs>
        <w:spacing w:line="240" w:lineRule="auto" w:before="147"/>
        <w:ind w:right="258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638" w:val="left" w:leader="none"/>
        </w:tabs>
        <w:spacing w:line="240" w:lineRule="auto" w:before="147"/>
        <w:ind w:right="258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6"/>
        <w:rPr>
          <w:rFonts w:ascii="宋体" w:hAnsi="宋体" w:cs="宋体" w:eastAsia="宋体" w:hint="default"/>
          <w:sz w:val="10"/>
          <w:szCs w:val="10"/>
        </w:rPr>
      </w:pPr>
    </w:p>
    <w:p>
      <w:pPr>
        <w:spacing w:line="2933" w:lineRule="exact"/>
        <w:ind w:left="1737"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821587" cy="1862804"/>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30" cstate="print"/>
                    <a:stretch>
                      <a:fillRect/>
                    </a:stretch>
                  </pic:blipFill>
                  <pic:spPr>
                    <a:xfrm>
                      <a:off x="0" y="0"/>
                      <a:ext cx="3821587" cy="1862804"/>
                    </a:xfrm>
                    <a:prstGeom prst="rect">
                      <a:avLst/>
                    </a:prstGeom>
                  </pic:spPr>
                </pic:pic>
              </a:graphicData>
            </a:graphic>
          </wp:inline>
        </w:drawing>
      </w:r>
      <w:r>
        <w:rPr>
          <w:rFonts w:ascii="宋体" w:hAnsi="宋体" w:cs="宋体" w:eastAsia="宋体" w:hint="default"/>
          <w:position w:val="-58"/>
          <w:sz w:val="20"/>
          <w:szCs w:val="20"/>
        </w:rPr>
      </w:r>
    </w:p>
    <w:p>
      <w:pPr>
        <w:spacing w:after="0" w:line="2933" w:lineRule="exact"/>
        <w:rPr>
          <w:rFonts w:ascii="宋体" w:hAnsi="宋体" w:cs="宋体" w:eastAsia="宋体" w:hint="default"/>
          <w:sz w:val="20"/>
          <w:szCs w:val="20"/>
        </w:rPr>
        <w:sectPr>
          <w:pgSz w:w="11910" w:h="16840"/>
          <w:pgMar w:header="728" w:footer="974" w:top="1120" w:bottom="1160" w:left="1200" w:right="1300"/>
        </w:sectPr>
      </w:pPr>
    </w:p>
    <w:p>
      <w:pPr>
        <w:spacing w:line="240" w:lineRule="auto" w:before="10"/>
        <w:rPr>
          <w:rFonts w:ascii="宋体" w:hAnsi="宋体" w:cs="宋体" w:eastAsia="宋体" w:hint="default"/>
          <w:sz w:val="26"/>
          <w:szCs w:val="26"/>
        </w:rPr>
      </w:pPr>
    </w:p>
    <w:p>
      <w:pPr>
        <w:pStyle w:val="Heading2"/>
        <w:tabs>
          <w:tab w:pos="643" w:val="left" w:leader="none"/>
        </w:tabs>
        <w:spacing w:line="295" w:lineRule="auto"/>
        <w:ind w:right="728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right="2585"/>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58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right="258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任公司董事长、总经理，华虹电子、永安电子、华强投资执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行董事等职。</w:t>
            </w:r>
          </w:p>
        </w:tc>
      </w:tr>
      <w:tr>
        <w:trPr>
          <w:trHeight w:val="94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韩华新能源（启东）有限公司（原名江苏林洋新能源有限公</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司）于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5"/>
                <w:sz w:val="21"/>
                <w:szCs w:val="21"/>
              </w:rPr>
              <w:t> </w:t>
            </w:r>
            <w:r>
              <w:rPr>
                <w:rFonts w:ascii="宋体" w:hAnsi="宋体" w:cs="宋体" w:eastAsia="宋体" w:hint="default"/>
                <w:sz w:val="21"/>
                <w:szCs w:val="21"/>
              </w:rPr>
              <w:t>日在美国纳斯达克上市，</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月已将持有股份全部转让。</w:t>
            </w:r>
          </w:p>
        </w:tc>
      </w:tr>
    </w:tbl>
    <w:p>
      <w:pPr>
        <w:spacing w:line="240" w:lineRule="auto" w:before="9"/>
        <w:rPr>
          <w:rFonts w:ascii="宋体" w:hAnsi="宋体" w:cs="宋体" w:eastAsia="宋体" w:hint="default"/>
          <w:sz w:val="24"/>
          <w:szCs w:val="24"/>
        </w:rPr>
      </w:pPr>
    </w:p>
    <w:p>
      <w:pPr>
        <w:pStyle w:val="Heading2"/>
        <w:tabs>
          <w:tab w:pos="643" w:val="left" w:leader="none"/>
        </w:tabs>
        <w:spacing w:line="240" w:lineRule="auto"/>
        <w:ind w:right="258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58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58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1" w:val="left" w:leader="none"/>
        </w:tabs>
        <w:spacing w:line="240" w:lineRule="auto" w:before="97"/>
        <w:ind w:right="2585"/>
        <w:jc w:val="left"/>
      </w:pPr>
      <w:r>
        <w:rPr/>
        <w:t>√适用</w:t>
        <w:tab/>
        <w:t>□不适用</w:t>
      </w:r>
    </w:p>
    <w:p>
      <w:pPr>
        <w:spacing w:line="240" w:lineRule="auto" w:before="6"/>
        <w:rPr>
          <w:rFonts w:ascii="宋体" w:hAnsi="宋体" w:cs="宋体" w:eastAsia="宋体" w:hint="default"/>
          <w:sz w:val="15"/>
          <w:szCs w:val="15"/>
        </w:rPr>
      </w:pPr>
    </w:p>
    <w:p>
      <w:pPr>
        <w:spacing w:line="4050" w:lineRule="exact"/>
        <w:ind w:left="111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608578" cy="257175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31" cstate="print"/>
                    <a:stretch>
                      <a:fillRect/>
                    </a:stretch>
                  </pic:blipFill>
                  <pic:spPr>
                    <a:xfrm>
                      <a:off x="0" y="0"/>
                      <a:ext cx="4608578"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tabs>
          <w:tab w:pos="643" w:val="left" w:leader="none"/>
        </w:tabs>
        <w:spacing w:line="240" w:lineRule="auto" w:before="0"/>
        <w:ind w:right="258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1" w:val="left" w:leader="none"/>
        </w:tabs>
        <w:spacing w:line="240" w:lineRule="auto" w:before="97"/>
        <w:ind w:right="2585"/>
        <w:jc w:val="left"/>
      </w:pPr>
      <w:r>
        <w:rPr/>
        <w:t>□适用</w:t>
        <w:tab/>
        <w:t>√不适用</w:t>
      </w:r>
    </w:p>
    <w:p>
      <w:pPr>
        <w:spacing w:after="0" w:line="240" w:lineRule="auto"/>
        <w:jc w:val="left"/>
        <w:sectPr>
          <w:pgSz w:w="11910" w:h="16840"/>
          <w:pgMar w:header="728" w:footer="974" w:top="1120" w:bottom="1160" w:left="1200" w:right="1300"/>
        </w:sectPr>
      </w:pPr>
    </w:p>
    <w:p>
      <w:pPr>
        <w:spacing w:line="240" w:lineRule="auto" w:before="10"/>
        <w:rPr>
          <w:rFonts w:ascii="宋体" w:hAnsi="宋体" w:cs="宋体" w:eastAsia="宋体" w:hint="default"/>
          <w:sz w:val="26"/>
          <w:szCs w:val="26"/>
        </w:rPr>
      </w:pPr>
    </w:p>
    <w:p>
      <w:pPr>
        <w:pStyle w:val="Heading2"/>
        <w:spacing w:line="240" w:lineRule="auto"/>
        <w:ind w:left="178" w:right="181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21" w:val="left" w:leader="none"/>
        </w:tabs>
        <w:spacing w:line="240" w:lineRule="auto" w:before="70"/>
        <w:ind w:left="178" w:right="1815"/>
        <w:jc w:val="left"/>
      </w:pPr>
      <w:r>
        <w:rPr/>
        <w:t>√适用</w:t>
        <w:tab/>
        <w:t>□不适用</w:t>
      </w:r>
    </w:p>
    <w:p>
      <w:pPr>
        <w:pStyle w:val="BodyText"/>
        <w:spacing w:line="273" w:lineRule="auto" w:before="37"/>
        <w:ind w:left="178" w:right="0" w:firstLine="420"/>
        <w:jc w:val="left"/>
      </w:pPr>
      <w:r>
        <w:rPr/>
        <w:t>截止本报告期末，启东市华虹电子有限公司持有本公司</w:t>
      </w:r>
      <w:r>
        <w:rPr>
          <w:spacing w:val="-54"/>
        </w:rPr>
        <w:t> </w:t>
      </w:r>
      <w:r>
        <w:rPr>
          <w:rFonts w:ascii="宋体" w:hAnsi="宋体" w:cs="宋体" w:eastAsia="宋体" w:hint="default"/>
        </w:rPr>
        <w:t>715,241,427</w:t>
      </w:r>
      <w:r>
        <w:rPr>
          <w:rFonts w:ascii="宋体" w:hAnsi="宋体" w:cs="宋体" w:eastAsia="宋体" w:hint="default"/>
          <w:spacing w:val="-54"/>
        </w:rPr>
        <w:t> </w:t>
      </w:r>
      <w:r>
        <w:rPr/>
        <w:t>股股份，占公司总股本</w:t>
      </w:r>
      <w:r>
        <w:rPr>
          <w:w w:val="100"/>
        </w:rPr>
        <w:t> </w:t>
      </w:r>
      <w:r>
        <w:rPr>
          <w:rFonts w:ascii="宋体" w:hAnsi="宋体" w:cs="宋体" w:eastAsia="宋体" w:hint="default"/>
          <w:spacing w:val="-2"/>
        </w:rPr>
        <w:t>40.51%</w:t>
      </w:r>
      <w:r>
        <w:rPr>
          <w:spacing w:val="-2"/>
        </w:rPr>
        <w:t>，为本公司的控股股东。陆永华先生通过启东市华虹电子有限公司及南通华强投资有限公司</w:t>
      </w:r>
      <w:r>
        <w:rPr>
          <w:spacing w:val="-19"/>
        </w:rPr>
        <w:t> </w:t>
      </w:r>
      <w:r>
        <w:rPr>
          <w:spacing w:val="-19"/>
        </w:rPr>
      </w:r>
      <w:r>
        <w:rPr/>
        <w:t>间接持有本公司</w:t>
      </w:r>
      <w:r>
        <w:rPr>
          <w:spacing w:val="-60"/>
        </w:rPr>
        <w:t> </w:t>
      </w:r>
      <w:r>
        <w:rPr>
          <w:rFonts w:ascii="宋体" w:hAnsi="宋体" w:cs="宋体" w:eastAsia="宋体" w:hint="default"/>
        </w:rPr>
        <w:t>40.99%</w:t>
      </w:r>
      <w:r>
        <w:rPr/>
        <w:t>的股份，为公司实际控制人。</w:t>
      </w:r>
    </w:p>
    <w:p>
      <w:pPr>
        <w:spacing w:line="240" w:lineRule="auto" w:before="0"/>
        <w:rPr>
          <w:rFonts w:ascii="宋体" w:hAnsi="宋体" w:cs="宋体" w:eastAsia="宋体" w:hint="default"/>
          <w:sz w:val="29"/>
          <w:szCs w:val="29"/>
        </w:rPr>
      </w:pPr>
    </w:p>
    <w:p>
      <w:pPr>
        <w:pStyle w:val="Heading2"/>
        <w:spacing w:line="240" w:lineRule="auto" w:before="0"/>
        <w:ind w:left="178" w:right="1815"/>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178" w:right="181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1815"/>
        <w:jc w:val="left"/>
        <w:rPr>
          <w:b w:val="0"/>
          <w:bCs w:val="0"/>
        </w:rPr>
      </w:pPr>
      <w:r>
        <w:rPr/>
        <w:t>六、</w:t>
      </w:r>
      <w:r>
        <w:rPr>
          <w:spacing w:val="-77"/>
        </w:rPr>
        <w:t> </w:t>
      </w:r>
      <w:r>
        <w:rPr/>
        <w:t>股份限制减持情况说明</w:t>
      </w:r>
      <w:r>
        <w:rPr>
          <w:b w:val="0"/>
          <w:bCs w:val="0"/>
        </w:rPr>
      </w:r>
    </w:p>
    <w:p>
      <w:pPr>
        <w:pStyle w:val="BodyText"/>
        <w:spacing w:line="240" w:lineRule="auto" w:before="97"/>
        <w:ind w:left="178" w:right="1815"/>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tabs>
          <w:tab w:pos="4360" w:val="left" w:leader="none"/>
        </w:tabs>
        <w:spacing w:line="240" w:lineRule="auto" w:before="0"/>
        <w:ind w:left="3100" w:right="1815"/>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left="178" w:right="1815"/>
        <w:jc w:val="left"/>
      </w:pPr>
      <w:r>
        <w:rPr/>
        <w:t>□适用 √不适用</w:t>
      </w:r>
    </w:p>
    <w:p>
      <w:pPr>
        <w:spacing w:after="0" w:line="240" w:lineRule="auto"/>
        <w:jc w:val="left"/>
        <w:sectPr>
          <w:pgSz w:w="11910" w:h="16840"/>
          <w:pgMar w:header="728" w:footer="974" w:top="1120" w:bottom="1160" w:left="1240" w:right="1300"/>
        </w:sectPr>
      </w:pPr>
    </w:p>
    <w:p>
      <w:pPr>
        <w:pStyle w:val="Heading1"/>
        <w:tabs>
          <w:tab w:pos="5841" w:val="left" w:leader="none"/>
        </w:tabs>
        <w:spacing w:line="240" w:lineRule="auto" w:before="105"/>
        <w:ind w:left="458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479" w:footer="975" w:top="1120" w:bottom="1160" w:left="860" w:right="760"/>
          <w:pgNumType w:start="66"/>
        </w:sectPr>
      </w:pPr>
    </w:p>
    <w:p>
      <w:pPr>
        <w:pStyle w:val="Heading2"/>
        <w:spacing w:line="240" w:lineRule="auto"/>
        <w:ind w:left="664" w:right="-15"/>
        <w:jc w:val="left"/>
        <w:rPr>
          <w:b w:val="0"/>
          <w:bCs w:val="0"/>
        </w:rPr>
      </w:pPr>
      <w:r>
        <w:rPr/>
        <w:t>一、持股变动情况及报酬情况</w:t>
      </w:r>
      <w:r>
        <w:rPr>
          <w:b w:val="0"/>
          <w:bCs w:val="0"/>
        </w:rPr>
      </w:r>
    </w:p>
    <w:p>
      <w:pPr>
        <w:pStyle w:val="Heading2"/>
        <w:spacing w:line="240" w:lineRule="auto" w:before="56"/>
        <w:ind w:left="66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66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64" w:right="0"/>
        <w:jc w:val="left"/>
      </w:pPr>
      <w:r>
        <w:rPr/>
        <w:t>单位：股</w:t>
      </w:r>
    </w:p>
    <w:p>
      <w:pPr>
        <w:spacing w:after="0" w:line="240" w:lineRule="auto"/>
        <w:jc w:val="left"/>
        <w:sectPr>
          <w:type w:val="continuous"/>
          <w:pgSz w:w="16840" w:h="11910" w:orient="landscape"/>
          <w:pgMar w:top="1580" w:bottom="280" w:left="860" w:right="760"/>
          <w:cols w:num="2" w:equalWidth="0">
            <w:col w:w="7412" w:space="5622"/>
            <w:col w:w="218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35"/>
        <w:gridCol w:w="1226"/>
        <w:gridCol w:w="754"/>
        <w:gridCol w:w="838"/>
        <w:gridCol w:w="1220"/>
        <w:gridCol w:w="1219"/>
        <w:gridCol w:w="1265"/>
        <w:gridCol w:w="1267"/>
        <w:gridCol w:w="1342"/>
        <w:gridCol w:w="1851"/>
        <w:gridCol w:w="1702"/>
        <w:gridCol w:w="1274"/>
      </w:tblGrid>
      <w:tr>
        <w:trPr>
          <w:trHeight w:val="977"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394"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41" w:right="13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85"/>
              <w:jc w:val="right"/>
              <w:rPr>
                <w:rFonts w:ascii="宋体" w:hAnsi="宋体" w:cs="宋体" w:eastAsia="宋体" w:hint="default"/>
                <w:sz w:val="21"/>
                <w:szCs w:val="21"/>
              </w:rPr>
            </w:pPr>
            <w:r>
              <w:rPr>
                <w:rFonts w:ascii="宋体" w:hAnsi="宋体" w:cs="宋体" w:eastAsia="宋体" w:hint="default"/>
                <w:spacing w:val="-1"/>
                <w:sz w:val="21"/>
                <w:szCs w:val="21"/>
              </w:rPr>
              <w:t>增减变动原因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10" w:right="106"/>
              <w:jc w:val="both"/>
              <w:rPr>
                <w:rFonts w:ascii="宋体" w:hAnsi="宋体" w:cs="宋体" w:eastAsia="宋体" w:hint="default"/>
                <w:sz w:val="21"/>
                <w:szCs w:val="21"/>
              </w:rPr>
            </w:pPr>
            <w:r>
              <w:rPr>
                <w:rFonts w:ascii="宋体" w:hAnsi="宋体" w:cs="宋体" w:eastAsia="宋体" w:hint="default"/>
                <w:sz w:val="21"/>
                <w:szCs w:val="21"/>
              </w:rPr>
              <w:t>报告期内从公司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7" w:right="101"/>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董事长、总</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2010/2/2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2012/3/16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643,750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2010/2/2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董事、副总</w:t>
            </w:r>
          </w:p>
          <w:p>
            <w:pPr>
              <w:pStyle w:val="TableParagraph"/>
              <w:spacing w:line="240" w:lineRule="auto"/>
              <w:ind w:left="292" w:right="98" w:hanging="190"/>
              <w:jc w:val="left"/>
              <w:rPr>
                <w:rFonts w:ascii="宋体" w:hAnsi="宋体" w:cs="宋体" w:eastAsia="宋体" w:hint="default"/>
                <w:sz w:val="21"/>
                <w:szCs w:val="21"/>
              </w:rPr>
            </w:pPr>
            <w:r>
              <w:rPr>
                <w:rFonts w:ascii="宋体" w:hAnsi="宋体" w:cs="宋体" w:eastAsia="宋体" w:hint="default"/>
                <w:spacing w:val="-9"/>
                <w:sz w:val="21"/>
                <w:szCs w:val="21"/>
              </w:rPr>
              <w:t>经理、财务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负责人</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2010/2/2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26,150,000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26,150,000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52.80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黄大森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2017/7/6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2019/3/1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苏凯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2019/3/1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5"/>
              <w:jc w:val="right"/>
              <w:rPr>
                <w:rFonts w:ascii="宋体" w:hAnsi="宋体" w:cs="宋体" w:eastAsia="宋体" w:hint="default"/>
                <w:sz w:val="21"/>
                <w:szCs w:val="21"/>
              </w:rPr>
            </w:pPr>
            <w:r>
              <w:rPr>
                <w:rFonts w:ascii="宋体" w:hAnsi="宋体" w:cs="宋体" w:eastAsia="宋体" w:hint="default"/>
                <w:spacing w:val="-1"/>
                <w:sz w:val="21"/>
                <w:szCs w:val="21"/>
              </w:rPr>
              <w:t>二级市场买入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蔡克亮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2016/2/23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贾丽娜</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2016/2/23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席</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2010/2/2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42.66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朱英</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2010/2/2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张天备</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2010/2/2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2012/3/16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795,750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裴骏</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sz w:val="21"/>
              </w:rPr>
              <w:t>2016/4/26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股权激励计划授</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予限制性股票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135.00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朱德省</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2012/3/16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50,000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股权激励计划授</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予限制性股票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79.20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2013/2/19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724,750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724,750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580" w:bottom="280" w:left="860" w:right="760"/>
        </w:sectPr>
      </w:pP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035"/>
        <w:gridCol w:w="1226"/>
        <w:gridCol w:w="754"/>
        <w:gridCol w:w="838"/>
        <w:gridCol w:w="1220"/>
        <w:gridCol w:w="1219"/>
        <w:gridCol w:w="1265"/>
        <w:gridCol w:w="1267"/>
        <w:gridCol w:w="1342"/>
        <w:gridCol w:w="1851"/>
        <w:gridCol w:w="1702"/>
        <w:gridCol w:w="1274"/>
      </w:tblGrid>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2013/2/19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2018/5/29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595,782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595,782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施洪生</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2016/4/26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2018/5/29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崔东旭</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2016/4/26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2022/3/1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股权激励计划授</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予限制性股票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30,090,032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30,461,032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849.94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55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现任公司董事长、总经理，华虹电子、永安电子、南京林洋、华强投资执行董事等职。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曾任公司副总经理；现任公司副董事长。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曾任公司副总经理；现任公司董事，安徽华乐执行董事兼总经理等职。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曾任公司董事会秘书等职。现任公司董事、副总经理、财务负责人，江苏华源董事等职。</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黄大森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曾任浦发银行南通分行行长、北京代表处首席代表、总行办公室主任兼行政部（保卫部）总经理，现任浦发银行咨询委员会秘书长、公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蔡克亮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曾任上海东信律师事务所律师、北京中伦律师事务所律师，现任北京大成（上海）律师事务所合伙人、公司独立董事。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贾丽娜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曾任南京金陵科技学院教师、天衡会计师事务所合伙人，现任中天运会计师事务所管理合伙人、公司独立董事。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现任公司销售副总、监事会主席，华虹电子监事、华强投资监事、武汉奥统董事兼总经理等职。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朱英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现任公司人心工程主任、职工代表监事。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张天备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曾任天弘科技有限公司经理，明基电通信息技术有限公司经理，无锡市电子计算机厂工程师，现任公司副总经理。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裴骏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曾任上海神舟新能源发展有限公司副总经理；现任公司副总经理。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朱德省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现任南京林洋总经理、公司副总经理。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曾任公司销售副总、公司副总经理，现任山东林洋董事长等职。因身体原因于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日辞去高管职务。</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施洪生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曾任上海美科新能源股份有限公司副总经理、华乐光电副总经理、公司副总经理；现任林洋照明总经理等职。因业务调整于</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日辞去高管职务。</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崔东旭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曾任北京大成（上海）律师事务所律师、公司法务部长；现任公司董事会秘书。</w:t>
            </w:r>
          </w:p>
        </w:tc>
      </w:tr>
    </w:tbl>
    <w:p>
      <w:pPr>
        <w:spacing w:line="240" w:lineRule="auto" w:before="5"/>
        <w:rPr>
          <w:rFonts w:ascii="宋体" w:hAnsi="宋体" w:cs="宋体" w:eastAsia="宋体" w:hint="default"/>
          <w:sz w:val="15"/>
          <w:szCs w:val="15"/>
        </w:rPr>
      </w:pPr>
    </w:p>
    <w:p>
      <w:pPr>
        <w:pStyle w:val="BodyText"/>
        <w:spacing w:line="273" w:lineRule="exact" w:before="36"/>
        <w:ind w:left="664" w:right="0"/>
        <w:jc w:val="left"/>
      </w:pPr>
      <w:r>
        <w:rPr/>
        <w:t>其它情况说明</w:t>
      </w:r>
    </w:p>
    <w:p>
      <w:pPr>
        <w:pStyle w:val="BodyText"/>
        <w:spacing w:line="273" w:lineRule="exact"/>
        <w:ind w:left="664" w:right="0"/>
        <w:jc w:val="left"/>
      </w:pPr>
      <w:r>
        <w:rPr/>
        <w:t>□适用 √不适用</w:t>
      </w:r>
    </w:p>
    <w:p>
      <w:pPr>
        <w:spacing w:after="0" w:line="273" w:lineRule="exact"/>
        <w:jc w:val="left"/>
        <w:sectPr>
          <w:pgSz w:w="16840" w:h="11910" w:orient="landscape"/>
          <w:pgMar w:header="479" w:footer="975" w:top="1120" w:bottom="1160" w:left="860" w:right="760"/>
        </w:sectPr>
      </w:pPr>
    </w:p>
    <w:p>
      <w:pPr>
        <w:pStyle w:val="Heading2"/>
        <w:spacing w:line="240" w:lineRule="auto" w:before="120"/>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24" w:right="0"/>
        <w:jc w:val="left"/>
      </w:pPr>
      <w:r>
        <w:rPr/>
        <w:t>单位</w:t>
      </w:r>
      <w:r>
        <w:rPr>
          <w:rFonts w:ascii="宋体" w:hAnsi="宋体" w:cs="宋体" w:eastAsia="宋体" w:hint="default"/>
        </w:rPr>
        <w:t>:</w:t>
      </w:r>
      <w:r>
        <w:rPr/>
        <w:t>股</w:t>
      </w:r>
    </w:p>
    <w:p>
      <w:pPr>
        <w:spacing w:after="0" w:line="240" w:lineRule="auto"/>
        <w:jc w:val="left"/>
        <w:sectPr>
          <w:pgSz w:w="16840" w:h="11910" w:orient="landscape"/>
          <w:pgMar w:header="479" w:footer="975" w:top="1120" w:bottom="1160" w:left="1300" w:right="1220"/>
          <w:cols w:num="2" w:equalWidth="0">
            <w:col w:w="5493" w:space="7647"/>
            <w:col w:w="1180"/>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裴骏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4.84</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朱德省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4.58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4.84</w:t>
            </w:r>
          </w:p>
        </w:tc>
      </w:tr>
      <w:tr>
        <w:trPr>
          <w:trHeight w:val="28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崔东旭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4.84</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86"/>
        <w:ind w:left="224" w:right="0" w:firstLine="420"/>
        <w:jc w:val="left"/>
      </w:pPr>
      <w:r>
        <w:rPr/>
        <w:t>公司第二期限制性股票激励计划预留部分授予日为</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日，授予价格为</w:t>
      </w:r>
      <w:r>
        <w:rPr>
          <w:spacing w:val="-54"/>
        </w:rPr>
        <w:t> </w:t>
      </w:r>
      <w:r>
        <w:rPr>
          <w:rFonts w:ascii="宋体" w:hAnsi="宋体" w:cs="宋体" w:eastAsia="宋体" w:hint="default"/>
        </w:rPr>
        <w:t>4.58</w:t>
      </w:r>
      <w:r>
        <w:rPr>
          <w:rFonts w:ascii="宋体" w:hAnsi="宋体" w:cs="宋体" w:eastAsia="宋体" w:hint="default"/>
          <w:spacing w:val="-54"/>
        </w:rPr>
        <w:t> </w:t>
      </w:r>
      <w:r>
        <w:rPr/>
        <w:t>元</w:t>
      </w:r>
      <w:r>
        <w:rPr>
          <w:rFonts w:ascii="宋体" w:hAnsi="宋体" w:cs="宋体" w:eastAsia="宋体" w:hint="default"/>
        </w:rPr>
        <w:t>/</w:t>
      </w:r>
      <w:r>
        <w:rPr/>
        <w:t>股，并于</w:t>
      </w:r>
      <w:r>
        <w:rPr>
          <w:spacing w:val="-56"/>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日在中国证券登记结算有限责</w:t>
      </w:r>
      <w:r>
        <w:rPr>
          <w:w w:val="100"/>
        </w:rPr>
        <w:t> </w:t>
      </w:r>
      <w:r>
        <w:rPr/>
        <w:t>任公司上海分公司完成股份登记。</w:t>
      </w:r>
    </w:p>
    <w:p>
      <w:pPr>
        <w:spacing w:line="240" w:lineRule="auto" w:before="3"/>
        <w:rPr>
          <w:rFonts w:ascii="宋体" w:hAnsi="宋体" w:cs="宋体" w:eastAsia="宋体" w:hint="default"/>
          <w:sz w:val="25"/>
          <w:szCs w:val="25"/>
        </w:rPr>
      </w:pPr>
    </w:p>
    <w:p>
      <w:pPr>
        <w:pStyle w:val="Heading2"/>
        <w:spacing w:line="240" w:lineRule="auto" w:before="0"/>
        <w:ind w:left="224" w:right="0"/>
        <w:jc w:val="left"/>
        <w:rPr>
          <w:b w:val="0"/>
          <w:bCs w:val="0"/>
        </w:rPr>
      </w:pPr>
      <w:r>
        <w:rPr/>
        <w:t>二、现任及报告期内离任董事、监事和高级管理人员的任职情况</w:t>
      </w:r>
      <w:r>
        <w:rPr>
          <w:b w:val="0"/>
          <w:bCs w:val="0"/>
        </w:rPr>
      </w:r>
    </w:p>
    <w:p>
      <w:pPr>
        <w:pStyle w:val="Heading2"/>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南通永盛电力投资有限公司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center"/>
        <w:rPr>
          <w:rFonts w:ascii="宋体" w:hAnsi="宋体" w:cs="宋体" w:eastAsia="宋体" w:hint="default"/>
          <w:sz w:val="21"/>
          <w:szCs w:val="21"/>
        </w:rPr>
        <w:sectPr>
          <w:type w:val="continuous"/>
          <w:pgSz w:w="16840" w:h="11910" w:orient="landscape"/>
          <w:pgMar w:top="1580" w:bottom="2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vMerge w:val="restart"/>
            <w:tcBorders>
              <w:top w:val="single" w:sz="4" w:space="0" w:color="000000"/>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南通华虹农业发展有限公司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江苏林洋现代农业有限公司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南通永乐生态农业有限公司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江苏林洋酒店管理有限公司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2"/>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南通永高物业有限公司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南通永乐生态农业有限公司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华尔利（南通）电子有限公司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南通华虹农业发展有限公司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根据《公司章程》、《股东大会议事规则》和《董事会薪酬与考核委员会实施细则》的有关规定，本公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司的董事、监事的报酬由公司股东大会决定，高级管理人员的报酬由公司董事会决定。</w:t>
            </w:r>
          </w:p>
        </w:tc>
      </w:tr>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公司高级管理人员年度薪酬实行由基本年薪与绩效薪酬组成的激励机制，通过考评实施。基本年薪根据</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公司生产经营规模，参照市场工资价位和职工收入水平等因素确定，绩效薪酬根据岗位年度指标当年度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完成情况，由薪酬委员会考核后确定。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6"/>
                <w:sz w:val="21"/>
                <w:szCs w:val="21"/>
              </w:rPr>
              <w:t> </w:t>
            </w:r>
            <w:r>
              <w:rPr>
                <w:rFonts w:ascii="宋体" w:hAnsi="宋体" w:cs="宋体" w:eastAsia="宋体" w:hint="default"/>
                <w:sz w:val="21"/>
                <w:szCs w:val="21"/>
              </w:rPr>
              <w:t>849.94</w:t>
            </w:r>
            <w:r>
              <w:rPr>
                <w:rFonts w:ascii="宋体" w:hAnsi="宋体" w:cs="宋体" w:eastAsia="宋体" w:hint="default"/>
                <w:spacing w:val="-58"/>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pgSz w:w="16840" w:h="11910" w:orient="landscape"/>
          <w:pgMar w:header="479" w:footer="975" w:top="1120" w:bottom="116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6"/>
                <w:sz w:val="21"/>
                <w:szCs w:val="21"/>
              </w:rPr>
              <w:t> </w:t>
            </w:r>
            <w:r>
              <w:rPr>
                <w:rFonts w:ascii="宋体" w:hAnsi="宋体" w:cs="宋体" w:eastAsia="宋体" w:hint="default"/>
                <w:sz w:val="21"/>
                <w:szCs w:val="21"/>
              </w:rPr>
              <w:t>849.94</w:t>
            </w:r>
            <w:r>
              <w:rPr>
                <w:rFonts w:ascii="宋体" w:hAnsi="宋体" w:cs="宋体" w:eastAsia="宋体" w:hint="default"/>
                <w:spacing w:val="-58"/>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sz w:val="19"/>
          <w:szCs w:val="19"/>
        </w:rPr>
      </w:pPr>
    </w:p>
    <w:p>
      <w:pPr>
        <w:pStyle w:val="Heading2"/>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施洪生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身体原因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footerReference w:type="default" r:id="rId34"/>
          <w:pgSz w:w="16840" w:h="11910" w:orient="landscape"/>
          <w:pgMar w:footer="975" w:header="479" w:top="1120" w:bottom="116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right="241"/>
        <w:jc w:val="left"/>
        <w:rPr>
          <w:b w:val="0"/>
          <w:bCs w:val="0"/>
        </w:rPr>
      </w:pPr>
      <w:r>
        <w:rPr/>
        <w:t>六、母公司和主要子公司的员工情况</w:t>
      </w:r>
      <w:r>
        <w:rPr>
          <w:b w:val="0"/>
          <w:bCs w:val="0"/>
        </w:rPr>
      </w:r>
    </w:p>
    <w:p>
      <w:pPr>
        <w:pStyle w:val="Heading2"/>
        <w:spacing w:line="240" w:lineRule="auto" w:before="56"/>
        <w:ind w:right="24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1,786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3,886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3,886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2,008</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3,886</w:t>
            </w:r>
          </w:p>
        </w:tc>
      </w:tr>
    </w:tbl>
    <w:p>
      <w:pPr>
        <w:spacing w:line="240" w:lineRule="auto" w:before="12"/>
        <w:rPr>
          <w:rFonts w:ascii="宋体" w:hAnsi="宋体" w:cs="宋体" w:eastAsia="宋体" w:hint="default"/>
          <w:b/>
          <w:bCs/>
          <w:sz w:val="19"/>
          <w:szCs w:val="19"/>
        </w:rPr>
      </w:pPr>
    </w:p>
    <w:p>
      <w:pPr>
        <w:pStyle w:val="Heading2"/>
        <w:spacing w:line="240" w:lineRule="auto"/>
        <w:ind w:right="24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41" w:hanging="420"/>
        <w:jc w:val="left"/>
      </w:pPr>
      <w:r>
        <w:rPr>
          <w:spacing w:val="-1"/>
        </w:rPr>
        <w:t>√适用</w:t>
        <w:tab/>
      </w:r>
      <w:r>
        <w:rPr>
          <w:spacing w:val="-2"/>
        </w:rPr>
        <w:t>□不适用</w:t>
      </w:r>
      <w:r>
        <w:rPr>
          <w:spacing w:val="-99"/>
        </w:rPr>
        <w:t> </w:t>
      </w:r>
      <w:r>
        <w:rPr>
          <w:spacing w:val="-99"/>
        </w:rPr>
      </w:r>
      <w:r>
        <w:rPr>
          <w:spacing w:val="-2"/>
        </w:rPr>
        <w:t>公司高级管理人员年度薪酬实行由基本年薪与绩效薪酬组成的薪酬机制，通过考评实施。基</w:t>
      </w:r>
    </w:p>
    <w:p>
      <w:pPr>
        <w:pStyle w:val="BodyText"/>
        <w:spacing w:line="272" w:lineRule="exact" w:before="1"/>
        <w:ind w:right="228"/>
        <w:jc w:val="both"/>
      </w:pPr>
      <w:r>
        <w:rPr>
          <w:spacing w:val="-2"/>
        </w:rPr>
        <w:t>本年薪根据公司生产经营规模，参照市场工资价位和职工收入水平等因素确定，绩效薪酬根据岗</w:t>
      </w:r>
      <w:r>
        <w:rPr>
          <w:spacing w:val="-25"/>
        </w:rPr>
        <w:t> </w:t>
      </w:r>
      <w:r>
        <w:rPr>
          <w:spacing w:val="-25"/>
        </w:rPr>
      </w:r>
      <w:r>
        <w:rPr>
          <w:spacing w:val="-6"/>
        </w:rPr>
        <w:t>位年度指标当年度完成情况，由薪酬委员会考核后确定。普通员工依据岗位定酬，根据工作绩效、</w:t>
      </w:r>
    </w:p>
    <w:p>
      <w:pPr>
        <w:pStyle w:val="BodyText"/>
        <w:spacing w:line="272" w:lineRule="exact" w:before="1"/>
        <w:ind w:right="237"/>
        <w:jc w:val="both"/>
      </w:pPr>
      <w:r>
        <w:rPr>
          <w:spacing w:val="-2"/>
        </w:rPr>
        <w:t>服务年限、工作态度等方面的表现不同进行考核制定薪酬，对于关键核心岗位及公司发展急需的</w:t>
      </w:r>
      <w:r>
        <w:rPr>
          <w:spacing w:val="-25"/>
        </w:rPr>
        <w:t> </w:t>
      </w:r>
      <w:r>
        <w:rPr>
          <w:spacing w:val="-25"/>
        </w:rPr>
      </w:r>
      <w:r>
        <w:rPr>
          <w:spacing w:val="-2"/>
        </w:rPr>
        <w:t>专业技术人才、后备人员等采取薪酬谈判制，以保证公司既避免关键人才流失，又能吸引新的人</w:t>
      </w:r>
    </w:p>
    <w:p>
      <w:pPr>
        <w:pStyle w:val="BodyText"/>
        <w:spacing w:line="272" w:lineRule="exact" w:before="1"/>
        <w:ind w:left="638" w:right="241" w:hanging="420"/>
        <w:jc w:val="left"/>
      </w:pPr>
      <w:r>
        <w:rPr/>
        <w:t>才加入，为公司的持续发展提供保障。</w:t>
      </w:r>
      <w:r>
        <w:rPr>
          <w:w w:val="100"/>
        </w:rPr>
        <w:t> </w:t>
      </w:r>
      <w:r>
        <w:rPr>
          <w:spacing w:val="-2"/>
        </w:rPr>
        <w:t>为促进公司健康稳定长远发展，改善公司治理水平，提高员工的凝聚力和公司竞争力，公司</w:t>
      </w:r>
    </w:p>
    <w:p>
      <w:pPr>
        <w:pStyle w:val="BodyText"/>
        <w:spacing w:line="246" w:lineRule="exact"/>
        <w:ind w:right="117"/>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15</w:t>
      </w:r>
      <w:r>
        <w:rPr>
          <w:rFonts w:ascii="宋体" w:hAnsi="宋体" w:cs="宋体" w:eastAsia="宋体" w:hint="default"/>
          <w:spacing w:val="-53"/>
        </w:rPr>
        <w:t> </w:t>
      </w:r>
      <w:r>
        <w:rPr>
          <w:spacing w:val="-3"/>
          <w:w w:val="100"/>
        </w:rPr>
        <w:t>日召</w:t>
      </w:r>
      <w:r>
        <w:rPr>
          <w:w w:val="100"/>
        </w:rPr>
        <w:t>开</w:t>
      </w:r>
      <w:r>
        <w:rPr>
          <w:spacing w:val="-54"/>
        </w:rPr>
        <w:t> </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3"/>
          <w:w w:val="100"/>
        </w:rPr>
        <w:t>第</w:t>
      </w:r>
      <w:r>
        <w:rPr>
          <w:w w:val="100"/>
        </w:rPr>
        <w:t>五</w:t>
      </w:r>
      <w:r>
        <w:rPr>
          <w:spacing w:val="-3"/>
          <w:w w:val="100"/>
        </w:rPr>
        <w:t>次</w:t>
      </w:r>
      <w:r>
        <w:rPr>
          <w:w w:val="100"/>
        </w:rPr>
        <w:t>临</w:t>
      </w:r>
      <w:r>
        <w:rPr>
          <w:spacing w:val="-3"/>
          <w:w w:val="100"/>
        </w:rPr>
        <w:t>时</w:t>
      </w:r>
      <w:r>
        <w:rPr>
          <w:w w:val="100"/>
        </w:rPr>
        <w:t>股</w:t>
      </w:r>
      <w:r>
        <w:rPr>
          <w:spacing w:val="-3"/>
          <w:w w:val="100"/>
        </w:rPr>
        <w:t>东大</w:t>
      </w:r>
      <w:r>
        <w:rPr>
          <w:w w:val="100"/>
        </w:rPr>
        <w:t>会审</w:t>
      </w:r>
      <w:r>
        <w:rPr>
          <w:spacing w:val="-3"/>
          <w:w w:val="100"/>
        </w:rPr>
        <w:t>议</w:t>
      </w:r>
      <w:r>
        <w:rPr>
          <w:w w:val="100"/>
        </w:rPr>
        <w:t>通</w:t>
      </w:r>
      <w:r>
        <w:rPr>
          <w:spacing w:val="-3"/>
          <w:w w:val="100"/>
        </w:rPr>
        <w:t>过</w:t>
      </w:r>
      <w:r>
        <w:rPr>
          <w:spacing w:val="-94"/>
          <w:w w:val="100"/>
        </w:rPr>
        <w:t>了</w:t>
      </w:r>
      <w:r>
        <w:rPr>
          <w:w w:val="100"/>
        </w:rPr>
        <w:t>《</w:t>
      </w:r>
      <w:r>
        <w:rPr>
          <w:spacing w:val="-3"/>
          <w:w w:val="100"/>
        </w:rPr>
        <w:t>关</w:t>
      </w:r>
      <w:r>
        <w:rPr>
          <w:w w:val="100"/>
        </w:rPr>
        <w:t>于</w:t>
      </w:r>
      <w:r>
        <w:rPr>
          <w:spacing w:val="-3"/>
          <w:w w:val="100"/>
        </w:rPr>
        <w:t>以</w:t>
      </w:r>
      <w:r>
        <w:rPr>
          <w:w w:val="100"/>
        </w:rPr>
        <w:t>集</w:t>
      </w:r>
      <w:r>
        <w:rPr>
          <w:spacing w:val="-3"/>
          <w:w w:val="100"/>
        </w:rPr>
        <w:t>中</w:t>
      </w:r>
      <w:r>
        <w:rPr>
          <w:w w:val="100"/>
        </w:rPr>
        <w:t>竞价</w:t>
      </w:r>
      <w:r>
        <w:rPr>
          <w:spacing w:val="-3"/>
          <w:w w:val="100"/>
        </w:rPr>
        <w:t>交</w:t>
      </w:r>
      <w:r>
        <w:rPr>
          <w:w w:val="100"/>
        </w:rPr>
        <w:t>易</w:t>
      </w:r>
      <w:r>
        <w:rPr>
          <w:spacing w:val="-3"/>
          <w:w w:val="100"/>
        </w:rPr>
        <w:t>方</w:t>
      </w:r>
      <w:r>
        <w:rPr>
          <w:w w:val="100"/>
        </w:rPr>
        <w:t>式</w:t>
      </w:r>
      <w:r>
        <w:rPr>
          <w:spacing w:val="-3"/>
          <w:w w:val="100"/>
        </w:rPr>
        <w:t>回</w:t>
      </w:r>
      <w:r>
        <w:rPr>
          <w:w w:val="100"/>
        </w:rPr>
        <w:t>购</w:t>
      </w:r>
    </w:p>
    <w:p>
      <w:pPr>
        <w:pStyle w:val="BodyText"/>
        <w:spacing w:line="273" w:lineRule="exact"/>
        <w:ind w:right="117"/>
        <w:jc w:val="left"/>
      </w:pPr>
      <w:r>
        <w:rPr/>
        <w:t>股份用于员工持股计划预案的议案》等相关公告。截止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日，公司本次回购股份计</w:t>
      </w:r>
    </w:p>
    <w:p>
      <w:pPr>
        <w:pStyle w:val="BodyText"/>
        <w:spacing w:line="240" w:lineRule="auto"/>
        <w:ind w:right="228"/>
        <w:jc w:val="both"/>
      </w:pPr>
      <w:r>
        <w:rPr>
          <w:spacing w:val="-3"/>
        </w:rPr>
        <w:t>划已实施完成，实际回购公司股份</w:t>
      </w:r>
      <w:r>
        <w:rPr>
          <w:spacing w:val="-42"/>
        </w:rPr>
        <w:t> </w:t>
      </w:r>
      <w:r>
        <w:rPr>
          <w:rFonts w:ascii="宋体" w:hAnsi="宋体" w:cs="宋体" w:eastAsia="宋体" w:hint="default"/>
        </w:rPr>
        <w:t>21,956,999</w:t>
      </w:r>
      <w:r>
        <w:rPr>
          <w:rFonts w:ascii="宋体" w:hAnsi="宋体" w:cs="宋体" w:eastAsia="宋体" w:hint="default"/>
          <w:spacing w:val="-42"/>
        </w:rPr>
        <w:t> </w:t>
      </w:r>
      <w:r>
        <w:rPr>
          <w:spacing w:val="-5"/>
        </w:rPr>
        <w:t>股，使用资金总额</w:t>
      </w:r>
      <w:r>
        <w:rPr>
          <w:spacing w:val="-41"/>
        </w:rPr>
        <w:t> </w:t>
      </w:r>
      <w:r>
        <w:rPr>
          <w:rFonts w:ascii="宋体" w:hAnsi="宋体" w:cs="宋体" w:eastAsia="宋体" w:hint="default"/>
        </w:rPr>
        <w:t>10,048.41</w:t>
      </w:r>
      <w:r>
        <w:rPr>
          <w:rFonts w:ascii="宋体" w:hAnsi="宋体" w:cs="宋体" w:eastAsia="宋体" w:hint="default"/>
          <w:spacing w:val="-44"/>
        </w:rPr>
        <w:t> </w:t>
      </w:r>
      <w:r>
        <w:rPr>
          <w:spacing w:val="-7"/>
        </w:rPr>
        <w:t>万元（不含佣金、过</w:t>
      </w:r>
      <w:r>
        <w:rPr>
          <w:spacing w:val="-101"/>
        </w:rPr>
        <w:t> </w:t>
      </w:r>
      <w:r>
        <w:rPr>
          <w:spacing w:val="-101"/>
        </w:rPr>
      </w:r>
      <w:r>
        <w:rPr/>
        <w:t>户费等交易费用），本次回购的股份将全部用于后续员工持股计划。</w:t>
      </w:r>
    </w:p>
    <w:p>
      <w:pPr>
        <w:spacing w:line="240" w:lineRule="auto" w:before="3"/>
        <w:rPr>
          <w:rFonts w:ascii="宋体" w:hAnsi="宋体" w:cs="宋体" w:eastAsia="宋体" w:hint="default"/>
          <w:sz w:val="25"/>
          <w:szCs w:val="25"/>
        </w:rPr>
      </w:pPr>
    </w:p>
    <w:p>
      <w:pPr>
        <w:pStyle w:val="Heading2"/>
        <w:spacing w:line="240" w:lineRule="auto" w:before="0"/>
        <w:ind w:right="24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38" w:right="241" w:hanging="420"/>
        <w:jc w:val="left"/>
      </w:pPr>
      <w:r>
        <w:rPr>
          <w:spacing w:val="-1"/>
        </w:rPr>
        <w:t>√适用</w:t>
        <w:tab/>
      </w:r>
      <w:r>
        <w:rPr>
          <w:spacing w:val="-2"/>
        </w:rPr>
        <w:t>□不适用</w:t>
      </w:r>
      <w:r>
        <w:rPr>
          <w:spacing w:val="-99"/>
        </w:rPr>
        <w:t> </w:t>
      </w:r>
      <w:r>
        <w:rPr>
          <w:spacing w:val="-99"/>
        </w:rPr>
      </w:r>
      <w:r>
        <w:rPr>
          <w:spacing w:val="-2"/>
        </w:rPr>
        <w:t>培训是一项重要的人力投资，同时也是一种有效的激励方式。从宏观层面来说，培训满足了</w:t>
      </w:r>
    </w:p>
    <w:p>
      <w:pPr>
        <w:pStyle w:val="BodyText"/>
        <w:spacing w:line="237" w:lineRule="auto"/>
        <w:ind w:right="237"/>
        <w:jc w:val="both"/>
      </w:pPr>
      <w:r>
        <w:rPr>
          <w:spacing w:val="-2"/>
        </w:rPr>
        <w:t>企业战略对它的要求。林洋，历经二十多年的发展，期间一直注重人才培养，使员工的知识、技</w:t>
      </w:r>
      <w:r>
        <w:rPr>
          <w:spacing w:val="-25"/>
        </w:rPr>
        <w:t> </w:t>
      </w:r>
      <w:r>
        <w:rPr>
          <w:spacing w:val="-25"/>
        </w:rPr>
      </w:r>
      <w:r>
        <w:rPr>
          <w:spacing w:val="-2"/>
        </w:rPr>
        <w:t>能与态度得以提高及改善。通过培训使员工明确目标，并提升其综合素质，显著提高工作效益，</w:t>
      </w:r>
      <w:r>
        <w:rPr>
          <w:spacing w:val="-25"/>
        </w:rPr>
        <w:t> </w:t>
      </w:r>
      <w:r>
        <w:rPr>
          <w:spacing w:val="-25"/>
        </w:rPr>
      </w:r>
      <w:r>
        <w:rPr/>
        <w:t>增强核心竞争力，为公司创造更多的价值。</w:t>
      </w:r>
    </w:p>
    <w:p>
      <w:pPr>
        <w:pStyle w:val="BodyText"/>
        <w:spacing w:line="272" w:lineRule="exact"/>
        <w:ind w:left="638" w:right="241"/>
        <w:jc w:val="left"/>
      </w:pPr>
      <w:r>
        <w:rPr>
          <w:rFonts w:ascii="宋体" w:hAnsi="宋体" w:cs="宋体" w:eastAsia="宋体" w:hint="default"/>
        </w:rPr>
        <w:t>2019</w:t>
      </w:r>
      <w:r>
        <w:rPr>
          <w:rFonts w:ascii="宋体" w:hAnsi="宋体" w:cs="宋体" w:eastAsia="宋体" w:hint="default"/>
          <w:spacing w:val="-55"/>
        </w:rPr>
        <w:t> </w:t>
      </w:r>
      <w:r>
        <w:rPr/>
        <w:t>年公司员工培训计划主要开展以下工作：</w:t>
      </w:r>
    </w:p>
    <w:p>
      <w:pPr>
        <w:pStyle w:val="BodyText"/>
        <w:spacing w:line="240" w:lineRule="auto"/>
        <w:ind w:right="241" w:firstLine="419"/>
        <w:jc w:val="left"/>
      </w:pPr>
      <w:r>
        <w:rPr>
          <w:rFonts w:ascii="宋体" w:hAnsi="宋体" w:cs="宋体" w:eastAsia="宋体" w:hint="default"/>
          <w:spacing w:val="-9"/>
        </w:rPr>
        <w:t>1</w:t>
      </w:r>
      <w:r>
        <w:rPr>
          <w:spacing w:val="-9"/>
        </w:rPr>
        <w:t>、让员工了解公司规章制度、加强员工对企业文化及组织架构的认识，增强归属感、责任感、</w:t>
      </w:r>
      <w:r>
        <w:rPr>
          <w:w w:val="100"/>
        </w:rPr>
        <w:t> </w:t>
      </w:r>
      <w:r>
        <w:rPr/>
        <w:t>使命感。</w:t>
      </w:r>
    </w:p>
    <w:p>
      <w:pPr>
        <w:pStyle w:val="BodyText"/>
        <w:spacing w:line="271" w:lineRule="exact"/>
        <w:ind w:left="638" w:right="241"/>
        <w:jc w:val="left"/>
      </w:pPr>
      <w:r>
        <w:rPr>
          <w:rFonts w:ascii="宋体" w:hAnsi="宋体" w:cs="宋体" w:eastAsia="宋体" w:hint="default"/>
        </w:rPr>
        <w:t>2</w:t>
      </w:r>
      <w:r>
        <w:rPr/>
        <w:t>、根据公司目标、本部门实际工作需要及员工能力素质的现状，制定培训计划。</w:t>
      </w:r>
    </w:p>
    <w:p>
      <w:pPr>
        <w:spacing w:after="0" w:line="271" w:lineRule="exact"/>
        <w:jc w:val="left"/>
        <w:sectPr>
          <w:headerReference w:type="default" r:id="rId35"/>
          <w:footerReference w:type="default" r:id="rId36"/>
          <w:pgSz w:w="11910" w:h="16840"/>
          <w:pgMar w:header="728" w:footer="974" w:top="1120" w:bottom="1160" w:left="1580" w:right="1040"/>
          <w:pgNumType w:start="71"/>
        </w:sectPr>
      </w:pPr>
    </w:p>
    <w:p>
      <w:pPr>
        <w:spacing w:line="240" w:lineRule="auto" w:before="6"/>
        <w:rPr>
          <w:rFonts w:ascii="宋体" w:hAnsi="宋体" w:cs="宋体" w:eastAsia="宋体" w:hint="default"/>
          <w:sz w:val="25"/>
          <w:szCs w:val="25"/>
        </w:rPr>
      </w:pPr>
    </w:p>
    <w:p>
      <w:pPr>
        <w:pStyle w:val="BodyText"/>
        <w:spacing w:line="240" w:lineRule="auto" w:before="36"/>
        <w:ind w:left="178" w:right="208" w:firstLine="419"/>
        <w:jc w:val="both"/>
      </w:pPr>
      <w:r>
        <w:rPr>
          <w:rFonts w:ascii="宋体" w:hAnsi="宋体" w:cs="宋体" w:eastAsia="宋体" w:hint="default"/>
          <w:spacing w:val="-4"/>
        </w:rPr>
        <w:t>3</w:t>
      </w:r>
      <w:r>
        <w:rPr>
          <w:spacing w:val="-4"/>
        </w:rPr>
        <w:t>、依据公司目标及董事会要求，对高中层管理者内训，制定好培训实施方案，充分提高培训</w:t>
      </w:r>
      <w:r>
        <w:rPr>
          <w:w w:val="100"/>
        </w:rPr>
        <w:t> </w:t>
      </w:r>
      <w:r>
        <w:rPr/>
        <w:t>效果。</w:t>
      </w:r>
    </w:p>
    <w:p>
      <w:pPr>
        <w:pStyle w:val="BodyText"/>
        <w:spacing w:line="237" w:lineRule="auto"/>
        <w:ind w:left="178" w:right="208" w:firstLine="419"/>
        <w:jc w:val="both"/>
      </w:pPr>
      <w:r>
        <w:rPr>
          <w:rFonts w:ascii="宋体" w:hAnsi="宋体" w:cs="宋体" w:eastAsia="宋体" w:hint="default"/>
          <w:spacing w:val="-4"/>
        </w:rPr>
        <w:t>4</w:t>
      </w:r>
      <w:r>
        <w:rPr>
          <w:spacing w:val="-4"/>
        </w:rPr>
        <w:t>、为更好的配合公司的发展战略，解决公司各部门的人员供给及储备扩充中基层管理人才问</w:t>
      </w:r>
      <w:r>
        <w:rPr>
          <w:w w:val="100"/>
        </w:rPr>
        <w:t> </w:t>
      </w:r>
      <w:r>
        <w:rPr>
          <w:spacing w:val="-2"/>
        </w:rPr>
        <w:t>题，特培养一批具有管理者潜质的人才，作为管理培训生加入公司，他们被公司寄予厚望，给予</w:t>
      </w:r>
      <w:r>
        <w:rPr>
          <w:spacing w:val="-25"/>
        </w:rPr>
        <w:t> </w:t>
      </w:r>
      <w:r>
        <w:rPr>
          <w:spacing w:val="-25"/>
        </w:rPr>
      </w:r>
      <w:r>
        <w:rPr/>
        <w:t>专门培训，争取</w:t>
      </w:r>
      <w:r>
        <w:rPr>
          <w:spacing w:val="-54"/>
        </w:rPr>
        <w:t> </w:t>
      </w:r>
      <w:r>
        <w:rPr>
          <w:rFonts w:ascii="宋体" w:hAnsi="宋体" w:cs="宋体" w:eastAsia="宋体" w:hint="default"/>
        </w:rPr>
        <w:t>1-2</w:t>
      </w:r>
      <w:r>
        <w:rPr>
          <w:rFonts w:ascii="宋体" w:hAnsi="宋体" w:cs="宋体" w:eastAsia="宋体" w:hint="default"/>
          <w:spacing w:val="-56"/>
        </w:rPr>
        <w:t> </w:t>
      </w:r>
      <w:r>
        <w:rPr/>
        <w:t>年的特别培养，使其成为公司发展的后备管理人才。</w:t>
      </w:r>
    </w:p>
    <w:p>
      <w:pPr>
        <w:pStyle w:val="BodyText"/>
        <w:spacing w:line="237" w:lineRule="auto" w:before="1"/>
        <w:ind w:left="178" w:right="208" w:firstLine="419"/>
        <w:jc w:val="both"/>
      </w:pPr>
      <w:r>
        <w:rPr>
          <w:rFonts w:ascii="宋体" w:hAnsi="宋体" w:cs="宋体" w:eastAsia="宋体" w:hint="default"/>
          <w:spacing w:val="-7"/>
        </w:rPr>
        <w:t>5</w:t>
      </w:r>
      <w:r>
        <w:rPr>
          <w:spacing w:val="-7"/>
        </w:rPr>
        <w:t>、建立属于公司自己的在线学习平台，满足公司全员培训和员工个性化培训的多重需要。</w:t>
      </w:r>
      <w:r>
        <w:rPr>
          <w:rFonts w:ascii="宋体" w:hAnsi="宋体" w:cs="宋体" w:eastAsia="宋体" w:hint="default"/>
          <w:spacing w:val="-7"/>
        </w:rPr>
        <w:t>6</w:t>
      </w:r>
      <w:r>
        <w:rPr>
          <w:spacing w:val="-7"/>
        </w:rPr>
        <w:t>、</w:t>
      </w:r>
      <w:r>
        <w:rPr>
          <w:w w:val="100"/>
        </w:rPr>
        <w:t> </w:t>
      </w:r>
      <w:r>
        <w:rPr>
          <w:spacing w:val="-2"/>
        </w:rPr>
        <w:t>为了应对国际化市场对于人才的需求，提升公司内部员工的英语水平，满足日常工作中对于英语</w:t>
      </w:r>
      <w:r>
        <w:rPr>
          <w:spacing w:val="-25"/>
        </w:rPr>
        <w:t> </w:t>
      </w:r>
      <w:r>
        <w:rPr>
          <w:spacing w:val="-25"/>
        </w:rPr>
      </w:r>
      <w:r>
        <w:rPr>
          <w:spacing w:val="-2"/>
        </w:rPr>
        <w:t>提升的迫切需要。通过阶段化英语培训，让学员逐步适应学习环境，不断提升学习的主动性，共</w:t>
      </w:r>
      <w:r>
        <w:rPr>
          <w:spacing w:val="-25"/>
        </w:rPr>
        <w:t> </w:t>
      </w:r>
      <w:r>
        <w:rPr>
          <w:spacing w:val="-25"/>
        </w:rPr>
      </w:r>
      <w:r>
        <w:rPr/>
        <w:t>同营造英语互动环境。</w:t>
      </w:r>
    </w:p>
    <w:p>
      <w:pPr>
        <w:pStyle w:val="BodyText"/>
        <w:spacing w:line="272" w:lineRule="exact" w:before="26"/>
        <w:ind w:left="178" w:right="208" w:firstLine="419"/>
        <w:jc w:val="both"/>
      </w:pPr>
      <w:r>
        <w:rPr>
          <w:rFonts w:ascii="宋体" w:hAnsi="宋体" w:cs="宋体" w:eastAsia="宋体" w:hint="default"/>
          <w:spacing w:val="-4"/>
        </w:rPr>
        <w:t>7</w:t>
      </w:r>
      <w:r>
        <w:rPr>
          <w:spacing w:val="-4"/>
        </w:rPr>
        <w:t>、实施接班人计划，使管理者在职位晋升、调动的情况下，有合适的人选能快速胜任并接替</w:t>
      </w:r>
      <w:r>
        <w:rPr>
          <w:w w:val="100"/>
        </w:rPr>
        <w:t> </w:t>
      </w:r>
      <w:r>
        <w:rPr/>
        <w:t>其岗位工作，使公司能够直面日趋激烈的市场竞争，不断变革，继续成为行业领跑者。</w:t>
      </w:r>
    </w:p>
    <w:p>
      <w:pPr>
        <w:pStyle w:val="BodyText"/>
        <w:spacing w:line="272" w:lineRule="exact" w:before="1"/>
        <w:ind w:left="178" w:right="208" w:firstLine="419"/>
        <w:jc w:val="both"/>
      </w:pPr>
      <w:r>
        <w:rPr>
          <w:rFonts w:ascii="宋体" w:hAnsi="宋体" w:cs="宋体" w:eastAsia="宋体" w:hint="default"/>
          <w:spacing w:val="-4"/>
        </w:rPr>
        <w:t>8</w:t>
      </w:r>
      <w:r>
        <w:rPr>
          <w:spacing w:val="-4"/>
        </w:rPr>
        <w:t>、制造型企业在生产运营中会出现诸多问题，在这过程中，生产线的管理者积累了丰富的实</w:t>
      </w:r>
      <w:r>
        <w:rPr>
          <w:w w:val="100"/>
        </w:rPr>
        <w:t> </w:t>
      </w:r>
      <w:r>
        <w:rPr>
          <w:spacing w:val="-2"/>
        </w:rPr>
        <w:t>践经验，他们是我们身边最好的老师，生产事件的发生、经过及问题的解决等，都可以拿来一起</w:t>
      </w:r>
    </w:p>
    <w:p>
      <w:pPr>
        <w:pStyle w:val="BodyText"/>
        <w:spacing w:line="272" w:lineRule="exact" w:before="1"/>
        <w:ind w:left="598" w:right="104" w:hanging="420"/>
        <w:jc w:val="left"/>
      </w:pPr>
      <w:r>
        <w:rPr/>
        <w:t>分享交流、予以借鉴、相互学习，开展工作经验萃取坊活动，从而保障生产工作稳定开展。</w:t>
      </w:r>
      <w:r>
        <w:rPr>
          <w:w w:val="100"/>
        </w:rPr>
        <w:t> </w:t>
      </w:r>
      <w:r>
        <w:rPr>
          <w:rFonts w:ascii="宋体" w:hAnsi="宋体" w:cs="宋体" w:eastAsia="宋体" w:hint="default"/>
          <w:spacing w:val="-2"/>
        </w:rPr>
        <w:t>9</w:t>
      </w:r>
      <w:r>
        <w:rPr>
          <w:spacing w:val="-2"/>
        </w:rPr>
        <w:t>、充分开发公司内部讲师资源，开展内部讲师知识分享会，按课程表设定，定期举办课程，</w:t>
      </w:r>
    </w:p>
    <w:p>
      <w:pPr>
        <w:pStyle w:val="BodyText"/>
        <w:spacing w:line="272" w:lineRule="exact" w:before="1"/>
        <w:ind w:left="598" w:right="104" w:hanging="420"/>
        <w:jc w:val="left"/>
      </w:pPr>
      <w:r>
        <w:rPr/>
        <w:t>传授知识，带动公司培训氛围。</w:t>
      </w:r>
      <w:r>
        <w:rPr>
          <w:w w:val="100"/>
        </w:rPr>
        <w:t> </w:t>
      </w:r>
      <w:r>
        <w:rPr>
          <w:rFonts w:ascii="宋体" w:hAnsi="宋体" w:cs="宋体" w:eastAsia="宋体" w:hint="default"/>
          <w:spacing w:val="-2"/>
        </w:rPr>
        <w:t>10</w:t>
      </w:r>
      <w:r>
        <w:rPr>
          <w:spacing w:val="-2"/>
        </w:rPr>
        <w:t>、继续推行师徒结对，为了加快技能员工培养的步伐，发挥骨干员工在技术和经验方面的</w:t>
      </w:r>
    </w:p>
    <w:p>
      <w:pPr>
        <w:pStyle w:val="BodyText"/>
        <w:spacing w:line="272" w:lineRule="exact" w:before="1"/>
        <w:ind w:left="598" w:right="104" w:hanging="420"/>
        <w:jc w:val="left"/>
      </w:pPr>
      <w:r>
        <w:rPr/>
        <w:t>优势，推动公司员工整体技能水平的提高，满足企业快速可持续发展的需要。</w:t>
      </w:r>
      <w:r>
        <w:rPr>
          <w:w w:val="100"/>
        </w:rPr>
        <w:t> </w:t>
      </w:r>
      <w:r>
        <w:rPr>
          <w:rFonts w:ascii="宋体" w:hAnsi="宋体" w:cs="宋体" w:eastAsia="宋体" w:hint="default"/>
          <w:spacing w:val="-2"/>
        </w:rPr>
        <w:t>11</w:t>
      </w:r>
      <w:r>
        <w:rPr>
          <w:spacing w:val="-2"/>
        </w:rPr>
        <w:t>、每日推送管理文章让领导者在工作之余，了解最新的管理知识，不断提升自我，更好地</w:t>
      </w:r>
    </w:p>
    <w:p>
      <w:pPr>
        <w:pStyle w:val="BodyText"/>
        <w:spacing w:line="246" w:lineRule="exact"/>
        <w:ind w:left="178" w:right="104"/>
        <w:jc w:val="left"/>
      </w:pPr>
      <w:r>
        <w:rPr/>
        <w:t>带领团队，起到事半功倍的效果。</w:t>
      </w:r>
    </w:p>
    <w:p>
      <w:pPr>
        <w:spacing w:line="240" w:lineRule="auto" w:before="3"/>
        <w:rPr>
          <w:rFonts w:ascii="宋体" w:hAnsi="宋体" w:cs="宋体" w:eastAsia="宋体" w:hint="default"/>
          <w:sz w:val="25"/>
          <w:szCs w:val="25"/>
        </w:rPr>
      </w:pPr>
    </w:p>
    <w:p>
      <w:pPr>
        <w:pStyle w:val="Heading2"/>
        <w:spacing w:line="240" w:lineRule="auto" w:before="0"/>
        <w:ind w:left="178" w:right="10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17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104"/>
        <w:jc w:val="left"/>
        <w:rPr>
          <w:b w:val="0"/>
          <w:bCs w:val="0"/>
        </w:rPr>
      </w:pPr>
      <w:r>
        <w:rPr/>
        <w:t>七、其他</w:t>
      </w:r>
      <w:r>
        <w:rPr>
          <w:b w:val="0"/>
          <w:bCs w:val="0"/>
        </w:rPr>
      </w:r>
    </w:p>
    <w:p>
      <w:pPr>
        <w:pStyle w:val="BodyText"/>
        <w:tabs>
          <w:tab w:pos="1020" w:val="left" w:leader="none"/>
        </w:tabs>
        <w:spacing w:line="240" w:lineRule="auto" w:before="56"/>
        <w:ind w:left="178" w:right="104"/>
        <w:jc w:val="left"/>
      </w:pPr>
      <w:r>
        <w:rPr>
          <w:spacing w:val="-1"/>
        </w:rPr>
        <w:t>□适用</w:t>
        <w:tab/>
      </w:r>
      <w:r>
        <w:rPr>
          <w:spacing w:val="-2"/>
        </w:rPr>
        <w:t>√不适用</w:t>
      </w:r>
    </w:p>
    <w:p>
      <w:pPr>
        <w:spacing w:line="240" w:lineRule="auto" w:before="7"/>
        <w:rPr>
          <w:rFonts w:ascii="宋体" w:hAnsi="宋体" w:cs="宋体" w:eastAsia="宋体" w:hint="default"/>
          <w:sz w:val="19"/>
          <w:szCs w:val="19"/>
        </w:rPr>
      </w:pPr>
    </w:p>
    <w:p>
      <w:pPr>
        <w:pStyle w:val="Heading1"/>
        <w:tabs>
          <w:tab w:pos="1259" w:val="left" w:leader="none"/>
        </w:tabs>
        <w:spacing w:line="240" w:lineRule="auto" w:before="0"/>
        <w:ind w:right="3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78" w:right="104"/>
        <w:jc w:val="left"/>
        <w:rPr>
          <w:b w:val="0"/>
          <w:bCs w:val="0"/>
        </w:rPr>
      </w:pPr>
      <w:r>
        <w:rPr/>
        <w:t>一、公司治理相关情况说明</w:t>
      </w:r>
      <w:r>
        <w:rPr>
          <w:b w:val="0"/>
          <w:bCs w:val="0"/>
        </w:rPr>
      </w:r>
    </w:p>
    <w:p>
      <w:pPr>
        <w:pStyle w:val="BodyText"/>
        <w:tabs>
          <w:tab w:pos="1020" w:val="left" w:leader="none"/>
        </w:tabs>
        <w:spacing w:line="240" w:lineRule="auto" w:before="58"/>
        <w:ind w:left="178" w:right="104"/>
        <w:jc w:val="left"/>
      </w:pPr>
      <w:r>
        <w:rPr>
          <w:spacing w:val="-1"/>
        </w:rPr>
        <w:t>√适用</w:t>
        <w:tab/>
      </w:r>
      <w:r>
        <w:rPr>
          <w:spacing w:val="-2"/>
        </w:rPr>
        <w:t>□不适用</w:t>
      </w:r>
    </w:p>
    <w:p>
      <w:pPr>
        <w:pStyle w:val="BodyText"/>
        <w:spacing w:line="394" w:lineRule="exact" w:before="46"/>
        <w:ind w:left="598" w:right="104"/>
        <w:jc w:val="left"/>
      </w:pPr>
      <w:r>
        <w:rPr>
          <w:rFonts w:ascii="宋体" w:hAnsi="宋体" w:cs="宋体" w:eastAsia="宋体" w:hint="default"/>
          <w:b/>
          <w:bCs/>
        </w:rPr>
        <w:t>（一）公司治理情况</w:t>
      </w:r>
      <w:r>
        <w:rPr>
          <w:rFonts w:ascii="宋体" w:hAnsi="宋体" w:cs="宋体" w:eastAsia="宋体" w:hint="default"/>
          <w:b/>
          <w:bCs/>
          <w:spacing w:val="-103"/>
        </w:rPr>
        <w:t> </w:t>
      </w:r>
      <w:r>
        <w:rPr>
          <w:spacing w:val="-2"/>
        </w:rPr>
        <w:t>报告期内，公司按照《公司法》、《证券法》、《上市公司治理准则》、《上海证券交易所</w:t>
      </w:r>
    </w:p>
    <w:p>
      <w:pPr>
        <w:pStyle w:val="BodyText"/>
        <w:spacing w:line="222" w:lineRule="exact"/>
        <w:ind w:left="178" w:right="104"/>
        <w:jc w:val="left"/>
      </w:pPr>
      <w:r>
        <w:rPr>
          <w:spacing w:val="-6"/>
        </w:rPr>
        <w:t>股票上市规则》和中国证监会有关法律法规的要求，不断完善公司法人治理结构，加强信息披露，</w:t>
      </w:r>
    </w:p>
    <w:p>
      <w:pPr>
        <w:pStyle w:val="BodyText"/>
        <w:spacing w:line="237" w:lineRule="auto" w:before="2"/>
        <w:ind w:left="178" w:right="208"/>
        <w:jc w:val="both"/>
      </w:pPr>
      <w:r>
        <w:rPr>
          <w:spacing w:val="-2"/>
        </w:rPr>
        <w:t>公司治理和内控制度建设更加规范。上市后，公司按照相关要求制定并审核实施了《重大事项内</w:t>
      </w:r>
      <w:r>
        <w:rPr>
          <w:spacing w:val="-25"/>
        </w:rPr>
        <w:t> </w:t>
      </w:r>
      <w:r>
        <w:rPr>
          <w:spacing w:val="-25"/>
        </w:rPr>
      </w:r>
      <w:r>
        <w:rPr>
          <w:spacing w:val="-13"/>
          <w:w w:val="100"/>
        </w:rPr>
        <w:t>部报告办法》、《内幕信息知情人登记管理制度》、《信息披露管理办法》等</w:t>
      </w:r>
      <w:r>
        <w:rPr>
          <w:rFonts w:ascii="宋体" w:hAnsi="宋体" w:cs="宋体" w:eastAsia="宋体" w:hint="default"/>
          <w:spacing w:val="-13"/>
          <w:w w:val="100"/>
        </w:rPr>
        <w:t>,</w:t>
      </w:r>
      <w:r>
        <w:rPr>
          <w:spacing w:val="-13"/>
          <w:w w:val="100"/>
        </w:rPr>
        <w:t>修订了《公司章程》。</w:t>
      </w:r>
      <w:r>
        <w:rPr>
          <w:spacing w:val="-96"/>
          <w:w w:val="100"/>
        </w:rPr>
        <w:t> </w:t>
      </w:r>
      <w:r>
        <w:rPr>
          <w:spacing w:val="-96"/>
          <w:w w:val="100"/>
        </w:rPr>
      </w:r>
      <w:r>
        <w:rPr>
          <w:spacing w:val="-2"/>
        </w:rPr>
        <w:t>公司董事会认为，按照中国证监会《上市公司治理准则》的文件要求，公司法人治理的实际状况</w:t>
      </w:r>
      <w:r>
        <w:rPr>
          <w:spacing w:val="-25"/>
        </w:rPr>
        <w:t> </w:t>
      </w:r>
      <w:r>
        <w:rPr>
          <w:spacing w:val="-25"/>
        </w:rPr>
      </w:r>
      <w:r>
        <w:rPr>
          <w:spacing w:val="-2"/>
        </w:rPr>
        <w:t>与该文件的要求不存在差异，本公司、公司董事会及全体董事、监事未被证监会、交易所及其他</w:t>
      </w:r>
      <w:r>
        <w:rPr>
          <w:spacing w:val="-25"/>
        </w:rPr>
        <w:t> </w:t>
      </w:r>
      <w:r>
        <w:rPr>
          <w:spacing w:val="-25"/>
        </w:rPr>
      </w:r>
      <w:r>
        <w:rPr/>
        <w:t>行政管理部门处罚。</w:t>
      </w:r>
    </w:p>
    <w:p>
      <w:pPr>
        <w:pStyle w:val="BodyText"/>
        <w:spacing w:line="340" w:lineRule="auto" w:before="116"/>
        <w:ind w:left="598" w:right="4367"/>
        <w:jc w:val="left"/>
      </w:pPr>
      <w:r>
        <w:rPr>
          <w:spacing w:val="-2"/>
        </w:rPr>
        <w:t>公司的治理情况具体如下：</w:t>
      </w:r>
      <w:r>
        <w:rPr>
          <w:spacing w:val="-82"/>
        </w:rPr>
        <w:t> </w:t>
      </w:r>
      <w:r>
        <w:rPr>
          <w:spacing w:val="-82"/>
        </w:rPr>
      </w:r>
      <w:r>
        <w:rPr>
          <w:rFonts w:ascii="宋体" w:hAnsi="宋体" w:cs="宋体" w:eastAsia="宋体" w:hint="default"/>
        </w:rPr>
        <w:t>1</w:t>
      </w:r>
      <w:r>
        <w:rPr/>
        <w:t>、股东和股东大会</w:t>
      </w:r>
    </w:p>
    <w:p>
      <w:pPr>
        <w:pStyle w:val="BodyText"/>
        <w:spacing w:line="237" w:lineRule="auto" w:before="33"/>
        <w:ind w:left="178" w:right="217" w:firstLine="419"/>
        <w:jc w:val="both"/>
      </w:pPr>
      <w:r>
        <w:rPr>
          <w:spacing w:val="-2"/>
        </w:rPr>
        <w:t>公司能够严格按照相关法律法规、《公司章程》和《股东大会议事规则》的要求召集股东大</w:t>
      </w:r>
      <w:r>
        <w:rPr>
          <w:w w:val="100"/>
        </w:rPr>
        <w:t> </w:t>
      </w:r>
      <w:r>
        <w:rPr>
          <w:spacing w:val="-2"/>
        </w:rPr>
        <w:t>会，严格履行会议召开程序，平等对待全体股东，并能确保股东充分行使自己的权利，使其对重</w:t>
      </w:r>
      <w:r>
        <w:rPr>
          <w:spacing w:val="-25"/>
        </w:rPr>
        <w:t> </w:t>
      </w:r>
      <w:r>
        <w:rPr>
          <w:spacing w:val="-25"/>
        </w:rPr>
      </w:r>
      <w:r>
        <w:rPr/>
        <w:t>大事项享有知情权和决策参与权。</w:t>
      </w:r>
    </w:p>
    <w:p>
      <w:pPr>
        <w:pStyle w:val="BodyText"/>
        <w:spacing w:line="240" w:lineRule="auto" w:before="117"/>
        <w:ind w:left="598" w:right="104"/>
        <w:jc w:val="left"/>
      </w:pPr>
      <w:r>
        <w:rPr>
          <w:rFonts w:ascii="宋体" w:hAnsi="宋体" w:cs="宋体" w:eastAsia="宋体" w:hint="default"/>
        </w:rPr>
        <w:t>2</w:t>
      </w:r>
      <w:r>
        <w:rPr/>
        <w:t>、控股股东和上市公司</w:t>
      </w:r>
    </w:p>
    <w:p>
      <w:pPr>
        <w:spacing w:after="0" w:line="240" w:lineRule="auto"/>
        <w:jc w:val="left"/>
        <w:sectPr>
          <w:pgSz w:w="11910" w:h="16840"/>
          <w:pgMar w:header="728" w:footer="974" w:top="1120" w:bottom="1160" w:left="1620" w:right="1060"/>
        </w:sectPr>
      </w:pPr>
    </w:p>
    <w:p>
      <w:pPr>
        <w:spacing w:line="240" w:lineRule="auto" w:before="6"/>
        <w:rPr>
          <w:rFonts w:ascii="宋体" w:hAnsi="宋体" w:cs="宋体" w:eastAsia="宋体" w:hint="default"/>
          <w:sz w:val="25"/>
          <w:szCs w:val="25"/>
        </w:rPr>
      </w:pPr>
    </w:p>
    <w:p>
      <w:pPr>
        <w:pStyle w:val="BodyText"/>
        <w:spacing w:line="237" w:lineRule="auto" w:before="38"/>
        <w:ind w:left="178" w:right="137" w:firstLine="419"/>
        <w:jc w:val="both"/>
      </w:pPr>
      <w:r>
        <w:rPr>
          <w:spacing w:val="-2"/>
        </w:rPr>
        <w:t>为了规范控股股东的行为，公司严格执行《关于防止大股东及关联方资金占用的专项制度》</w:t>
      </w:r>
      <w:r>
        <w:rPr>
          <w:w w:val="100"/>
        </w:rPr>
        <w:t> </w:t>
      </w:r>
      <w:r>
        <w:rPr>
          <w:spacing w:val="-2"/>
        </w:rPr>
        <w:t>和《关联交易制度》等一系列的制度。公司与控股股东在人员、资产、财务方面完全分开，机构</w:t>
      </w:r>
      <w:r>
        <w:rPr>
          <w:spacing w:val="-25"/>
        </w:rPr>
        <w:t> </w:t>
      </w:r>
      <w:r>
        <w:rPr>
          <w:spacing w:val="-25"/>
        </w:rPr>
      </w:r>
      <w:r>
        <w:rPr>
          <w:spacing w:val="-2"/>
        </w:rPr>
        <w:t>与业务独立。公司与控股股东的关联交易公平合理，符合市场定价原则，不存在控股股东占用公</w:t>
      </w:r>
      <w:r>
        <w:rPr>
          <w:spacing w:val="-25"/>
        </w:rPr>
        <w:t> </w:t>
      </w:r>
      <w:r>
        <w:rPr>
          <w:spacing w:val="-25"/>
        </w:rPr>
      </w:r>
      <w:r>
        <w:rPr>
          <w:spacing w:val="-2"/>
        </w:rPr>
        <w:t>司资金的情况。公司董事长兼总经理陆永华先生作为本公司的控股股东及实际控制人，能够严格</w:t>
      </w:r>
      <w:r>
        <w:rPr>
          <w:spacing w:val="-25"/>
        </w:rPr>
        <w:t> </w:t>
      </w:r>
      <w:r>
        <w:rPr>
          <w:spacing w:val="-25"/>
        </w:rPr>
      </w:r>
      <w:r>
        <w:rPr/>
        <w:t>按照有关规定行使出资人的权利并履行相关义务，没有利用其控股地位损害公司利益。</w:t>
      </w:r>
    </w:p>
    <w:p>
      <w:pPr>
        <w:pStyle w:val="BodyText"/>
        <w:spacing w:line="240" w:lineRule="auto" w:before="119"/>
        <w:ind w:left="598" w:right="0"/>
        <w:jc w:val="left"/>
      </w:pPr>
      <w:r>
        <w:rPr>
          <w:rFonts w:ascii="宋体" w:hAnsi="宋体" w:cs="宋体" w:eastAsia="宋体" w:hint="default"/>
        </w:rPr>
        <w:t>3</w:t>
      </w:r>
      <w:r>
        <w:rPr/>
        <w:t>、董事和董事会</w:t>
      </w:r>
    </w:p>
    <w:p>
      <w:pPr>
        <w:pStyle w:val="BodyText"/>
        <w:spacing w:line="237" w:lineRule="auto" w:before="119"/>
        <w:ind w:left="178" w:right="130" w:firstLine="419"/>
        <w:jc w:val="both"/>
      </w:pPr>
      <w:r>
        <w:rPr/>
        <w:t>公司董事会由</w:t>
      </w:r>
      <w:r>
        <w:rPr>
          <w:spacing w:val="-53"/>
        </w:rPr>
        <w:t> </w:t>
      </w:r>
      <w:r>
        <w:rPr>
          <w:rFonts w:ascii="宋体" w:hAnsi="宋体" w:cs="宋体" w:eastAsia="宋体" w:hint="default"/>
        </w:rPr>
        <w:t>7</w:t>
      </w:r>
      <w:r>
        <w:rPr>
          <w:rFonts w:ascii="宋体" w:hAnsi="宋体" w:cs="宋体" w:eastAsia="宋体" w:hint="default"/>
          <w:spacing w:val="-55"/>
        </w:rPr>
        <w:t> </w:t>
      </w:r>
      <w:r>
        <w:rPr/>
        <w:t>名董事组成，其中独立董事</w:t>
      </w:r>
      <w:r>
        <w:rPr>
          <w:spacing w:val="-52"/>
        </w:rPr>
        <w:t> </w:t>
      </w:r>
      <w:r>
        <w:rPr>
          <w:rFonts w:ascii="宋体" w:hAnsi="宋体" w:cs="宋体" w:eastAsia="宋体" w:hint="default"/>
        </w:rPr>
        <w:t>3</w:t>
      </w:r>
      <w:r>
        <w:rPr>
          <w:rFonts w:ascii="宋体" w:hAnsi="宋体" w:cs="宋体" w:eastAsia="宋体" w:hint="default"/>
          <w:spacing w:val="-55"/>
        </w:rPr>
        <w:t> </w:t>
      </w:r>
      <w:r>
        <w:rPr/>
        <w:t>名，董事会的人数、构成及选聘程序符合相关</w:t>
      </w:r>
      <w:r>
        <w:rPr>
          <w:w w:val="100"/>
        </w:rPr>
        <w:t> </w:t>
      </w:r>
      <w:r>
        <w:rPr>
          <w:spacing w:val="-2"/>
        </w:rPr>
        <w:t>法律法规、《公司章程》及《董事会议事规则》的规定。为进一步完善公司治理结构，公司董事</w:t>
      </w:r>
      <w:r>
        <w:rPr>
          <w:spacing w:val="-25"/>
        </w:rPr>
        <w:t> </w:t>
      </w:r>
      <w:r>
        <w:rPr>
          <w:spacing w:val="-25"/>
        </w:rPr>
      </w:r>
      <w:r>
        <w:rPr>
          <w:spacing w:val="-2"/>
        </w:rPr>
        <w:t>会成立了战略、提名、审计、薪酬与考核四个专业委员会，各委员会分工明确，运作正常，勤勉</w:t>
      </w:r>
      <w:r>
        <w:rPr>
          <w:spacing w:val="-25"/>
        </w:rPr>
        <w:t> </w:t>
      </w:r>
      <w:r>
        <w:rPr>
          <w:spacing w:val="-25"/>
        </w:rPr>
      </w:r>
      <w:r>
        <w:rPr>
          <w:spacing w:val="-2"/>
        </w:rPr>
        <w:t>尽责地为董事会的决策提供了科学和专业的意见。公司董事能以认真负责、勤勉诚信的态度出席</w:t>
      </w:r>
      <w:r>
        <w:rPr>
          <w:spacing w:val="-25"/>
        </w:rPr>
        <w:t> </w:t>
      </w:r>
      <w:r>
        <w:rPr>
          <w:spacing w:val="-25"/>
        </w:rPr>
      </w:r>
      <w:r>
        <w:rPr>
          <w:spacing w:val="-2"/>
        </w:rPr>
        <w:t>董事会和股东大会，切实履行各自的义务。独立董事能够严格按照公司《独立董事制度》独立履</w:t>
      </w:r>
      <w:r>
        <w:rPr>
          <w:spacing w:val="-25"/>
        </w:rPr>
        <w:t> </w:t>
      </w:r>
      <w:r>
        <w:rPr>
          <w:spacing w:val="-25"/>
        </w:rPr>
      </w:r>
      <w:r>
        <w:rPr>
          <w:spacing w:val="-6"/>
        </w:rPr>
        <w:t>行职责，参与公司的决策和监督，增强了董事会决策的科学性、客观性，提高了公司的治理水平。</w:t>
      </w:r>
    </w:p>
    <w:p>
      <w:pPr>
        <w:pStyle w:val="BodyText"/>
        <w:spacing w:line="240" w:lineRule="auto" w:before="116"/>
        <w:ind w:left="598" w:right="0"/>
        <w:jc w:val="left"/>
      </w:pPr>
      <w:r>
        <w:rPr>
          <w:rFonts w:ascii="宋体" w:hAnsi="宋体" w:cs="宋体" w:eastAsia="宋体" w:hint="default"/>
        </w:rPr>
        <w:t>4</w:t>
      </w:r>
      <w:r>
        <w:rPr/>
        <w:t>、监事和监事会</w:t>
      </w:r>
    </w:p>
    <w:p>
      <w:pPr>
        <w:pStyle w:val="BodyText"/>
        <w:spacing w:line="272" w:lineRule="exact" w:before="146"/>
        <w:ind w:left="178" w:right="137" w:firstLine="419"/>
        <w:jc w:val="both"/>
      </w:pPr>
      <w:r>
        <w:rPr/>
        <w:t>公司监事会由</w:t>
      </w:r>
      <w:r>
        <w:rPr>
          <w:spacing w:val="-53"/>
        </w:rPr>
        <w:t> </w:t>
      </w:r>
      <w:r>
        <w:rPr>
          <w:rFonts w:ascii="宋体" w:hAnsi="宋体" w:cs="宋体" w:eastAsia="宋体" w:hint="default"/>
        </w:rPr>
        <w:t>3</w:t>
      </w:r>
      <w:r>
        <w:rPr>
          <w:rFonts w:ascii="宋体" w:hAnsi="宋体" w:cs="宋体" w:eastAsia="宋体" w:hint="default"/>
          <w:spacing w:val="-55"/>
        </w:rPr>
        <w:t> </w:t>
      </w:r>
      <w:r>
        <w:rPr/>
        <w:t>名监事组成，其中</w:t>
      </w:r>
      <w:r>
        <w:rPr>
          <w:spacing w:val="-52"/>
        </w:rPr>
        <w:t> </w:t>
      </w:r>
      <w:r>
        <w:rPr>
          <w:rFonts w:ascii="宋体" w:hAnsi="宋体" w:cs="宋体" w:eastAsia="宋体" w:hint="default"/>
        </w:rPr>
        <w:t>1</w:t>
      </w:r>
      <w:r>
        <w:rPr>
          <w:rFonts w:ascii="宋体" w:hAnsi="宋体" w:cs="宋体" w:eastAsia="宋体" w:hint="default"/>
          <w:spacing w:val="-55"/>
        </w:rPr>
        <w:t> </w:t>
      </w:r>
      <w:r>
        <w:rPr/>
        <w:t>名为职工代表监事，监事会的人数、构成及选聘程序均</w:t>
      </w:r>
      <w:r>
        <w:rPr>
          <w:w w:val="100"/>
        </w:rPr>
        <w:t> </w:t>
      </w:r>
      <w:r>
        <w:rPr>
          <w:spacing w:val="-2"/>
        </w:rPr>
        <w:t>符合相关法律法规、《公司章程》及《监事会议事规则》的规定。公司严格按照《公司章程》和</w:t>
      </w:r>
    </w:p>
    <w:p>
      <w:pPr>
        <w:pStyle w:val="BodyText"/>
        <w:spacing w:line="272" w:lineRule="exact" w:before="1"/>
        <w:ind w:left="178" w:right="0"/>
        <w:jc w:val="left"/>
      </w:pPr>
      <w:r>
        <w:rPr>
          <w:spacing w:val="-2"/>
        </w:rPr>
        <w:t>《监事会议事规则》的规定召集召开监事会，监事会的成员能够认真履行其职责，审议公司的定</w:t>
      </w:r>
      <w:r>
        <w:rPr>
          <w:spacing w:val="-25"/>
        </w:rPr>
        <w:t> </w:t>
      </w:r>
      <w:r>
        <w:rPr>
          <w:spacing w:val="-25"/>
        </w:rPr>
      </w:r>
      <w:r>
        <w:rPr>
          <w:spacing w:val="-2"/>
        </w:rPr>
        <w:t>期报告，列席公司股东大会和董事会，对董事、高级管理人员执行公司职务的行为进行监督，并</w:t>
      </w:r>
    </w:p>
    <w:p>
      <w:pPr>
        <w:pStyle w:val="BodyText"/>
        <w:spacing w:line="249" w:lineRule="exact"/>
        <w:ind w:left="178" w:right="0"/>
        <w:jc w:val="both"/>
      </w:pPr>
      <w:r>
        <w:rPr/>
        <w:t>发表意见，维护了公司及股东的合法权益。</w:t>
      </w:r>
    </w:p>
    <w:p>
      <w:pPr>
        <w:pStyle w:val="BodyText"/>
        <w:spacing w:line="390" w:lineRule="atLeast" w:before="1"/>
        <w:ind w:left="598" w:right="0"/>
        <w:jc w:val="left"/>
      </w:pPr>
      <w:r>
        <w:rPr>
          <w:rFonts w:ascii="宋体" w:hAnsi="宋体" w:cs="宋体" w:eastAsia="宋体" w:hint="default"/>
        </w:rPr>
        <w:t>5</w:t>
      </w:r>
      <w:r>
        <w:rPr/>
        <w:t>、高级管理人员及经理层</w:t>
      </w:r>
      <w:r>
        <w:rPr>
          <w:w w:val="100"/>
        </w:rPr>
        <w:t> </w:t>
      </w:r>
      <w:r>
        <w:rPr>
          <w:spacing w:val="-2"/>
        </w:rPr>
        <w:t>公司的高级管理人员能够严格按照《公司章程》的要求，参与公司重大决策事项的讨论，审</w:t>
      </w:r>
    </w:p>
    <w:p>
      <w:pPr>
        <w:pStyle w:val="BodyText"/>
        <w:spacing w:line="272" w:lineRule="exact" w:before="26"/>
        <w:ind w:left="178" w:right="0"/>
        <w:jc w:val="left"/>
      </w:pPr>
      <w:r>
        <w:rPr>
          <w:spacing w:val="-2"/>
        </w:rPr>
        <w:t>议公司的定期报告，列席公司的董事会和股东大会。公司的经理层能够勤勉尽责，对公司日常生</w:t>
      </w:r>
      <w:r>
        <w:rPr>
          <w:spacing w:val="-25"/>
        </w:rPr>
        <w:t> </w:t>
      </w:r>
      <w:r>
        <w:rPr>
          <w:spacing w:val="-25"/>
        </w:rPr>
      </w:r>
      <w:r>
        <w:rPr/>
        <w:t>产经营实施有效的管理和控制，保障了公司每年制定的年度经营目标的完成。</w:t>
      </w:r>
    </w:p>
    <w:p>
      <w:pPr>
        <w:pStyle w:val="BodyText"/>
        <w:spacing w:line="392" w:lineRule="exact" w:before="25"/>
        <w:ind w:left="598" w:right="0"/>
        <w:jc w:val="left"/>
      </w:pPr>
      <w:r>
        <w:rPr>
          <w:rFonts w:ascii="宋体" w:hAnsi="宋体" w:cs="宋体" w:eastAsia="宋体" w:hint="default"/>
        </w:rPr>
        <w:t>6</w:t>
      </w:r>
      <w:r>
        <w:rPr/>
        <w:t>、利益相关者</w:t>
      </w:r>
      <w:r>
        <w:rPr>
          <w:w w:val="100"/>
        </w:rPr>
        <w:t> </w:t>
      </w:r>
      <w:r>
        <w:rPr>
          <w:spacing w:val="-2"/>
        </w:rPr>
        <w:t>公司尊重和维护银行及其他债权人、员工、客户、消费者、社区等利益相关者的合法权益；</w:t>
      </w:r>
    </w:p>
    <w:p>
      <w:pPr>
        <w:pStyle w:val="BodyText"/>
        <w:spacing w:line="223" w:lineRule="exact"/>
        <w:ind w:left="178" w:right="0"/>
        <w:jc w:val="both"/>
      </w:pPr>
      <w:r>
        <w:rPr/>
        <w:t>公司重视社会责任，努力加强与利益相关者的沟通和交流，共同推进持续、健康地发展，积极承</w:t>
      </w:r>
    </w:p>
    <w:p>
      <w:pPr>
        <w:pStyle w:val="BodyText"/>
        <w:spacing w:line="273" w:lineRule="exact"/>
        <w:ind w:left="178" w:right="0"/>
        <w:jc w:val="both"/>
      </w:pPr>
      <w:r>
        <w:rPr/>
        <w:t>担社会责任。</w:t>
      </w:r>
    </w:p>
    <w:p>
      <w:pPr>
        <w:pStyle w:val="BodyText"/>
        <w:spacing w:line="390" w:lineRule="atLeast" w:before="3"/>
        <w:ind w:left="598" w:right="0"/>
        <w:jc w:val="left"/>
      </w:pPr>
      <w:r>
        <w:rPr>
          <w:rFonts w:ascii="宋体" w:hAnsi="宋体" w:cs="宋体" w:eastAsia="宋体" w:hint="default"/>
        </w:rPr>
        <w:t>7</w:t>
      </w:r>
      <w:r>
        <w:rPr/>
        <w:t>、绩效评价与激励约束机制</w:t>
      </w:r>
      <w:r>
        <w:rPr>
          <w:w w:val="100"/>
        </w:rPr>
        <w:t> </w:t>
      </w:r>
      <w:r>
        <w:rPr>
          <w:spacing w:val="-2"/>
        </w:rPr>
        <w:t>公司已初步建立董事、监事及高级管理人员的绩效评价标准与激励约束机制，公司经理人员</w:t>
      </w:r>
    </w:p>
    <w:p>
      <w:pPr>
        <w:pStyle w:val="BodyText"/>
        <w:spacing w:line="237" w:lineRule="auto" w:before="1"/>
        <w:ind w:left="178" w:right="137"/>
        <w:jc w:val="both"/>
      </w:pPr>
      <w:r>
        <w:rPr>
          <w:spacing w:val="-2"/>
        </w:rPr>
        <w:t>的聘任公开、透明、合规。每年年初，公司制定各部门和分子公司负责人经营考核目标，明确相</w:t>
      </w:r>
      <w:r>
        <w:rPr>
          <w:spacing w:val="-25"/>
        </w:rPr>
        <w:t> </w:t>
      </w:r>
      <w:r>
        <w:rPr>
          <w:spacing w:val="-25"/>
        </w:rPr>
      </w:r>
      <w:r>
        <w:rPr>
          <w:spacing w:val="-2"/>
        </w:rPr>
        <w:t>关人员、单位本年度的经营目标和考核指标，年终进行评价与考核，并以此对相关人员的业绩和</w:t>
      </w:r>
      <w:r>
        <w:rPr>
          <w:spacing w:val="-25"/>
        </w:rPr>
        <w:t> </w:t>
      </w:r>
      <w:r>
        <w:rPr>
          <w:spacing w:val="-25"/>
        </w:rPr>
      </w:r>
      <w:r>
        <w:rPr/>
        <w:t>绩效进行考评和奖惩。</w:t>
      </w:r>
    </w:p>
    <w:p>
      <w:pPr>
        <w:pStyle w:val="BodyText"/>
        <w:spacing w:line="394" w:lineRule="exact" w:before="47"/>
        <w:ind w:left="598" w:right="0"/>
        <w:jc w:val="left"/>
      </w:pPr>
      <w:r>
        <w:rPr>
          <w:rFonts w:ascii="宋体" w:hAnsi="宋体" w:cs="宋体" w:eastAsia="宋体" w:hint="default"/>
        </w:rPr>
        <w:t>8</w:t>
      </w:r>
      <w:r>
        <w:rPr/>
        <w:t>、信息披露与透明度</w:t>
      </w:r>
      <w:r>
        <w:rPr>
          <w:w w:val="100"/>
        </w:rPr>
        <w:t> </w:t>
      </w:r>
      <w:r>
        <w:rPr>
          <w:spacing w:val="-2"/>
        </w:rPr>
        <w:t>公司指定董事会秘书负责信息披露，公司证券部在公司董事会秘书的领导下开展信息披露工</w:t>
      </w:r>
    </w:p>
    <w:p>
      <w:pPr>
        <w:pStyle w:val="BodyText"/>
        <w:spacing w:line="221" w:lineRule="exact"/>
        <w:ind w:left="178" w:right="0"/>
        <w:jc w:val="both"/>
      </w:pPr>
      <w:r>
        <w:rPr/>
        <w:t>作、接待股东来访和咨询。《上海证券报》为公司信息披露的报纸，上海证券交易所网站为公司</w:t>
      </w:r>
    </w:p>
    <w:p>
      <w:pPr>
        <w:pStyle w:val="BodyText"/>
        <w:spacing w:line="272" w:lineRule="exact" w:before="27"/>
        <w:ind w:left="178" w:right="0"/>
        <w:jc w:val="left"/>
      </w:pPr>
      <w:r>
        <w:rPr>
          <w:spacing w:val="-2"/>
        </w:rPr>
        <w:t>信息披露网站；公司的会议决议及相关重大事项能够按照法律法规、《公司章程》和公司《信息</w:t>
      </w:r>
      <w:r>
        <w:rPr>
          <w:spacing w:val="-25"/>
        </w:rPr>
        <w:t> </w:t>
      </w:r>
      <w:r>
        <w:rPr>
          <w:spacing w:val="-25"/>
        </w:rPr>
      </w:r>
      <w:r>
        <w:rPr>
          <w:spacing w:val="-2"/>
        </w:rPr>
        <w:t>披露管理办法》的规定真实、准确、完整地披露有关信息。公司重大事项内幕信息能够按照公司</w:t>
      </w:r>
    </w:p>
    <w:p>
      <w:pPr>
        <w:pStyle w:val="BodyText"/>
        <w:spacing w:line="272" w:lineRule="exact" w:before="1"/>
        <w:ind w:left="178" w:right="0"/>
        <w:jc w:val="left"/>
      </w:pPr>
      <w:r>
        <w:rPr>
          <w:spacing w:val="-2"/>
        </w:rPr>
        <w:t>《内幕信息知情人登记管理制度》并做好信息披露前的保密工作，确保所有股东均能公平、公正</w:t>
      </w:r>
      <w:r>
        <w:rPr>
          <w:spacing w:val="-25"/>
        </w:rPr>
        <w:t> </w:t>
      </w:r>
      <w:r>
        <w:rPr>
          <w:spacing w:val="-25"/>
        </w:rPr>
      </w:r>
      <w:r>
        <w:rPr/>
        <w:t>地获得信息。</w:t>
      </w:r>
    </w:p>
    <w:p>
      <w:pPr>
        <w:pStyle w:val="BodyText"/>
        <w:spacing w:line="392" w:lineRule="exact" w:before="25"/>
        <w:ind w:left="598" w:right="0"/>
        <w:jc w:val="left"/>
      </w:pPr>
      <w:r>
        <w:rPr>
          <w:rFonts w:ascii="宋体" w:hAnsi="宋体" w:cs="宋体" w:eastAsia="宋体" w:hint="default"/>
        </w:rPr>
        <w:t>9</w:t>
      </w:r>
      <w:r>
        <w:rPr/>
        <w:t>、投资者关系</w:t>
      </w:r>
      <w:r>
        <w:rPr>
          <w:w w:val="100"/>
        </w:rPr>
        <w:t> </w:t>
      </w:r>
      <w:r>
        <w:rPr>
          <w:spacing w:val="-2"/>
        </w:rPr>
        <w:t>公司按照《投资者关系管理制度》加强投资者关系管理工作，认真做好投资者来电的接听、</w:t>
      </w:r>
    </w:p>
    <w:p>
      <w:pPr>
        <w:pStyle w:val="BodyText"/>
        <w:spacing w:line="222" w:lineRule="exact"/>
        <w:ind w:left="178" w:right="0"/>
        <w:jc w:val="both"/>
      </w:pPr>
      <w:r>
        <w:rPr/>
        <w:t>答复以及传真、电子信箱的接收和回复，增强了与投资者的沟通，加强了公司与投资者及潜在投</w:t>
      </w:r>
    </w:p>
    <w:p>
      <w:pPr>
        <w:pStyle w:val="BodyText"/>
        <w:spacing w:line="274" w:lineRule="exact"/>
        <w:ind w:left="178" w:right="0"/>
        <w:jc w:val="both"/>
      </w:pPr>
      <w:r>
        <w:rPr/>
        <w:t>资者之间的联系，促进投资者对公司投资价值的全面、深入了解。</w:t>
      </w:r>
    </w:p>
    <w:p>
      <w:pPr>
        <w:pStyle w:val="Heading2"/>
        <w:spacing w:line="240" w:lineRule="auto" w:before="116"/>
        <w:ind w:left="600" w:right="0"/>
        <w:jc w:val="left"/>
        <w:rPr>
          <w:b w:val="0"/>
          <w:bCs w:val="0"/>
        </w:rPr>
      </w:pPr>
      <w:r>
        <w:rPr/>
        <w:t>（二）内幕知情人登记管理情况</w:t>
      </w:r>
      <w:r>
        <w:rPr>
          <w:b w:val="0"/>
          <w:bCs w:val="0"/>
        </w:rPr>
      </w:r>
    </w:p>
    <w:p>
      <w:pPr>
        <w:spacing w:after="0" w:line="240" w:lineRule="auto"/>
        <w:jc w:val="left"/>
        <w:sectPr>
          <w:pgSz w:w="11910" w:h="16840"/>
          <w:pgMar w:header="728" w:footer="974" w:top="1120" w:bottom="1160" w:left="1620" w:right="1140"/>
        </w:sectPr>
      </w:pPr>
    </w:p>
    <w:p>
      <w:pPr>
        <w:spacing w:line="240" w:lineRule="auto" w:before="6"/>
        <w:rPr>
          <w:rFonts w:ascii="宋体" w:hAnsi="宋体" w:cs="宋体" w:eastAsia="宋体" w:hint="default"/>
          <w:b/>
          <w:bCs/>
          <w:sz w:val="25"/>
          <w:szCs w:val="25"/>
        </w:rPr>
      </w:pPr>
    </w:p>
    <w:p>
      <w:pPr>
        <w:pStyle w:val="BodyText"/>
        <w:spacing w:line="237" w:lineRule="auto" w:before="38"/>
        <w:ind w:right="237" w:firstLine="419"/>
        <w:jc w:val="both"/>
      </w:pPr>
      <w:r>
        <w:rPr>
          <w:spacing w:val="-2"/>
        </w:rPr>
        <w:t>报告期内，公司严格执行内幕信息登记管理制度，严格规范信息传递流程，在定期报告披露</w:t>
      </w:r>
      <w:r>
        <w:rPr>
          <w:w w:val="100"/>
        </w:rPr>
        <w:t> </w:t>
      </w:r>
      <w:r>
        <w:rPr>
          <w:spacing w:val="-2"/>
        </w:rPr>
        <w:t>期间和临时公告披露期间，对未公开信息，公司证券部都会严格控制知情人范围并组织填写《内</w:t>
      </w:r>
      <w:r>
        <w:rPr>
          <w:spacing w:val="-25"/>
        </w:rPr>
        <w:t> </w:t>
      </w:r>
      <w:r>
        <w:rPr>
          <w:spacing w:val="-25"/>
        </w:rPr>
      </w:r>
      <w:r>
        <w:rPr>
          <w:spacing w:val="-2"/>
        </w:rPr>
        <w:t>幕信息知情人档案表》，如实、完整记录上述信息在公开前的所有内幕信息知情人名单，以及知</w:t>
      </w:r>
      <w:r>
        <w:rPr>
          <w:spacing w:val="-25"/>
        </w:rPr>
        <w:t> </w:t>
      </w:r>
      <w:r>
        <w:rPr>
          <w:spacing w:val="-25"/>
        </w:rPr>
      </w:r>
      <w:r>
        <w:rPr/>
        <w:t>情人知悉内幕信息的时间等。</w:t>
      </w:r>
    </w:p>
    <w:p>
      <w:pPr>
        <w:pStyle w:val="BodyText"/>
        <w:spacing w:line="237" w:lineRule="auto" w:before="119"/>
        <w:ind w:right="237" w:firstLine="419"/>
        <w:jc w:val="both"/>
      </w:pPr>
      <w:r>
        <w:rPr>
          <w:spacing w:val="-2"/>
        </w:rPr>
        <w:t>报告期内，公司董事、监事、高级管理人员及其他相关人员严格遵守内幕信息知情人登记管</w:t>
      </w:r>
      <w:r>
        <w:rPr>
          <w:w w:val="100"/>
        </w:rPr>
        <w:t> </w:t>
      </w:r>
      <w:r>
        <w:rPr>
          <w:spacing w:val="-2"/>
        </w:rPr>
        <w:t>理制度，未发现有内幕信息知情人利用内幕信息买卖公司股票的情况，未发生因内幕信息知情人</w:t>
      </w:r>
      <w:r>
        <w:rPr>
          <w:spacing w:val="-25"/>
        </w:rPr>
        <w:t> </w:t>
      </w:r>
      <w:r>
        <w:rPr>
          <w:spacing w:val="-25"/>
        </w:rPr>
      </w:r>
      <w:r>
        <w:rPr/>
        <w:t>涉嫌内幕交易受到监管部门查处情况。</w:t>
      </w:r>
    </w:p>
    <w:p>
      <w:pPr>
        <w:spacing w:line="240" w:lineRule="auto" w:before="9"/>
        <w:rPr>
          <w:rFonts w:ascii="宋体" w:hAnsi="宋体" w:cs="宋体" w:eastAsia="宋体" w:hint="default"/>
          <w:sz w:val="20"/>
          <w:szCs w:val="20"/>
        </w:rPr>
      </w:pPr>
    </w:p>
    <w:p>
      <w:pPr>
        <w:pStyle w:val="BodyText"/>
        <w:spacing w:line="274" w:lineRule="exact"/>
        <w:ind w:right="241"/>
        <w:jc w:val="left"/>
      </w:pPr>
      <w:r>
        <w:rPr/>
        <w:t>公司治理与中国证监会相关规定的要求是否存在重大差异；如有重大差异，应当说明原因</w:t>
      </w:r>
    </w:p>
    <w:p>
      <w:pPr>
        <w:pStyle w:val="BodyText"/>
        <w:spacing w:line="272" w:lineRule="exact" w:before="27"/>
        <w:ind w:right="241"/>
        <w:jc w:val="left"/>
      </w:pPr>
      <w:r>
        <w:rPr/>
        <w:t>√适用</w:t>
      </w:r>
      <w:r>
        <w:rPr>
          <w:spacing w:val="-2"/>
        </w:rPr>
        <w:t> </w:t>
      </w:r>
      <w:r>
        <w:rPr/>
        <w:t>□不适用</w:t>
      </w:r>
      <w:r>
        <w:rPr>
          <w:w w:val="100"/>
        </w:rPr>
        <w:t> </w:t>
      </w:r>
      <w:r>
        <w:rPr>
          <w:spacing w:val="-2"/>
        </w:rPr>
        <w:t>截止本报告期末，公司法人治理结构完善，符合《公司法》和中国证监会相关规定的要求。</w:t>
      </w:r>
    </w:p>
    <w:p>
      <w:pPr>
        <w:spacing w:line="240" w:lineRule="auto" w:before="5"/>
        <w:rPr>
          <w:rFonts w:ascii="宋体" w:hAnsi="宋体" w:cs="宋体" w:eastAsia="宋体" w:hint="default"/>
          <w:sz w:val="23"/>
          <w:szCs w:val="23"/>
        </w:rPr>
      </w:pPr>
    </w:p>
    <w:p>
      <w:pPr>
        <w:pStyle w:val="Heading2"/>
        <w:spacing w:line="240" w:lineRule="auto" w:before="0"/>
        <w:ind w:right="241"/>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年第一次临时股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年第二次临时股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年第三次临时股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年第四次临时股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东大会（已取消）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年第五次临时股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年第六次临时股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年第七次临时股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6">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39" w:lineRule="exact"/>
        <w:ind w:right="241"/>
        <w:jc w:val="left"/>
      </w:pPr>
      <w:r>
        <w:rPr/>
        <w:t>股东大会情况说明</w:t>
      </w:r>
    </w:p>
    <w:p>
      <w:pPr>
        <w:pStyle w:val="BodyText"/>
        <w:spacing w:line="273" w:lineRule="exact"/>
        <w:ind w:right="24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1"/>
        <w:jc w:val="left"/>
        <w:rPr>
          <w:b w:val="0"/>
          <w:bCs w:val="0"/>
        </w:rPr>
      </w:pPr>
      <w:r>
        <w:rPr/>
        <w:t>三、董事履行职责情况</w:t>
      </w:r>
      <w:r>
        <w:rPr>
          <w:b w:val="0"/>
          <w:bCs w:val="0"/>
        </w:rPr>
      </w:r>
    </w:p>
    <w:p>
      <w:pPr>
        <w:pStyle w:val="Heading2"/>
        <w:spacing w:line="240" w:lineRule="auto" w:before="58"/>
        <w:ind w:right="24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7</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7</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7</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7</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黄大森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7</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贾丽娜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7</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蔡克亮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7</w:t>
            </w:r>
          </w:p>
        </w:tc>
      </w:tr>
    </w:tbl>
    <w:p>
      <w:pPr>
        <w:spacing w:after="0" w:line="241" w:lineRule="exact"/>
        <w:jc w:val="right"/>
        <w:rPr>
          <w:rFonts w:ascii="宋体" w:hAnsi="宋体" w:cs="宋体" w:eastAsia="宋体" w:hint="default"/>
          <w:sz w:val="21"/>
          <w:szCs w:val="21"/>
        </w:rPr>
        <w:sectPr>
          <w:pgSz w:w="11910" w:h="16840"/>
          <w:pgMar w:header="728"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BodyText"/>
        <w:spacing w:line="273" w:lineRule="exact" w:before="36"/>
        <w:ind w:right="241"/>
        <w:jc w:val="left"/>
      </w:pPr>
      <w:r>
        <w:rPr/>
        <w:t>连续两次未亲自出席董事会会议的说明</w:t>
      </w:r>
    </w:p>
    <w:p>
      <w:pPr>
        <w:pStyle w:val="BodyText"/>
        <w:spacing w:line="273" w:lineRule="exact"/>
        <w:ind w:right="241"/>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bl>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2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642" w:right="117"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6"/>
        <w:ind w:left="638" w:right="241" w:hanging="420"/>
        <w:jc w:val="left"/>
      </w:pPr>
      <w:r>
        <w:rPr>
          <w:spacing w:val="-1"/>
        </w:rPr>
        <w:t>√适用</w:t>
        <w:tab/>
      </w:r>
      <w:r>
        <w:rPr>
          <w:spacing w:val="-2"/>
        </w:rPr>
        <w:t>□不适用</w:t>
      </w:r>
      <w:r>
        <w:rPr>
          <w:spacing w:val="-99"/>
        </w:rPr>
        <w:t> </w:t>
      </w:r>
      <w:r>
        <w:rPr>
          <w:spacing w:val="-99"/>
        </w:rPr>
      </w:r>
      <w:r>
        <w:rPr>
          <w:spacing w:val="-2"/>
        </w:rPr>
        <w:t>报告期内，公司董事会各专门委员会按照各自工作细则的规定，以积极主动、认真负责、勤</w:t>
      </w:r>
    </w:p>
    <w:p>
      <w:pPr>
        <w:pStyle w:val="BodyText"/>
        <w:spacing w:line="237" w:lineRule="auto"/>
        <w:ind w:left="638" w:right="117" w:hanging="420"/>
        <w:jc w:val="left"/>
      </w:pPr>
      <w:r>
        <w:rPr/>
        <w:t>勉诚信的态度忠实履行各自职责，为完善公司治理结构、促进公司发展起到了积极的作用。</w:t>
      </w:r>
      <w:r>
        <w:rPr>
          <w:w w:val="100"/>
        </w:rPr>
        <w:t> </w:t>
      </w:r>
      <w:r>
        <w:rPr>
          <w:rFonts w:ascii="宋体" w:hAnsi="宋体" w:cs="宋体" w:eastAsia="宋体" w:hint="default"/>
        </w:rPr>
        <w:t>1</w:t>
      </w:r>
      <w:r>
        <w:rPr/>
        <w:t>、董事会下设的审计委员会的履职情况</w:t>
      </w:r>
      <w:r>
        <w:rPr>
          <w:w w:val="100"/>
        </w:rPr>
        <w:t> </w:t>
      </w:r>
      <w:r>
        <w:rPr>
          <w:spacing w:val="-4"/>
          <w:w w:val="100"/>
        </w:rPr>
        <w:t>公司审计委员会在年审会计师进场审计之前，对公司财务报表进行了审议并形成了书面意见。</w:t>
      </w:r>
    </w:p>
    <w:p>
      <w:pPr>
        <w:pStyle w:val="BodyText"/>
        <w:spacing w:line="237" w:lineRule="auto" w:before="1"/>
        <w:ind w:right="228"/>
        <w:jc w:val="both"/>
      </w:pPr>
      <w:r>
        <w:rPr>
          <w:spacing w:val="-2"/>
        </w:rPr>
        <w:t>在年审会计师进场开始审计工作后，审计委员会采取书面方式督促年审会计师按工作进度及时完</w:t>
      </w:r>
      <w:r>
        <w:rPr>
          <w:spacing w:val="-25"/>
        </w:rPr>
        <w:t> </w:t>
      </w:r>
      <w:r>
        <w:rPr>
          <w:spacing w:val="-25"/>
        </w:rPr>
      </w:r>
      <w:r>
        <w:rPr>
          <w:spacing w:val="-2"/>
        </w:rPr>
        <w:t>成年报审计工作。年审会计师出具初步审计意见后，审计委员会对公司财务报告又进行了认真审</w:t>
      </w:r>
      <w:r>
        <w:rPr>
          <w:spacing w:val="-25"/>
        </w:rPr>
        <w:t> </w:t>
      </w:r>
      <w:r>
        <w:rPr>
          <w:spacing w:val="-25"/>
        </w:rPr>
      </w:r>
      <w:r>
        <w:rPr>
          <w:spacing w:val="-5"/>
          <w:w w:val="100"/>
        </w:rPr>
        <w:t>核并形成书面意见，决定同意将经年审会计师正式审计的公司</w:t>
      </w:r>
      <w:r>
        <w:rPr>
          <w:spacing w:val="-46"/>
          <w:w w:val="100"/>
        </w:rPr>
        <w:t> </w:t>
      </w:r>
      <w:r>
        <w:rPr>
          <w:rFonts w:ascii="宋体" w:hAnsi="宋体" w:cs="宋体" w:eastAsia="宋体" w:hint="default"/>
          <w:spacing w:val="-1"/>
          <w:w w:val="100"/>
        </w:rPr>
        <w:t>2018</w:t>
      </w:r>
      <w:r>
        <w:rPr>
          <w:rFonts w:ascii="宋体" w:hAnsi="宋体" w:cs="宋体" w:eastAsia="宋体" w:hint="default"/>
          <w:spacing w:val="-49"/>
          <w:w w:val="100"/>
        </w:rPr>
        <w:t> </w:t>
      </w:r>
      <w:r>
        <w:rPr>
          <w:spacing w:val="-2"/>
          <w:w w:val="100"/>
        </w:rPr>
        <w:t>年度财务会计报表提交董事会</w:t>
      </w:r>
    </w:p>
    <w:p>
      <w:pPr>
        <w:pStyle w:val="BodyText"/>
        <w:spacing w:line="271" w:lineRule="exact"/>
        <w:ind w:right="0"/>
        <w:jc w:val="both"/>
      </w:pPr>
      <w:r>
        <w:rPr/>
        <w:t>审核。审计委员会还对立信从事</w:t>
      </w:r>
      <w:r>
        <w:rPr>
          <w:spacing w:val="-57"/>
        </w:rPr>
        <w:t> </w:t>
      </w:r>
      <w:r>
        <w:rPr>
          <w:rFonts w:ascii="宋体" w:hAnsi="宋体" w:cs="宋体" w:eastAsia="宋体" w:hint="default"/>
        </w:rPr>
        <w:t>2018</w:t>
      </w:r>
      <w:r>
        <w:rPr>
          <w:rFonts w:ascii="宋体" w:hAnsi="宋体" w:cs="宋体" w:eastAsia="宋体" w:hint="default"/>
          <w:spacing w:val="-57"/>
        </w:rPr>
        <w:t> </w:t>
      </w:r>
      <w:r>
        <w:rPr/>
        <w:t>年公司审计所作的工作进行了总结，建议续聘立信为公司</w:t>
      </w:r>
    </w:p>
    <w:p>
      <w:pPr>
        <w:pStyle w:val="BodyText"/>
        <w:spacing w:line="237" w:lineRule="auto" w:before="2"/>
        <w:ind w:right="228"/>
        <w:jc w:val="both"/>
      </w:pPr>
      <w:r>
        <w:rPr>
          <w:rFonts w:ascii="宋体" w:hAnsi="宋体" w:cs="宋体" w:eastAsia="宋体" w:hint="default"/>
        </w:rPr>
        <w:t>2019 </w:t>
      </w:r>
      <w:r>
        <w:rPr>
          <w:spacing w:val="-3"/>
        </w:rPr>
        <w:t>年度的财务报告和内部控制审计机构。此外，董事会审计委员会在审议日常关联交易时对关</w:t>
      </w:r>
      <w:r>
        <w:rPr>
          <w:spacing w:val="-86"/>
        </w:rPr>
        <w:t> </w:t>
      </w:r>
      <w:r>
        <w:rPr>
          <w:spacing w:val="-86"/>
        </w:rPr>
      </w:r>
      <w:r>
        <w:rPr>
          <w:spacing w:val="-2"/>
        </w:rPr>
        <w:t>联交易的必要性和合理性进行了认真审核，并与公司及年审会计师进行了充分沟通，实施了有效</w:t>
      </w:r>
      <w:r>
        <w:rPr>
          <w:spacing w:val="-25"/>
        </w:rPr>
        <w:t> </w:t>
      </w:r>
      <w:r>
        <w:rPr>
          <w:spacing w:val="-25"/>
        </w:rPr>
      </w:r>
      <w:r>
        <w:rPr/>
        <w:t>监督。</w:t>
      </w:r>
    </w:p>
    <w:p>
      <w:pPr>
        <w:pStyle w:val="BodyText"/>
        <w:spacing w:line="274" w:lineRule="exact" w:before="22"/>
        <w:ind w:left="638" w:right="241"/>
        <w:jc w:val="left"/>
      </w:pPr>
      <w:r>
        <w:rPr>
          <w:rFonts w:ascii="宋体" w:hAnsi="宋体" w:cs="宋体" w:eastAsia="宋体" w:hint="default"/>
        </w:rPr>
        <w:t>2</w:t>
      </w:r>
      <w:r>
        <w:rPr/>
        <w:t>、董事会下设的薪酬与考核委员会的履职情况</w:t>
      </w:r>
      <w:r>
        <w:rPr>
          <w:w w:val="100"/>
        </w:rPr>
        <w:t> </w:t>
      </w:r>
      <w:r>
        <w:rPr>
          <w:spacing w:val="-2"/>
        </w:rPr>
        <w:t>薪酬与考核委员会对报告期内董事会确定的考核目标进行了评估考核。薪酬与考核委员会认</w:t>
      </w:r>
    </w:p>
    <w:p>
      <w:pPr>
        <w:pStyle w:val="BodyText"/>
        <w:spacing w:line="245" w:lineRule="exact"/>
        <w:ind w:right="0"/>
        <w:jc w:val="both"/>
      </w:pPr>
      <w:r>
        <w:rPr>
          <w:spacing w:val="-3"/>
        </w:rPr>
        <w:t>真审核后认为：</w:t>
      </w:r>
      <w:r>
        <w:rPr>
          <w:rFonts w:ascii="宋体" w:hAnsi="宋体" w:cs="宋体" w:eastAsia="宋体" w:hint="default"/>
          <w:spacing w:val="-3"/>
        </w:rPr>
        <w:t>2018</w:t>
      </w:r>
      <w:r>
        <w:rPr>
          <w:rFonts w:ascii="宋体" w:hAnsi="宋体" w:cs="宋体" w:eastAsia="宋体" w:hint="default"/>
          <w:spacing w:val="29"/>
        </w:rPr>
        <w:t> </w:t>
      </w:r>
      <w:r>
        <w:rPr>
          <w:spacing w:val="-3"/>
        </w:rPr>
        <w:t>年度公司对董事、监事和高级管理人员支付的报酬、独立董事的年度津贴以</w:t>
      </w:r>
    </w:p>
    <w:p>
      <w:pPr>
        <w:pStyle w:val="BodyText"/>
        <w:spacing w:line="237" w:lineRule="auto" w:before="2"/>
        <w:ind w:right="237"/>
        <w:jc w:val="both"/>
      </w:pPr>
      <w:r>
        <w:rPr>
          <w:spacing w:val="-2"/>
        </w:rPr>
        <w:t>及年度考核奖励意见，符合公司有关薪酬政策及考核标准，未有违反公司薪酬管理制度的情况发</w:t>
      </w:r>
      <w:r>
        <w:rPr>
          <w:spacing w:val="-26"/>
        </w:rPr>
        <w:t> </w:t>
      </w:r>
      <w:r>
        <w:rPr>
          <w:spacing w:val="-26"/>
        </w:rPr>
      </w:r>
      <w:r>
        <w:rPr/>
        <w:t>生。报告期内，董事会薪酬与考核委员会对</w:t>
      </w:r>
      <w:r>
        <w:rPr>
          <w:spacing w:val="-56"/>
        </w:rPr>
        <w:t> </w:t>
      </w:r>
      <w:r>
        <w:rPr>
          <w:rFonts w:ascii="宋体" w:hAnsi="宋体" w:cs="宋体" w:eastAsia="宋体" w:hint="default"/>
        </w:rPr>
        <w:t>217</w:t>
      </w:r>
      <w:r>
        <w:rPr>
          <w:rFonts w:ascii="宋体" w:hAnsi="宋体" w:cs="宋体" w:eastAsia="宋体" w:hint="default"/>
          <w:spacing w:val="-56"/>
        </w:rPr>
        <w:t> </w:t>
      </w:r>
      <w:r>
        <w:rPr/>
        <w:t>位股权激励对象的解锁资格进行审核，与年初绩</w:t>
      </w:r>
      <w:r>
        <w:rPr>
          <w:w w:val="100"/>
        </w:rPr>
        <w:t> </w:t>
      </w:r>
      <w:r>
        <w:rPr/>
        <w:t>效目标任务书考核比较，</w:t>
      </w:r>
      <w:r>
        <w:rPr>
          <w:rFonts w:ascii="宋体" w:hAnsi="宋体" w:cs="宋体" w:eastAsia="宋体" w:hint="default"/>
        </w:rPr>
        <w:t>216</w:t>
      </w:r>
      <w:r>
        <w:rPr>
          <w:rFonts w:ascii="宋体" w:hAnsi="宋体" w:cs="宋体" w:eastAsia="宋体" w:hint="default"/>
          <w:spacing w:val="-58"/>
        </w:rPr>
        <w:t> </w:t>
      </w:r>
      <w:r>
        <w:rPr/>
        <w:t>名激励对象符合限制性股票第一批解锁资格，将符合的激励对象持</w:t>
      </w:r>
      <w:r>
        <w:rPr>
          <w:w w:val="100"/>
        </w:rPr>
        <w:t> </w:t>
      </w:r>
      <w:r>
        <w:rPr/>
        <w:t>有的限制性股票进行相应比例的解锁。</w:t>
      </w:r>
    </w:p>
    <w:p>
      <w:pPr>
        <w:pStyle w:val="BodyText"/>
        <w:spacing w:line="274" w:lineRule="exact" w:before="22"/>
        <w:ind w:left="638" w:right="241"/>
        <w:jc w:val="left"/>
      </w:pPr>
      <w:r>
        <w:rPr>
          <w:rFonts w:ascii="宋体" w:hAnsi="宋体" w:cs="宋体" w:eastAsia="宋体" w:hint="default"/>
        </w:rPr>
        <w:t>3</w:t>
      </w:r>
      <w:r>
        <w:rPr/>
        <w:t>、董事会下设的战略委员会的履职情况</w:t>
      </w:r>
      <w:r>
        <w:rPr>
          <w:w w:val="100"/>
        </w:rPr>
        <w:t> </w:t>
      </w:r>
      <w:r>
        <w:rPr>
          <w:spacing w:val="-2"/>
        </w:rPr>
        <w:t>报告期内，战略委员会按照《公司董事会战略委员会议事规则》等相关制度的规定，对公司</w:t>
      </w:r>
    </w:p>
    <w:p>
      <w:pPr>
        <w:pStyle w:val="BodyText"/>
        <w:spacing w:line="245" w:lineRule="exact"/>
        <w:ind w:right="0"/>
        <w:jc w:val="both"/>
      </w:pPr>
      <w:r>
        <w:rPr/>
        <w:t>战略的制定、执行及重大投资项目进行了充分的调研和论证，与董事会及管理层认真分析了公司</w:t>
      </w:r>
    </w:p>
    <w:p>
      <w:pPr>
        <w:pStyle w:val="BodyText"/>
        <w:spacing w:line="237" w:lineRule="auto" w:before="2"/>
        <w:ind w:right="230"/>
        <w:jc w:val="both"/>
      </w:pPr>
      <w:r>
        <w:rPr>
          <w:spacing w:val="-6"/>
        </w:rPr>
        <w:t>所处的行业环境、技术发展状况和市场形势，对公司</w:t>
      </w:r>
      <w:r>
        <w:rPr>
          <w:spacing w:val="-39"/>
        </w:rPr>
        <w:t> </w:t>
      </w:r>
      <w:r>
        <w:rPr>
          <w:rFonts w:ascii="宋体" w:hAnsi="宋体" w:cs="宋体" w:eastAsia="宋体" w:hint="default"/>
        </w:rPr>
        <w:t>2018</w:t>
      </w:r>
      <w:r>
        <w:rPr>
          <w:rFonts w:ascii="宋体" w:hAnsi="宋体" w:cs="宋体" w:eastAsia="宋体" w:hint="default"/>
          <w:spacing w:val="-39"/>
        </w:rPr>
        <w:t> </w:t>
      </w:r>
      <w:r>
        <w:rPr/>
        <w:t>年发展目标和公司的中长期发展战略进</w:t>
      </w:r>
      <w:r>
        <w:rPr>
          <w:spacing w:val="-100"/>
        </w:rPr>
        <w:t> </w:t>
      </w:r>
      <w:r>
        <w:rPr>
          <w:spacing w:val="-100"/>
        </w:rPr>
      </w:r>
      <w:r>
        <w:rPr>
          <w:spacing w:val="-2"/>
        </w:rPr>
        <w:t>行了较为系统的规划研究，并对公司发展战略及实施提出了合理化建议。报告期内董事会战略委</w:t>
      </w:r>
      <w:r>
        <w:rPr>
          <w:spacing w:val="-25"/>
        </w:rPr>
        <w:t> </w:t>
      </w:r>
      <w:r>
        <w:rPr>
          <w:spacing w:val="-25"/>
        </w:rPr>
      </w:r>
      <w:r>
        <w:rPr>
          <w:spacing w:val="-2"/>
        </w:rPr>
        <w:t>员会重点对光伏电站的投资作出可行性分析，并对对外投资设立新公司以及进行战略合作及时履</w:t>
      </w:r>
      <w:r>
        <w:rPr>
          <w:spacing w:val="-25"/>
        </w:rPr>
        <w:t> </w:t>
      </w:r>
      <w:r>
        <w:rPr>
          <w:spacing w:val="-25"/>
        </w:rPr>
      </w:r>
      <w:r>
        <w:rPr/>
        <w:t>行了战略委员会委员的职责。</w:t>
      </w:r>
    </w:p>
    <w:p>
      <w:pPr>
        <w:pStyle w:val="BodyText"/>
        <w:spacing w:line="272" w:lineRule="exact" w:before="26"/>
        <w:ind w:left="638" w:right="241"/>
        <w:jc w:val="left"/>
      </w:pPr>
      <w:r>
        <w:rPr>
          <w:rFonts w:ascii="宋体" w:hAnsi="宋体" w:cs="宋体" w:eastAsia="宋体" w:hint="default"/>
        </w:rPr>
        <w:t>4</w:t>
      </w:r>
      <w:r>
        <w:rPr/>
        <w:t>、董事会下设的提名委员会的履职情况</w:t>
      </w:r>
      <w:r>
        <w:rPr>
          <w:w w:val="100"/>
        </w:rPr>
        <w:t> </w:t>
      </w:r>
      <w:r>
        <w:rPr>
          <w:spacing w:val="-2"/>
        </w:rPr>
        <w:t>报告期内，董事会提名委员会按照《公司董事会提名委员会议事规则》等相关制度的规定，</w:t>
      </w:r>
    </w:p>
    <w:p>
      <w:pPr>
        <w:pStyle w:val="BodyText"/>
        <w:spacing w:line="272" w:lineRule="exact" w:before="1"/>
        <w:ind w:right="237"/>
        <w:jc w:val="both"/>
      </w:pPr>
      <w:r>
        <w:rPr>
          <w:spacing w:val="-2"/>
        </w:rPr>
        <w:t>根据公司发展需要，积极与公司有关部门进行交流，充分履行了提名委员会委员的职责，维护公</w:t>
      </w:r>
      <w:r>
        <w:rPr>
          <w:spacing w:val="-25"/>
        </w:rPr>
        <w:t> </w:t>
      </w:r>
      <w:r>
        <w:rPr>
          <w:spacing w:val="-25"/>
        </w:rPr>
      </w:r>
      <w:r>
        <w:rPr/>
        <w:t>司的持续稳定发展。</w:t>
      </w:r>
    </w:p>
    <w:p>
      <w:pPr>
        <w:spacing w:after="0" w:line="272" w:lineRule="exact"/>
        <w:jc w:val="both"/>
        <w:sectPr>
          <w:pgSz w:w="11910" w:h="16840"/>
          <w:pgMar w:header="728" w:footer="974" w:top="1120" w:bottom="1160" w:left="1580" w:right="1040"/>
        </w:sectPr>
      </w:pPr>
    </w:p>
    <w:p>
      <w:pPr>
        <w:spacing w:line="240" w:lineRule="auto" w:before="6"/>
        <w:rPr>
          <w:rFonts w:ascii="宋体" w:hAnsi="宋体" w:cs="宋体" w:eastAsia="宋体" w:hint="default"/>
          <w:sz w:val="25"/>
          <w:szCs w:val="25"/>
        </w:rPr>
      </w:pPr>
    </w:p>
    <w:p>
      <w:pPr>
        <w:pStyle w:val="Heading2"/>
        <w:spacing w:line="240" w:lineRule="auto"/>
        <w:ind w:left="178" w:right="104"/>
        <w:jc w:val="left"/>
        <w:rPr>
          <w:b w:val="0"/>
          <w:bCs w:val="0"/>
        </w:rPr>
      </w:pPr>
      <w:r>
        <w:rPr/>
        <w:t>五、监事会发现公司存在风险的说明</w:t>
      </w:r>
      <w:r>
        <w:rPr>
          <w:b w:val="0"/>
          <w:bCs w:val="0"/>
        </w:rPr>
      </w:r>
    </w:p>
    <w:p>
      <w:pPr>
        <w:pStyle w:val="BodyText"/>
        <w:spacing w:line="240" w:lineRule="auto" w:before="58"/>
        <w:ind w:left="178" w:right="104"/>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602" w:right="104"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20" w:val="left" w:leader="none"/>
        </w:tabs>
        <w:spacing w:line="240" w:lineRule="auto" w:before="34"/>
        <w:ind w:left="178" w:right="104"/>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78" w:right="104"/>
        <w:jc w:val="left"/>
      </w:pPr>
      <w:r>
        <w:rPr/>
        <w:t>存在同业竞争的，公司相应的解决措施、工作进度及后续工作计划</w:t>
      </w:r>
    </w:p>
    <w:p>
      <w:pPr>
        <w:pStyle w:val="BodyText"/>
        <w:tabs>
          <w:tab w:pos="1020" w:val="left" w:leader="none"/>
        </w:tabs>
        <w:spacing w:line="273" w:lineRule="exact"/>
        <w:ind w:left="178" w:right="10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104"/>
        <w:jc w:val="left"/>
        <w:rPr>
          <w:b w:val="0"/>
          <w:bCs w:val="0"/>
        </w:rPr>
      </w:pPr>
      <w:r>
        <w:rPr/>
        <w:t>七、报告期内对高级管理人员的考评机制，以及激励机制的建立、实施情况</w:t>
      </w:r>
      <w:r>
        <w:rPr>
          <w:b w:val="0"/>
          <w:bCs w:val="0"/>
        </w:rPr>
      </w:r>
    </w:p>
    <w:p>
      <w:pPr>
        <w:pStyle w:val="BodyText"/>
        <w:tabs>
          <w:tab w:pos="1020" w:val="left" w:leader="none"/>
        </w:tabs>
        <w:spacing w:line="273" w:lineRule="exact" w:before="59"/>
        <w:ind w:left="178" w:right="104"/>
        <w:jc w:val="left"/>
      </w:pPr>
      <w:r>
        <w:rPr>
          <w:spacing w:val="-1"/>
        </w:rPr>
        <w:t>√适用</w:t>
        <w:tab/>
      </w:r>
      <w:r>
        <w:rPr>
          <w:spacing w:val="-2"/>
        </w:rPr>
        <w:t>□不适用</w:t>
      </w:r>
    </w:p>
    <w:p>
      <w:pPr>
        <w:pStyle w:val="BodyText"/>
        <w:spacing w:line="237" w:lineRule="auto"/>
        <w:ind w:left="178" w:right="208" w:firstLine="419"/>
        <w:jc w:val="right"/>
      </w:pPr>
      <w:r>
        <w:rPr/>
        <w:t>为了实现公司 </w:t>
      </w:r>
      <w:r>
        <w:rPr>
          <w:rFonts w:ascii="宋体" w:hAnsi="宋体" w:cs="宋体" w:eastAsia="宋体" w:hint="default"/>
        </w:rPr>
        <w:t>2018</w:t>
      </w:r>
      <w:r>
        <w:rPr>
          <w:rFonts w:ascii="宋体" w:hAnsi="宋体" w:cs="宋体" w:eastAsia="宋体" w:hint="default"/>
          <w:spacing w:val="-46"/>
        </w:rPr>
        <w:t> </w:t>
      </w:r>
      <w:r>
        <w:rPr>
          <w:spacing w:val="-5"/>
        </w:rPr>
        <w:t>年经营目标，报告期内，公司根据高级管理人员的绩效考评机制，通过年</w:t>
      </w:r>
      <w:r>
        <w:rPr>
          <w:w w:val="100"/>
        </w:rPr>
        <w:t> </w:t>
      </w:r>
      <w:r>
        <w:rPr>
          <w:spacing w:val="-2"/>
        </w:rPr>
        <w:t>初绩效目标任务书对高级管理人员实施年度、季度、月度目标责任考核，依照公司全年经营目标</w:t>
      </w:r>
      <w:r>
        <w:rPr>
          <w:spacing w:val="-52"/>
        </w:rPr>
        <w:t> </w:t>
      </w:r>
      <w:r>
        <w:rPr>
          <w:spacing w:val="-52"/>
        </w:rPr>
      </w:r>
      <w:r>
        <w:rPr>
          <w:spacing w:val="-7"/>
          <w:w w:val="100"/>
        </w:rPr>
        <w:t>完成情况，结合年度个人考核评价结果，对高级管理人员进行了业绩考核并兑现年薪和绩效奖励。</w:t>
      </w:r>
      <w:r>
        <w:rPr>
          <w:spacing w:val="-89"/>
          <w:w w:val="100"/>
        </w:rPr>
        <w:t> </w:t>
      </w:r>
      <w:r>
        <w:rPr>
          <w:spacing w:val="-89"/>
          <w:w w:val="100"/>
        </w:rPr>
      </w:r>
      <w:r>
        <w:rPr>
          <w:spacing w:val="-2"/>
        </w:rPr>
        <w:t>董事会下设薪酬与考核委员会，建立了相应的工作细则，为有效调动高管人员的积极性和创</w:t>
      </w:r>
      <w:r>
        <w:rPr>
          <w:w w:val="100"/>
        </w:rPr>
        <w:t> </w:t>
      </w:r>
      <w:r>
        <w:rPr>
          <w:spacing w:val="-5"/>
        </w:rPr>
        <w:t>造力，董事会薪酬与考核委员根据 </w:t>
      </w:r>
      <w:r>
        <w:rPr>
          <w:rFonts w:ascii="宋体" w:hAnsi="宋体" w:cs="宋体" w:eastAsia="宋体" w:hint="default"/>
        </w:rPr>
        <w:t>2016</w:t>
      </w:r>
      <w:r>
        <w:rPr>
          <w:rFonts w:ascii="宋体" w:hAnsi="宋体" w:cs="宋体" w:eastAsia="宋体" w:hint="default"/>
          <w:spacing w:val="-30"/>
        </w:rPr>
        <w:t> </w:t>
      </w:r>
      <w:r>
        <w:rPr>
          <w:spacing w:val="-4"/>
        </w:rPr>
        <w:t>年第七次临时股东大会审议通过的《公司第二期限制性股</w:t>
      </w:r>
      <w:r>
        <w:rPr>
          <w:w w:val="100"/>
        </w:rPr>
        <w:t> </w:t>
      </w:r>
      <w:r>
        <w:rPr>
          <w:spacing w:val="-2"/>
        </w:rPr>
        <w:t>票激励计划（草案）》和《公司第二期限制性股票激励计划实施考核管理办法》的议案。报告期</w:t>
      </w:r>
      <w:r>
        <w:rPr>
          <w:spacing w:val="-56"/>
        </w:rPr>
        <w:t> </w:t>
      </w:r>
      <w:r>
        <w:rPr>
          <w:spacing w:val="-56"/>
        </w:rPr>
      </w:r>
      <w:r>
        <w:rPr>
          <w:spacing w:val="-5"/>
        </w:rPr>
        <w:t>内，公司薪酬与考核委员会对 </w:t>
      </w:r>
      <w:r>
        <w:rPr>
          <w:rFonts w:ascii="宋体" w:hAnsi="宋体" w:cs="宋体" w:eastAsia="宋体" w:hint="default"/>
        </w:rPr>
        <w:t>2017</w:t>
      </w:r>
      <w:r>
        <w:rPr>
          <w:rFonts w:ascii="宋体" w:hAnsi="宋体" w:cs="宋体" w:eastAsia="宋体" w:hint="default"/>
          <w:spacing w:val="-32"/>
        </w:rPr>
        <w:t> </w:t>
      </w:r>
      <w:r>
        <w:rPr>
          <w:spacing w:val="-4"/>
        </w:rPr>
        <w:t>年公司第一批解锁对象的绩效进行了考核，满足解锁要求的激</w:t>
      </w:r>
      <w:r>
        <w:rPr>
          <w:w w:val="100"/>
        </w:rPr>
        <w:t> </w:t>
      </w:r>
      <w:r>
        <w:rPr>
          <w:spacing w:val="-2"/>
        </w:rPr>
        <w:t>励对象的限制性股票进行了解锁，通过高级管理人员个人绩效与公司目标向结合，充分调动了高</w:t>
      </w:r>
    </w:p>
    <w:p>
      <w:pPr>
        <w:pStyle w:val="BodyText"/>
        <w:spacing w:line="274" w:lineRule="exact"/>
        <w:ind w:left="178" w:right="104"/>
        <w:jc w:val="left"/>
      </w:pPr>
      <w:r>
        <w:rPr/>
        <w:t>管人员工作的积极性。</w:t>
      </w:r>
    </w:p>
    <w:p>
      <w:pPr>
        <w:spacing w:line="240" w:lineRule="auto" w:before="3"/>
        <w:rPr>
          <w:rFonts w:ascii="宋体" w:hAnsi="宋体" w:cs="宋体" w:eastAsia="宋体" w:hint="default"/>
          <w:sz w:val="25"/>
          <w:szCs w:val="25"/>
        </w:rPr>
      </w:pPr>
    </w:p>
    <w:p>
      <w:pPr>
        <w:pStyle w:val="Heading2"/>
        <w:spacing w:line="240" w:lineRule="auto" w:before="0"/>
        <w:ind w:left="178" w:right="104"/>
        <w:jc w:val="left"/>
        <w:rPr>
          <w:b w:val="0"/>
          <w:bCs w:val="0"/>
        </w:rPr>
      </w:pPr>
      <w:r>
        <w:rPr/>
        <w:t>八、是否披露内部控制自我评价报告</w:t>
      </w:r>
      <w:r>
        <w:rPr>
          <w:b w:val="0"/>
          <w:bCs w:val="0"/>
        </w:rPr>
      </w:r>
    </w:p>
    <w:p>
      <w:pPr>
        <w:pStyle w:val="BodyText"/>
        <w:spacing w:line="274" w:lineRule="exact" w:before="56"/>
        <w:ind w:left="178" w:right="104"/>
        <w:jc w:val="left"/>
      </w:pPr>
      <w:r>
        <w:rPr/>
        <w:t>√适用</w:t>
      </w:r>
      <w:r>
        <w:rPr>
          <w:spacing w:val="-1"/>
        </w:rPr>
        <w:t> </w:t>
      </w:r>
      <w:r>
        <w:rPr/>
        <w:t>□不适用</w:t>
      </w:r>
    </w:p>
    <w:p>
      <w:pPr>
        <w:pStyle w:val="BodyText"/>
        <w:spacing w:line="274" w:lineRule="exact"/>
        <w:ind w:left="178" w:right="104"/>
        <w:jc w:val="left"/>
      </w:pPr>
      <w:r>
        <w:rPr/>
        <w:t>公司</w:t>
      </w:r>
      <w:r>
        <w:rPr>
          <w:spacing w:val="-54"/>
        </w:rPr>
        <w:t> </w:t>
      </w:r>
      <w:r>
        <w:rPr>
          <w:rFonts w:ascii="宋体" w:hAnsi="宋体" w:cs="宋体" w:eastAsia="宋体" w:hint="default"/>
        </w:rPr>
        <w:t>2018</w:t>
      </w:r>
      <w:r>
        <w:rPr>
          <w:rFonts w:ascii="宋体" w:hAnsi="宋体" w:cs="宋体" w:eastAsia="宋体" w:hint="default"/>
          <w:spacing w:val="-56"/>
        </w:rPr>
        <w:t> </w:t>
      </w:r>
      <w:r>
        <w:rPr/>
        <w:t>年度内部控制评价报告详见于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日在上海证券交易所网站披露的公告。</w:t>
      </w:r>
    </w:p>
    <w:p>
      <w:pPr>
        <w:spacing w:line="240" w:lineRule="auto" w:before="8"/>
        <w:rPr>
          <w:rFonts w:ascii="宋体" w:hAnsi="宋体" w:cs="宋体" w:eastAsia="宋体" w:hint="default"/>
          <w:sz w:val="20"/>
          <w:szCs w:val="20"/>
        </w:rPr>
      </w:pPr>
    </w:p>
    <w:p>
      <w:pPr>
        <w:pStyle w:val="BodyText"/>
        <w:spacing w:line="273" w:lineRule="exact"/>
        <w:ind w:left="178" w:right="104"/>
        <w:jc w:val="left"/>
      </w:pPr>
      <w:r>
        <w:rPr/>
        <w:t>报告期内部控制存在重大缺陷情况的说明</w:t>
      </w:r>
    </w:p>
    <w:p>
      <w:pPr>
        <w:pStyle w:val="BodyText"/>
        <w:spacing w:line="273" w:lineRule="exact"/>
        <w:ind w:left="17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104"/>
        <w:jc w:val="left"/>
        <w:rPr>
          <w:b w:val="0"/>
          <w:bCs w:val="0"/>
        </w:rPr>
      </w:pPr>
      <w:r>
        <w:rPr/>
        <w:t>九、内部控制审计报告的相关情况说明</w:t>
      </w:r>
      <w:r>
        <w:rPr>
          <w:b w:val="0"/>
          <w:bCs w:val="0"/>
        </w:rPr>
      </w:r>
    </w:p>
    <w:p>
      <w:pPr>
        <w:pStyle w:val="BodyText"/>
        <w:tabs>
          <w:tab w:pos="1020" w:val="left" w:leader="none"/>
        </w:tabs>
        <w:spacing w:line="273" w:lineRule="exact" w:before="58"/>
        <w:ind w:left="178" w:right="104"/>
        <w:jc w:val="left"/>
      </w:pPr>
      <w:r>
        <w:rPr>
          <w:spacing w:val="-1"/>
        </w:rPr>
        <w:t>√适用</w:t>
        <w:tab/>
      </w:r>
      <w:r>
        <w:rPr>
          <w:spacing w:val="-2"/>
        </w:rPr>
        <w:t>□不适用</w:t>
      </w:r>
    </w:p>
    <w:p>
      <w:pPr>
        <w:pStyle w:val="BodyText"/>
        <w:spacing w:line="237" w:lineRule="auto"/>
        <w:ind w:left="178" w:right="104" w:firstLine="419"/>
        <w:jc w:val="left"/>
      </w:pPr>
      <w:r>
        <w:rPr/>
        <w:t>公司聘请立信会计师事务所（特殊普通合伙）对公司</w:t>
      </w:r>
      <w:r>
        <w:rPr>
          <w:spacing w:val="-52"/>
        </w:rPr>
        <w:t> </w:t>
      </w:r>
      <w:r>
        <w:rPr>
          <w:rFonts w:ascii="宋体" w:hAnsi="宋体" w:cs="宋体" w:eastAsia="宋体" w:hint="default"/>
        </w:rPr>
        <w:t>2018</w:t>
      </w:r>
      <w:r>
        <w:rPr>
          <w:rFonts w:ascii="宋体" w:hAnsi="宋体" w:cs="宋体" w:eastAsia="宋体" w:hint="default"/>
          <w:spacing w:val="-53"/>
        </w:rPr>
        <w:t> </w:t>
      </w:r>
      <w:r>
        <w:rPr/>
        <w:t>年度内部控制情况进行独立审计，</w:t>
      </w:r>
      <w:r>
        <w:rPr>
          <w:w w:val="100"/>
        </w:rPr>
        <w:t> </w:t>
      </w:r>
      <w:r>
        <w:rPr/>
        <w:t>会计师事务所出具了标准无保留意见的内部控制审计报告，并与公司董事会的内部控制评价报告</w:t>
      </w:r>
      <w:r>
        <w:rPr>
          <w:w w:val="100"/>
        </w:rPr>
        <w:t> </w:t>
      </w:r>
      <w:r>
        <w:rPr/>
        <w:t>意见一致。</w:t>
      </w:r>
    </w:p>
    <w:p>
      <w:pPr>
        <w:pStyle w:val="BodyText"/>
        <w:spacing w:line="274" w:lineRule="exact"/>
        <w:ind w:left="178" w:right="104"/>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before="0"/>
        <w:ind w:left="178" w:right="104"/>
        <w:jc w:val="left"/>
        <w:rPr>
          <w:b w:val="0"/>
          <w:bCs w:val="0"/>
        </w:rPr>
      </w:pPr>
      <w:r>
        <w:rPr/>
        <w:t>十、其他</w:t>
      </w:r>
      <w:r>
        <w:rPr>
          <w:b w:val="0"/>
          <w:bCs w:val="0"/>
        </w:rPr>
      </w:r>
    </w:p>
    <w:p>
      <w:pPr>
        <w:pStyle w:val="BodyText"/>
        <w:tabs>
          <w:tab w:pos="1020" w:val="left" w:leader="none"/>
        </w:tabs>
        <w:spacing w:line="240" w:lineRule="auto" w:before="56"/>
        <w:ind w:left="178" w:right="104"/>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100" w:val="left" w:leader="none"/>
        </w:tabs>
        <w:spacing w:line="240" w:lineRule="auto" w:before="0"/>
        <w:ind w:left="2840" w:right="104"/>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78" w:right="104"/>
        <w:jc w:val="left"/>
      </w:pPr>
      <w:r>
        <w:rPr/>
        <w:t>□适用</w:t>
      </w:r>
      <w:r>
        <w:rPr>
          <w:spacing w:val="-1"/>
        </w:rPr>
        <w:t> </w:t>
      </w:r>
      <w:r>
        <w:rPr/>
        <w:t>√不适用</w:t>
      </w:r>
    </w:p>
    <w:p>
      <w:pPr>
        <w:spacing w:after="0" w:line="240" w:lineRule="auto"/>
        <w:jc w:val="left"/>
        <w:sectPr>
          <w:pgSz w:w="11910" w:h="16840"/>
          <w:pgMar w:header="728" w:footer="974" w:top="1120" w:bottom="1160" w:left="1620" w:right="1060"/>
        </w:sectPr>
      </w:pPr>
    </w:p>
    <w:p>
      <w:pPr>
        <w:spacing w:line="240" w:lineRule="auto" w:before="0"/>
        <w:rPr>
          <w:rFonts w:ascii="宋体" w:hAnsi="宋体" w:cs="宋体" w:eastAsia="宋体" w:hint="default"/>
          <w:sz w:val="20"/>
          <w:szCs w:val="20"/>
        </w:rPr>
      </w:pPr>
    </w:p>
    <w:p>
      <w:pPr>
        <w:pStyle w:val="Heading1"/>
        <w:spacing w:line="240" w:lineRule="auto" w:before="153"/>
        <w:ind w:left="4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2"/>
        <w:spacing w:line="240" w:lineRule="auto" w:before="0"/>
        <w:ind w:left="178" w:right="0"/>
        <w:jc w:val="left"/>
        <w:rPr>
          <w:b w:val="0"/>
          <w:bCs w:val="0"/>
        </w:rPr>
      </w:pPr>
      <w:r>
        <w:rPr/>
        <w:t>一、审计报告</w:t>
      </w:r>
      <w:r>
        <w:rPr>
          <w:b w:val="0"/>
          <w:bCs w:val="0"/>
        </w:rPr>
      </w:r>
    </w:p>
    <w:p>
      <w:pPr>
        <w:spacing w:line="272" w:lineRule="exact" w:before="86"/>
        <w:ind w:left="178" w:right="38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江苏林洋能源股份有限公司全体股东：</w:t>
      </w:r>
      <w:r>
        <w:rPr>
          <w:rFonts w:ascii="宋体" w:hAnsi="宋体" w:cs="宋体" w:eastAsia="宋体" w:hint="default"/>
          <w:spacing w:val="-1"/>
          <w:sz w:val="21"/>
          <w:szCs w:val="21"/>
        </w:rPr>
      </w:r>
    </w:p>
    <w:p>
      <w:pPr>
        <w:spacing w:line="240" w:lineRule="auto" w:before="1"/>
        <w:rPr>
          <w:rFonts w:ascii="宋体" w:hAnsi="宋体" w:cs="宋体" w:eastAsia="宋体" w:hint="default"/>
          <w:b/>
          <w:bCs/>
          <w:sz w:val="26"/>
          <w:szCs w:val="26"/>
        </w:rPr>
      </w:pPr>
    </w:p>
    <w:p>
      <w:pPr>
        <w:pStyle w:val="Heading2"/>
        <w:tabs>
          <w:tab w:pos="885" w:val="left" w:leader="none"/>
        </w:tabs>
        <w:spacing w:line="274" w:lineRule="exact" w:before="0"/>
        <w:ind w:left="178" w:right="0"/>
        <w:jc w:val="left"/>
        <w:rPr>
          <w:b w:val="0"/>
          <w:bCs w:val="0"/>
        </w:rPr>
      </w:pPr>
      <w:r>
        <w:rPr/>
        <w:t>一、</w:t>
        <w:tab/>
        <w:t>审计意见</w:t>
      </w:r>
      <w:r>
        <w:rPr>
          <w:b w:val="0"/>
          <w:bCs w:val="0"/>
        </w:rPr>
      </w:r>
    </w:p>
    <w:p>
      <w:pPr>
        <w:pStyle w:val="BodyText"/>
        <w:spacing w:line="230" w:lineRule="auto" w:before="9"/>
        <w:ind w:left="178" w:right="128" w:firstLine="566"/>
        <w:jc w:val="both"/>
      </w:pPr>
      <w:r>
        <w:rPr>
          <w:spacing w:val="-5"/>
        </w:rPr>
        <w:t>我们审计了江苏林洋能源股份有限公司（以下简称江苏林洋能源股份有限公司）财务报表，</w:t>
      </w:r>
      <w:r>
        <w:rPr>
          <w:w w:val="100"/>
        </w:rPr>
        <w:t> </w:t>
      </w:r>
      <w:r>
        <w:rPr/>
        <w:t>包括</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日的合并及母公司资产负债表，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年度的合并及母公司利润表、合并及</w:t>
      </w:r>
      <w:r>
        <w:rPr>
          <w:w w:val="100"/>
        </w:rPr>
        <w:t> </w:t>
      </w:r>
      <w:r>
        <w:rPr/>
        <w:t>母公司现金流量表、合并及母公司股东权益变动表以及相关财务报表附注。</w:t>
      </w:r>
    </w:p>
    <w:p>
      <w:pPr>
        <w:pStyle w:val="BodyText"/>
        <w:spacing w:line="230" w:lineRule="auto" w:before="9"/>
        <w:ind w:left="178" w:right="127" w:firstLine="566"/>
        <w:jc w:val="both"/>
      </w:pPr>
      <w:r>
        <w:rPr/>
        <w:t>我们认为，后附的财务报表在所有重大方面按照企业会计准则的规定编制，公允反映了江</w:t>
      </w:r>
      <w:r>
        <w:rPr>
          <w:w w:val="100"/>
        </w:rPr>
        <w:t> </w:t>
      </w:r>
      <w:r>
        <w:rPr/>
        <w:t>苏林洋能源股份有限公司</w:t>
      </w:r>
      <w:r>
        <w:rPr>
          <w:spacing w:val="-53"/>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日的合并及母公司财务状况以及</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年度的合并及母</w:t>
      </w:r>
      <w:r>
        <w:rPr>
          <w:w w:val="100"/>
        </w:rPr>
        <w:t> </w:t>
      </w:r>
      <w:r>
        <w:rPr/>
        <w:t>公司经营成果和现金流量。</w:t>
      </w:r>
    </w:p>
    <w:p>
      <w:pPr>
        <w:spacing w:line="240" w:lineRule="auto" w:before="0"/>
        <w:rPr>
          <w:rFonts w:ascii="宋体" w:hAnsi="宋体" w:cs="宋体" w:eastAsia="宋体" w:hint="default"/>
          <w:sz w:val="20"/>
          <w:szCs w:val="20"/>
        </w:rPr>
      </w:pPr>
    </w:p>
    <w:p>
      <w:pPr>
        <w:tabs>
          <w:tab w:pos="885" w:val="left" w:leader="none"/>
        </w:tabs>
        <w:spacing w:line="272" w:lineRule="exact" w:before="135"/>
        <w:ind w:left="744" w:right="133" w:hanging="567"/>
        <w:jc w:val="left"/>
        <w:rPr>
          <w:rFonts w:ascii="宋体" w:hAnsi="宋体" w:cs="宋体" w:eastAsia="宋体" w:hint="default"/>
          <w:sz w:val="21"/>
          <w:szCs w:val="21"/>
        </w:rPr>
      </w:pPr>
      <w:r>
        <w:rPr>
          <w:rFonts w:ascii="宋体" w:hAnsi="宋体" w:cs="宋体" w:eastAsia="宋体" w:hint="default"/>
          <w:b/>
          <w:bCs/>
          <w:sz w:val="21"/>
          <w:szCs w:val="21"/>
        </w:rPr>
        <w:t>二、</w:t>
        <w:tab/>
        <w:tab/>
        <w:t>形成审计意见的基础</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我们按照中国注册会计师审计准则的规定执行了审计工作。审计报告的“注册会计师对财</w:t>
      </w:r>
    </w:p>
    <w:p>
      <w:pPr>
        <w:pStyle w:val="BodyText"/>
        <w:spacing w:line="272" w:lineRule="exact" w:before="1"/>
        <w:ind w:left="178" w:right="0"/>
        <w:jc w:val="left"/>
      </w:pPr>
      <w:r>
        <w:rPr>
          <w:spacing w:val="-1"/>
        </w:rPr>
        <w:t>务报表审计的责任”部分进一步阐述了我们在这些准则下的责任。按照中国注册会计师职业道德</w:t>
      </w:r>
      <w:r>
        <w:rPr>
          <w:spacing w:val="-56"/>
        </w:rPr>
        <w:t> </w:t>
      </w:r>
      <w:r>
        <w:rPr>
          <w:spacing w:val="-56"/>
        </w:rPr>
      </w:r>
      <w:r>
        <w:rPr>
          <w:spacing w:val="-1"/>
        </w:rPr>
        <w:t>守则，我们独立于江苏林洋能源股份有限公司，并履行了职业道德方面的其他责任。我们相信，</w:t>
      </w:r>
    </w:p>
    <w:p>
      <w:pPr>
        <w:pStyle w:val="BodyText"/>
        <w:spacing w:line="249" w:lineRule="exact"/>
        <w:ind w:left="178" w:right="0"/>
        <w:jc w:val="left"/>
      </w:pPr>
      <w:r>
        <w:rPr/>
        <w:t>我们获取的审计证据是充分、适当的，为发表审计意见提供了基础。</w:t>
      </w:r>
    </w:p>
    <w:p>
      <w:pPr>
        <w:spacing w:line="240" w:lineRule="auto" w:before="0"/>
        <w:rPr>
          <w:rFonts w:ascii="宋体" w:hAnsi="宋体" w:cs="宋体" w:eastAsia="宋体" w:hint="default"/>
          <w:sz w:val="20"/>
          <w:szCs w:val="20"/>
        </w:rPr>
      </w:pPr>
    </w:p>
    <w:p>
      <w:pPr>
        <w:tabs>
          <w:tab w:pos="885" w:val="left" w:leader="none"/>
        </w:tabs>
        <w:spacing w:line="272" w:lineRule="exact" w:before="132"/>
        <w:ind w:left="744" w:right="133" w:hanging="567"/>
        <w:jc w:val="left"/>
        <w:rPr>
          <w:rFonts w:ascii="宋体" w:hAnsi="宋体" w:cs="宋体" w:eastAsia="宋体" w:hint="default"/>
          <w:sz w:val="21"/>
          <w:szCs w:val="21"/>
        </w:rPr>
      </w:pPr>
      <w:r>
        <w:rPr>
          <w:rFonts w:ascii="宋体" w:hAnsi="宋体" w:cs="宋体" w:eastAsia="宋体" w:hint="default"/>
          <w:b/>
          <w:bCs/>
          <w:sz w:val="21"/>
          <w:szCs w:val="21"/>
        </w:rPr>
        <w:t>三、</w:t>
        <w:tab/>
        <w:tab/>
        <w:t>关键审计事项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关键审计事项是我们根据职业判断，认为对本期财务报表审计最为重要的事项。这些事项</w:t>
      </w:r>
    </w:p>
    <w:p>
      <w:pPr>
        <w:pStyle w:val="BodyText"/>
        <w:spacing w:line="272" w:lineRule="exact" w:before="2"/>
        <w:ind w:left="178" w:right="0"/>
        <w:jc w:val="left"/>
      </w:pPr>
      <w:r>
        <w:rPr>
          <w:spacing w:val="-1"/>
        </w:rPr>
        <w:t>的应对以对财务报表整体进行审计并形成审计意见为背景，我们不对这些事项单独发表意见。我</w:t>
      </w:r>
      <w:r>
        <w:rPr>
          <w:spacing w:val="-55"/>
        </w:rPr>
        <w:t> </w:t>
      </w:r>
      <w:r>
        <w:rPr>
          <w:spacing w:val="-55"/>
        </w:rPr>
      </w:r>
      <w:r>
        <w:rPr/>
        <w:t>们确定下列事项是需要在审计报告中沟通的关键审计事项。</w:t>
      </w:r>
    </w:p>
    <w:tbl>
      <w:tblPr>
        <w:tblW w:w="0" w:type="auto"/>
        <w:jc w:val="left"/>
        <w:tblInd w:w="324" w:type="dxa"/>
        <w:tblLayout w:type="fixed"/>
        <w:tblCellMar>
          <w:top w:w="0" w:type="dxa"/>
          <w:left w:w="0" w:type="dxa"/>
          <w:bottom w:w="0" w:type="dxa"/>
          <w:right w:w="0" w:type="dxa"/>
        </w:tblCellMar>
        <w:tblLook w:val="01E0"/>
      </w:tblPr>
      <w:tblGrid>
        <w:gridCol w:w="4265"/>
        <w:gridCol w:w="4266"/>
      </w:tblGrid>
      <w:tr>
        <w:trPr>
          <w:trHeight w:val="509"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center"/>
              <w:rPr>
                <w:rFonts w:ascii="宋体" w:hAnsi="宋体" w:cs="宋体" w:eastAsia="宋体" w:hint="default"/>
                <w:sz w:val="21"/>
                <w:szCs w:val="21"/>
              </w:rPr>
            </w:pPr>
            <w:r>
              <w:rPr>
                <w:rFonts w:ascii="宋体" w:hAnsi="宋体" w:cs="宋体" w:eastAsia="宋体" w:hint="default"/>
                <w:sz w:val="21"/>
                <w:szCs w:val="21"/>
              </w:rPr>
              <w:t>关键审计事项</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审计应对</w:t>
            </w:r>
          </w:p>
        </w:tc>
      </w:tr>
      <w:tr>
        <w:trPr>
          <w:trHeight w:val="511" w:hRule="exact"/>
        </w:trPr>
        <w:tc>
          <w:tcPr>
            <w:tcW w:w="8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应收账款减值评估</w:t>
            </w:r>
          </w:p>
        </w:tc>
      </w:tr>
      <w:tr>
        <w:trPr>
          <w:trHeight w:val="4709"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日，如林洋能源合并报</w:t>
            </w:r>
          </w:p>
          <w:p>
            <w:pPr>
              <w:pStyle w:val="TableParagraph"/>
              <w:spacing w:line="266" w:lineRule="auto" w:before="23"/>
              <w:ind w:left="103" w:right="98"/>
              <w:jc w:val="both"/>
              <w:rPr>
                <w:rFonts w:ascii="宋体" w:hAnsi="宋体" w:cs="宋体" w:eastAsia="宋体" w:hint="default"/>
                <w:sz w:val="21"/>
                <w:szCs w:val="21"/>
              </w:rPr>
            </w:pPr>
            <w:r>
              <w:rPr>
                <w:rFonts w:ascii="宋体" w:hAnsi="宋体" w:cs="宋体" w:eastAsia="宋体" w:hint="default"/>
                <w:spacing w:val="-9"/>
                <w:w w:val="100"/>
                <w:sz w:val="21"/>
                <w:szCs w:val="21"/>
              </w:rPr>
              <w:t>表附注七、（四）所述，林洋能源应收账款余</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额</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296,324.14</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w:t>
            </w:r>
            <w:r>
              <w:rPr>
                <w:rFonts w:ascii="宋体" w:hAnsi="宋体" w:cs="宋体" w:eastAsia="宋体" w:hint="default"/>
                <w:spacing w:val="-74"/>
                <w:sz w:val="21"/>
                <w:szCs w:val="21"/>
              </w:rPr>
              <w:t> </w:t>
            </w:r>
            <w:r>
              <w:rPr>
                <w:rFonts w:ascii="宋体" w:hAnsi="宋体" w:cs="宋体" w:eastAsia="宋体" w:hint="default"/>
                <w:sz w:val="21"/>
                <w:szCs w:val="21"/>
              </w:rPr>
              <w:t>元</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提</w:t>
            </w:r>
            <w:r>
              <w:rPr>
                <w:rFonts w:ascii="宋体" w:hAnsi="宋体" w:cs="宋体" w:eastAsia="宋体" w:hint="default"/>
                <w:spacing w:val="-74"/>
                <w:sz w:val="21"/>
                <w:szCs w:val="21"/>
              </w:rPr>
              <w:t> </w:t>
            </w:r>
            <w:r>
              <w:rPr>
                <w:rFonts w:ascii="宋体" w:hAnsi="宋体" w:cs="宋体" w:eastAsia="宋体" w:hint="default"/>
                <w:sz w:val="21"/>
                <w:szCs w:val="21"/>
              </w:rPr>
              <w:t>坏</w:t>
            </w:r>
            <w:r>
              <w:rPr>
                <w:rFonts w:ascii="宋体" w:hAnsi="宋体" w:cs="宋体" w:eastAsia="宋体" w:hint="default"/>
                <w:spacing w:val="-77"/>
                <w:sz w:val="21"/>
                <w:szCs w:val="21"/>
              </w:rPr>
              <w:t> </w:t>
            </w:r>
            <w:r>
              <w:rPr>
                <w:rFonts w:ascii="宋体" w:hAnsi="宋体" w:cs="宋体" w:eastAsia="宋体" w:hint="default"/>
                <w:sz w:val="21"/>
                <w:szCs w:val="21"/>
              </w:rPr>
              <w:t>账</w:t>
            </w:r>
            <w:r>
              <w:rPr>
                <w:rFonts w:ascii="宋体" w:hAnsi="宋体" w:cs="宋体" w:eastAsia="宋体" w:hint="default"/>
                <w:spacing w:val="-74"/>
                <w:sz w:val="21"/>
                <w:szCs w:val="21"/>
              </w:rPr>
              <w:t> </w:t>
            </w:r>
            <w:r>
              <w:rPr>
                <w:rFonts w:ascii="宋体" w:hAnsi="宋体" w:cs="宋体" w:eastAsia="宋体" w:hint="default"/>
                <w:sz w:val="21"/>
                <w:szCs w:val="21"/>
              </w:rPr>
              <w:t>准</w:t>
            </w:r>
            <w:r>
              <w:rPr>
                <w:rFonts w:ascii="宋体" w:hAnsi="宋体" w:cs="宋体" w:eastAsia="宋体" w:hint="default"/>
                <w:spacing w:val="-77"/>
                <w:sz w:val="21"/>
                <w:szCs w:val="21"/>
              </w:rPr>
              <w:t> </w:t>
            </w:r>
            <w:r>
              <w:rPr>
                <w:rFonts w:ascii="宋体" w:hAnsi="宋体" w:cs="宋体" w:eastAsia="宋体" w:hint="default"/>
                <w:sz w:val="21"/>
                <w:szCs w:val="21"/>
              </w:rPr>
              <w:t>备</w:t>
            </w:r>
            <w:r>
              <w:rPr>
                <w:rFonts w:ascii="宋体" w:hAnsi="宋体" w:cs="宋体" w:eastAsia="宋体" w:hint="default"/>
                <w:spacing w:val="-74"/>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11,602.78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万元，期末账面价值较高。若应收</w:t>
            </w:r>
            <w:r>
              <w:rPr>
                <w:rFonts w:ascii="宋体" w:hAnsi="宋体" w:cs="宋体" w:eastAsia="宋体" w:hint="default"/>
                <w:w w:val="100"/>
                <w:sz w:val="21"/>
                <w:szCs w:val="21"/>
              </w:rPr>
              <w:t> </w:t>
            </w:r>
            <w:r>
              <w:rPr>
                <w:rFonts w:ascii="宋体" w:hAnsi="宋体" w:cs="宋体" w:eastAsia="宋体" w:hint="default"/>
                <w:sz w:val="21"/>
                <w:szCs w:val="21"/>
              </w:rPr>
              <w:t>账款不能按期收回或无法收回而发生坏账对</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财务报表影响较为重大，为此我们确定应收</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账款的坏账准备为关键审计事项。</w:t>
            </w:r>
          </w:p>
        </w:tc>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宋体" w:hAnsi="宋体" w:cs="宋体" w:eastAsia="宋体" w:hint="default"/>
                <w:spacing w:val="-24"/>
                <w:sz w:val="21"/>
                <w:szCs w:val="21"/>
              </w:rPr>
              <w:t> </w:t>
            </w:r>
            <w:r>
              <w:rPr>
                <w:rFonts w:ascii="宋体" w:hAnsi="宋体" w:cs="宋体" w:eastAsia="宋体" w:hint="default"/>
                <w:spacing w:val="4"/>
                <w:sz w:val="21"/>
                <w:szCs w:val="21"/>
              </w:rPr>
              <w:t>我们了解了林洋能源公司销售与收款循</w:t>
            </w:r>
          </w:p>
          <w:p>
            <w:pPr>
              <w:pStyle w:val="TableParagraph"/>
              <w:spacing w:line="240" w:lineRule="auto" w:before="12"/>
              <w:ind w:left="463" w:right="0"/>
              <w:jc w:val="left"/>
              <w:rPr>
                <w:rFonts w:ascii="宋体" w:hAnsi="宋体" w:cs="宋体" w:eastAsia="宋体" w:hint="default"/>
                <w:sz w:val="21"/>
                <w:szCs w:val="21"/>
              </w:rPr>
            </w:pPr>
            <w:r>
              <w:rPr>
                <w:rFonts w:ascii="宋体" w:hAnsi="宋体" w:cs="宋体" w:eastAsia="宋体" w:hint="default"/>
                <w:sz w:val="21"/>
                <w:szCs w:val="21"/>
              </w:rPr>
              <w:t>环相关的内部控制并执行了控制测试；</w:t>
            </w:r>
          </w:p>
          <w:p>
            <w:pPr>
              <w:pStyle w:val="TableParagraph"/>
              <w:spacing w:line="264" w:lineRule="auto" w:before="37"/>
              <w:ind w:left="463" w:right="98" w:hanging="361"/>
              <w:jc w:val="both"/>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pacing w:val="4"/>
                <w:sz w:val="21"/>
                <w:szCs w:val="21"/>
              </w:rPr>
              <w:t>我们获取了林洋能源公司签订的销售合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同，检查了客户的信用期，并对期末应收</w:t>
            </w:r>
            <w:r>
              <w:rPr>
                <w:rFonts w:ascii="宋体" w:hAnsi="宋体" w:cs="宋体" w:eastAsia="宋体" w:hint="default"/>
                <w:w w:val="100"/>
                <w:sz w:val="21"/>
                <w:szCs w:val="21"/>
              </w:rPr>
              <w:t> </w:t>
            </w:r>
            <w:r>
              <w:rPr>
                <w:rFonts w:ascii="宋体" w:hAnsi="宋体" w:cs="宋体" w:eastAsia="宋体" w:hint="default"/>
                <w:spacing w:val="4"/>
                <w:sz w:val="21"/>
                <w:szCs w:val="21"/>
              </w:rPr>
              <w:t>账款进行客户分类余额结存状况及信用</w:t>
            </w:r>
            <w:r>
              <w:rPr>
                <w:rFonts w:ascii="宋体" w:hAnsi="宋体" w:cs="宋体" w:eastAsia="宋体" w:hint="default"/>
                <w:w w:val="100"/>
                <w:sz w:val="21"/>
                <w:szCs w:val="21"/>
              </w:rPr>
              <w:t> </w:t>
            </w:r>
            <w:r>
              <w:rPr>
                <w:rFonts w:ascii="宋体" w:hAnsi="宋体" w:cs="宋体" w:eastAsia="宋体" w:hint="default"/>
                <w:sz w:val="21"/>
                <w:szCs w:val="21"/>
              </w:rPr>
              <w:t>期执行情况分析；</w:t>
            </w:r>
          </w:p>
          <w:p>
            <w:pPr>
              <w:pStyle w:val="TableParagraph"/>
              <w:spacing w:line="247" w:lineRule="auto" w:before="19"/>
              <w:ind w:left="463" w:right="100" w:hanging="361"/>
              <w:jc w:val="both"/>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pacing w:val="4"/>
                <w:sz w:val="21"/>
                <w:szCs w:val="21"/>
              </w:rPr>
              <w:t>我们分析了林洋能源公司分客户的销售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及回款情况；</w:t>
            </w:r>
          </w:p>
          <w:p>
            <w:pPr>
              <w:pStyle w:val="TableParagraph"/>
              <w:spacing w:line="247" w:lineRule="auto" w:before="33"/>
              <w:ind w:left="463" w:right="7" w:hanging="361"/>
              <w:jc w:val="both"/>
              <w:rPr>
                <w:rFonts w:ascii="宋体" w:hAnsi="宋体" w:cs="宋体" w:eastAsia="宋体" w:hint="default"/>
                <w:sz w:val="21"/>
                <w:szCs w:val="21"/>
              </w:rPr>
            </w:pPr>
            <w:r>
              <w:rPr>
                <w:rFonts w:ascii="Calibri" w:hAnsi="Calibri" w:cs="Calibri" w:eastAsia="Calibri" w:hint="default"/>
                <w:w w:val="100"/>
                <w:sz w:val="21"/>
                <w:szCs w:val="21"/>
              </w:rPr>
              <w:t>4</w:t>
            </w:r>
            <w:r>
              <w:rPr>
                <w:rFonts w:ascii="宋体" w:hAnsi="宋体" w:cs="宋体" w:eastAsia="宋体" w:hint="default"/>
                <w:w w:val="100"/>
                <w:sz w:val="21"/>
                <w:szCs w:val="21"/>
              </w:rPr>
              <w:t>）</w:t>
            </w:r>
            <w:r>
              <w:rPr>
                <w:rFonts w:ascii="宋体" w:hAnsi="宋体" w:cs="宋体" w:eastAsia="宋体" w:hint="default"/>
                <w:spacing w:val="-63"/>
                <w:w w:val="100"/>
                <w:sz w:val="21"/>
                <w:szCs w:val="21"/>
              </w:rPr>
              <w:t> </w:t>
            </w:r>
            <w:r>
              <w:rPr>
                <w:rFonts w:ascii="宋体" w:hAnsi="宋体" w:cs="宋体" w:eastAsia="宋体" w:hint="default"/>
                <w:spacing w:val="-7"/>
                <w:w w:val="100"/>
                <w:sz w:val="21"/>
                <w:szCs w:val="21"/>
              </w:rPr>
              <w:t>我们复核了应收账款的账龄，对期末余额</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执行了函证程序并检查了期后回款情况；</w:t>
            </w:r>
          </w:p>
          <w:p>
            <w:pPr>
              <w:pStyle w:val="TableParagraph"/>
              <w:spacing w:line="261" w:lineRule="auto" w:before="33"/>
              <w:ind w:left="463" w:right="100" w:hanging="361"/>
              <w:jc w:val="both"/>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pacing w:val="4"/>
                <w:sz w:val="21"/>
                <w:szCs w:val="21"/>
              </w:rPr>
              <w:t>我们对应收账款坏账准备的计提进行了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复核，并检查了公司坏账核销的审批手</w:t>
            </w:r>
            <w:r>
              <w:rPr>
                <w:rFonts w:ascii="宋体" w:hAnsi="宋体" w:cs="宋体" w:eastAsia="宋体" w:hint="default"/>
                <w:w w:val="100"/>
                <w:sz w:val="21"/>
                <w:szCs w:val="21"/>
              </w:rPr>
              <w:t> </w:t>
            </w:r>
            <w:r>
              <w:rPr>
                <w:rFonts w:ascii="宋体" w:hAnsi="宋体" w:cs="宋体" w:eastAsia="宋体" w:hint="default"/>
                <w:sz w:val="21"/>
                <w:szCs w:val="21"/>
              </w:rPr>
              <w:t>续；</w:t>
            </w:r>
          </w:p>
          <w:p>
            <w:pPr>
              <w:pStyle w:val="TableParagraph"/>
              <w:spacing w:line="249" w:lineRule="auto" w:before="18"/>
              <w:ind w:left="463" w:right="100" w:hanging="361"/>
              <w:jc w:val="both"/>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pacing w:val="4"/>
                <w:sz w:val="21"/>
                <w:szCs w:val="21"/>
              </w:rPr>
              <w:t>我们将林洋能源的坏账政策与有公开信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息的同行业可比公司进行了比较。</w:t>
            </w:r>
          </w:p>
        </w:tc>
      </w:tr>
    </w:tbl>
    <w:p>
      <w:pPr>
        <w:spacing w:line="240" w:lineRule="auto" w:before="4"/>
        <w:rPr>
          <w:rFonts w:ascii="宋体" w:hAnsi="宋体" w:cs="宋体" w:eastAsia="宋体" w:hint="default"/>
          <w:sz w:val="23"/>
          <w:szCs w:val="23"/>
        </w:rPr>
      </w:pPr>
    </w:p>
    <w:p>
      <w:pPr>
        <w:pStyle w:val="Heading2"/>
        <w:tabs>
          <w:tab w:pos="885" w:val="left" w:leader="none"/>
        </w:tabs>
        <w:spacing w:line="240" w:lineRule="auto"/>
        <w:ind w:left="178" w:right="0"/>
        <w:jc w:val="left"/>
        <w:rPr>
          <w:b w:val="0"/>
          <w:bCs w:val="0"/>
        </w:rPr>
      </w:pPr>
      <w:r>
        <w:rPr/>
        <w:t>四、</w:t>
        <w:tab/>
        <w:t>其他信息</w:t>
      </w:r>
      <w:r>
        <w:rPr>
          <w:b w:val="0"/>
          <w:bCs w:val="0"/>
        </w:rPr>
      </w:r>
    </w:p>
    <w:p>
      <w:pPr>
        <w:spacing w:after="0" w:line="240" w:lineRule="auto"/>
        <w:jc w:val="left"/>
        <w:sectPr>
          <w:pgSz w:w="11910" w:h="16840"/>
          <w:pgMar w:header="728" w:footer="974" w:top="1120" w:bottom="1160" w:left="1620" w:right="1140"/>
        </w:sectPr>
      </w:pPr>
    </w:p>
    <w:p>
      <w:pPr>
        <w:spacing w:line="240" w:lineRule="auto" w:before="6"/>
        <w:rPr>
          <w:rFonts w:ascii="宋体" w:hAnsi="宋体" w:cs="宋体" w:eastAsia="宋体" w:hint="default"/>
          <w:b/>
          <w:bCs/>
          <w:sz w:val="25"/>
          <w:szCs w:val="25"/>
        </w:rPr>
      </w:pPr>
    </w:p>
    <w:p>
      <w:pPr>
        <w:pStyle w:val="BodyText"/>
        <w:spacing w:line="240" w:lineRule="auto" w:before="36"/>
        <w:ind w:left="178" w:right="102" w:firstLine="566"/>
        <w:jc w:val="left"/>
      </w:pPr>
      <w:r>
        <w:rPr/>
        <w:t>江苏林洋能源股份有限公司管理层（以下简称管理层）对其他信息负责。其他信息包括江</w:t>
      </w:r>
      <w:r>
        <w:rPr>
          <w:w w:val="100"/>
        </w:rPr>
        <w:t> </w:t>
      </w:r>
      <w:r>
        <w:rPr/>
        <w:t>苏林洋能源股份有限公司</w:t>
      </w:r>
      <w:r>
        <w:rPr>
          <w:spacing w:val="-52"/>
        </w:rPr>
        <w:t> </w:t>
      </w:r>
      <w:r>
        <w:rPr>
          <w:rFonts w:ascii="Times New Roman" w:hAnsi="Times New Roman" w:cs="Times New Roman" w:eastAsia="Times New Roman" w:hint="default"/>
        </w:rPr>
        <w:t>2018 </w:t>
      </w:r>
      <w:r>
        <w:rPr/>
        <w:t>年年度报告中涵盖的信息，但不包括财务报表和我们的审计报告。</w:t>
      </w:r>
    </w:p>
    <w:p>
      <w:pPr>
        <w:pStyle w:val="BodyText"/>
        <w:spacing w:line="274" w:lineRule="exact" w:before="6"/>
        <w:ind w:left="178" w:right="104" w:firstLine="566"/>
        <w:jc w:val="left"/>
      </w:pPr>
      <w:r>
        <w:rPr/>
        <w:t>我们对财务报表发表的审计意见不涵盖其他信息，我们也不对其他信息发表任何形式的鉴</w:t>
      </w:r>
      <w:r>
        <w:rPr>
          <w:w w:val="100"/>
        </w:rPr>
        <w:t> </w:t>
      </w:r>
      <w:r>
        <w:rPr/>
        <w:t>证结论。</w:t>
      </w:r>
    </w:p>
    <w:p>
      <w:pPr>
        <w:pStyle w:val="BodyText"/>
        <w:spacing w:line="245" w:lineRule="exact"/>
        <w:ind w:left="744" w:right="104"/>
        <w:jc w:val="left"/>
      </w:pPr>
      <w:r>
        <w:rPr/>
        <w:t>结合我们对财务报表的审计，我们的责任是阅读其他信息，在此过程中，考虑其他信息是</w:t>
      </w:r>
    </w:p>
    <w:p>
      <w:pPr>
        <w:pStyle w:val="BodyText"/>
        <w:spacing w:line="272" w:lineRule="exact" w:before="27"/>
        <w:ind w:left="744" w:right="104" w:hanging="567"/>
        <w:jc w:val="left"/>
      </w:pPr>
      <w:r>
        <w:rPr/>
        <w:t>否与财务报表或我们在审计过程中了解到的情况存在重大不一致或者似乎存在重大错报。</w:t>
      </w:r>
      <w:r>
        <w:rPr>
          <w:w w:val="100"/>
        </w:rPr>
        <w:t> </w:t>
      </w:r>
      <w:r>
        <w:rPr/>
        <w:t>基于我们已执行的工作，如果我们确定其他信息存在重大错报，我们应当报告该事实。在</w:t>
      </w:r>
    </w:p>
    <w:p>
      <w:pPr>
        <w:pStyle w:val="BodyText"/>
        <w:spacing w:line="249" w:lineRule="exact"/>
        <w:ind w:left="178" w:right="104"/>
        <w:jc w:val="left"/>
      </w:pPr>
      <w:r>
        <w:rPr/>
        <w:t>这方面，我们无任何事项需要报告。</w:t>
      </w:r>
    </w:p>
    <w:p>
      <w:pPr>
        <w:spacing w:line="240" w:lineRule="auto" w:before="13"/>
        <w:rPr>
          <w:rFonts w:ascii="宋体" w:hAnsi="宋体" w:cs="宋体" w:eastAsia="宋体" w:hint="default"/>
          <w:sz w:val="27"/>
          <w:szCs w:val="27"/>
        </w:rPr>
      </w:pPr>
    </w:p>
    <w:p>
      <w:pPr>
        <w:tabs>
          <w:tab w:pos="885" w:val="left" w:leader="none"/>
        </w:tabs>
        <w:spacing w:before="0"/>
        <w:ind w:left="744" w:right="213" w:hanging="567"/>
        <w:jc w:val="left"/>
        <w:rPr>
          <w:rFonts w:ascii="宋体" w:hAnsi="宋体" w:cs="宋体" w:eastAsia="宋体" w:hint="default"/>
          <w:sz w:val="21"/>
          <w:szCs w:val="21"/>
        </w:rPr>
      </w:pPr>
      <w:r>
        <w:rPr>
          <w:rFonts w:ascii="宋体" w:hAnsi="宋体" w:cs="宋体" w:eastAsia="宋体" w:hint="default"/>
          <w:b/>
          <w:bCs/>
          <w:sz w:val="21"/>
          <w:szCs w:val="21"/>
        </w:rPr>
        <w:t>五、</w:t>
        <w:tab/>
        <w:tab/>
        <w:t>管理层和治理层对财务报表的责任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管理层负责按照企业会计准则的规定编制财务报表，使其实现公允反映，并设计、执行和</w:t>
      </w:r>
    </w:p>
    <w:p>
      <w:pPr>
        <w:pStyle w:val="BodyText"/>
        <w:spacing w:line="272" w:lineRule="exact" w:before="24"/>
        <w:ind w:left="744" w:right="104" w:hanging="567"/>
        <w:jc w:val="left"/>
      </w:pPr>
      <w:r>
        <w:rPr/>
        <w:t>维护必要的内部控制，以使财务报表不存在由于舞弊或错误导致的重大错报。</w:t>
      </w:r>
      <w:r>
        <w:rPr>
          <w:w w:val="100"/>
        </w:rPr>
        <w:t> </w:t>
      </w:r>
      <w:r>
        <w:rPr/>
        <w:t>在编制财务报表时，管理层负责评估江苏林洋能源股份有限公司的持续经营能力，披露与</w:t>
      </w:r>
    </w:p>
    <w:p>
      <w:pPr>
        <w:pStyle w:val="BodyText"/>
        <w:spacing w:line="272" w:lineRule="exact" w:before="1"/>
        <w:ind w:left="178" w:right="208"/>
        <w:jc w:val="both"/>
      </w:pPr>
      <w:r>
        <w:rPr>
          <w:spacing w:val="-1"/>
        </w:rPr>
        <w:t>持续经营相关的事项（如适用），并运用持续经营假设，除非计划进行清算、终止运营或别无其</w:t>
      </w:r>
      <w:r>
        <w:rPr>
          <w:spacing w:val="-55"/>
        </w:rPr>
        <w:t> </w:t>
      </w:r>
      <w:r>
        <w:rPr>
          <w:spacing w:val="-55"/>
        </w:rPr>
      </w:r>
      <w:r>
        <w:rPr/>
        <w:t>他现实的选择。</w:t>
      </w:r>
    </w:p>
    <w:p>
      <w:pPr>
        <w:pStyle w:val="BodyText"/>
        <w:spacing w:line="249" w:lineRule="exact"/>
        <w:ind w:left="744" w:right="104"/>
        <w:jc w:val="left"/>
      </w:pPr>
      <w:r>
        <w:rPr/>
        <w:t>治理层负责监督江苏林洋能源股份有限公司的财务报告过程。</w:t>
      </w:r>
    </w:p>
    <w:p>
      <w:pPr>
        <w:spacing w:line="240" w:lineRule="auto" w:before="13"/>
        <w:rPr>
          <w:rFonts w:ascii="宋体" w:hAnsi="宋体" w:cs="宋体" w:eastAsia="宋体" w:hint="default"/>
          <w:sz w:val="27"/>
          <w:szCs w:val="27"/>
        </w:rPr>
      </w:pPr>
    </w:p>
    <w:p>
      <w:pPr>
        <w:tabs>
          <w:tab w:pos="885" w:val="left" w:leader="none"/>
        </w:tabs>
        <w:spacing w:before="0"/>
        <w:ind w:left="744" w:right="213" w:hanging="567"/>
        <w:jc w:val="left"/>
        <w:rPr>
          <w:rFonts w:ascii="宋体" w:hAnsi="宋体" w:cs="宋体" w:eastAsia="宋体" w:hint="default"/>
          <w:sz w:val="21"/>
          <w:szCs w:val="21"/>
        </w:rPr>
      </w:pPr>
      <w:r>
        <w:rPr>
          <w:rFonts w:ascii="宋体" w:hAnsi="宋体" w:cs="宋体" w:eastAsia="宋体" w:hint="default"/>
          <w:b/>
          <w:bCs/>
          <w:sz w:val="21"/>
          <w:szCs w:val="21"/>
        </w:rPr>
        <w:t>六、</w:t>
        <w:tab/>
        <w:tab/>
        <w:t>注册会计师对财务报表审计的责任</w:t>
      </w:r>
      <w:r>
        <w:rPr>
          <w:rFonts w:ascii="宋体" w:hAnsi="宋体" w:cs="宋体" w:eastAsia="宋体" w:hint="default"/>
          <w:b/>
          <w:bCs/>
          <w:w w:val="100"/>
          <w:sz w:val="21"/>
          <w:szCs w:val="21"/>
        </w:rPr>
        <w:t> </w:t>
      </w:r>
      <w:r>
        <w:rPr>
          <w:rFonts w:ascii="宋体" w:hAnsi="宋体" w:cs="宋体" w:eastAsia="宋体" w:hint="default"/>
          <w:sz w:val="21"/>
          <w:szCs w:val="21"/>
        </w:rPr>
        <w:t>我们的目标是对财务报表整体是否不存在由于舞弊或错误导致的重大错报获取合理保证，</w:t>
      </w:r>
    </w:p>
    <w:p>
      <w:pPr>
        <w:pStyle w:val="BodyText"/>
        <w:spacing w:line="237" w:lineRule="auto"/>
        <w:ind w:left="178" w:right="208"/>
        <w:jc w:val="both"/>
      </w:pPr>
      <w:r>
        <w:rPr>
          <w:spacing w:val="-1"/>
        </w:rPr>
        <w:t>并出具包含审计意见的审计报告。合理保证是高水平的保证，但并不能保证按照审计准则执行的</w:t>
      </w:r>
      <w:r>
        <w:rPr>
          <w:spacing w:val="-55"/>
        </w:rPr>
        <w:t> </w:t>
      </w:r>
      <w:r>
        <w:rPr>
          <w:spacing w:val="-55"/>
        </w:rPr>
      </w:r>
      <w:r>
        <w:rPr>
          <w:spacing w:val="-1"/>
        </w:rPr>
        <w:t>审计在某一重大错报存在时总能发现。错报可能由于舞弊或错误导致，如果合理预期错报单独或</w:t>
      </w:r>
      <w:r>
        <w:rPr>
          <w:spacing w:val="-55"/>
        </w:rPr>
        <w:t> </w:t>
      </w:r>
      <w:r>
        <w:rPr>
          <w:spacing w:val="-55"/>
        </w:rPr>
      </w:r>
      <w:r>
        <w:rPr/>
        <w:t>汇总起来可能影响财务报表使用者依据财务报表作出的经济决策，则通常认为错报是重大的。</w:t>
      </w:r>
    </w:p>
    <w:p>
      <w:pPr>
        <w:pStyle w:val="BodyText"/>
        <w:spacing w:line="272" w:lineRule="exact" w:before="26"/>
        <w:ind w:left="178" w:right="104" w:firstLine="566"/>
        <w:jc w:val="left"/>
      </w:pPr>
      <w:r>
        <w:rPr/>
        <w:t>在按照审计准则执行审计工作的过程中，我们运用职业判断，并保持职业怀疑。同时，我</w:t>
      </w:r>
      <w:r>
        <w:rPr>
          <w:w w:val="100"/>
        </w:rPr>
        <w:t> </w:t>
      </w:r>
      <w:r>
        <w:rPr/>
        <w:t>们也执行以下工作：</w:t>
      </w:r>
    </w:p>
    <w:p>
      <w:pPr>
        <w:pStyle w:val="BodyText"/>
        <w:spacing w:line="272" w:lineRule="exact" w:before="1"/>
        <w:ind w:left="178" w:right="208" w:firstLine="566"/>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1"/>
        </w:rPr>
        <w:t>伪造、故意遗漏、虚假陈述或凌驾于内部控制之上，未能发现由于舞弊导致的重大错报的风险高</w:t>
      </w:r>
    </w:p>
    <w:p>
      <w:pPr>
        <w:pStyle w:val="BodyText"/>
        <w:spacing w:line="247" w:lineRule="exact"/>
        <w:ind w:left="178" w:right="104"/>
        <w:jc w:val="left"/>
      </w:pPr>
      <w:r>
        <w:rPr/>
        <w:t>于未能发现由于错误导致的重大错报的风险。</w:t>
      </w:r>
    </w:p>
    <w:p>
      <w:pPr>
        <w:pStyle w:val="BodyText"/>
        <w:spacing w:line="280" w:lineRule="exact"/>
        <w:ind w:left="744" w:right="104"/>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72" w:lineRule="exact"/>
        <w:ind w:left="744" w:right="10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ind w:left="178" w:right="208" w:firstLine="566"/>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w:t>
      </w:r>
      <w:r>
        <w:rPr>
          <w:w w:val="100"/>
        </w:rPr>
        <w:t> </w:t>
      </w:r>
      <w:r>
        <w:rPr>
          <w:spacing w:val="-1"/>
        </w:rPr>
        <w:t>导致对江苏林洋能源股份有限公司持续经营能力产生重大疑虑的事项或情况是否存在重大不确定</w:t>
      </w:r>
      <w:r>
        <w:rPr>
          <w:spacing w:val="-55"/>
        </w:rPr>
        <w:t> </w:t>
      </w:r>
      <w:r>
        <w:rPr>
          <w:spacing w:val="-55"/>
        </w:rPr>
      </w:r>
      <w:r>
        <w:rPr>
          <w:spacing w:val="-1"/>
        </w:rPr>
        <w:t>性得出结论。如果我们得出结论认为存在重大不确定性，审计准则要求我们在审计报告中提请报</w:t>
      </w:r>
      <w:r>
        <w:rPr>
          <w:spacing w:val="-55"/>
        </w:rPr>
        <w:t> </w:t>
      </w:r>
      <w:r>
        <w:rPr>
          <w:spacing w:val="-55"/>
        </w:rPr>
      </w:r>
      <w:r>
        <w:rPr>
          <w:spacing w:val="-1"/>
        </w:rPr>
        <w:t>表使用者注意财务报表中的相关披露；如果披露不充分，我们应当发表非无保留意见。我们的结</w:t>
      </w:r>
      <w:r>
        <w:rPr>
          <w:spacing w:val="-55"/>
        </w:rPr>
        <w:t> </w:t>
      </w:r>
      <w:r>
        <w:rPr>
          <w:spacing w:val="-55"/>
        </w:rPr>
      </w:r>
      <w:r>
        <w:rPr>
          <w:spacing w:val="-1"/>
        </w:rPr>
        <w:t>论基于截至审计报告日可获得的信息。然而，未来的事项或情况可能导致江苏林洋能源股份有限</w:t>
      </w:r>
      <w:r>
        <w:rPr>
          <w:spacing w:val="-55"/>
        </w:rPr>
        <w:t> </w:t>
      </w:r>
      <w:r>
        <w:rPr>
          <w:spacing w:val="-55"/>
        </w:rPr>
      </w:r>
      <w:r>
        <w:rPr/>
        <w:t>公司不能持续经营。</w:t>
      </w:r>
    </w:p>
    <w:p>
      <w:pPr>
        <w:pStyle w:val="BodyText"/>
        <w:spacing w:line="274" w:lineRule="exact" w:before="23"/>
        <w:ind w:left="178" w:right="104" w:firstLine="566"/>
        <w:jc w:val="left"/>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）评价财务报表的总体列报、结构和内容（包括披露），并评价财务报表是否公允反映</w:t>
      </w:r>
      <w:r>
        <w:rPr>
          <w:w w:val="100"/>
        </w:rPr>
        <w:t> </w:t>
      </w:r>
      <w:r>
        <w:rPr/>
        <w:t>相关交易和事项。</w:t>
      </w:r>
    </w:p>
    <w:p>
      <w:pPr>
        <w:pStyle w:val="BodyText"/>
        <w:spacing w:line="253" w:lineRule="exact"/>
        <w:ind w:left="178" w:right="0" w:firstLine="566"/>
        <w:jc w:val="both"/>
      </w:pPr>
      <w:r>
        <w:rPr>
          <w:spacing w:val="-3"/>
        </w:rPr>
        <w:t>（</w:t>
      </w:r>
      <w:r>
        <w:rPr>
          <w:rFonts w:ascii="Times New Roman" w:hAnsi="Times New Roman" w:cs="Times New Roman" w:eastAsia="Times New Roman" w:hint="default"/>
          <w:spacing w:val="-3"/>
        </w:rPr>
        <w:t>6</w:t>
      </w:r>
      <w:r>
        <w:rPr>
          <w:spacing w:val="-3"/>
        </w:rPr>
        <w:t>）就江苏林洋能源股份有限公司中实体或业务活动的财务信息获取充分、适当的审计证</w:t>
      </w:r>
    </w:p>
    <w:p>
      <w:pPr>
        <w:pStyle w:val="BodyText"/>
        <w:spacing w:line="272" w:lineRule="exact" w:before="19"/>
        <w:ind w:left="178" w:right="208"/>
        <w:jc w:val="both"/>
      </w:pPr>
      <w:r>
        <w:rPr>
          <w:spacing w:val="-1"/>
        </w:rPr>
        <w:t>据，以对财务报表发表审计意见。我们负责指导、监督和执行集团审计，并对审计意见承担全部</w:t>
      </w:r>
      <w:r>
        <w:rPr>
          <w:spacing w:val="-55"/>
        </w:rPr>
        <w:t> </w:t>
      </w:r>
      <w:r>
        <w:rPr>
          <w:spacing w:val="-55"/>
        </w:rPr>
      </w:r>
      <w:r>
        <w:rPr/>
        <w:t>责任。</w:t>
      </w:r>
    </w:p>
    <w:p>
      <w:pPr>
        <w:pStyle w:val="BodyText"/>
        <w:spacing w:line="272" w:lineRule="exact" w:before="1"/>
        <w:ind w:left="178" w:right="104" w:firstLine="566"/>
        <w:jc w:val="left"/>
      </w:pPr>
      <w:r>
        <w:rPr/>
        <w:t>我们与治理层就计划的审计范围、时间安排和重大审计发现等事项进行沟通，包括沟通我</w:t>
      </w:r>
      <w:r>
        <w:rPr>
          <w:w w:val="100"/>
        </w:rPr>
        <w:t> </w:t>
      </w:r>
      <w:r>
        <w:rPr/>
        <w:t>们在审计中识别出的值得关注的内部控制缺陷。</w:t>
      </w:r>
    </w:p>
    <w:p>
      <w:pPr>
        <w:pStyle w:val="BodyText"/>
        <w:spacing w:line="272" w:lineRule="exact" w:before="1"/>
        <w:ind w:left="178" w:right="104" w:firstLine="566"/>
        <w:jc w:val="left"/>
      </w:pPr>
      <w:r>
        <w:rPr/>
        <w:t>我们还就已遵守与独立性相关的职业道德要求向治理层提供声明，并与治理层沟通可能被</w:t>
      </w:r>
      <w:r>
        <w:rPr>
          <w:w w:val="100"/>
        </w:rPr>
        <w:t> </w:t>
      </w:r>
      <w:r>
        <w:rPr/>
        <w:t>合理认为影响我们独立性的所有关系和其他事项，以及相关的防范措施（如适用）。</w:t>
      </w:r>
    </w:p>
    <w:p>
      <w:pPr>
        <w:pStyle w:val="BodyText"/>
        <w:spacing w:line="272" w:lineRule="exact" w:before="1"/>
        <w:ind w:left="178" w:right="104" w:firstLine="566"/>
        <w:jc w:val="left"/>
      </w:pPr>
      <w:r>
        <w:rPr/>
        <w:t>从与治理层沟通过的事项中，我们确定哪些事项对本期财务报表审计最为重要，因而构成</w:t>
      </w:r>
      <w:r>
        <w:rPr>
          <w:w w:val="100"/>
        </w:rPr>
        <w:t> </w:t>
      </w:r>
      <w:r>
        <w:rPr>
          <w:spacing w:val="-1"/>
        </w:rPr>
        <w:t>关键审计事项。我们在审计报告中描述这些事项，除非法律法规禁止公开披露这些事项，或在极</w:t>
      </w:r>
    </w:p>
    <w:p>
      <w:pPr>
        <w:pStyle w:val="BodyText"/>
        <w:spacing w:line="246" w:lineRule="exact"/>
        <w:ind w:left="178" w:right="104"/>
        <w:jc w:val="left"/>
      </w:pPr>
      <w:r>
        <w:rPr/>
        <w:t>少数情形下，如果合理预期在审计报告中沟通某事项造成的负面后果超过在公众利益方面产生的</w:t>
      </w:r>
    </w:p>
    <w:p>
      <w:pPr>
        <w:pStyle w:val="BodyText"/>
        <w:spacing w:line="274" w:lineRule="exact"/>
        <w:ind w:left="178" w:right="104"/>
        <w:jc w:val="left"/>
      </w:pPr>
      <w:r>
        <w:rPr/>
        <w:t>益处，我们确定不应在审计报告中沟通该事项。</w:t>
      </w:r>
    </w:p>
    <w:p>
      <w:pPr>
        <w:spacing w:after="0" w:line="274" w:lineRule="exact"/>
        <w:jc w:val="left"/>
        <w:sectPr>
          <w:pgSz w:w="11910" w:h="16840"/>
          <w:pgMar w:header="728" w:footer="974" w:top="1120" w:bottom="1160" w:left="1620" w:right="1060"/>
        </w:sectPr>
      </w:pPr>
    </w:p>
    <w:p>
      <w:pPr>
        <w:spacing w:line="240" w:lineRule="auto" w:before="6"/>
        <w:rPr>
          <w:rFonts w:ascii="宋体" w:hAnsi="宋体" w:cs="宋体" w:eastAsia="宋体" w:hint="default"/>
          <w:sz w:val="25"/>
          <w:szCs w:val="25"/>
        </w:rPr>
      </w:pPr>
    </w:p>
    <w:p>
      <w:pPr>
        <w:pStyle w:val="Heading2"/>
        <w:tabs>
          <w:tab w:pos="4596" w:val="left" w:leader="none"/>
        </w:tabs>
        <w:spacing w:line="274" w:lineRule="exact"/>
        <w:ind w:left="384" w:right="0"/>
        <w:jc w:val="left"/>
        <w:rPr>
          <w:b w:val="0"/>
          <w:bCs w:val="0"/>
        </w:rPr>
      </w:pPr>
      <w:r>
        <w:rPr/>
        <w:t>立信会计师事务所</w:t>
        <w:tab/>
        <w:t>中国注册会计师：严劼（项目合伙人）</w:t>
      </w:r>
      <w:r>
        <w:rPr>
          <w:b w:val="0"/>
          <w:bCs w:val="0"/>
        </w:rPr>
      </w:r>
    </w:p>
    <w:p>
      <w:pPr>
        <w:pStyle w:val="Heading2"/>
        <w:spacing w:line="274" w:lineRule="exact" w:before="0"/>
        <w:ind w:left="384"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0"/>
        <w:ind w:left="4604" w:right="0"/>
        <w:jc w:val="left"/>
        <w:rPr>
          <w:b w:val="0"/>
          <w:bCs w:val="0"/>
        </w:rPr>
      </w:pPr>
      <w:r>
        <w:rPr/>
        <w:t>中国注册会计师：孙玮</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tabs>
          <w:tab w:pos="4589" w:val="left" w:leader="none"/>
        </w:tabs>
        <w:spacing w:line="240" w:lineRule="auto" w:before="0"/>
        <w:ind w:left="2283"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t>二〇一九年四月二十五日</w:t>
      </w:r>
      <w:r>
        <w:rPr>
          <w:b w:val="0"/>
          <w:bCs w:val="0"/>
          <w:spacing w:val="-1"/>
        </w:rPr>
      </w:r>
    </w:p>
    <w:p>
      <w:pPr>
        <w:spacing w:after="0" w:line="240" w:lineRule="auto"/>
        <w:jc w:val="left"/>
        <w:sectPr>
          <w:pgSz w:w="11910" w:h="16840"/>
          <w:pgMar w:header="728" w:footer="974" w:top="1120" w:bottom="1160" w:left="1620" w:right="1140"/>
        </w:sectPr>
      </w:pPr>
    </w:p>
    <w:p>
      <w:pPr>
        <w:spacing w:line="240" w:lineRule="auto" w:before="6"/>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37"/>
          <w:pgSz w:w="11910" w:h="16840"/>
          <w:pgMar w:footer="974" w:header="728" w:top="1120" w:bottom="1160" w:left="1580" w:right="1060"/>
        </w:sectPr>
      </w:pPr>
    </w:p>
    <w:p>
      <w:pPr>
        <w:pStyle w:val="Heading2"/>
        <w:spacing w:line="240" w:lineRule="auto"/>
        <w:ind w:right="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江苏林洋能源股份有限公司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41" w:right="-1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60"/>
          <w:cols w:num="3" w:equalWidth="0">
            <w:col w:w="3687" w:space="40"/>
            <w:col w:w="1778" w:space="1437"/>
            <w:col w:w="232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78"/>
        <w:gridCol w:w="1102"/>
        <w:gridCol w:w="1944"/>
        <w:gridCol w:w="1913"/>
      </w:tblGrid>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4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2,182,766,807.73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2,542,403,145.24</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2,893,246,866.76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2,038,105,166.53</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46,033,292.54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86,420,391.07</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2,847,213,574.22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1,951,684,775.46</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108,363,988.14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71,742,402.35</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55,978,916.05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34,440,017.42</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2,687,513.89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1,321,298.61</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w:t>
            </w: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459,804,650.78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389,023,249.22</w:t>
            </w:r>
          </w:p>
        </w:tc>
      </w:tr>
      <w:tr>
        <w:trPr>
          <w:trHeight w:val="2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800"/>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32,624,355.07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31,458,845.75</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1,343,704,432.53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1,902,242,837.93</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7,076,490,017.06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7,009,415,664.44</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39,362,000.00</w:t>
            </w: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6,038,763.14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10,476,563.20</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108,539,394.75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75,171,816.49</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8,891,288,918.75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8,024,250,866.72</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186,557,021.13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423,984,910.47</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52,425,171.13</w:t>
            </w: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123,191,549.58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121,198,164.65</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74,587,452.84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44,102,819.99</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58,019,161.60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59,936,924.13</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852,065,042.59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1,005,272,169.54</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10,392,074,475.51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9,764,394,235.19</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17,468,564,492.57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16,773,809,899.63</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396,550,000.00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598,591,913.83</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078"/>
        <w:gridCol w:w="1102"/>
        <w:gridCol w:w="1944"/>
        <w:gridCol w:w="1913"/>
      </w:tblGrid>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1,611,805,696.69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1,973,052,693.71</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14,625,634.40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28,125,759.30</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99,387,031.98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95,392,058.88</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72,093,004.60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72,759,990.49</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115,500,415.33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152,526,346.48</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6,310,911.70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4,446,599.88</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3,343,734.20</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221,100,000.00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155,250,000.00</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2,531,061,783.00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3,075,698,762.69</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2,034,500,000.00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1,310,600,000.00</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2,463,263,272.02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2,340,152,259.78</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475,458,961.86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540,556,982.34</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8,957,247.98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42,159,027.86</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4,982,179,481.86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4,233,468,269.98</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7,513,241,264.86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7,309,167,032.67</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1,765,410,843.00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1,764,091,819.00</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648,686,895.88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648,695,328.93</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4,760,131,248.80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4,767,998,389.03</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173,515,620.20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97,020,000.00</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1,441,757.55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-25,436.18</w:t>
            </w:r>
          </w:p>
        </w:tc>
      </w:tr>
      <w:tr>
        <w:trPr>
          <w:trHeight w:val="2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225,738,320.37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218,953,605.18</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2,702,583,820.51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2,019,472,567.33</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9,930,477,265.91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9,322,166,273.29</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24,845,961.80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142,476,593.67</w:t>
            </w:r>
          </w:p>
        </w:tc>
      </w:tr>
      <w:tr>
        <w:trPr>
          <w:trHeight w:val="2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9,955,323,227.71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9,464,642,866.96</w:t>
            </w:r>
          </w:p>
        </w:tc>
      </w:tr>
      <w:tr>
        <w:trPr>
          <w:trHeight w:val="25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17,468,564,492.57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16,773,809,899.63</w:t>
            </w:r>
          </w:p>
        </w:tc>
      </w:tr>
    </w:tbl>
    <w:p>
      <w:pPr>
        <w:pStyle w:val="BodyText"/>
        <w:tabs>
          <w:tab w:pos="2949" w:val="left" w:leader="none"/>
          <w:tab w:pos="6730" w:val="left" w:leader="none"/>
        </w:tabs>
        <w:spacing w:line="241" w:lineRule="exact"/>
        <w:ind w:right="0"/>
        <w:jc w:val="left"/>
      </w:pPr>
      <w:r>
        <w:rPr>
          <w:spacing w:val="-1"/>
        </w:rPr>
        <w:t>法定代表人：陆永华</w:t>
        <w:tab/>
      </w:r>
      <w:r>
        <w:rPr>
          <w:spacing w:val="-2"/>
        </w:rPr>
        <w:t>主管会计工作负责人：虞海娟</w:t>
        <w:tab/>
        <w:t>会计机构负责人：周辉</w:t>
      </w:r>
    </w:p>
    <w:p>
      <w:pPr>
        <w:spacing w:after="0" w:line="241" w:lineRule="exact"/>
        <w:jc w:val="left"/>
        <w:sectPr>
          <w:footerReference w:type="default" r:id="rId38"/>
          <w:pgSz w:w="11910" w:h="16840"/>
          <w:pgMar w:footer="974" w:header="728" w:top="1120" w:bottom="1160" w:left="1580" w:right="1060"/>
          <w:pgNumType w:start="81"/>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28"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江苏林洋能源股份有限公司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3" w:equalWidth="0">
            <w:col w:w="3687" w:space="40"/>
            <w:col w:w="1778" w:space="1437"/>
            <w:col w:w="234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12"/>
        <w:gridCol w:w="1203"/>
        <w:gridCol w:w="2153"/>
        <w:gridCol w:w="2182"/>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1,212,933,169.51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950,318,132.51</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1,061,170,474.59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997,738,822.38</w:t>
            </w: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32,581,788.52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63,251,057.23</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1,028,588,686.07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934,487,765.15</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59,334,810.27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10,739,410.08</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1,138,173,040.65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1,198,423,755.97</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120,700,000.00</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292,747,830.13</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246,957,955.39</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1,430,000,000.00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4,734,359,325.15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4,834,178,076.33</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39,362,000.00</w:t>
            </w: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4,618,649,146.91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4,220,569,622.15</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235,702,213.14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240,846,334.82</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2,296,846.62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361,126.72</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29,135,889.14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19,365,179.42</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3,101,687.07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4,920,046.04</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31,837,213.78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23,919,547.33</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3,166,239,130.00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2,934,948,934.84</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8,126,324,126.66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7,444,930,791.32</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12,860,683,451.81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12,279,108,867.65</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559,081,913.83</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854,416,400.16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665,559,897.06</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11,182,660.46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19,553,751.48</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59,045,893.27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50,543,534.96</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12"/>
        <w:gridCol w:w="1203"/>
        <w:gridCol w:w="2153"/>
        <w:gridCol w:w="2182"/>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54,468,130.90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46,706,249.94</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92,324,543.75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107,009,742.00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3,712,038.29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2,289,776.79</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13,000,000.00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1,434,437,628.54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1,461,455,089.27</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573,250,000.00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16,250,000.00</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2,463,263,272.02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2,340,152,259.78</w:t>
            </w: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11,308,383.46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9,659,415.34</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3,047,821,655.48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2,366,061,675.12</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4,482,259,284.02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3,827,516,764.39</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1,765,410,843.00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1,764,091,819.00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648,686,895.88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648,695,328.93</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4,634,617,835.24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4,629,831,487.04</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173,515,620.20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97,020,000.00</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225,738,320.37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218,953,605.18</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1,277,485,893.50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1,287,039,863.11</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所有者权益（或股东权益）合计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8,378,424,167.79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8,451,592,103.26</w:t>
            </w: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负债和所有者权益（或股东权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203"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12,860,683,451.81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12,279,108,867.65</w:t>
            </w:r>
          </w:p>
        </w:tc>
      </w:tr>
    </w:tbl>
    <w:p>
      <w:pPr>
        <w:pStyle w:val="BodyText"/>
        <w:tabs>
          <w:tab w:pos="2949" w:val="left" w:leader="none"/>
          <w:tab w:pos="6730" w:val="left" w:leader="none"/>
        </w:tabs>
        <w:spacing w:line="241" w:lineRule="exact"/>
        <w:ind w:right="241"/>
        <w:jc w:val="left"/>
      </w:pPr>
      <w:r>
        <w:rPr>
          <w:spacing w:val="-1"/>
        </w:rPr>
        <w:t>法定代表人：陆永华</w:t>
        <w:tab/>
      </w:r>
      <w:r>
        <w:rPr>
          <w:spacing w:val="-2"/>
        </w:rPr>
        <w:t>主管会计工作负责人：虞海娟</w:t>
        <w:tab/>
        <w:t>会计机构负责人：周辉</w:t>
      </w:r>
    </w:p>
    <w:p>
      <w:pPr>
        <w:spacing w:after="0" w:line="241" w:lineRule="exact"/>
        <w:jc w:val="left"/>
        <w:sectPr>
          <w:pgSz w:w="11910" w:h="16840"/>
          <w:pgMar w:header="728" w:footer="974" w:top="1120" w:bottom="1160" w:left="1580" w:right="1040"/>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28" w:footer="974" w:top="1120" w:bottom="116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21"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3"/>
        <w:gridCol w:w="1371"/>
        <w:gridCol w:w="2009"/>
        <w:gridCol w:w="2017"/>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4,016,739,559.85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3,588,198,201.68</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4,016,739,559.85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3,588,198,201.68</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3,289,369,911.24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2,868,033,924.82</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2,497,525,919.91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2,264,244,683.85</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26,337,789.67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27,146,990.08</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131,536,205.79</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119,227,019.36</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218,763,779.27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223,017,921.75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147,563,320.87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107,572,245.83</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254,019,267.90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115,464,739.09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290,973,711.51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128,413,138.26</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22,180,211.74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22,282,971.09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13,623,627.83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11,360,324.86</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11,939,155.76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17,979,400.41</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55,187,036.28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20,724,993.37</w:t>
            </w:r>
          </w:p>
        </w:tc>
      </w:tr>
      <w:tr>
        <w:trPr>
          <w:trHeight w:val="562"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1,275,289.40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1,000,190.76</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-651,082.13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-684,988.98</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8"/>
              <w:jc w:val="left"/>
              <w:rPr>
                <w:rFonts w:ascii="宋体" w:hAnsi="宋体" w:cs="宋体" w:eastAsia="宋体" w:hint="default"/>
                <w:sz w:val="21"/>
                <w:szCs w:val="21"/>
              </w:rPr>
            </w:pPr>
            <w:r>
              <w:rPr>
                <w:rFonts w:ascii="宋体" w:hAnsi="宋体" w:cs="宋体" w:eastAsia="宋体" w:hint="default"/>
                <w:spacing w:val="-4"/>
                <w:sz w:val="21"/>
                <w:szCs w:val="21"/>
              </w:rPr>
              <w:t>三、营业利润（亏损以“－”号填列）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793,844,758.52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758,183,681.66</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25,980,591.04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4,400,971.02</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14,747,191.47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15,584,923.11</w:t>
            </w:r>
          </w:p>
        </w:tc>
      </w:tr>
      <w:tr>
        <w:trPr>
          <w:trHeight w:val="562"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805,078,158.09</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746,999,729.57</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39,997,254.98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32,604,326.08</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五、净利润（净亏损以“－”号填列）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765,080,903.11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714,395,403.49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765,080,903.11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714,395,403.49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3"/>
        <w:gridCol w:w="1371"/>
        <w:gridCol w:w="2009"/>
        <w:gridCol w:w="2017"/>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4,568,528.38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28,373,257.20</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归属于母公司股东的净利润</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760,512,374.73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686,022,146.29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1,467,193.73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1,928,410.86</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1,467,193.73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1,928,410.86</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1,467,193.73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1,928,410.86</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1,467,193.73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1,928,410.86</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766,548,096.84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716,323,814.35</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761,979,568.46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687,950,557.15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4,568,528.38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28,373,257.20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37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0.38</w:t>
            </w:r>
          </w:p>
        </w:tc>
      </w:tr>
    </w:tbl>
    <w:p>
      <w:pPr>
        <w:pStyle w:val="BodyText"/>
        <w:spacing w:line="239" w:lineRule="exact"/>
        <w:ind w:right="117"/>
        <w:jc w:val="left"/>
      </w:pPr>
      <w:r>
        <w:rPr>
          <w:spacing w:val="-3"/>
        </w:rPr>
        <w:t>本期发生同一控制下企业合并的，被合并方在合并前实现的净利润为：</w:t>
      </w:r>
      <w:r>
        <w:rPr>
          <w:rFonts w:ascii="宋体" w:hAnsi="宋体" w:cs="宋体" w:eastAsia="宋体" w:hint="default"/>
          <w:spacing w:val="-3"/>
        </w:rPr>
        <w:t>0</w:t>
      </w:r>
      <w:r>
        <w:rPr>
          <w:rFonts w:ascii="宋体" w:hAnsi="宋体" w:cs="宋体" w:eastAsia="宋体" w:hint="default"/>
          <w:spacing w:val="-5"/>
        </w:rPr>
        <w:t> </w:t>
      </w:r>
      <w:r>
        <w:rPr/>
        <w:t>元</w:t>
      </w:r>
      <w:r>
        <w:rPr>
          <w:rFonts w:ascii="宋体" w:hAnsi="宋体" w:cs="宋体" w:eastAsia="宋体" w:hint="default"/>
        </w:rPr>
        <w:t>,</w:t>
      </w:r>
      <w:r>
        <w:rPr/>
        <w:t>上期被合并方实现的</w:t>
      </w:r>
    </w:p>
    <w:p>
      <w:pPr>
        <w:pStyle w:val="BodyText"/>
        <w:spacing w:line="273" w:lineRule="exact"/>
        <w:ind w:right="241"/>
        <w:jc w:val="left"/>
      </w:pPr>
      <w:r>
        <w:rPr/>
        <w:t>净利润为：</w:t>
      </w:r>
      <w:r>
        <w:rPr>
          <w:rFonts w:ascii="宋体" w:hAnsi="宋体" w:cs="宋体" w:eastAsia="宋体" w:hint="default"/>
        </w:rPr>
        <w:t>0</w:t>
      </w:r>
      <w:r>
        <w:rPr>
          <w:rFonts w:ascii="宋体" w:hAnsi="宋体" w:cs="宋体" w:eastAsia="宋体" w:hint="default"/>
          <w:spacing w:val="-50"/>
        </w:rPr>
        <w:t> </w:t>
      </w:r>
      <w:r>
        <w:rPr>
          <w:spacing w:val="-3"/>
        </w:rPr>
        <w:t>元。</w:t>
      </w:r>
      <w:r>
        <w:rPr/>
      </w:r>
    </w:p>
    <w:p>
      <w:pPr>
        <w:pStyle w:val="BodyText"/>
        <w:tabs>
          <w:tab w:pos="2949" w:val="left" w:leader="none"/>
          <w:tab w:pos="6730" w:val="left" w:leader="none"/>
        </w:tabs>
        <w:spacing w:line="274" w:lineRule="exact"/>
        <w:ind w:right="241"/>
        <w:jc w:val="left"/>
      </w:pPr>
      <w:r>
        <w:rPr>
          <w:spacing w:val="-1"/>
        </w:rPr>
        <w:t>法定代表人：陆永华</w:t>
        <w:tab/>
      </w:r>
      <w:r>
        <w:rPr>
          <w:spacing w:val="-2"/>
        </w:rPr>
        <w:t>主管会计工作负责人：虞海娟</w:t>
        <w:tab/>
        <w:t>会计机构负责人：周辉</w:t>
      </w:r>
    </w:p>
    <w:p>
      <w:pPr>
        <w:spacing w:after="0" w:line="274" w:lineRule="exact"/>
        <w:jc w:val="left"/>
        <w:sectPr>
          <w:pgSz w:w="11910" w:h="16840"/>
          <w:pgMar w:header="728" w:footer="974" w:top="1120" w:bottom="1160" w:left="1580" w:right="1040"/>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28" w:footer="974" w:top="1120" w:bottom="116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21"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7"/>
        <w:gridCol w:w="1517"/>
        <w:gridCol w:w="2009"/>
        <w:gridCol w:w="2017"/>
      </w:tblGrid>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十七、</w:t>
            </w:r>
            <w:r>
              <w:rPr>
                <w:rFonts w:ascii="宋体" w:hAnsi="宋体" w:cs="宋体" w:eastAsia="宋体" w:hint="default"/>
                <w:sz w:val="18"/>
                <w:szCs w:val="18"/>
              </w:rPr>
              <w:t>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1,845,054,238.05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1,848,081,097.78</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十七、</w:t>
            </w:r>
            <w:r>
              <w:rPr>
                <w:rFonts w:ascii="宋体" w:hAnsi="宋体" w:cs="宋体" w:eastAsia="宋体" w:hint="default"/>
                <w:sz w:val="18"/>
                <w:szCs w:val="18"/>
              </w:rPr>
              <w:t>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1,485,468,862.10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1,417,794,763.92</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14,870,233.91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12,239,144.98</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88,788,449.33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83,120,902.50</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91,934,719.70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120,128,083.74</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94,058,641.49</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76,641,824.16</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149,367,486.54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57,203,033.91</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167,425,915.42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57,725,462.18</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0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10,325,228.73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7,431,569.13</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53,257,741.42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66,255,815.66</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3,196,631.88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6,610,281.88</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十七、</w:t>
            </w:r>
            <w:r>
              <w:rPr>
                <w:rFonts w:ascii="宋体" w:hAnsi="宋体" w:cs="宋体" w:eastAsia="宋体" w:hint="default"/>
                <w:sz w:val="18"/>
                <w:szCs w:val="18"/>
              </w:rPr>
              <w:t>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188,943,013.30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214,281,149.59</w:t>
            </w:r>
          </w:p>
        </w:tc>
      </w:tr>
      <w:tr>
        <w:trPr>
          <w:trHeight w:val="48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1,275,289.40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1,000,190.76</w:t>
            </w: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资产处置收益（损失以“－”号填</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-597,208.08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-336,182.18</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58,850,540.66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235,252,778.20</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5,729,118.52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1,252,601.77</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823,868.64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921,084.84</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1" w:right="0"/>
              <w:jc w:val="left"/>
              <w:rPr>
                <w:rFonts w:ascii="宋体" w:hAnsi="宋体" w:cs="宋体" w:eastAsia="宋体" w:hint="default"/>
                <w:sz w:val="18"/>
                <w:szCs w:val="18"/>
              </w:rPr>
            </w:pPr>
            <w:r>
              <w:rPr>
                <w:rFonts w:ascii="宋体" w:hAnsi="宋体" w:cs="宋体" w:eastAsia="宋体" w:hint="default"/>
                <w:spacing w:val="-2"/>
                <w:sz w:val="18"/>
                <w:szCs w:val="18"/>
              </w:rPr>
              <w:t>三、利润总额（亏损总额以“－”号填列）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63,755,790.54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235,584,295.13</w:t>
            </w:r>
          </w:p>
        </w:tc>
      </w:tr>
      <w:tr>
        <w:trPr>
          <w:trHeight w:val="24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4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-4,091,361.40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10,851,764.10</w:t>
            </w: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67,847,151.94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224,732,531.03</w:t>
            </w: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67,847,151.94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224,732,531.03</w:t>
            </w: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43" w:right="0"/>
              <w:jc w:val="left"/>
              <w:rPr>
                <w:rFonts w:ascii="宋体" w:hAnsi="宋体" w:cs="宋体" w:eastAsia="宋体" w:hint="default"/>
                <w:sz w:val="18"/>
                <w:szCs w:val="18"/>
              </w:rPr>
            </w:pPr>
            <w:r>
              <w:rPr>
                <w:rFonts w:ascii="宋体" w:hAnsi="宋体" w:cs="宋体" w:eastAsia="宋体" w:hint="default"/>
                <w:spacing w:val="-12"/>
                <w:sz w:val="18"/>
                <w:szCs w:val="18"/>
              </w:rPr>
              <w:t>（二）终止经营净利润（净亏损以“－”</w:t>
            </w:r>
          </w:p>
          <w:p>
            <w:pPr>
              <w:pStyle w:val="TableParagraph"/>
              <w:spacing w:line="234" w:lineRule="exact"/>
              <w:ind w:left="8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6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金融资产损益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67,847,151.94</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224,732,531.03</w:t>
            </w:r>
          </w:p>
        </w:tc>
      </w:tr>
      <w:tr>
        <w:trPr>
          <w:trHeight w:val="2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949" w:val="left" w:leader="none"/>
          <w:tab w:pos="6730" w:val="left" w:leader="none"/>
        </w:tabs>
        <w:spacing w:line="241" w:lineRule="exact"/>
        <w:ind w:right="241"/>
        <w:jc w:val="left"/>
      </w:pPr>
      <w:r>
        <w:rPr>
          <w:spacing w:val="-1"/>
        </w:rPr>
        <w:t>法定代表人：陆永华</w:t>
        <w:tab/>
      </w:r>
      <w:r>
        <w:rPr>
          <w:spacing w:val="-2"/>
        </w:rPr>
        <w:t>主管会计工作负责人：虞海娟</w:t>
        <w:tab/>
        <w:t>会计机构负责人：周辉</w:t>
      </w:r>
    </w:p>
    <w:p>
      <w:pPr>
        <w:spacing w:after="0" w:line="241" w:lineRule="exact"/>
        <w:jc w:val="left"/>
        <w:sectPr>
          <w:type w:val="continuous"/>
          <w:pgSz w:w="11910" w:h="16840"/>
          <w:pgMar w:top="1580" w:bottom="280" w:left="1580" w:right="1040"/>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28" w:footer="974" w:top="1120" w:bottom="116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2"/>
        <w:gridCol w:w="1568"/>
        <w:gridCol w:w="2174"/>
        <w:gridCol w:w="2165"/>
      </w:tblGrid>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3,501,978,582.45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3,304,936,278.60</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72" w:lineRule="exact" w:before="26"/>
              <w:ind w:left="100" w:right="290"/>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46,856,975.96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31,848,002.53</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55,105,361.42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209,840,039.97</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3,603,940,919.83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3,546,624,321.10</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2,077,691,385.46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1,946,043,572.93</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460,111,435.87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418,064,407.61</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176,022,260.44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197,221,311.93</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437,876,796.84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179,071,390.71</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3,151,701,878.61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2,740,400,683.18</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452,239,041.22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806,223,637.92</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7,718,150,365.24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4,057,200,000.00</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58,125,008.04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20,869,483.10</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535,418.27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1,246,192.72</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2"/>
        <w:gridCol w:w="1568"/>
        <w:gridCol w:w="2174"/>
        <w:gridCol w:w="2165"/>
      </w:tblGrid>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7,776,810,791.55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4,079,315,675.82</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1,198,924,670.78</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2,620,630,122.12</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7,317,962,857.17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5,519,340,000.00</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10,419.77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-111,602,421.11</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8,516,897,947.72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8,028,367,701.01</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-740,087,156.17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-3,949,052,025.19</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17,066,532.00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3,067,820,000.00</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11,000,000.00</w:t>
            </w: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1,828,775,000.00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1,667,250,646.63</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200,000,000.00</w:t>
            </w: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2,045,841,532.00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4,735,070,646.63</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1,254,793,313.83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1,050,267,437.93</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249,072,691.00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287,022,614.67</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45,931,231.86</w:t>
            </w: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418,948,497.43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286,075,085.16</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1,922,814,502.26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1,623,365,137.76</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123,027,029.74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3,111,705,508.87</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15,399,308.76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-4,963,704.96</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-149,421,776.45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-36,086,583.36</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2,029,048,896.26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3"/>
              <w:jc w:val="right"/>
              <w:rPr>
                <w:rFonts w:ascii="宋体" w:hAnsi="宋体" w:cs="宋体" w:eastAsia="宋体" w:hint="default"/>
                <w:sz w:val="21"/>
                <w:szCs w:val="21"/>
              </w:rPr>
            </w:pPr>
            <w:r>
              <w:rPr>
                <w:rFonts w:ascii="宋体"/>
                <w:spacing w:val="-1"/>
                <w:sz w:val="21"/>
              </w:rPr>
              <w:t>2,065,135,479.62</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1,879,627,119.81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2,029,048,896.26</w:t>
            </w:r>
          </w:p>
        </w:tc>
      </w:tr>
    </w:tbl>
    <w:p>
      <w:pPr>
        <w:pStyle w:val="BodyText"/>
        <w:tabs>
          <w:tab w:pos="2949" w:val="left" w:leader="none"/>
          <w:tab w:pos="6730" w:val="left" w:leader="none"/>
        </w:tabs>
        <w:spacing w:line="241" w:lineRule="exact"/>
        <w:ind w:right="241"/>
        <w:jc w:val="left"/>
      </w:pPr>
      <w:r>
        <w:rPr>
          <w:spacing w:val="-1"/>
        </w:rPr>
        <w:t>法定代表人：陆永华</w:t>
        <w:tab/>
      </w:r>
      <w:r>
        <w:rPr>
          <w:spacing w:val="-2"/>
        </w:rPr>
        <w:t>主管会计工作负责人：虞海娟</w:t>
        <w:tab/>
        <w:t>会计机构负责人：周辉</w:t>
      </w:r>
    </w:p>
    <w:p>
      <w:pPr>
        <w:spacing w:after="0" w:line="241" w:lineRule="exact"/>
        <w:jc w:val="left"/>
        <w:sectPr>
          <w:pgSz w:w="11910" w:h="16840"/>
          <w:pgMar w:header="728" w:footer="974" w:top="1120" w:bottom="1160" w:left="1580" w:right="1040"/>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28" w:footer="974" w:top="1120" w:bottom="116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64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5"/>
        <w:gridCol w:w="1570"/>
        <w:gridCol w:w="2172"/>
        <w:gridCol w:w="2163"/>
      </w:tblGrid>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1,888,127,840.84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2,009,820,111.25</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12,630,735.80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8,905,482.81</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18,137,090.23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42,652,270.43</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1,918,895,666.87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2,061,377,864.49</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1,323,757,391.02</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1,482,205,146.13</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47"/>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215,114,508.68</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210,802,541.53</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93,207,682.01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88,563,017.07</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244,753,683.80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107,410,400.42</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1,876,833,265.51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1,888,981,105.15</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42,062,401.36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172,396,759.34</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6,226,097,473.39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3,103,000,000.00</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261,345,916.16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93,386,325.44</w:t>
            </w:r>
          </w:p>
        </w:tc>
      </w:tr>
      <w:tr>
        <w:trPr>
          <w:trHeight w:val="48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期资产收回的现金净额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292,846.91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1,614,476.32</w:t>
            </w:r>
          </w:p>
        </w:tc>
      </w:tr>
      <w:tr>
        <w:trPr>
          <w:trHeight w:val="48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574,684,283.35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1,898,534,329.76</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7,062,420,519.81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5,096,535,131.52</w:t>
            </w:r>
          </w:p>
        </w:tc>
      </w:tr>
      <w:tr>
        <w:trPr>
          <w:trHeight w:val="48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期资产支付的现金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41,629,092.61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30,155,718.97</w:t>
            </w:r>
          </w:p>
        </w:tc>
      </w:tr>
      <w:tr>
        <w:trPr>
          <w:trHeight w:val="24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6,197,650,217.17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4,350,626,600.00</w:t>
            </w:r>
          </w:p>
        </w:tc>
      </w:tr>
      <w:tr>
        <w:trPr>
          <w:trHeight w:val="48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875,300,000.00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3,492,920,000.00</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7,114,579,309.78</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7,873,702,318.97</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47"/>
              <w:jc w:val="righ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-52,158,789.97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-2,777,167,187.45</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6,066,532.00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3,067,020,000.00</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1,330,000,000.00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919,610,646.63</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1,336,066,532.00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3,986,630,646.63</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982,081,913.83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913,528,732.80</w:t>
            </w:r>
          </w:p>
        </w:tc>
      </w:tr>
      <w:tr>
        <w:trPr>
          <w:trHeight w:val="483"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121,838,878.06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177,122,450.48</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99,614,760.20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2,150,000.00</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1,203,535,552.09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1,092,801,183.28</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7"/>
              <w:jc w:val="righ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132,530,979.91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2,893,829,463.35</w:t>
            </w:r>
          </w:p>
        </w:tc>
      </w:tr>
      <w:tr>
        <w:trPr>
          <w:trHeight w:val="48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影响</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7,514,564.63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-2,742,936.01</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129,949,155.93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286,316,099.23</w:t>
            </w:r>
          </w:p>
        </w:tc>
      </w:tr>
      <w:tr>
        <w:trPr>
          <w:trHeight w:val="25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909,203,299.94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622,887,200.71</w:t>
            </w:r>
          </w:p>
        </w:tc>
      </w:tr>
      <w:tr>
        <w:trPr>
          <w:trHeight w:val="247"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1,039,152,455.87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909,203,299.94</w:t>
            </w:r>
          </w:p>
        </w:tc>
      </w:tr>
    </w:tbl>
    <w:p>
      <w:pPr>
        <w:pStyle w:val="BodyText"/>
        <w:tabs>
          <w:tab w:pos="2949" w:val="left" w:leader="none"/>
          <w:tab w:pos="6730" w:val="left" w:leader="none"/>
        </w:tabs>
        <w:spacing w:line="241" w:lineRule="exact"/>
        <w:ind w:right="241"/>
        <w:jc w:val="left"/>
      </w:pPr>
      <w:r>
        <w:rPr>
          <w:spacing w:val="-1"/>
        </w:rPr>
        <w:t>法定代表人：陆永华</w:t>
        <w:tab/>
      </w:r>
      <w:r>
        <w:rPr>
          <w:spacing w:val="-2"/>
        </w:rPr>
        <w:t>主管会计工作负责人：虞海娟</w:t>
        <w:tab/>
        <w:t>会计机构负责人：周辉</w:t>
      </w:r>
    </w:p>
    <w:p>
      <w:pPr>
        <w:spacing w:after="0" w:line="241" w:lineRule="exact"/>
        <w:jc w:val="left"/>
        <w:sectPr>
          <w:type w:val="continuous"/>
          <w:pgSz w:w="11910" w:h="16840"/>
          <w:pgMar w:top="1580" w:bottom="280" w:left="1580" w:right="1040"/>
        </w:sectPr>
      </w:pPr>
    </w:p>
    <w:p>
      <w:pPr>
        <w:spacing w:line="272" w:lineRule="exact" w:before="145"/>
        <w:ind w:left="72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9"/>
        <w:ind w:left="3961"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headerReference w:type="default" r:id="rId39"/>
          <w:footerReference w:type="default" r:id="rId40"/>
          <w:pgSz w:w="16840" w:h="11910" w:orient="landscape"/>
          <w:pgMar w:header="479" w:footer="975" w:top="1120" w:bottom="1160" w:left="400" w:right="320"/>
          <w:pgNumType w:start="90"/>
          <w:cols w:num="2" w:equalWidth="0">
            <w:col w:w="9106" w:space="40"/>
            <w:col w:w="6974"/>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88"/>
        <w:gridCol w:w="1416"/>
        <w:gridCol w:w="710"/>
        <w:gridCol w:w="709"/>
        <w:gridCol w:w="1133"/>
        <w:gridCol w:w="1277"/>
        <w:gridCol w:w="1277"/>
        <w:gridCol w:w="1133"/>
        <w:gridCol w:w="566"/>
        <w:gridCol w:w="1136"/>
        <w:gridCol w:w="708"/>
        <w:gridCol w:w="1277"/>
        <w:gridCol w:w="1275"/>
        <w:gridCol w:w="1277"/>
      </w:tblGrid>
      <w:tr>
        <w:trPr>
          <w:trHeight w:val="250"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389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3"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1988" w:type="dxa"/>
            <w:vMerge/>
            <w:tcBorders>
              <w:left w:val="single" w:sz="4" w:space="0" w:color="000000"/>
              <w:right w:val="single" w:sz="4" w:space="0" w:color="000000"/>
            </w:tcBorders>
          </w:tcPr>
          <w:p>
            <w:pPr/>
          </w:p>
        </w:tc>
        <w:tc>
          <w:tcPr>
            <w:tcW w:w="113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89"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1988"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7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151" w:right="144"/>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153" w:right="155"/>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309"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355" w:hRule="exact"/>
        </w:trPr>
        <w:tc>
          <w:tcPr>
            <w:tcW w:w="198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1,764,091,819.00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648,695,328.93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4,767,998,389.03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97,020,000.00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-25,436.18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218,953,605.18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2,019,472,567.33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142,476,593.67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9,464,642,866.96</w:t>
            </w:r>
            <w:r>
              <w:rPr>
                <w:rFonts w:ascii="宋体"/>
                <w:sz w:val="13"/>
              </w:rPr>
            </w: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1,764,091,819.00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648,695,328.93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4,767,998,389.03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97,020,000.00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-25,436.18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218,953,605.18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2,019,472,567.33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142,476,593.67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9,464,642,866.96</w:t>
            </w:r>
            <w:r>
              <w:rPr>
                <w:rFonts w:ascii="宋体"/>
                <w:sz w:val="13"/>
              </w:rPr>
            </w:r>
          </w:p>
        </w:tc>
      </w:tr>
      <w:tr>
        <w:trPr>
          <w:trHeight w:val="34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1,319,024.00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-8,433.05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-7,867,140.23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5"/>
              <w:jc w:val="right"/>
              <w:rPr>
                <w:rFonts w:ascii="宋体" w:hAnsi="宋体" w:cs="宋体" w:eastAsia="宋体" w:hint="default"/>
                <w:sz w:val="13"/>
                <w:szCs w:val="13"/>
              </w:rPr>
            </w:pPr>
            <w:r>
              <w:rPr>
                <w:rFonts w:ascii="宋体"/>
                <w:w w:val="95"/>
                <w:sz w:val="13"/>
              </w:rPr>
              <w:t>76,495,620.20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1,467,193.73</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13"/>
                <w:szCs w:val="13"/>
              </w:rPr>
            </w:pPr>
            <w:r>
              <w:rPr>
                <w:rFonts w:ascii="宋体"/>
                <w:w w:val="95"/>
                <w:sz w:val="13"/>
              </w:rPr>
              <w:t>6,784,715.19</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683,111,253.18</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-117,630,631.87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490,680,360.75</w:t>
            </w:r>
            <w:r>
              <w:rPr>
                <w:rFonts w:ascii="宋体"/>
                <w:sz w:val="13"/>
              </w:rPr>
            </w: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1,467,193.73</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760,512,374.73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4,568,528.38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766,548,096.84</w:t>
            </w:r>
            <w:r>
              <w:rPr>
                <w:rFonts w:ascii="宋体"/>
                <w:sz w:val="13"/>
              </w:rPr>
            </w: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1,319,024.00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-8,433.05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-7,867,140.23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76,495,620.20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-78,611,662.59</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-161,663,832.07</w:t>
            </w:r>
            <w:r>
              <w:rPr>
                <w:rFonts w:ascii="宋体"/>
                <w:sz w:val="13"/>
              </w:rPr>
            </w: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1,314,600.00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4,751,932.00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-78,611,718.73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-72,545,186.73</w:t>
            </w:r>
            <w:r>
              <w:rPr>
                <w:rFonts w:ascii="宋体"/>
                <w:sz w:val="13"/>
              </w:rPr>
            </w:r>
          </w:p>
        </w:tc>
      </w:tr>
      <w:tr>
        <w:trPr>
          <w:trHeight w:val="34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4,424.00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-8,433.05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34,416.20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30,407.15</w:t>
            </w:r>
            <w:r>
              <w:rPr>
                <w:rFonts w:ascii="宋体"/>
                <w:sz w:val="13"/>
              </w:rPr>
            </w:r>
          </w:p>
        </w:tc>
      </w:tr>
      <w:tr>
        <w:trPr>
          <w:trHeight w:val="34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5"/>
              <w:jc w:val="right"/>
              <w:rPr>
                <w:rFonts w:ascii="宋体" w:hAnsi="宋体" w:cs="宋体" w:eastAsia="宋体" w:hint="default"/>
                <w:sz w:val="13"/>
                <w:szCs w:val="13"/>
              </w:rPr>
            </w:pPr>
            <w:r>
              <w:rPr>
                <w:rFonts w:ascii="宋体"/>
                <w:w w:val="95"/>
                <w:sz w:val="13"/>
              </w:rPr>
              <w:t>-23,119,140.00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23,119,140.00</w:t>
            </w:r>
            <w:r>
              <w:rPr>
                <w:rFonts w:ascii="宋体"/>
                <w:sz w:val="13"/>
              </w:rPr>
            </w: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-12,653,488.43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5"/>
              <w:jc w:val="right"/>
              <w:rPr>
                <w:rFonts w:ascii="宋体" w:hAnsi="宋体" w:cs="宋体" w:eastAsia="宋体" w:hint="default"/>
                <w:sz w:val="13"/>
                <w:szCs w:val="13"/>
              </w:rPr>
            </w:pPr>
            <w:r>
              <w:rPr>
                <w:rFonts w:ascii="宋体"/>
                <w:w w:val="95"/>
                <w:sz w:val="13"/>
              </w:rPr>
              <w:t>99,614,760.20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宋体" w:hAnsi="宋体" w:cs="宋体" w:eastAsia="宋体" w:hint="default"/>
                <w:sz w:val="13"/>
                <w:szCs w:val="13"/>
              </w:rPr>
            </w:pPr>
            <w:r>
              <w:rPr>
                <w:rFonts w:ascii="宋体"/>
                <w:w w:val="95"/>
                <w:sz w:val="13"/>
              </w:rPr>
              <w:t>56.14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-112,268,192.49</w:t>
            </w:r>
            <w:r>
              <w:rPr>
                <w:rFonts w:ascii="宋体"/>
                <w:sz w:val="13"/>
              </w:rPr>
            </w: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6,784,715.19</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-77,401,121.55</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-43,587,497.66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-114,203,904.02</w:t>
            </w:r>
            <w:r>
              <w:rPr>
                <w:rFonts w:ascii="宋体"/>
                <w:sz w:val="13"/>
              </w:rPr>
            </w: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6,784,715.19</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-6,784,715.19</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-70,616,406.36</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-43,587,497.66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-114,203,904.02</w:t>
            </w:r>
            <w:r>
              <w:rPr>
                <w:rFonts w:ascii="宋体"/>
                <w:sz w:val="13"/>
              </w:rPr>
            </w: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1,765,410,843.00</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648,686,895.88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4,760,131,248.80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173,515,620.20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1,441,757.55</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225,738,320.37</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2,702,583,820.51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24,845,961.80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9,955,323,227.71</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580" w:bottom="280" w:left="400" w:right="320"/>
        </w:sectPr>
      </w:pP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129"/>
        <w:gridCol w:w="1418"/>
        <w:gridCol w:w="850"/>
        <w:gridCol w:w="708"/>
        <w:gridCol w:w="1135"/>
        <w:gridCol w:w="1308"/>
        <w:gridCol w:w="1102"/>
        <w:gridCol w:w="1133"/>
        <w:gridCol w:w="569"/>
        <w:gridCol w:w="1133"/>
        <w:gridCol w:w="710"/>
        <w:gridCol w:w="1274"/>
        <w:gridCol w:w="1133"/>
        <w:gridCol w:w="1277"/>
      </w:tblGrid>
      <w:tr>
        <w:trPr>
          <w:trHeight w:val="250"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375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0" w:hRule="exact"/>
        </w:trPr>
        <w:tc>
          <w:tcPr>
            <w:tcW w:w="2129" w:type="dxa"/>
            <w:vMerge/>
            <w:tcBorders>
              <w:left w:val="single" w:sz="4" w:space="0" w:color="000000"/>
              <w:right w:val="single" w:sz="4" w:space="0" w:color="000000"/>
            </w:tcBorders>
          </w:tcPr>
          <w:p>
            <w:pPr/>
          </w:p>
        </w:tc>
        <w:tc>
          <w:tcPr>
            <w:tcW w:w="113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89"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4" w:hRule="exact"/>
        </w:trPr>
        <w:tc>
          <w:tcPr>
            <w:tcW w:w="2129"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8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21"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151" w:right="146"/>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153" w:right="156"/>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312" w:hRule="exact"/>
        </w:trPr>
        <w:tc>
          <w:tcPr>
            <w:tcW w:w="212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308"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1,742,531,819.00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5,029,619,286.21</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-1,953,847.04</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sz w:val="13"/>
              </w:rPr>
              <w:t>196,480,352.08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1,497,051,019.66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155,958,842.62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8,619,687,472.53</w:t>
            </w:r>
            <w:r>
              <w:rPr>
                <w:rFonts w:ascii="宋体"/>
                <w:sz w:val="13"/>
              </w:rPr>
            </w: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1,742,531,819.00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5,029,619,286.21</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-1,953,847.04</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sz w:val="13"/>
              </w:rPr>
              <w:t>196,480,352.08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1,497,051,019.66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155,958,842.62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8,619,687,472.53</w:t>
            </w:r>
            <w:r>
              <w:rPr>
                <w:rFonts w:ascii="宋体"/>
                <w:sz w:val="13"/>
              </w:rPr>
            </w:r>
          </w:p>
        </w:tc>
      </w:tr>
      <w:tr>
        <w:trPr>
          <w:trHeight w:val="34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21,560,000.00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宋体" w:hAnsi="宋体" w:cs="宋体" w:eastAsia="宋体" w:hint="default"/>
                <w:sz w:val="13"/>
                <w:szCs w:val="13"/>
              </w:rPr>
            </w:pPr>
            <w:r>
              <w:rPr>
                <w:rFonts w:ascii="宋体"/>
                <w:sz w:val="13"/>
              </w:rPr>
              <w:t>648,695,328.93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-261,620,897.18</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 w:right="0"/>
              <w:jc w:val="center"/>
              <w:rPr>
                <w:rFonts w:ascii="宋体" w:hAnsi="宋体" w:cs="宋体" w:eastAsia="宋体" w:hint="default"/>
                <w:sz w:val="13"/>
                <w:szCs w:val="13"/>
              </w:rPr>
            </w:pPr>
            <w:r>
              <w:rPr>
                <w:rFonts w:ascii="宋体"/>
                <w:sz w:val="13"/>
              </w:rPr>
              <w:t>97,020,000.00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1,928,410.86</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9" w:right="0"/>
              <w:jc w:val="center"/>
              <w:rPr>
                <w:rFonts w:ascii="宋体" w:hAnsi="宋体" w:cs="宋体" w:eastAsia="宋体" w:hint="default"/>
                <w:sz w:val="13"/>
                <w:szCs w:val="13"/>
              </w:rPr>
            </w:pPr>
            <w:r>
              <w:rPr>
                <w:rFonts w:ascii="宋体"/>
                <w:sz w:val="13"/>
              </w:rPr>
              <w:t>22,473,253.10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522,421,547.67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宋体" w:hAnsi="宋体" w:cs="宋体" w:eastAsia="宋体" w:hint="default"/>
                <w:sz w:val="13"/>
                <w:szCs w:val="13"/>
              </w:rPr>
            </w:pPr>
            <w:r>
              <w:rPr>
                <w:rFonts w:ascii="宋体"/>
                <w:w w:val="95"/>
                <w:sz w:val="13"/>
              </w:rPr>
              <w:t>-13,482,248.95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3"/>
                <w:szCs w:val="13"/>
              </w:rPr>
            </w:pPr>
            <w:r>
              <w:rPr>
                <w:rFonts w:ascii="宋体"/>
                <w:w w:val="95"/>
                <w:sz w:val="13"/>
              </w:rPr>
              <w:t>844,955,394.43</w:t>
            </w:r>
            <w:r>
              <w:rPr>
                <w:rFonts w:ascii="宋体"/>
                <w:sz w:val="13"/>
              </w:rPr>
            </w: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1,928,410.86</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686,022,146.29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28,373,257.20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716,323,814.35</w:t>
            </w:r>
            <w:r>
              <w:rPr>
                <w:rFonts w:ascii="宋体"/>
                <w:sz w:val="13"/>
              </w:rPr>
            </w: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21,560,000.00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 w:right="0"/>
              <w:jc w:val="center"/>
              <w:rPr>
                <w:rFonts w:ascii="宋体" w:hAnsi="宋体" w:cs="宋体" w:eastAsia="宋体" w:hint="default"/>
                <w:sz w:val="13"/>
                <w:szCs w:val="13"/>
              </w:rPr>
            </w:pPr>
            <w:r>
              <w:rPr>
                <w:rFonts w:ascii="宋体"/>
                <w:sz w:val="13"/>
              </w:rPr>
              <w:t>648,695,328.93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-261,620,897.18</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97,020,000.00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2,255,563.85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313,869,995.60</w:t>
            </w:r>
            <w:r>
              <w:rPr>
                <w:rFonts w:ascii="宋体"/>
                <w:sz w:val="13"/>
              </w:rPr>
            </w: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21,560,000.00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76,104,436.15</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3,000,000.00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100,664,436.15</w:t>
            </w:r>
            <w:r>
              <w:rPr>
                <w:rFonts w:ascii="宋体"/>
                <w:sz w:val="13"/>
              </w:rPr>
            </w: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 w:right="0"/>
              <w:jc w:val="center"/>
              <w:rPr>
                <w:rFonts w:ascii="宋体" w:hAnsi="宋体" w:cs="宋体" w:eastAsia="宋体" w:hint="default"/>
                <w:sz w:val="13"/>
                <w:szCs w:val="13"/>
              </w:rPr>
            </w:pPr>
            <w:r>
              <w:rPr>
                <w:rFonts w:ascii="宋体"/>
                <w:sz w:val="13"/>
              </w:rPr>
              <w:t>648,695,328.93</w:t>
            </w: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648,695,328.93</w:t>
            </w:r>
            <w:r>
              <w:rPr>
                <w:rFonts w:ascii="宋体"/>
                <w:sz w:val="13"/>
              </w:rPr>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w:t>
            </w: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32,274,666.67</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 w:right="0"/>
              <w:jc w:val="center"/>
              <w:rPr>
                <w:rFonts w:ascii="宋体" w:hAnsi="宋体" w:cs="宋体" w:eastAsia="宋体" w:hint="default"/>
                <w:sz w:val="13"/>
                <w:szCs w:val="13"/>
              </w:rPr>
            </w:pPr>
            <w:r>
              <w:rPr>
                <w:rFonts w:ascii="宋体"/>
                <w:sz w:val="13"/>
              </w:rPr>
              <w:t>97,020,000.00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-64,745,333.33</w:t>
            </w:r>
            <w:r>
              <w:rPr>
                <w:rFonts w:ascii="宋体"/>
                <w:sz w:val="13"/>
              </w:rPr>
            </w: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-370,000,000.00</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-744,436.15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-370,744,436.15</w:t>
            </w:r>
            <w:r>
              <w:rPr>
                <w:rFonts w:ascii="宋体"/>
                <w:sz w:val="13"/>
              </w:rPr>
            </w: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9" w:right="0"/>
              <w:jc w:val="center"/>
              <w:rPr>
                <w:rFonts w:ascii="宋体" w:hAnsi="宋体" w:cs="宋体" w:eastAsia="宋体" w:hint="default"/>
                <w:sz w:val="13"/>
                <w:szCs w:val="13"/>
              </w:rPr>
            </w:pPr>
            <w:r>
              <w:rPr>
                <w:rFonts w:ascii="宋体"/>
                <w:sz w:val="13"/>
              </w:rPr>
              <w:t>22,473,253.10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-163,600,598.62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-44,111,070.00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-185,238,415.52</w:t>
            </w:r>
            <w:r>
              <w:rPr>
                <w:rFonts w:ascii="宋体"/>
                <w:sz w:val="13"/>
              </w:rPr>
            </w: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9" w:right="0"/>
              <w:jc w:val="center"/>
              <w:rPr>
                <w:rFonts w:ascii="宋体" w:hAnsi="宋体" w:cs="宋体" w:eastAsia="宋体" w:hint="default"/>
                <w:sz w:val="13"/>
                <w:szCs w:val="13"/>
              </w:rPr>
            </w:pPr>
            <w:r>
              <w:rPr>
                <w:rFonts w:ascii="宋体"/>
                <w:sz w:val="13"/>
              </w:rPr>
              <w:t>22,473,253.10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-22,473,253.10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-141,127,345.52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-44,111,070.00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-185,238,415.52</w:t>
            </w:r>
            <w:r>
              <w:rPr>
                <w:rFonts w:ascii="宋体"/>
                <w:sz w:val="13"/>
              </w:rPr>
            </w: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．设定受益计划变动额结转留存</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1,764,091,819.00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 w:right="0"/>
              <w:jc w:val="center"/>
              <w:rPr>
                <w:rFonts w:ascii="宋体" w:hAnsi="宋体" w:cs="宋体" w:eastAsia="宋体" w:hint="default"/>
                <w:sz w:val="13"/>
                <w:szCs w:val="13"/>
              </w:rPr>
            </w:pPr>
            <w:r>
              <w:rPr>
                <w:rFonts w:ascii="宋体"/>
                <w:sz w:val="13"/>
              </w:rPr>
              <w:t>648,695,328.93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4,767,998,389.03</w:t>
            </w:r>
            <w:r>
              <w:rPr>
                <w:rFonts w:ascii="宋体"/>
                <w:sz w:val="13"/>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97,020,000.00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-25,436.18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218,953,605.18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2,019,472,567.33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142,476,593.67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9,464,642,866.96</w:t>
            </w:r>
            <w:r>
              <w:rPr>
                <w:rFonts w:ascii="宋体"/>
                <w:sz w:val="13"/>
              </w:rPr>
            </w:r>
          </w:p>
        </w:tc>
      </w:tr>
    </w:tbl>
    <w:p>
      <w:pPr>
        <w:pStyle w:val="BodyText"/>
        <w:tabs>
          <w:tab w:pos="3855" w:val="left" w:leader="none"/>
          <w:tab w:pos="7636" w:val="left" w:leader="none"/>
        </w:tabs>
        <w:spacing w:line="241" w:lineRule="exact"/>
        <w:ind w:left="1124" w:right="0"/>
        <w:jc w:val="left"/>
      </w:pPr>
      <w:r>
        <w:rPr>
          <w:spacing w:val="-1"/>
        </w:rPr>
        <w:t>法定代表人：陆永华</w:t>
        <w:tab/>
      </w:r>
      <w:r>
        <w:rPr>
          <w:spacing w:val="-2"/>
        </w:rPr>
        <w:t>主管会计工作负责人：虞海娟</w:t>
        <w:tab/>
        <w:t>会计机构负责人：周辉</w:t>
      </w:r>
    </w:p>
    <w:p>
      <w:pPr>
        <w:spacing w:after="0" w:line="241" w:lineRule="exact"/>
        <w:jc w:val="left"/>
        <w:sectPr>
          <w:pgSz w:w="16840" w:h="11910" w:orient="landscape"/>
          <w:pgMar w:header="479" w:footer="975" w:top="1120" w:bottom="1160" w:left="400" w:right="320"/>
        </w:sectPr>
      </w:pPr>
    </w:p>
    <w:p>
      <w:pPr>
        <w:spacing w:line="272" w:lineRule="exact" w:before="145"/>
        <w:ind w:left="67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9"/>
        <w:ind w:left="3856"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pgSz w:w="16840" w:h="11910" w:orient="landscape"/>
          <w:pgMar w:header="479" w:footer="975" w:top="1120" w:bottom="1160" w:left="940" w:right="860"/>
          <w:cols w:num="2" w:equalWidth="0">
            <w:col w:w="8671" w:space="40"/>
            <w:col w:w="6329"/>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09"/>
        <w:gridCol w:w="1294"/>
        <w:gridCol w:w="836"/>
        <w:gridCol w:w="864"/>
        <w:gridCol w:w="1306"/>
        <w:gridCol w:w="1388"/>
        <w:gridCol w:w="1277"/>
        <w:gridCol w:w="708"/>
        <w:gridCol w:w="785"/>
        <w:gridCol w:w="1342"/>
        <w:gridCol w:w="1277"/>
        <w:gridCol w:w="1416"/>
      </w:tblGrid>
      <w:tr>
        <w:trPr>
          <w:trHeight w:val="185" w:hRule="exact"/>
        </w:trPr>
        <w:tc>
          <w:tcPr>
            <w:tcW w:w="23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492"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26" w:hRule="exact"/>
        </w:trPr>
        <w:tc>
          <w:tcPr>
            <w:tcW w:w="2309" w:type="dxa"/>
            <w:vMerge/>
            <w:tcBorders>
              <w:left w:val="single" w:sz="6" w:space="0" w:color="000000"/>
              <w:right w:val="single" w:sz="6" w:space="0" w:color="000000"/>
            </w:tcBorders>
          </w:tcPr>
          <w:p>
            <w:pPr/>
          </w:p>
        </w:tc>
        <w:tc>
          <w:tcPr>
            <w:tcW w:w="1294"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300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7"/>
              <w:ind w:right="1"/>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168" w:lineRule="exact"/>
              <w:ind w:left="151" w:right="151"/>
              <w:jc w:val="left"/>
              <w:rPr>
                <w:rFonts w:ascii="宋体" w:hAnsi="宋体" w:cs="宋体" w:eastAsia="宋体" w:hint="default"/>
                <w:sz w:val="13"/>
                <w:szCs w:val="13"/>
              </w:rPr>
            </w:pPr>
            <w:r>
              <w:rPr>
                <w:rFonts w:ascii="宋体" w:hAnsi="宋体" w:cs="宋体" w:eastAsia="宋体" w:hint="default"/>
                <w:sz w:val="13"/>
                <w:szCs w:val="13"/>
              </w:rPr>
              <w:t>其他综</w:t>
            </w:r>
            <w:r>
              <w:rPr>
                <w:rFonts w:ascii="宋体" w:hAnsi="宋体" w:cs="宋体" w:eastAsia="宋体" w:hint="default"/>
                <w:w w:val="99"/>
                <w:sz w:val="13"/>
                <w:szCs w:val="13"/>
              </w:rPr>
              <w:t> </w:t>
            </w:r>
            <w:r>
              <w:rPr>
                <w:rFonts w:ascii="宋体" w:hAnsi="宋体" w:cs="宋体" w:eastAsia="宋体" w:hint="default"/>
                <w:sz w:val="13"/>
                <w:szCs w:val="13"/>
              </w:rPr>
              <w:t>合收益</w:t>
            </w:r>
          </w:p>
        </w:tc>
        <w:tc>
          <w:tcPr>
            <w:tcW w:w="78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34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309" w:type="dxa"/>
            <w:vMerge/>
            <w:tcBorders>
              <w:left w:val="single" w:sz="6" w:space="0" w:color="000000"/>
              <w:bottom w:val="single" w:sz="6" w:space="0" w:color="000000"/>
              <w:right w:val="single" w:sz="6" w:space="0" w:color="000000"/>
            </w:tcBorders>
          </w:tcPr>
          <w:p>
            <w:pPr/>
          </w:p>
        </w:tc>
        <w:tc>
          <w:tcPr>
            <w:tcW w:w="1294" w:type="dxa"/>
            <w:vMerge/>
            <w:tcBorders>
              <w:left w:val="single" w:sz="6" w:space="0" w:color="000000"/>
              <w:bottom w:val="single" w:sz="6" w:space="0" w:color="000000"/>
              <w:right w:val="single" w:sz="4" w:space="0" w:color="000000"/>
            </w:tcBorders>
          </w:tcPr>
          <w:p>
            <w:pPr/>
          </w:p>
        </w:tc>
        <w:tc>
          <w:tcPr>
            <w:tcW w:w="83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1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6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230"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30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38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85" w:type="dxa"/>
            <w:vMerge/>
            <w:tcBorders>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1,764,091,819.00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648,695,328.93</w:t>
            </w:r>
            <w:r>
              <w:rPr>
                <w:rFonts w:ascii="宋体"/>
                <w:sz w:val="13"/>
              </w:rPr>
            </w:r>
          </w:p>
        </w:tc>
        <w:tc>
          <w:tcPr>
            <w:tcW w:w="138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4,629,831,487.04</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97,020,000.00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218,953,605.18</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1,287,039,863.11</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8,451,592,103.26</w:t>
            </w:r>
            <w:r>
              <w:rPr>
                <w:rFonts w:ascii="宋体"/>
                <w:sz w:val="13"/>
              </w:rPr>
            </w: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0"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6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4" w:space="0" w:color="000000"/>
            </w:tcBorders>
          </w:tcPr>
          <w:p>
            <w:pPr/>
          </w:p>
        </w:tc>
        <w:tc>
          <w:tcPr>
            <w:tcW w:w="1388"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1,764,091,819.00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648,695,328.93</w:t>
            </w:r>
            <w:r>
              <w:rPr>
                <w:rFonts w:ascii="宋体"/>
                <w:sz w:val="13"/>
              </w:rPr>
            </w:r>
          </w:p>
        </w:tc>
        <w:tc>
          <w:tcPr>
            <w:tcW w:w="138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4,629,831,487.04</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97,020,000.00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218,953,605.18</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1,287,039,863.11</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8,451,592,103.26</w:t>
            </w:r>
            <w:r>
              <w:rPr>
                <w:rFonts w:ascii="宋体"/>
                <w:sz w:val="13"/>
              </w:rPr>
            </w:r>
          </w:p>
        </w:tc>
      </w:tr>
      <w:tr>
        <w:trPr>
          <w:trHeight w:val="353"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三</w:t>
            </w:r>
            <w:r>
              <w:rPr>
                <w:rFonts w:ascii="宋体" w:hAnsi="宋体" w:cs="宋体" w:eastAsia="宋体" w:hint="default"/>
                <w:spacing w:val="-58"/>
                <w:w w:val="99"/>
                <w:sz w:val="13"/>
                <w:szCs w:val="13"/>
              </w:rPr>
              <w:t>、</w:t>
            </w:r>
            <w:r>
              <w:rPr>
                <w:rFonts w:ascii="宋体" w:hAnsi="宋体" w:cs="宋体" w:eastAsia="宋体" w:hint="default"/>
                <w:spacing w:val="-1"/>
                <w:w w:val="99"/>
                <w:sz w:val="13"/>
                <w:szCs w:val="13"/>
              </w:rPr>
              <w:t>本</w:t>
            </w:r>
            <w:r>
              <w:rPr>
                <w:rFonts w:ascii="宋体" w:hAnsi="宋体" w:cs="宋体" w:eastAsia="宋体" w:hint="default"/>
                <w:w w:val="99"/>
                <w:sz w:val="13"/>
                <w:szCs w:val="13"/>
              </w:rPr>
              <w:t>期增减变动</w:t>
            </w:r>
            <w:r>
              <w:rPr>
                <w:rFonts w:ascii="宋体" w:hAnsi="宋体" w:cs="宋体" w:eastAsia="宋体" w:hint="default"/>
                <w:spacing w:val="2"/>
                <w:w w:val="99"/>
                <w:sz w:val="13"/>
                <w:szCs w:val="13"/>
              </w:rPr>
              <w:t>金</w:t>
            </w:r>
            <w:r>
              <w:rPr>
                <w:rFonts w:ascii="宋体" w:hAnsi="宋体" w:cs="宋体" w:eastAsia="宋体" w:hint="default"/>
                <w:spacing w:val="-58"/>
                <w:w w:val="99"/>
                <w:sz w:val="13"/>
                <w:szCs w:val="13"/>
              </w:rPr>
              <w:t>额</w:t>
            </w:r>
            <w:r>
              <w:rPr>
                <w:rFonts w:ascii="宋体" w:hAnsi="宋体" w:cs="宋体" w:eastAsia="宋体" w:hint="default"/>
                <w:w w:val="99"/>
                <w:sz w:val="13"/>
                <w:szCs w:val="13"/>
              </w:rPr>
              <w:t>（减少</w:t>
            </w:r>
            <w:r>
              <w:rPr>
                <w:rFonts w:ascii="宋体" w:hAnsi="宋体" w:cs="宋体" w:eastAsia="宋体" w:hint="default"/>
                <w:spacing w:val="-1"/>
                <w:w w:val="99"/>
                <w:sz w:val="13"/>
                <w:szCs w:val="13"/>
              </w:rPr>
              <w:t>以</w:t>
            </w:r>
            <w:r>
              <w:rPr>
                <w:rFonts w:ascii="宋体" w:hAnsi="宋体" w:cs="宋体" w:eastAsia="宋体" w:hint="default"/>
                <w:w w:val="99"/>
                <w:sz w:val="13"/>
                <w:szCs w:val="13"/>
              </w:rPr>
              <w:t>“</w:t>
            </w:r>
            <w:r>
              <w:rPr>
                <w:rFonts w:ascii="宋体" w:hAnsi="宋体" w:cs="宋体" w:eastAsia="宋体" w:hint="default"/>
                <w:spacing w:val="2"/>
                <w:w w:val="99"/>
                <w:sz w:val="13"/>
                <w:szCs w:val="13"/>
              </w:rPr>
              <w:t>－</w:t>
            </w:r>
            <w:r>
              <w:rPr>
                <w:rFonts w:ascii="宋体" w:hAnsi="宋体" w:cs="宋体" w:eastAsia="宋体" w:hint="default"/>
                <w:w w:val="99"/>
                <w:sz w:val="13"/>
                <w:szCs w:val="13"/>
              </w:rPr>
              <w:t>”</w:t>
            </w:r>
            <w:r>
              <w:rPr>
                <w:rFonts w:ascii="宋体" w:hAnsi="宋体" w:cs="宋体" w:eastAsia="宋体" w:hint="default"/>
                <w:sz w:val="13"/>
                <w:szCs w:val="13"/>
              </w:rPr>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1,319,024.00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-8,433.05</w:t>
            </w:r>
            <w:r>
              <w:rPr>
                <w:rFonts w:ascii="宋体"/>
                <w:sz w:val="13"/>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4,786,348.20</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76,495,620.20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6,784,715.19</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3"/>
                <w:szCs w:val="13"/>
              </w:rPr>
            </w:pPr>
            <w:r>
              <w:rPr>
                <w:rFonts w:ascii="宋体"/>
                <w:w w:val="95"/>
                <w:sz w:val="13"/>
              </w:rPr>
              <w:t>-9,553,969.61</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-73,167,935.47</w:t>
            </w:r>
            <w:r>
              <w:rPr>
                <w:rFonts w:ascii="宋体"/>
                <w:sz w:val="13"/>
              </w:rPr>
            </w: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67,847,151.94</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67,847,151.94</w:t>
            </w:r>
            <w:r>
              <w:rPr>
                <w:rFonts w:ascii="宋体"/>
                <w:sz w:val="13"/>
              </w:rPr>
            </w: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1,319,024.00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-8,433.05</w:t>
            </w:r>
            <w:r>
              <w:rPr>
                <w:rFonts w:ascii="宋体"/>
                <w:sz w:val="13"/>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4,786,348.20</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76,495,620.20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-70,398,681.05</w:t>
            </w:r>
            <w:r>
              <w:rPr>
                <w:rFonts w:ascii="宋体"/>
                <w:sz w:val="13"/>
              </w:rPr>
            </w: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1,314,600.00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4,751,932.00</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6,066,532.00</w:t>
            </w:r>
            <w:r>
              <w:rPr>
                <w:rFonts w:ascii="宋体"/>
                <w:sz w:val="13"/>
              </w:rPr>
            </w: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4,424.00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-8,433.05</w:t>
            </w:r>
            <w:r>
              <w:rPr>
                <w:rFonts w:ascii="宋体"/>
                <w:sz w:val="13"/>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34,416.20</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30,407.15</w:t>
            </w:r>
            <w:r>
              <w:rPr>
                <w:rFonts w:ascii="宋体"/>
                <w:sz w:val="13"/>
              </w:rPr>
            </w: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-23,119,140.00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23,119,140.00</w:t>
            </w:r>
            <w:r>
              <w:rPr>
                <w:rFonts w:ascii="宋体"/>
                <w:sz w:val="13"/>
              </w:rPr>
            </w: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99,614,760.20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-99,614,760.20</w:t>
            </w:r>
            <w:r>
              <w:rPr>
                <w:rFonts w:ascii="宋体"/>
                <w:sz w:val="13"/>
              </w:rPr>
            </w: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6,784,715.19</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-77,401,121.55</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-70,616,406.36</w:t>
            </w:r>
            <w:r>
              <w:rPr>
                <w:rFonts w:ascii="宋体"/>
                <w:sz w:val="13"/>
              </w:rPr>
            </w: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6,784,715.19</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-6,784,715.19</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-70,616,406.36</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-70,616,406.36</w:t>
            </w:r>
            <w:r>
              <w:rPr>
                <w:rFonts w:ascii="宋体"/>
                <w:sz w:val="13"/>
              </w:rPr>
            </w: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4</w:t>
            </w:r>
            <w:r>
              <w:rPr>
                <w:rFonts w:ascii="宋体" w:hAnsi="宋体" w:cs="宋体" w:eastAsia="宋体" w:hint="default"/>
                <w:spacing w:val="-51"/>
                <w:w w:val="99"/>
                <w:sz w:val="13"/>
                <w:szCs w:val="13"/>
              </w:rPr>
              <w:t>．</w:t>
            </w:r>
            <w:r>
              <w:rPr>
                <w:rFonts w:ascii="宋体" w:hAnsi="宋体" w:cs="宋体" w:eastAsia="宋体" w:hint="default"/>
                <w:w w:val="99"/>
                <w:sz w:val="13"/>
                <w:szCs w:val="13"/>
              </w:rPr>
              <w:t>设定受益计划变</w:t>
            </w:r>
            <w:r>
              <w:rPr>
                <w:rFonts w:ascii="宋体" w:hAnsi="宋体" w:cs="宋体" w:eastAsia="宋体" w:hint="default"/>
                <w:spacing w:val="2"/>
                <w:w w:val="99"/>
                <w:sz w:val="13"/>
                <w:szCs w:val="13"/>
              </w:rPr>
              <w:t>动</w:t>
            </w:r>
            <w:r>
              <w:rPr>
                <w:rFonts w:ascii="宋体" w:hAnsi="宋体" w:cs="宋体" w:eastAsia="宋体" w:hint="default"/>
                <w:w w:val="99"/>
                <w:sz w:val="13"/>
                <w:szCs w:val="13"/>
              </w:rPr>
              <w:t>额结转留存</w:t>
            </w:r>
            <w:r>
              <w:rPr>
                <w:rFonts w:ascii="宋体" w:hAnsi="宋体" w:cs="宋体" w:eastAsia="宋体" w:hint="default"/>
                <w:spacing w:val="2"/>
                <w:w w:val="99"/>
                <w:sz w:val="13"/>
                <w:szCs w:val="13"/>
              </w:rPr>
              <w:t>收</w:t>
            </w:r>
            <w:r>
              <w:rPr>
                <w:rFonts w:ascii="宋体" w:hAnsi="宋体" w:cs="宋体" w:eastAsia="宋体" w:hint="default"/>
                <w:w w:val="99"/>
                <w:sz w:val="13"/>
                <w:szCs w:val="13"/>
              </w:rPr>
              <w:t>益</w:t>
            </w:r>
            <w:r>
              <w:rPr>
                <w:rFonts w:ascii="宋体" w:hAnsi="宋体" w:cs="宋体" w:eastAsia="宋体" w:hint="default"/>
                <w:sz w:val="13"/>
                <w:szCs w:val="13"/>
              </w:rPr>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1,765,410,843.00</w:t>
            </w:r>
            <w:r>
              <w:rPr>
                <w:rFonts w:ascii="宋体"/>
                <w:sz w:val="13"/>
              </w:rPr>
            </w:r>
          </w:p>
        </w:tc>
        <w:tc>
          <w:tcPr>
            <w:tcW w:w="836" w:type="dxa"/>
            <w:tcBorders>
              <w:top w:val="single" w:sz="6" w:space="0" w:color="000000"/>
              <w:left w:val="single" w:sz="4"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4" w:space="0" w:color="000000"/>
            </w:tcBorders>
          </w:tcPr>
          <w:p>
            <w:pPr/>
          </w:p>
        </w:tc>
        <w:tc>
          <w:tcPr>
            <w:tcW w:w="1306"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648,686,895.88</w:t>
            </w:r>
            <w:r>
              <w:rPr>
                <w:rFonts w:ascii="宋体"/>
                <w:sz w:val="13"/>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4,634,617,835.24</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173,515,620.20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225,738,320.37</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1,277,485,893.50</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8,378,424,167.79</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580" w:bottom="280" w:left="940" w:right="8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552"/>
        <w:gridCol w:w="1418"/>
        <w:gridCol w:w="850"/>
        <w:gridCol w:w="852"/>
        <w:gridCol w:w="1274"/>
        <w:gridCol w:w="1560"/>
        <w:gridCol w:w="1274"/>
        <w:gridCol w:w="708"/>
        <w:gridCol w:w="569"/>
        <w:gridCol w:w="1522"/>
        <w:gridCol w:w="1313"/>
        <w:gridCol w:w="1418"/>
      </w:tblGrid>
      <w:tr>
        <w:trPr>
          <w:trHeight w:val="185" w:hRule="exact"/>
        </w:trPr>
        <w:tc>
          <w:tcPr>
            <w:tcW w:w="25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76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6" w:hRule="exact"/>
        </w:trPr>
        <w:tc>
          <w:tcPr>
            <w:tcW w:w="2552"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29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7"/>
              <w:ind w:right="1"/>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168" w:lineRule="exact"/>
              <w:ind w:left="151" w:right="151"/>
              <w:jc w:val="left"/>
              <w:rPr>
                <w:rFonts w:ascii="宋体" w:hAnsi="宋体" w:cs="宋体" w:eastAsia="宋体" w:hint="default"/>
                <w:sz w:val="13"/>
                <w:szCs w:val="13"/>
              </w:rPr>
            </w:pPr>
            <w:r>
              <w:rPr>
                <w:rFonts w:ascii="宋体" w:hAnsi="宋体" w:cs="宋体" w:eastAsia="宋体" w:hint="default"/>
                <w:sz w:val="13"/>
                <w:szCs w:val="13"/>
              </w:rPr>
              <w:t>其他综</w:t>
            </w:r>
            <w:r>
              <w:rPr>
                <w:rFonts w:ascii="宋体" w:hAnsi="宋体" w:cs="宋体" w:eastAsia="宋体" w:hint="default"/>
                <w:w w:val="99"/>
                <w:sz w:val="13"/>
                <w:szCs w:val="13"/>
              </w:rPr>
              <w:t> </w:t>
            </w:r>
            <w:r>
              <w:rPr>
                <w:rFonts w:ascii="宋体" w:hAnsi="宋体" w:cs="宋体" w:eastAsia="宋体" w:hint="default"/>
                <w:sz w:val="13"/>
                <w:szCs w:val="13"/>
              </w:rPr>
              <w:t>合收益</w:t>
            </w:r>
          </w:p>
        </w:tc>
        <w:tc>
          <w:tcPr>
            <w:tcW w:w="56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168" w:lineRule="exact"/>
              <w:ind w:left="149" w:right="144"/>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5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31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55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22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225"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27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560"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569"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1313"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1,742,531,819.00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4,522,096,820.37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196,480,352.08</w:t>
            </w:r>
            <w:r>
              <w:rPr>
                <w:rFonts w:ascii="宋体"/>
                <w:sz w:val="13"/>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1,225,907,930.70</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7,687,016,922.15</w:t>
            </w:r>
            <w:r>
              <w:rPr>
                <w:rFonts w:ascii="宋体"/>
                <w:sz w:val="13"/>
              </w:rPr>
            </w: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0"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6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1,742,531,819.00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4,522,096,820.37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196,480,352.08</w:t>
            </w:r>
            <w:r>
              <w:rPr>
                <w:rFonts w:ascii="宋体"/>
                <w:sz w:val="13"/>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1,225,907,930.70</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7,687,016,922.15</w:t>
            </w:r>
            <w:r>
              <w:rPr>
                <w:rFonts w:ascii="宋体"/>
                <w:sz w:val="13"/>
              </w:rPr>
            </w:r>
          </w:p>
        </w:tc>
      </w:tr>
      <w:tr>
        <w:trPr>
          <w:trHeight w:val="353"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三、本期增减变动金额（减少以“－”号</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填列）</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21,560,000.00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1"/>
              <w:ind w:left="148" w:right="0"/>
              <w:jc w:val="center"/>
              <w:rPr>
                <w:rFonts w:ascii="宋体" w:hAnsi="宋体" w:cs="宋体" w:eastAsia="宋体" w:hint="default"/>
                <w:sz w:val="13"/>
                <w:szCs w:val="13"/>
              </w:rPr>
            </w:pPr>
            <w:r>
              <w:rPr>
                <w:rFonts w:ascii="宋体"/>
                <w:sz w:val="13"/>
              </w:rPr>
              <w:t>648,695,328.93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107,734,666.67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97,020,000.00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22,473,253.10</w:t>
            </w:r>
            <w:r>
              <w:rPr>
                <w:rFonts w:ascii="宋体"/>
                <w:sz w:val="13"/>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61,131,932.41</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764,575,181.11</w:t>
            </w:r>
            <w:r>
              <w:rPr>
                <w:rFonts w:ascii="宋体"/>
                <w:sz w:val="13"/>
              </w:rPr>
            </w: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224,732,531.03</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224,732,531.03</w:t>
            </w:r>
            <w:r>
              <w:rPr>
                <w:rFonts w:ascii="宋体"/>
                <w:sz w:val="13"/>
              </w:rPr>
            </w: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21,560,000.00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48" w:right="0"/>
              <w:jc w:val="center"/>
              <w:rPr>
                <w:rFonts w:ascii="宋体" w:hAnsi="宋体" w:cs="宋体" w:eastAsia="宋体" w:hint="default"/>
                <w:sz w:val="13"/>
                <w:szCs w:val="13"/>
              </w:rPr>
            </w:pPr>
            <w:r>
              <w:rPr>
                <w:rFonts w:ascii="宋体"/>
                <w:sz w:val="13"/>
              </w:rPr>
              <w:t>648,695,328.93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107,734,666.67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97,020,000.00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680,969,995.60</w:t>
            </w:r>
            <w:r>
              <w:rPr>
                <w:rFonts w:ascii="宋体"/>
                <w:sz w:val="13"/>
              </w:rPr>
            </w: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21,560,000.00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75,460,000.00</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97,020,000.00</w:t>
            </w:r>
            <w:r>
              <w:rPr>
                <w:rFonts w:ascii="宋体"/>
                <w:sz w:val="13"/>
              </w:rPr>
            </w: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48" w:right="0"/>
              <w:jc w:val="center"/>
              <w:rPr>
                <w:rFonts w:ascii="宋体" w:hAnsi="宋体" w:cs="宋体" w:eastAsia="宋体" w:hint="default"/>
                <w:sz w:val="13"/>
                <w:szCs w:val="13"/>
              </w:rPr>
            </w:pPr>
            <w:r>
              <w:rPr>
                <w:rFonts w:ascii="宋体"/>
                <w:sz w:val="13"/>
              </w:rPr>
              <w:t>648,695,328.93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648,695,328.93</w:t>
            </w:r>
            <w:r>
              <w:rPr>
                <w:rFonts w:ascii="宋体"/>
                <w:sz w:val="13"/>
              </w:rPr>
            </w: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32,274,666.67</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97,020,000.00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-64,745,333.33</w:t>
            </w:r>
            <w:r>
              <w:rPr>
                <w:rFonts w:ascii="宋体"/>
                <w:sz w:val="13"/>
              </w:rPr>
            </w: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22,473,253.10</w:t>
            </w:r>
            <w:r>
              <w:rPr>
                <w:rFonts w:ascii="宋体"/>
                <w:sz w:val="13"/>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-163,600,598.62</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-141,127,345.52</w:t>
            </w:r>
            <w:r>
              <w:rPr>
                <w:rFonts w:ascii="宋体"/>
                <w:sz w:val="13"/>
              </w:rPr>
            </w: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22,473,253.10</w:t>
            </w:r>
            <w:r>
              <w:rPr>
                <w:rFonts w:ascii="宋体"/>
                <w:sz w:val="13"/>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-22,473,253.10</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-141,127,345.52</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-141,127,345.52</w:t>
            </w:r>
            <w:r>
              <w:rPr>
                <w:rFonts w:ascii="宋体"/>
                <w:sz w:val="13"/>
              </w:rPr>
            </w: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．设定受益计划变动额结转留存收益</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1,764,091,819.00</w:t>
            </w:r>
            <w:r>
              <w:rPr>
                <w:rFonts w:ascii="宋体"/>
                <w:sz w:val="13"/>
              </w:rPr>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48" w:right="0"/>
              <w:jc w:val="center"/>
              <w:rPr>
                <w:rFonts w:ascii="宋体" w:hAnsi="宋体" w:cs="宋体" w:eastAsia="宋体" w:hint="default"/>
                <w:sz w:val="13"/>
                <w:szCs w:val="13"/>
              </w:rPr>
            </w:pPr>
            <w:r>
              <w:rPr>
                <w:rFonts w:ascii="宋体"/>
                <w:sz w:val="13"/>
              </w:rPr>
              <w:t>648,695,328.93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4,629,831,487.04</w:t>
            </w:r>
            <w:r>
              <w:rPr>
                <w:rFonts w:ascii="宋体"/>
                <w:sz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97,020,000.00</w:t>
            </w:r>
            <w:r>
              <w:rPr>
                <w:rFonts w:ascii="宋体"/>
                <w:sz w:val="13"/>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218,953,605.18</w:t>
            </w:r>
            <w:r>
              <w:rPr>
                <w:rFonts w:ascii="宋体"/>
                <w:sz w:val="13"/>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1,287,039,863.11</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8,451,592,103.26</w:t>
            </w:r>
            <w:r>
              <w:rPr>
                <w:rFonts w:ascii="宋体"/>
                <w:sz w:val="13"/>
              </w:rPr>
            </w:r>
          </w:p>
        </w:tc>
      </w:tr>
    </w:tbl>
    <w:p>
      <w:pPr>
        <w:pStyle w:val="BodyText"/>
        <w:tabs>
          <w:tab w:pos="3555" w:val="left" w:leader="none"/>
          <w:tab w:pos="7336" w:val="left" w:leader="none"/>
        </w:tabs>
        <w:spacing w:line="241" w:lineRule="exact"/>
        <w:ind w:left="824" w:right="0"/>
        <w:jc w:val="left"/>
      </w:pPr>
      <w:r>
        <w:rPr>
          <w:spacing w:val="-1"/>
        </w:rPr>
        <w:t>法定代表人：陆永华</w:t>
        <w:tab/>
      </w:r>
      <w:r>
        <w:rPr>
          <w:spacing w:val="-2"/>
        </w:rPr>
        <w:t>主管会计工作负责人：虞海娟</w:t>
        <w:tab/>
        <w:t>会计机构负责人：周辉</w:t>
      </w:r>
    </w:p>
    <w:p>
      <w:pPr>
        <w:spacing w:after="0" w:line="241" w:lineRule="exact"/>
        <w:jc w:val="left"/>
        <w:sectPr>
          <w:pgSz w:w="16840" w:h="11910" w:orient="landscape"/>
          <w:pgMar w:header="479" w:footer="975" w:top="1120" w:bottom="1160" w:left="700" w:right="580"/>
        </w:sectPr>
      </w:pPr>
    </w:p>
    <w:p>
      <w:pPr>
        <w:spacing w:line="240" w:lineRule="auto" w:before="3"/>
        <w:rPr>
          <w:rFonts w:ascii="宋体" w:hAnsi="宋体" w:cs="宋体" w:eastAsia="宋体" w:hint="default"/>
          <w:sz w:val="28"/>
          <w:szCs w:val="28"/>
        </w:rPr>
      </w:pPr>
    </w:p>
    <w:p>
      <w:pPr>
        <w:pStyle w:val="Heading2"/>
        <w:tabs>
          <w:tab w:pos="598" w:val="left" w:leader="none"/>
        </w:tabs>
        <w:spacing w:line="324" w:lineRule="auto"/>
        <w:ind w:left="178" w:right="7593"/>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364" w:lineRule="auto" w:before="23"/>
        <w:ind w:left="598" w:right="207" w:hanging="420"/>
        <w:jc w:val="left"/>
      </w:pPr>
      <w:r>
        <w:rPr/>
        <w:t>√适用</w:t>
      </w:r>
      <w:r>
        <w:rPr>
          <w:spacing w:val="-2"/>
        </w:rPr>
        <w:t> </w:t>
      </w:r>
      <w:r>
        <w:rPr/>
        <w:t>□不适用</w:t>
      </w:r>
      <w:r>
        <w:rPr>
          <w:spacing w:val="-103"/>
        </w:rPr>
        <w:t> </w:t>
      </w:r>
      <w:r>
        <w:rPr>
          <w:spacing w:val="-103"/>
        </w:rPr>
      </w:r>
      <w:r>
        <w:rPr>
          <w:spacing w:val="-1"/>
        </w:rPr>
        <w:t>江苏林洋能源股份有限公司（原名江苏林洋电子股份有限公司，以下简称公司或本公司）成立</w:t>
      </w:r>
    </w:p>
    <w:p>
      <w:pPr>
        <w:pStyle w:val="BodyText"/>
        <w:spacing w:line="240" w:lineRule="auto" w:before="16"/>
        <w:ind w:left="178" w:right="0"/>
        <w:jc w:val="both"/>
      </w:pPr>
      <w:r>
        <w:rPr/>
        <w:t>于</w:t>
      </w:r>
      <w:r>
        <w:rPr>
          <w:spacing w:val="-53"/>
        </w:rPr>
        <w:t> </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2 </w:t>
      </w:r>
      <w:r>
        <w:rPr/>
        <w:t>月</w:t>
      </w:r>
      <w:r>
        <w:rPr>
          <w:spacing w:val="-55"/>
        </w:rPr>
        <w:t> </w:t>
      </w:r>
      <w:r>
        <w:rPr>
          <w:rFonts w:ascii="Times New Roman" w:hAnsi="Times New Roman" w:cs="Times New Roman" w:eastAsia="Times New Roman" w:hint="default"/>
        </w:rPr>
        <w:t>8 </w:t>
      </w:r>
      <w:r>
        <w:rPr>
          <w:spacing w:val="-4"/>
        </w:rPr>
        <w:t>日，</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 </w:t>
      </w:r>
      <w:r>
        <w:rPr/>
        <w:t>日经中国证券监督管理委员会《关于核准江苏林洋电子股份有</w:t>
      </w:r>
    </w:p>
    <w:p>
      <w:pPr>
        <w:pStyle w:val="BodyText"/>
        <w:spacing w:line="240" w:lineRule="auto" w:before="107"/>
        <w:ind w:left="178" w:right="0"/>
        <w:jc w:val="both"/>
        <w:rPr>
          <w:rFonts w:ascii="Times New Roman" w:hAnsi="Times New Roman" w:cs="Times New Roman" w:eastAsia="Times New Roman" w:hint="default"/>
        </w:rPr>
      </w:pPr>
      <w:r>
        <w:rPr>
          <w:w w:val="100"/>
        </w:rPr>
        <w:t>限公</w:t>
      </w:r>
      <w:r>
        <w:rPr>
          <w:spacing w:val="-3"/>
          <w:w w:val="100"/>
        </w:rPr>
        <w:t>司</w:t>
      </w:r>
      <w:r>
        <w:rPr>
          <w:w w:val="100"/>
        </w:rPr>
        <w:t>首</w:t>
      </w:r>
      <w:r>
        <w:rPr>
          <w:spacing w:val="-3"/>
          <w:w w:val="100"/>
        </w:rPr>
        <w:t>次</w:t>
      </w:r>
      <w:r>
        <w:rPr>
          <w:w w:val="100"/>
        </w:rPr>
        <w:t>公</w:t>
      </w:r>
      <w:r>
        <w:rPr>
          <w:spacing w:val="-3"/>
          <w:w w:val="100"/>
        </w:rPr>
        <w:t>开</w:t>
      </w:r>
      <w:r>
        <w:rPr>
          <w:w w:val="100"/>
        </w:rPr>
        <w:t>发</w:t>
      </w:r>
      <w:r>
        <w:rPr>
          <w:spacing w:val="-3"/>
          <w:w w:val="100"/>
        </w:rPr>
        <w:t>行</w:t>
      </w:r>
      <w:r>
        <w:rPr>
          <w:w w:val="100"/>
        </w:rPr>
        <w:t>股</w:t>
      </w:r>
      <w:r>
        <w:rPr>
          <w:spacing w:val="-3"/>
          <w:w w:val="100"/>
        </w:rPr>
        <w:t>票</w:t>
      </w:r>
      <w:r>
        <w:rPr>
          <w:w w:val="100"/>
        </w:rPr>
        <w:t>的批</w:t>
      </w:r>
      <w:r>
        <w:rPr>
          <w:spacing w:val="-3"/>
          <w:w w:val="100"/>
        </w:rPr>
        <w:t>复</w:t>
      </w:r>
      <w:r>
        <w:rPr>
          <w:spacing w:val="-120"/>
          <w:w w:val="100"/>
        </w:rPr>
        <w:t>》</w:t>
      </w:r>
      <w:r>
        <w:rPr>
          <w:w w:val="100"/>
        </w:rPr>
        <w:t>（</w:t>
      </w:r>
      <w:r>
        <w:rPr>
          <w:spacing w:val="-3"/>
          <w:w w:val="100"/>
        </w:rPr>
        <w:t>证</w:t>
      </w:r>
      <w:r>
        <w:rPr>
          <w:w w:val="100"/>
        </w:rPr>
        <w:t>监</w:t>
      </w:r>
      <w:r>
        <w:rPr>
          <w:spacing w:val="-3"/>
          <w:w w:val="100"/>
        </w:rPr>
        <w:t>许</w:t>
      </w:r>
      <w:r>
        <w:rPr>
          <w:spacing w:val="-1"/>
          <w:w w:val="100"/>
        </w:rPr>
        <w:t>可</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33</w:t>
      </w:r>
      <w:r>
        <w:rPr>
          <w:rFonts w:ascii="Times New Roman" w:hAnsi="Times New Roman" w:cs="Times New Roman" w:eastAsia="Times New Roman" w:hint="default"/>
        </w:rPr>
        <w:t> </w:t>
      </w:r>
      <w:r>
        <w:rPr>
          <w:spacing w:val="-3"/>
          <w:w w:val="100"/>
        </w:rPr>
        <w:t>号文</w:t>
      </w:r>
      <w:r>
        <w:rPr>
          <w:spacing w:val="-13"/>
          <w:w w:val="100"/>
        </w:rPr>
        <w:t>）</w:t>
      </w:r>
      <w:r>
        <w:rPr>
          <w:spacing w:val="-3"/>
          <w:w w:val="100"/>
        </w:rPr>
        <w:t>核准</w:t>
      </w:r>
      <w:r>
        <w:rPr>
          <w:spacing w:val="-13"/>
          <w:w w:val="100"/>
        </w:rPr>
        <w:t>，</w:t>
      </w:r>
      <w:r>
        <w:rPr>
          <w:spacing w:val="-3"/>
          <w:w w:val="100"/>
        </w:rPr>
        <w:t>首</w:t>
      </w:r>
      <w:r>
        <w:rPr>
          <w:w w:val="100"/>
        </w:rPr>
        <w:t>次</w:t>
      </w:r>
      <w:r>
        <w:rPr>
          <w:spacing w:val="-3"/>
          <w:w w:val="100"/>
        </w:rPr>
        <w:t>向社</w:t>
      </w:r>
      <w:r>
        <w:rPr>
          <w:w w:val="100"/>
        </w:rPr>
        <w:t>会公</w:t>
      </w:r>
      <w:r>
        <w:rPr>
          <w:spacing w:val="-3"/>
          <w:w w:val="100"/>
        </w:rPr>
        <w:t>开</w:t>
      </w:r>
      <w:r>
        <w:rPr>
          <w:w w:val="100"/>
        </w:rPr>
        <w:t>发</w:t>
      </w:r>
      <w:r>
        <w:rPr>
          <w:spacing w:val="-3"/>
          <w:w w:val="100"/>
        </w:rPr>
        <w:t>行新</w:t>
      </w:r>
      <w:r>
        <w:rPr>
          <w:w w:val="100"/>
        </w:rPr>
        <w:t>股</w:t>
      </w:r>
      <w:r>
        <w:rPr>
          <w:spacing w:val="-53"/>
        </w:rPr>
        <w:t> </w:t>
      </w:r>
      <w:r>
        <w:rPr>
          <w:rFonts w:ascii="Times New Roman" w:hAnsi="Times New Roman" w:cs="Times New Roman" w:eastAsia="Times New Roman" w:hint="default"/>
          <w:w w:val="100"/>
        </w:rPr>
        <w:t>7,5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pStyle w:val="BodyText"/>
        <w:spacing w:line="345" w:lineRule="auto" w:before="110"/>
        <w:ind w:left="178" w:right="209"/>
        <w:jc w:val="both"/>
      </w:pPr>
      <w:r>
        <w:rPr/>
        <w:t>万股，并于</w:t>
      </w:r>
      <w:r>
        <w:rPr>
          <w:spacing w:val="-52"/>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日在上海证券交易所上市，公司注册资本为人民币</w:t>
      </w:r>
      <w:r>
        <w:rPr>
          <w:spacing w:val="-54"/>
        </w:rPr>
        <w:t> </w:t>
      </w:r>
      <w:r>
        <w:rPr>
          <w:rFonts w:ascii="Times New Roman" w:hAnsi="Times New Roman" w:cs="Times New Roman" w:eastAsia="Times New Roman" w:hint="default"/>
        </w:rPr>
        <w:t>290,000,000.00</w:t>
      </w:r>
      <w:r>
        <w:rPr>
          <w:rFonts w:ascii="Times New Roman" w:hAnsi="Times New Roman" w:cs="Times New Roman" w:eastAsia="Times New Roman" w:hint="default"/>
          <w:spacing w:val="-1"/>
        </w:rPr>
        <w:t> </w:t>
      </w:r>
      <w:r>
        <w:rPr/>
        <w:t>元。公</w:t>
      </w:r>
      <w:r>
        <w:rPr>
          <w:w w:val="100"/>
        </w:rPr>
        <w:t> </w:t>
      </w:r>
      <w:r>
        <w:rPr>
          <w:spacing w:val="-1"/>
        </w:rPr>
        <w:t>司所属行业为电工仪器仪表行业，法定代表人为陆永华，经营范围：仪器仪表、电子设备、电力电</w:t>
      </w:r>
      <w:r>
        <w:rPr>
          <w:spacing w:val="-22"/>
        </w:rPr>
        <w:t> </w:t>
      </w:r>
      <w:r>
        <w:rPr>
          <w:spacing w:val="-22"/>
        </w:rPr>
      </w:r>
      <w:r>
        <w:rPr>
          <w:spacing w:val="-2"/>
        </w:rPr>
        <w:t>气设备、自动化设备、集成电路、光伏设备、照明器具、光电元器件、</w:t>
      </w:r>
      <w:r>
        <w:rPr>
          <w:rFonts w:ascii="Times New Roman" w:hAnsi="Times New Roman" w:cs="Times New Roman" w:eastAsia="Times New Roman" w:hint="default"/>
          <w:spacing w:val="-2"/>
        </w:rPr>
        <w:t>LED</w:t>
      </w:r>
      <w:r>
        <w:rPr>
          <w:rFonts w:ascii="Times New Roman" w:hAnsi="Times New Roman" w:cs="Times New Roman" w:eastAsia="Times New Roman" w:hint="default"/>
        </w:rPr>
        <w:t> </w:t>
      </w:r>
      <w:r>
        <w:rPr>
          <w:spacing w:val="-2"/>
        </w:rPr>
        <w:t>驱动电源、智能照明控</w:t>
      </w:r>
      <w:r>
        <w:rPr>
          <w:spacing w:val="-85"/>
        </w:rPr>
        <w:t> </w:t>
      </w:r>
      <w:r>
        <w:rPr>
          <w:spacing w:val="-85"/>
        </w:rPr>
      </w:r>
      <w:r>
        <w:rPr>
          <w:spacing w:val="-1"/>
        </w:rPr>
        <w:t>制系统、计算机软硬件及系统产品的研发、制造、销售；光伏发电项目的开发、建设、维护、经营</w:t>
      </w:r>
      <w:r>
        <w:rPr>
          <w:spacing w:val="-20"/>
        </w:rPr>
        <w:t> </w:t>
      </w:r>
      <w:r>
        <w:rPr>
          <w:spacing w:val="-20"/>
        </w:rPr>
      </w:r>
      <w:r>
        <w:rPr>
          <w:spacing w:val="-1"/>
        </w:rPr>
        <w:t>管理及技术咨询；智能电网系统集成；储能控制系统以及太阳能新能源应用的研发、生产、销售；</w:t>
      </w:r>
      <w:r>
        <w:rPr>
          <w:spacing w:val="-20"/>
        </w:rPr>
        <w:t> </w:t>
      </w:r>
      <w:r>
        <w:rPr>
          <w:spacing w:val="-20"/>
        </w:rPr>
      </w:r>
      <w:r>
        <w:rPr>
          <w:spacing w:val="-1"/>
        </w:rPr>
        <w:t>电力电气工程、建筑物照明设备、光伏电气设备、路牌、路标、广告牌的安装、施工；电力设备在</w:t>
      </w:r>
      <w:r>
        <w:rPr>
          <w:spacing w:val="-20"/>
        </w:rPr>
        <w:t> </w:t>
      </w:r>
      <w:r>
        <w:rPr>
          <w:spacing w:val="-20"/>
        </w:rPr>
      </w:r>
      <w:r>
        <w:rPr>
          <w:spacing w:val="-1"/>
        </w:rPr>
        <w:t>线监测系统、视频系统、变电站智能辅助系统、安防系统开发；新能源、节能环保相关产品及零配</w:t>
      </w:r>
      <w:r>
        <w:rPr>
          <w:spacing w:val="-20"/>
        </w:rPr>
        <w:t> </w:t>
      </w:r>
      <w:r>
        <w:rPr>
          <w:spacing w:val="-20"/>
        </w:rPr>
      </w:r>
      <w:r>
        <w:rPr>
          <w:spacing w:val="-6"/>
        </w:rPr>
        <w:t>件的研发、设计、制造、销售、安装；国际货运代理；自营和代理各类商品及技术的进出口业务（国</w:t>
      </w:r>
      <w:r>
        <w:rPr>
          <w:spacing w:val="-22"/>
        </w:rPr>
        <w:t> </w:t>
      </w:r>
      <w:r>
        <w:rPr>
          <w:spacing w:val="-22"/>
        </w:rPr>
      </w:r>
      <w:r>
        <w:rPr>
          <w:spacing w:val="-5"/>
          <w:w w:val="100"/>
        </w:rPr>
        <w:t>家限定公司经营或禁止进出口的商品及技术除外）。（依法须经批准的项目，经相关部门批准后方可</w:t>
      </w:r>
      <w:r>
        <w:rPr>
          <w:w w:val="100"/>
        </w:rPr>
        <w:t> </w:t>
      </w:r>
      <w:r>
        <w:rPr>
          <w:spacing w:val="-15"/>
          <w:w w:val="100"/>
        </w:rPr>
        <w:t>开展经营活动）。</w:t>
      </w:r>
    </w:p>
    <w:p>
      <w:pPr>
        <w:pStyle w:val="BodyText"/>
        <w:spacing w:line="240" w:lineRule="auto" w:before="33"/>
        <w:ind w:left="598"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日，根据公司</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年度股东大会决议，以资本公积转增股本</w:t>
      </w:r>
      <w:r>
        <w:rPr>
          <w:spacing w:val="-49"/>
        </w:rPr>
        <w:t> </w:t>
      </w:r>
      <w:r>
        <w:rPr>
          <w:rFonts w:ascii="Times New Roman" w:hAnsi="Times New Roman" w:cs="Times New Roman" w:eastAsia="Times New Roman" w:hint="default"/>
        </w:rPr>
        <w:t>58,000,000.00</w:t>
      </w:r>
      <w:r>
        <w:rPr>
          <w:rFonts w:ascii="Times New Roman" w:hAnsi="Times New Roman" w:cs="Times New Roman" w:eastAsia="Times New Roman" w:hint="default"/>
          <w:spacing w:val="5"/>
        </w:rPr>
        <w:t> </w:t>
      </w:r>
      <w:r>
        <w:rPr>
          <w:spacing w:val="-3"/>
        </w:rPr>
        <w:t>元，</w:t>
      </w:r>
      <w:r>
        <w:rPr/>
      </w:r>
    </w:p>
    <w:p>
      <w:pPr>
        <w:pStyle w:val="BodyText"/>
        <w:spacing w:line="240" w:lineRule="auto" w:before="108"/>
        <w:ind w:left="178" w:right="0"/>
        <w:jc w:val="both"/>
      </w:pPr>
      <w:r>
        <w:rPr/>
        <w:t>转增后公司注册资本和股本为人民币</w:t>
      </w:r>
      <w:r>
        <w:rPr>
          <w:spacing w:val="-54"/>
        </w:rPr>
        <w:t> </w:t>
      </w:r>
      <w:r>
        <w:rPr>
          <w:rFonts w:ascii="Times New Roman" w:hAnsi="Times New Roman" w:cs="Times New Roman" w:eastAsia="Times New Roman" w:hint="default"/>
        </w:rPr>
        <w:t>348,000,000.00</w:t>
      </w:r>
      <w:r>
        <w:rPr>
          <w:rFonts w:ascii="Times New Roman" w:hAnsi="Times New Roman" w:cs="Times New Roman" w:eastAsia="Times New Roman" w:hint="default"/>
          <w:spacing w:val="-1"/>
        </w:rPr>
        <w:t> </w:t>
      </w:r>
      <w:r>
        <w:rPr/>
        <w:t>元。</w:t>
      </w:r>
    </w:p>
    <w:p>
      <w:pPr>
        <w:pStyle w:val="BodyText"/>
        <w:spacing w:line="240" w:lineRule="auto" w:before="110"/>
        <w:ind w:left="598"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11"/>
        </w:rPr>
        <w:t> </w:t>
      </w:r>
      <w:r>
        <w:rPr/>
        <w:t>日，根据公司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年第三次临时股东大会审议通过的《关于</w:t>
      </w:r>
      <w:r>
        <w:rPr>
          <w:rFonts w:ascii="Times New Roman" w:hAnsi="Times New Roman" w:cs="Times New Roman" w:eastAsia="Times New Roman" w:hint="default"/>
        </w:rPr>
        <w:t>&lt;</w:t>
      </w:r>
      <w:r>
        <w:rPr/>
        <w:t>江苏林洋电子股</w:t>
      </w:r>
    </w:p>
    <w:p>
      <w:pPr>
        <w:pStyle w:val="BodyText"/>
        <w:spacing w:line="240" w:lineRule="auto" w:before="110"/>
        <w:ind w:left="178" w:right="0"/>
        <w:jc w:val="both"/>
        <w:rPr>
          <w:rFonts w:ascii="Times New Roman" w:hAnsi="Times New Roman" w:cs="Times New Roman" w:eastAsia="Times New Roman" w:hint="default"/>
        </w:rPr>
      </w:pPr>
      <w:r>
        <w:rPr>
          <w:spacing w:val="-2"/>
        </w:rPr>
        <w:t>份有限公司首期限制性股票激励计划（草案）</w:t>
      </w:r>
      <w:r>
        <w:rPr>
          <w:rFonts w:ascii="Times New Roman" w:hAnsi="Times New Roman" w:cs="Times New Roman" w:eastAsia="Times New Roman" w:hint="default"/>
          <w:spacing w:val="-2"/>
        </w:rPr>
        <w:t>&gt;</w:t>
      </w:r>
      <w:r>
        <w:rPr>
          <w:spacing w:val="-2"/>
        </w:rPr>
        <w:t>及其摘要的议案》和修改后的章程规定，公司向</w:t>
      </w:r>
      <w:r>
        <w:rPr/>
        <w:t> </w:t>
      </w:r>
      <w:r>
        <w:rPr>
          <w:rFonts w:ascii="Times New Roman" w:hAnsi="Times New Roman" w:cs="Times New Roman" w:eastAsia="Times New Roman" w:hint="default"/>
          <w:spacing w:val="-1"/>
        </w:rPr>
        <w:t>100</w:t>
      </w:r>
    </w:p>
    <w:p>
      <w:pPr>
        <w:pStyle w:val="BodyText"/>
        <w:spacing w:line="240" w:lineRule="auto" w:before="107"/>
        <w:ind w:left="178" w:right="0"/>
        <w:jc w:val="both"/>
      </w:pPr>
      <w:r>
        <w:rPr/>
        <w:t>名自然人定向发行股票</w:t>
      </w:r>
      <w:r>
        <w:rPr>
          <w:spacing w:val="-55"/>
        </w:rPr>
        <w:t> </w:t>
      </w:r>
      <w:r>
        <w:rPr>
          <w:rFonts w:ascii="Times New Roman" w:hAnsi="Times New Roman" w:cs="Times New Roman" w:eastAsia="Times New Roman" w:hint="default"/>
        </w:rPr>
        <w:t>729</w:t>
      </w:r>
      <w:r>
        <w:rPr>
          <w:rFonts w:ascii="Times New Roman" w:hAnsi="Times New Roman" w:cs="Times New Roman" w:eastAsia="Times New Roman" w:hint="default"/>
          <w:spacing w:val="-2"/>
        </w:rPr>
        <w:t> </w:t>
      </w:r>
      <w:r>
        <w:rPr/>
        <w:t>万股，定向增发变更后的股本为</w:t>
      </w:r>
      <w:r>
        <w:rPr>
          <w:spacing w:val="-55"/>
        </w:rPr>
        <w:t> </w:t>
      </w:r>
      <w:r>
        <w:rPr>
          <w:rFonts w:ascii="Times New Roman" w:hAnsi="Times New Roman" w:cs="Times New Roman" w:eastAsia="Times New Roman" w:hint="default"/>
        </w:rPr>
        <w:t>355,290,000.00</w:t>
      </w:r>
      <w:r>
        <w:rPr>
          <w:rFonts w:ascii="Times New Roman" w:hAnsi="Times New Roman" w:cs="Times New Roman" w:eastAsia="Times New Roman" w:hint="default"/>
          <w:spacing w:val="-5"/>
        </w:rPr>
        <w:t> </w:t>
      </w:r>
      <w:r>
        <w:rPr/>
        <w:t>元。</w:t>
      </w:r>
    </w:p>
    <w:p>
      <w:pPr>
        <w:pStyle w:val="BodyText"/>
        <w:spacing w:line="338" w:lineRule="auto" w:before="110"/>
        <w:ind w:left="178" w:right="209"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3"/>
        </w:rPr>
        <w:t>日，根据公司</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年第一次临时股东大会审议通过的《关于提请股东大会授权</w:t>
      </w:r>
      <w:r>
        <w:rPr>
          <w:w w:val="100"/>
        </w:rPr>
        <w:t> </w:t>
      </w:r>
      <w:r>
        <w:rPr>
          <w:spacing w:val="-1"/>
        </w:rPr>
        <w:t>董事会办理公司首期限制性股票激励计划有关事项的议案》和修改后的章程规定，公司回购注销原</w:t>
      </w:r>
      <w:r>
        <w:rPr>
          <w:spacing w:val="-20"/>
        </w:rPr>
        <w:t> </w:t>
      </w:r>
      <w:r>
        <w:rPr>
          <w:spacing w:val="-20"/>
        </w:rPr>
      </w:r>
      <w:r>
        <w:rPr/>
        <w:t>部分激励对象已获授的全部限制性股票</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spacing w:val="-4"/>
        </w:rPr>
        <w:t>万股，公司减少注册资本人民币</w:t>
      </w:r>
      <w:r>
        <w:rPr>
          <w:spacing w:val="-48"/>
        </w:rPr>
        <w:t> </w:t>
      </w:r>
      <w:r>
        <w:rPr>
          <w:rFonts w:ascii="Times New Roman" w:hAnsi="Times New Roman" w:cs="Times New Roman" w:eastAsia="Times New Roman" w:hint="default"/>
        </w:rPr>
        <w:t>110,000.00</w:t>
      </w:r>
      <w:r>
        <w:rPr>
          <w:rFonts w:ascii="Times New Roman" w:hAnsi="Times New Roman" w:cs="Times New Roman" w:eastAsia="Times New Roman" w:hint="default"/>
          <w:spacing w:val="7"/>
        </w:rPr>
        <w:t> </w:t>
      </w:r>
      <w:r>
        <w:rPr>
          <w:spacing w:val="-6"/>
        </w:rPr>
        <w:t>元，变更后的</w:t>
      </w:r>
    </w:p>
    <w:p>
      <w:pPr>
        <w:pStyle w:val="BodyText"/>
        <w:spacing w:line="240" w:lineRule="auto" w:before="14"/>
        <w:ind w:left="178" w:right="0"/>
        <w:jc w:val="both"/>
      </w:pPr>
      <w:r>
        <w:rPr/>
        <w:t>注册资本为人民币</w:t>
      </w:r>
      <w:r>
        <w:rPr>
          <w:spacing w:val="-54"/>
        </w:rPr>
        <w:t> </w:t>
      </w:r>
      <w:r>
        <w:rPr>
          <w:rFonts w:ascii="Times New Roman" w:hAnsi="Times New Roman" w:cs="Times New Roman" w:eastAsia="Times New Roman" w:hint="default"/>
        </w:rPr>
        <w:t>355,180,000.00</w:t>
      </w:r>
      <w:r>
        <w:rPr>
          <w:rFonts w:ascii="Times New Roman" w:hAnsi="Times New Roman" w:cs="Times New Roman" w:eastAsia="Times New Roman" w:hint="default"/>
          <w:spacing w:val="-1"/>
        </w:rPr>
        <w:t> </w:t>
      </w:r>
      <w:r>
        <w:rPr>
          <w:spacing w:val="-3"/>
        </w:rPr>
        <w:t>元。</w:t>
      </w:r>
      <w:r>
        <w:rPr/>
      </w:r>
    </w:p>
    <w:p>
      <w:pPr>
        <w:pStyle w:val="BodyText"/>
        <w:spacing w:line="240" w:lineRule="auto" w:before="110"/>
        <w:ind w:left="598"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日，根据公司</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年第二次临时股东大会审议通过的《关于减少公司注册资</w:t>
      </w:r>
    </w:p>
    <w:p>
      <w:pPr>
        <w:pStyle w:val="BodyText"/>
        <w:spacing w:line="240" w:lineRule="auto" w:before="107"/>
        <w:ind w:left="178" w:right="0"/>
        <w:jc w:val="both"/>
        <w:rPr>
          <w:rFonts w:ascii="Times New Roman" w:hAnsi="Times New Roman" w:cs="Times New Roman" w:eastAsia="Times New Roman" w:hint="default"/>
        </w:rPr>
      </w:pPr>
      <w:r>
        <w:rPr>
          <w:w w:val="100"/>
        </w:rPr>
        <w:t>本的</w:t>
      </w:r>
      <w:r>
        <w:rPr>
          <w:spacing w:val="-3"/>
          <w:w w:val="100"/>
        </w:rPr>
        <w:t>议案</w:t>
      </w:r>
      <w:r>
        <w:rPr>
          <w:spacing w:val="-85"/>
          <w:w w:val="100"/>
        </w:rPr>
        <w:t>》</w:t>
      </w:r>
      <w:r>
        <w:rPr>
          <w:spacing w:val="-3"/>
          <w:w w:val="100"/>
        </w:rPr>
        <w:t>和</w:t>
      </w:r>
      <w:r>
        <w:rPr>
          <w:w w:val="100"/>
        </w:rPr>
        <w:t>修</w:t>
      </w:r>
      <w:r>
        <w:rPr>
          <w:spacing w:val="-3"/>
          <w:w w:val="100"/>
        </w:rPr>
        <w:t>改</w:t>
      </w:r>
      <w:r>
        <w:rPr>
          <w:spacing w:val="-1"/>
          <w:w w:val="100"/>
        </w:rPr>
        <w:t>后</w:t>
      </w:r>
      <w:r>
        <w:rPr>
          <w:spacing w:val="-3"/>
          <w:w w:val="100"/>
        </w:rPr>
        <w:t>的</w:t>
      </w:r>
      <w:r>
        <w:rPr>
          <w:w w:val="100"/>
        </w:rPr>
        <w:t>章</w:t>
      </w:r>
      <w:r>
        <w:rPr>
          <w:spacing w:val="-3"/>
          <w:w w:val="100"/>
        </w:rPr>
        <w:t>程</w:t>
      </w:r>
      <w:r>
        <w:rPr>
          <w:w w:val="100"/>
        </w:rPr>
        <w:t>规</w:t>
      </w:r>
      <w:r>
        <w:rPr>
          <w:spacing w:val="-3"/>
          <w:w w:val="100"/>
        </w:rPr>
        <w:t>定</w:t>
      </w:r>
      <w:r>
        <w:rPr>
          <w:spacing w:val="-85"/>
          <w:w w:val="100"/>
        </w:rPr>
        <w:t>，</w:t>
      </w:r>
      <w:r>
        <w:rPr>
          <w:spacing w:val="-3"/>
          <w:w w:val="100"/>
        </w:rPr>
        <w:t>公</w:t>
      </w:r>
      <w:r>
        <w:rPr>
          <w:w w:val="100"/>
        </w:rPr>
        <w:t>司</w:t>
      </w:r>
      <w:r>
        <w:rPr>
          <w:spacing w:val="-3"/>
          <w:w w:val="100"/>
        </w:rPr>
        <w:t>回</w:t>
      </w:r>
      <w:r>
        <w:rPr>
          <w:w w:val="100"/>
        </w:rPr>
        <w:t>购</w:t>
      </w:r>
      <w:r>
        <w:rPr>
          <w:spacing w:val="-3"/>
          <w:w w:val="100"/>
        </w:rPr>
        <w:t>注</w:t>
      </w:r>
      <w:r>
        <w:rPr>
          <w:w w:val="100"/>
        </w:rPr>
        <w:t>销</w:t>
      </w:r>
      <w:r>
        <w:rPr>
          <w:spacing w:val="-3"/>
          <w:w w:val="100"/>
        </w:rPr>
        <w:t>原</w:t>
      </w:r>
      <w:r>
        <w:rPr>
          <w:w w:val="100"/>
        </w:rPr>
        <w:t>部</w:t>
      </w:r>
      <w:r>
        <w:rPr>
          <w:spacing w:val="-3"/>
          <w:w w:val="100"/>
        </w:rPr>
        <w:t>分</w:t>
      </w:r>
      <w:r>
        <w:rPr>
          <w:w w:val="100"/>
        </w:rPr>
        <w:t>激励</w:t>
      </w:r>
      <w:r>
        <w:rPr>
          <w:spacing w:val="-3"/>
          <w:w w:val="100"/>
        </w:rPr>
        <w:t>对</w:t>
      </w:r>
      <w:r>
        <w:rPr>
          <w:w w:val="100"/>
        </w:rPr>
        <w:t>象</w:t>
      </w:r>
      <w:r>
        <w:rPr>
          <w:spacing w:val="-3"/>
          <w:w w:val="100"/>
        </w:rPr>
        <w:t>已</w:t>
      </w:r>
      <w:r>
        <w:rPr>
          <w:w w:val="100"/>
        </w:rPr>
        <w:t>获</w:t>
      </w:r>
      <w:r>
        <w:rPr>
          <w:spacing w:val="-3"/>
          <w:w w:val="100"/>
        </w:rPr>
        <w:t>授</w:t>
      </w:r>
      <w:r>
        <w:rPr>
          <w:w w:val="100"/>
        </w:rPr>
        <w:t>但</w:t>
      </w:r>
      <w:r>
        <w:rPr>
          <w:spacing w:val="-3"/>
          <w:w w:val="100"/>
        </w:rPr>
        <w:t>尚</w:t>
      </w:r>
      <w:r>
        <w:rPr>
          <w:w w:val="100"/>
        </w:rPr>
        <w:t>未</w:t>
      </w:r>
      <w:r>
        <w:rPr>
          <w:spacing w:val="-3"/>
          <w:w w:val="100"/>
        </w:rPr>
        <w:t>解</w:t>
      </w:r>
      <w:r>
        <w:rPr>
          <w:w w:val="100"/>
        </w:rPr>
        <w:t>锁的</w:t>
      </w:r>
      <w:r>
        <w:rPr>
          <w:spacing w:val="-3"/>
          <w:w w:val="100"/>
        </w:rPr>
        <w:t>限</w:t>
      </w:r>
      <w:r>
        <w:rPr>
          <w:w w:val="100"/>
        </w:rPr>
        <w:t>制</w:t>
      </w:r>
      <w:r>
        <w:rPr>
          <w:spacing w:val="-3"/>
          <w:w w:val="100"/>
        </w:rPr>
        <w:t>性股</w:t>
      </w:r>
      <w:r>
        <w:rPr>
          <w:w w:val="100"/>
        </w:rPr>
        <w:t>票</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w:t>
      </w:r>
    </w:p>
    <w:p>
      <w:pPr>
        <w:pStyle w:val="BodyText"/>
        <w:spacing w:line="240" w:lineRule="auto" w:before="110"/>
        <w:ind w:left="178" w:right="0"/>
        <w:jc w:val="both"/>
      </w:pPr>
      <w:r>
        <w:rPr/>
        <w:t>万股，公司减少注册资本人民币</w:t>
      </w:r>
      <w:r>
        <w:rPr>
          <w:spacing w:val="-54"/>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4"/>
        </w:rPr>
        <w:t> </w:t>
      </w:r>
      <w:r>
        <w:rPr/>
        <w:t>元，变更后的注册资本为人民币</w:t>
      </w:r>
      <w:r>
        <w:rPr>
          <w:spacing w:val="-54"/>
        </w:rPr>
        <w:t> </w:t>
      </w:r>
      <w:r>
        <w:rPr>
          <w:rFonts w:ascii="Times New Roman" w:hAnsi="Times New Roman" w:cs="Times New Roman" w:eastAsia="Times New Roman" w:hint="default"/>
        </w:rPr>
        <w:t>355,173,000.00</w:t>
      </w:r>
      <w:r>
        <w:rPr>
          <w:rFonts w:ascii="Times New Roman" w:hAnsi="Times New Roman" w:cs="Times New Roman" w:eastAsia="Times New Roman" w:hint="default"/>
          <w:spacing w:val="-2"/>
        </w:rPr>
        <w:t> </w:t>
      </w:r>
      <w:r>
        <w:rPr>
          <w:spacing w:val="-3"/>
        </w:rPr>
        <w:t>元。</w:t>
      </w:r>
      <w:r>
        <w:rPr/>
      </w:r>
    </w:p>
    <w:p>
      <w:pPr>
        <w:pStyle w:val="BodyText"/>
        <w:spacing w:line="338" w:lineRule="auto" w:before="110"/>
        <w:ind w:left="178" w:right="209"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日，根据公司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年第三次临时股东大会决议，公司于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日经中</w:t>
      </w:r>
      <w:r>
        <w:rPr>
          <w:w w:val="100"/>
        </w:rPr>
        <w:t> </w:t>
      </w:r>
      <w:r>
        <w:rPr>
          <w:spacing w:val="-1"/>
          <w:w w:val="100"/>
        </w:rPr>
        <w:t>国证券监督管理委员会《关于核准江苏林洋电子股份有限公司非公开发行股票的批复》（证监许可</w:t>
      </w:r>
      <w:r>
        <w:rPr>
          <w:spacing w:val="-90"/>
          <w:w w:val="100"/>
        </w:rPr>
        <w:t> </w:t>
      </w:r>
      <w:r>
        <w:rPr>
          <w:spacing w:val="-90"/>
          <w:w w:val="100"/>
        </w:rPr>
      </w:r>
      <w:r>
        <w:rPr>
          <w:rFonts w:ascii="Times New Roman" w:hAnsi="Times New Roman" w:cs="Times New Roman" w:eastAsia="Times New Roman" w:hint="default"/>
        </w:rPr>
        <w:t>[2015]619 </w:t>
      </w:r>
      <w:r>
        <w:rPr>
          <w:spacing w:val="-3"/>
        </w:rPr>
        <w:t>号）核准，采用非公开发行方式发行人民币普通股（</w:t>
      </w:r>
      <w:r>
        <w:rPr>
          <w:rFonts w:ascii="Times New Roman" w:hAnsi="Times New Roman" w:cs="Times New Roman" w:eastAsia="Times New Roman" w:hint="default"/>
          <w:spacing w:val="-3"/>
        </w:rPr>
        <w:t>A </w:t>
      </w:r>
      <w:r>
        <w:rPr>
          <w:spacing w:val="-4"/>
        </w:rPr>
        <w:t>股）股票 </w:t>
      </w:r>
      <w:r>
        <w:rPr>
          <w:rFonts w:ascii="Times New Roman" w:hAnsi="Times New Roman" w:cs="Times New Roman" w:eastAsia="Times New Roman" w:hint="default"/>
        </w:rPr>
        <w:t>51,428,571</w:t>
      </w:r>
      <w:r>
        <w:rPr>
          <w:rFonts w:ascii="Times New Roman" w:hAnsi="Times New Roman" w:cs="Times New Roman" w:eastAsia="Times New Roman" w:hint="default"/>
          <w:spacing w:val="8"/>
        </w:rPr>
        <w:t> </w:t>
      </w:r>
      <w:r>
        <w:rPr>
          <w:spacing w:val="-3"/>
        </w:rPr>
        <w:t>股，每股面值</w:t>
      </w:r>
    </w:p>
    <w:p>
      <w:pPr>
        <w:pStyle w:val="BodyText"/>
        <w:spacing w:line="240" w:lineRule="auto" w:before="14"/>
        <w:ind w:left="178"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元，发行后公司注册资本为人民币</w:t>
      </w:r>
      <w:r>
        <w:rPr>
          <w:spacing w:val="-54"/>
        </w:rPr>
        <w:t> </w:t>
      </w:r>
      <w:r>
        <w:rPr>
          <w:rFonts w:ascii="Times New Roman" w:hAnsi="Times New Roman" w:cs="Times New Roman" w:eastAsia="Times New Roman" w:hint="default"/>
        </w:rPr>
        <w:t>406,601,571.00</w:t>
      </w:r>
      <w:r>
        <w:rPr>
          <w:rFonts w:ascii="Times New Roman" w:hAnsi="Times New Roman" w:cs="Times New Roman" w:eastAsia="Times New Roman" w:hint="default"/>
          <w:spacing w:val="-1"/>
        </w:rPr>
        <w:t> </w:t>
      </w:r>
      <w:r>
        <w:rPr/>
        <w:t>元。</w:t>
      </w:r>
    </w:p>
    <w:p>
      <w:pPr>
        <w:pStyle w:val="BodyText"/>
        <w:spacing w:line="331" w:lineRule="auto" w:before="107"/>
        <w:ind w:left="178" w:right="211"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spacing w:val="-3"/>
        </w:rPr>
        <w:t>日，根据公司</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年第三次临时股东大会决议，公司于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日经中</w:t>
      </w:r>
      <w:r>
        <w:rPr>
          <w:w w:val="100"/>
        </w:rPr>
        <w:t> </w:t>
      </w:r>
      <w:r>
        <w:rPr>
          <w:spacing w:val="-1"/>
          <w:w w:val="100"/>
        </w:rPr>
        <w:t>国证券监督管理委员会《关于核准江苏林洋能源股份有限公司非公开发行股票的批复》（证监许可</w:t>
      </w:r>
    </w:p>
    <w:p>
      <w:pPr>
        <w:spacing w:after="0" w:line="331" w:lineRule="auto"/>
        <w:jc w:val="both"/>
        <w:sectPr>
          <w:headerReference w:type="default" r:id="rId41"/>
          <w:footerReference w:type="default" r:id="rId42"/>
          <w:pgSz w:w="11910" w:h="16840"/>
          <w:pgMar w:header="643" w:footer="974" w:top="1080" w:bottom="1160" w:left="1240" w:right="1200"/>
          <w:pgNumType w:start="94"/>
        </w:sectPr>
      </w:pPr>
    </w:p>
    <w:p>
      <w:pPr>
        <w:spacing w:line="240" w:lineRule="auto" w:before="5"/>
        <w:rPr>
          <w:rFonts w:ascii="宋体" w:hAnsi="宋体" w:cs="宋体" w:eastAsia="宋体" w:hint="default"/>
          <w:sz w:val="28"/>
          <w:szCs w:val="28"/>
        </w:rPr>
      </w:pPr>
    </w:p>
    <w:p>
      <w:pPr>
        <w:pStyle w:val="BodyText"/>
        <w:spacing w:line="240" w:lineRule="auto" w:before="36"/>
        <w:ind w:left="178" w:right="0"/>
        <w:jc w:val="left"/>
      </w:pPr>
      <w:r>
        <w:rPr>
          <w:rFonts w:ascii="Times New Roman" w:hAnsi="Times New Roman" w:cs="Times New Roman" w:eastAsia="Times New Roman" w:hint="default"/>
        </w:rPr>
        <w:t>[2016]323 </w:t>
      </w:r>
      <w:r>
        <w:rPr>
          <w:spacing w:val="-3"/>
        </w:rPr>
        <w:t>号）核准，采用非公开发行方式发行人民币普通股（</w:t>
      </w:r>
      <w:r>
        <w:rPr>
          <w:rFonts w:ascii="Times New Roman" w:hAnsi="Times New Roman" w:cs="Times New Roman" w:eastAsia="Times New Roman" w:hint="default"/>
          <w:spacing w:val="-3"/>
        </w:rPr>
        <w:t>A </w:t>
      </w:r>
      <w:r>
        <w:rPr>
          <w:spacing w:val="-4"/>
        </w:rPr>
        <w:t>股）股票 </w:t>
      </w:r>
      <w:r>
        <w:rPr>
          <w:rFonts w:ascii="Times New Roman" w:hAnsi="Times New Roman" w:cs="Times New Roman" w:eastAsia="Times New Roman" w:hint="default"/>
        </w:rPr>
        <w:t>91,264,663</w:t>
      </w:r>
      <w:r>
        <w:rPr>
          <w:rFonts w:ascii="Times New Roman" w:hAnsi="Times New Roman" w:cs="Times New Roman" w:eastAsia="Times New Roman" w:hint="default"/>
          <w:spacing w:val="8"/>
        </w:rPr>
        <w:t> </w:t>
      </w:r>
      <w:r>
        <w:rPr>
          <w:spacing w:val="-3"/>
        </w:rPr>
        <w:t>股，每股面值</w:t>
      </w:r>
    </w:p>
    <w:p>
      <w:pPr>
        <w:pStyle w:val="BodyText"/>
        <w:spacing w:line="240" w:lineRule="auto" w:before="110"/>
        <w:ind w:left="178" w:right="181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元，发行后公司注册资本为人民币</w:t>
      </w:r>
      <w:r>
        <w:rPr>
          <w:spacing w:val="-54"/>
        </w:rPr>
        <w:t> </w:t>
      </w:r>
      <w:r>
        <w:rPr>
          <w:rFonts w:ascii="Times New Roman" w:hAnsi="Times New Roman" w:cs="Times New Roman" w:eastAsia="Times New Roman" w:hint="default"/>
        </w:rPr>
        <w:t>497,866,234.00</w:t>
      </w:r>
      <w:r>
        <w:rPr>
          <w:rFonts w:ascii="Times New Roman" w:hAnsi="Times New Roman" w:cs="Times New Roman" w:eastAsia="Times New Roman" w:hint="default"/>
          <w:spacing w:val="-1"/>
        </w:rPr>
        <w:t> </w:t>
      </w:r>
      <w:r>
        <w:rPr/>
        <w:t>元。</w:t>
      </w:r>
    </w:p>
    <w:p>
      <w:pPr>
        <w:pStyle w:val="BodyText"/>
        <w:spacing w:line="240" w:lineRule="auto" w:before="107"/>
        <w:ind w:left="59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spacing w:val="-3"/>
        </w:rPr>
        <w:t>日，根据公司</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年第四次临时股东大会决议，以</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日末总股本</w:t>
      </w:r>
    </w:p>
    <w:p>
      <w:pPr>
        <w:pStyle w:val="BodyText"/>
        <w:spacing w:line="240" w:lineRule="auto" w:before="110"/>
        <w:ind w:left="178" w:right="0"/>
        <w:jc w:val="left"/>
      </w:pPr>
      <w:r>
        <w:rPr>
          <w:rFonts w:ascii="Times New Roman" w:hAnsi="Times New Roman" w:cs="Times New Roman" w:eastAsia="Times New Roman" w:hint="default"/>
        </w:rPr>
        <w:t>497,866,234</w:t>
      </w:r>
      <w:r>
        <w:rPr>
          <w:rFonts w:ascii="Times New Roman" w:hAnsi="Times New Roman" w:cs="Times New Roman" w:eastAsia="Times New Roman" w:hint="default"/>
          <w:spacing w:val="-2"/>
        </w:rPr>
        <w:t> </w:t>
      </w:r>
      <w:r>
        <w:rPr/>
        <w:t>股为基数，由资本公积向全体股东每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股，每股面值</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元，合计增加股本人</w:t>
      </w:r>
    </w:p>
    <w:p>
      <w:pPr>
        <w:pStyle w:val="BodyText"/>
        <w:spacing w:line="240" w:lineRule="auto" w:before="110"/>
        <w:ind w:left="178" w:right="1815"/>
        <w:jc w:val="left"/>
      </w:pPr>
      <w:r>
        <w:rPr/>
        <w:t>民币</w:t>
      </w:r>
      <w:r>
        <w:rPr>
          <w:spacing w:val="-53"/>
        </w:rPr>
        <w:t> </w:t>
      </w:r>
      <w:r>
        <w:rPr>
          <w:rFonts w:ascii="Times New Roman" w:hAnsi="Times New Roman" w:cs="Times New Roman" w:eastAsia="Times New Roman" w:hint="default"/>
        </w:rPr>
        <w:t>1,244,665,585.00 </w:t>
      </w:r>
      <w:r>
        <w:rPr>
          <w:spacing w:val="-3"/>
        </w:rPr>
        <w:t>元。</w:t>
      </w:r>
      <w:r>
        <w:rPr/>
      </w:r>
    </w:p>
    <w:p>
      <w:pPr>
        <w:pStyle w:val="BodyText"/>
        <w:spacing w:line="240" w:lineRule="auto" w:before="107"/>
        <w:ind w:left="59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4"/>
        </w:rPr>
        <w:t>日，根据公司</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年第七次临时股东大会审议通过的《关于</w:t>
      </w:r>
      <w:r>
        <w:rPr>
          <w:rFonts w:ascii="Times New Roman" w:hAnsi="Times New Roman" w:cs="Times New Roman" w:eastAsia="Times New Roman" w:hint="default"/>
        </w:rPr>
        <w:t>&lt;</w:t>
      </w:r>
      <w:r>
        <w:rPr/>
        <w:t>第二期限制性股票</w:t>
      </w:r>
    </w:p>
    <w:p>
      <w:pPr>
        <w:pStyle w:val="BodyText"/>
        <w:spacing w:line="240" w:lineRule="auto" w:before="110"/>
        <w:ind w:left="178" w:right="0"/>
        <w:jc w:val="left"/>
        <w:rPr>
          <w:rFonts w:ascii="Times New Roman" w:hAnsi="Times New Roman" w:cs="Times New Roman" w:eastAsia="Times New Roman" w:hint="default"/>
        </w:rPr>
      </w:pPr>
      <w:r>
        <w:rPr>
          <w:spacing w:val="-8"/>
        </w:rPr>
        <w:t>激励计划（草案）</w:t>
      </w:r>
      <w:r>
        <w:rPr>
          <w:rFonts w:ascii="Times New Roman" w:hAnsi="Times New Roman" w:cs="Times New Roman" w:eastAsia="Times New Roman" w:hint="default"/>
          <w:spacing w:val="-8"/>
        </w:rPr>
        <w:t>&gt;</w:t>
      </w:r>
      <w:r>
        <w:rPr>
          <w:spacing w:val="-8"/>
        </w:rPr>
        <w:t>及其摘要的议案》和修改后的章程规定，公司向 </w:t>
      </w:r>
      <w:r>
        <w:rPr>
          <w:rFonts w:ascii="Times New Roman" w:hAnsi="Times New Roman" w:cs="Times New Roman" w:eastAsia="Times New Roman" w:hint="default"/>
        </w:rPr>
        <w:t>221 </w:t>
      </w:r>
      <w:r>
        <w:rPr/>
        <w:t>名自然人定向发行股票</w:t>
      </w:r>
      <w:r>
        <w:rPr>
          <w:spacing w:val="-53"/>
        </w:rPr>
        <w:t> </w:t>
      </w:r>
      <w:r>
        <w:rPr>
          <w:rFonts w:ascii="Times New Roman" w:hAnsi="Times New Roman" w:cs="Times New Roman" w:eastAsia="Times New Roman" w:hint="default"/>
        </w:rPr>
        <w:t>2,156</w:t>
      </w:r>
    </w:p>
    <w:p>
      <w:pPr>
        <w:pStyle w:val="BodyText"/>
        <w:spacing w:line="240" w:lineRule="auto" w:before="110"/>
        <w:ind w:left="178" w:right="1815"/>
        <w:jc w:val="left"/>
      </w:pPr>
      <w:r>
        <w:rPr/>
        <w:t>万股，每股面值</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元，发行后公司注册资本为人民币</w:t>
      </w:r>
      <w:r>
        <w:rPr>
          <w:spacing w:val="-54"/>
        </w:rPr>
        <w:t> </w:t>
      </w:r>
      <w:r>
        <w:rPr>
          <w:rFonts w:ascii="Times New Roman" w:hAnsi="Times New Roman" w:cs="Times New Roman" w:eastAsia="Times New Roman" w:hint="default"/>
        </w:rPr>
        <w:t>1,764,091,819.00</w:t>
      </w:r>
      <w:r>
        <w:rPr>
          <w:rFonts w:ascii="Times New Roman" w:hAnsi="Times New Roman" w:cs="Times New Roman" w:eastAsia="Times New Roman" w:hint="default"/>
          <w:spacing w:val="-2"/>
        </w:rPr>
        <w:t> </w:t>
      </w:r>
      <w:r>
        <w:rPr>
          <w:spacing w:val="-3"/>
        </w:rPr>
        <w:t>元。</w:t>
      </w:r>
      <w:r>
        <w:rPr/>
      </w:r>
    </w:p>
    <w:p>
      <w:pPr>
        <w:pStyle w:val="BodyText"/>
        <w:spacing w:line="240" w:lineRule="auto" w:before="108"/>
        <w:ind w:left="59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4"/>
        </w:rPr>
        <w:t>日，根据公司</w:t>
      </w:r>
      <w:r>
        <w:rPr>
          <w:spacing w:val="-52"/>
        </w:rPr>
        <w:t> </w:t>
      </w:r>
      <w:r>
        <w:rPr>
          <w:rFonts w:ascii="Times New Roman" w:hAnsi="Times New Roman" w:cs="Times New Roman" w:eastAsia="Times New Roman" w:hint="default"/>
        </w:rPr>
        <w:t>2016 </w:t>
      </w:r>
      <w:r>
        <w:rPr/>
        <w:t>年第七次临时股东大会决议和</w:t>
      </w:r>
      <w:r>
        <w:rPr>
          <w:spacing w:val="-53"/>
        </w:rPr>
        <w:t> </w:t>
      </w:r>
      <w:r>
        <w:rPr>
          <w:rFonts w:ascii="Times New Roman" w:hAnsi="Times New Roman" w:cs="Times New Roman" w:eastAsia="Times New Roman" w:hint="default"/>
        </w:rPr>
        <w:t>2017 </w:t>
      </w:r>
      <w:r>
        <w:rPr/>
        <w:t>年第三届董事会第二十六</w:t>
      </w:r>
    </w:p>
    <w:p>
      <w:pPr>
        <w:pStyle w:val="BodyText"/>
        <w:spacing w:line="240" w:lineRule="auto" w:before="110"/>
        <w:ind w:left="178" w:right="0"/>
        <w:jc w:val="left"/>
      </w:pPr>
      <w:r>
        <w:rPr>
          <w:w w:val="100"/>
        </w:rPr>
        <w:t>次会</w:t>
      </w:r>
      <w:r>
        <w:rPr>
          <w:spacing w:val="-3"/>
          <w:w w:val="100"/>
        </w:rPr>
        <w:t>议</w:t>
      </w:r>
      <w:r>
        <w:rPr>
          <w:w w:val="100"/>
        </w:rPr>
        <w:t>审</w:t>
      </w:r>
      <w:r>
        <w:rPr>
          <w:spacing w:val="-3"/>
          <w:w w:val="100"/>
        </w:rPr>
        <w:t>议</w:t>
      </w:r>
      <w:r>
        <w:rPr>
          <w:w w:val="100"/>
        </w:rPr>
        <w:t>通</w:t>
      </w:r>
      <w:r>
        <w:rPr>
          <w:spacing w:val="-3"/>
          <w:w w:val="100"/>
        </w:rPr>
        <w:t>过</w:t>
      </w:r>
      <w:r>
        <w:rPr>
          <w:w w:val="100"/>
        </w:rPr>
        <w:t>的</w:t>
      </w:r>
      <w:r>
        <w:rPr>
          <w:spacing w:val="-3"/>
          <w:w w:val="100"/>
        </w:rPr>
        <w:t>《</w:t>
      </w:r>
      <w:r>
        <w:rPr>
          <w:w w:val="100"/>
        </w:rPr>
        <w:t>关</w:t>
      </w:r>
      <w:r>
        <w:rPr>
          <w:spacing w:val="-3"/>
          <w:w w:val="100"/>
        </w:rPr>
        <w:t>于</w:t>
      </w:r>
      <w:r>
        <w:rPr>
          <w:w w:val="100"/>
        </w:rPr>
        <w:t>向激</w:t>
      </w:r>
      <w:r>
        <w:rPr>
          <w:spacing w:val="-3"/>
          <w:w w:val="100"/>
        </w:rPr>
        <w:t>励</w:t>
      </w:r>
      <w:r>
        <w:rPr>
          <w:w w:val="100"/>
        </w:rPr>
        <w:t>对</w:t>
      </w:r>
      <w:r>
        <w:rPr>
          <w:spacing w:val="-3"/>
          <w:w w:val="100"/>
        </w:rPr>
        <w:t>象</w:t>
      </w:r>
      <w:r>
        <w:rPr>
          <w:w w:val="100"/>
        </w:rPr>
        <w:t>授</w:t>
      </w:r>
      <w:r>
        <w:rPr>
          <w:spacing w:val="-3"/>
          <w:w w:val="100"/>
        </w:rPr>
        <w:t>予</w:t>
      </w:r>
      <w:r>
        <w:rPr>
          <w:w w:val="100"/>
        </w:rPr>
        <w:t>第</w:t>
      </w:r>
      <w:r>
        <w:rPr>
          <w:spacing w:val="-3"/>
          <w:w w:val="100"/>
        </w:rPr>
        <w:t>二</w:t>
      </w:r>
      <w:r>
        <w:rPr>
          <w:w w:val="100"/>
        </w:rPr>
        <w:t>期</w:t>
      </w:r>
      <w:r>
        <w:rPr>
          <w:spacing w:val="-3"/>
          <w:w w:val="100"/>
        </w:rPr>
        <w:t>预</w:t>
      </w:r>
      <w:r>
        <w:rPr>
          <w:w w:val="100"/>
        </w:rPr>
        <w:t>留限</w:t>
      </w:r>
      <w:r>
        <w:rPr>
          <w:spacing w:val="-3"/>
          <w:w w:val="100"/>
        </w:rPr>
        <w:t>制</w:t>
      </w:r>
      <w:r>
        <w:rPr>
          <w:w w:val="100"/>
        </w:rPr>
        <w:t>性</w:t>
      </w:r>
      <w:r>
        <w:rPr>
          <w:spacing w:val="-3"/>
          <w:w w:val="100"/>
        </w:rPr>
        <w:t>股</w:t>
      </w:r>
      <w:r>
        <w:rPr>
          <w:w w:val="100"/>
        </w:rPr>
        <w:t>票</w:t>
      </w:r>
      <w:r>
        <w:rPr>
          <w:spacing w:val="-3"/>
          <w:w w:val="100"/>
        </w:rPr>
        <w:t>的</w:t>
      </w:r>
      <w:r>
        <w:rPr>
          <w:w w:val="100"/>
        </w:rPr>
        <w:t>议</w:t>
      </w:r>
      <w:r>
        <w:rPr>
          <w:spacing w:val="-3"/>
          <w:w w:val="100"/>
        </w:rPr>
        <w:t>案</w:t>
      </w:r>
      <w:r>
        <w:rPr>
          <w:spacing w:val="-106"/>
          <w:w w:val="100"/>
        </w:rPr>
        <w:t>》</w:t>
      </w:r>
      <w:r>
        <w:rPr>
          <w:spacing w:val="-3"/>
          <w:w w:val="100"/>
        </w:rPr>
        <w:t>，公</w:t>
      </w:r>
      <w:r>
        <w:rPr>
          <w:w w:val="100"/>
        </w:rPr>
        <w:t>司向</w:t>
      </w:r>
      <w:r>
        <w:rPr>
          <w:spacing w:val="-3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7"/>
        </w:rPr>
        <w:t> </w:t>
      </w:r>
      <w:r>
        <w:rPr>
          <w:w w:val="100"/>
        </w:rPr>
        <w:t>名</w:t>
      </w:r>
      <w:r>
        <w:rPr>
          <w:spacing w:val="-3"/>
          <w:w w:val="100"/>
        </w:rPr>
        <w:t>自</w:t>
      </w:r>
      <w:r>
        <w:rPr>
          <w:w w:val="100"/>
        </w:rPr>
        <w:t>然</w:t>
      </w:r>
      <w:r>
        <w:rPr>
          <w:spacing w:val="-3"/>
          <w:w w:val="100"/>
        </w:rPr>
        <w:t>人</w:t>
      </w:r>
      <w:r>
        <w:rPr>
          <w:w w:val="100"/>
        </w:rPr>
        <w:t>定向</w:t>
      </w:r>
    </w:p>
    <w:p>
      <w:pPr>
        <w:pStyle w:val="BodyText"/>
        <w:spacing w:line="240" w:lineRule="auto" w:before="110"/>
        <w:ind w:left="178" w:right="0"/>
        <w:jc w:val="left"/>
      </w:pPr>
      <w:r>
        <w:rPr/>
        <w:t>发行股票</w:t>
      </w:r>
      <w:r>
        <w:rPr>
          <w:spacing w:val="-54"/>
        </w:rPr>
        <w:t> </w:t>
      </w:r>
      <w:r>
        <w:rPr>
          <w:rFonts w:ascii="Times New Roman" w:hAnsi="Times New Roman" w:cs="Times New Roman" w:eastAsia="Times New Roman" w:hint="default"/>
        </w:rPr>
        <w:t>160</w:t>
      </w:r>
      <w:r>
        <w:rPr>
          <w:rFonts w:ascii="Times New Roman" w:hAnsi="Times New Roman" w:cs="Times New Roman" w:eastAsia="Times New Roman" w:hint="default"/>
          <w:spacing w:val="-1"/>
        </w:rPr>
        <w:t> </w:t>
      </w:r>
      <w:r>
        <w:rPr/>
        <w:t>万股，每股面值</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元，发行后公司注册资本为人民币</w:t>
      </w:r>
      <w:r>
        <w:rPr>
          <w:spacing w:val="-54"/>
        </w:rPr>
        <w:t> </w:t>
      </w:r>
      <w:r>
        <w:rPr>
          <w:rFonts w:ascii="Times New Roman" w:hAnsi="Times New Roman" w:cs="Times New Roman" w:eastAsia="Times New Roman" w:hint="default"/>
        </w:rPr>
        <w:t>1,765,691,819.00</w:t>
      </w:r>
      <w:r>
        <w:rPr>
          <w:rFonts w:ascii="Times New Roman" w:hAnsi="Times New Roman" w:cs="Times New Roman" w:eastAsia="Times New Roman" w:hint="default"/>
          <w:spacing w:val="-3"/>
        </w:rPr>
        <w:t> </w:t>
      </w:r>
      <w:r>
        <w:rPr/>
        <w:t>元。</w:t>
      </w:r>
    </w:p>
    <w:p>
      <w:pPr>
        <w:pStyle w:val="BodyText"/>
        <w:spacing w:line="240" w:lineRule="auto" w:before="107"/>
        <w:ind w:left="59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日，根据公司</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年第七次临时股东大会决议和</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年第三届董事会第二十</w:t>
      </w:r>
    </w:p>
    <w:p>
      <w:pPr>
        <w:pStyle w:val="BodyText"/>
        <w:spacing w:line="240" w:lineRule="auto" w:before="110"/>
        <w:ind w:left="178" w:right="0"/>
        <w:jc w:val="left"/>
      </w:pPr>
      <w:r>
        <w:rPr/>
        <w:t>七次会议和第三十次会议，公司回购原部分激励对象已获授但尚未解锁的限制性股票 </w:t>
      </w:r>
      <w:r>
        <w:rPr>
          <w:rFonts w:ascii="Times New Roman" w:hAnsi="Times New Roman" w:cs="Times New Roman" w:eastAsia="Times New Roman" w:hint="default"/>
        </w:rPr>
        <w:t>36.54</w:t>
      </w:r>
      <w:r>
        <w:rPr>
          <w:rFonts w:ascii="Times New Roman" w:hAnsi="Times New Roman" w:cs="Times New Roman" w:eastAsia="Times New Roman" w:hint="default"/>
          <w:spacing w:val="38"/>
        </w:rPr>
        <w:t> </w:t>
      </w:r>
      <w:r>
        <w:rPr>
          <w:spacing w:val="-3"/>
        </w:rPr>
        <w:t>万股，</w:t>
      </w:r>
      <w:r>
        <w:rPr/>
      </w:r>
    </w:p>
    <w:p>
      <w:pPr>
        <w:pStyle w:val="BodyText"/>
        <w:spacing w:line="240" w:lineRule="auto" w:before="110"/>
        <w:ind w:left="178" w:right="0"/>
        <w:jc w:val="left"/>
      </w:pPr>
      <w:r>
        <w:rPr/>
        <w:t>其中</w:t>
      </w:r>
      <w:r>
        <w:rPr>
          <w:spacing w:val="-55"/>
        </w:rPr>
        <w:t> </w:t>
      </w:r>
      <w:r>
        <w:rPr>
          <w:rFonts w:ascii="Times New Roman" w:hAnsi="Times New Roman" w:cs="Times New Roman" w:eastAsia="Times New Roman" w:hint="default"/>
        </w:rPr>
        <w:t>285,400</w:t>
      </w:r>
      <w:r>
        <w:rPr>
          <w:rFonts w:ascii="Times New Roman" w:hAnsi="Times New Roman" w:cs="Times New Roman" w:eastAsia="Times New Roman" w:hint="default"/>
          <w:spacing w:val="-2"/>
        </w:rPr>
        <w:t> </w:t>
      </w:r>
      <w:r>
        <w:rPr/>
        <w:t>股限制性股票已注销，注销后的注册资本变更为人民币</w:t>
      </w:r>
      <w:r>
        <w:rPr>
          <w:spacing w:val="-55"/>
        </w:rPr>
        <w:t> </w:t>
      </w:r>
      <w:r>
        <w:rPr>
          <w:rFonts w:ascii="Times New Roman" w:hAnsi="Times New Roman" w:cs="Times New Roman" w:eastAsia="Times New Roman" w:hint="default"/>
        </w:rPr>
        <w:t>1,765,406,419.00</w:t>
      </w:r>
      <w:r>
        <w:rPr>
          <w:rFonts w:ascii="Times New Roman" w:hAnsi="Times New Roman" w:cs="Times New Roman" w:eastAsia="Times New Roman" w:hint="default"/>
          <w:spacing w:val="-4"/>
        </w:rPr>
        <w:t> </w:t>
      </w:r>
      <w:r>
        <w:rPr/>
        <w:t>元。</w:t>
      </w:r>
    </w:p>
    <w:p>
      <w:pPr>
        <w:pStyle w:val="BodyText"/>
        <w:spacing w:line="240" w:lineRule="auto" w:before="107"/>
        <w:ind w:left="598" w:right="0"/>
        <w:jc w:val="left"/>
      </w:pPr>
      <w:r>
        <w:rPr/>
        <w:t>经中国证券监督管理委员会证监许可</w:t>
      </w:r>
      <w:r>
        <w:rPr>
          <w:rFonts w:ascii="Times New Roman" w:hAnsi="Times New Roman" w:cs="Times New Roman" w:eastAsia="Times New Roman" w:hint="default"/>
        </w:rPr>
        <w:t>[2017]1214</w:t>
      </w:r>
      <w:r>
        <w:rPr>
          <w:rFonts w:ascii="Times New Roman" w:hAnsi="Times New Roman" w:cs="Times New Roman" w:eastAsia="Times New Roman" w:hint="default"/>
          <w:spacing w:val="-1"/>
        </w:rPr>
        <w:t> </w:t>
      </w:r>
      <w:r>
        <w:rPr>
          <w:spacing w:val="-8"/>
        </w:rPr>
        <w:t>号文核准，公司于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日公开发行</w:t>
      </w:r>
    </w:p>
    <w:p>
      <w:pPr>
        <w:pStyle w:val="BodyText"/>
        <w:spacing w:line="240" w:lineRule="auto" w:before="110"/>
        <w:ind w:left="178" w:right="0"/>
        <w:jc w:val="left"/>
        <w:rPr>
          <w:rFonts w:ascii="Times New Roman" w:hAnsi="Times New Roman" w:cs="Times New Roman" w:eastAsia="Times New Roman" w:hint="default"/>
        </w:rPr>
      </w:pPr>
      <w:r>
        <w:rPr/>
        <w:t>人民币</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亿元可转换公司债券，债券每张面值为人民币</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元，共计</w:t>
      </w:r>
      <w:r>
        <w:rPr>
          <w:spacing w:val="-4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万张。截止</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p>
    <w:p>
      <w:pPr>
        <w:pStyle w:val="BodyText"/>
        <w:spacing w:line="240" w:lineRule="auto" w:before="110"/>
        <w:ind w:left="178" w:right="0"/>
        <w:jc w:val="left"/>
      </w:pP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日，累计共有</w:t>
      </w:r>
      <w:r>
        <w:rPr>
          <w:spacing w:val="-44"/>
        </w:rPr>
        <w:t> </w:t>
      </w:r>
      <w:r>
        <w:rPr>
          <w:rFonts w:ascii="Times New Roman" w:hAnsi="Times New Roman" w:cs="Times New Roman" w:eastAsia="Times New Roman" w:hint="default"/>
        </w:rPr>
        <w:t>39,000</w:t>
      </w:r>
      <w:r>
        <w:rPr>
          <w:rFonts w:ascii="Times New Roman" w:hAnsi="Times New Roman" w:cs="Times New Roman" w:eastAsia="Times New Roman" w:hint="default"/>
          <w:spacing w:val="9"/>
        </w:rPr>
        <w:t> </w:t>
      </w:r>
      <w:r>
        <w:rPr>
          <w:spacing w:val="-3"/>
        </w:rPr>
        <w:t>元可转换公司债券已转换成公司股票，累计转股数为</w:t>
      </w:r>
      <w:r>
        <w:rPr>
          <w:spacing w:val="-42"/>
        </w:rPr>
        <w:t> </w:t>
      </w:r>
      <w:r>
        <w:rPr>
          <w:rFonts w:ascii="Times New Roman" w:hAnsi="Times New Roman" w:cs="Times New Roman" w:eastAsia="Times New Roman" w:hint="default"/>
        </w:rPr>
        <w:t>4,424</w:t>
      </w:r>
      <w:r>
        <w:rPr>
          <w:rFonts w:ascii="Times New Roman" w:hAnsi="Times New Roman" w:cs="Times New Roman" w:eastAsia="Times New Roman" w:hint="default"/>
          <w:spacing w:val="11"/>
        </w:rPr>
        <w:t> </w:t>
      </w:r>
      <w:r>
        <w:rPr>
          <w:spacing w:val="-6"/>
        </w:rPr>
        <w:t>股，公司股本</w:t>
      </w:r>
    </w:p>
    <w:p>
      <w:pPr>
        <w:pStyle w:val="BodyText"/>
        <w:spacing w:line="240" w:lineRule="auto" w:before="107"/>
        <w:ind w:left="178" w:right="1815"/>
        <w:jc w:val="left"/>
      </w:pPr>
      <w:r>
        <w:rPr/>
        <w:t>变更为</w:t>
      </w:r>
      <w:r>
        <w:rPr>
          <w:spacing w:val="-52"/>
        </w:rPr>
        <w:t> </w:t>
      </w:r>
      <w:r>
        <w:rPr>
          <w:rFonts w:ascii="Times New Roman" w:hAnsi="Times New Roman" w:cs="Times New Roman" w:eastAsia="Times New Roman" w:hint="default"/>
        </w:rPr>
        <w:t>1,765,410,843.00</w:t>
      </w:r>
      <w:r>
        <w:rPr>
          <w:rFonts w:ascii="Times New Roman" w:hAnsi="Times New Roman" w:cs="Times New Roman" w:eastAsia="Times New Roman" w:hint="default"/>
          <w:spacing w:val="-2"/>
        </w:rPr>
        <w:t> </w:t>
      </w:r>
      <w:r>
        <w:rPr>
          <w:spacing w:val="-3"/>
        </w:rPr>
        <w:t>元。</w:t>
      </w:r>
      <w:r>
        <w:rPr/>
      </w:r>
    </w:p>
    <w:p>
      <w:pPr>
        <w:pStyle w:val="BodyText"/>
        <w:spacing w:line="240" w:lineRule="auto" w:before="4"/>
        <w:ind w:left="598" w:right="1815"/>
        <w:jc w:val="left"/>
      </w:pPr>
      <w:r>
        <w:rPr/>
        <w:t>本财务报表业经公司全体董事于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日批准报出。</w:t>
      </w:r>
    </w:p>
    <w:p>
      <w:pPr>
        <w:spacing w:line="240" w:lineRule="auto" w:before="0"/>
        <w:rPr>
          <w:rFonts w:ascii="宋体" w:hAnsi="宋体" w:cs="宋体" w:eastAsia="宋体" w:hint="default"/>
          <w:sz w:val="20"/>
          <w:szCs w:val="20"/>
        </w:rPr>
      </w:pPr>
    </w:p>
    <w:p>
      <w:pPr>
        <w:pStyle w:val="Heading2"/>
        <w:tabs>
          <w:tab w:pos="598" w:val="left" w:leader="none"/>
        </w:tabs>
        <w:spacing w:line="240" w:lineRule="auto" w:before="147"/>
        <w:ind w:left="178" w:right="1815"/>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left="178" w:right="1815"/>
        <w:jc w:val="left"/>
      </w:pPr>
      <w:r>
        <w:rPr/>
        <w:t>√适用 □不适用</w:t>
      </w:r>
    </w:p>
    <w:p>
      <w:pPr>
        <w:pStyle w:val="BodyText"/>
        <w:spacing w:line="240" w:lineRule="auto" w:before="37"/>
        <w:ind w:left="178" w:right="1815"/>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日止，本公司合并财务报表范围内子公司如下：</w:t>
      </w:r>
    </w:p>
    <w:p>
      <w:pPr>
        <w:spacing w:line="240" w:lineRule="auto" w:before="10"/>
        <w:rPr>
          <w:rFonts w:ascii="宋体" w:hAnsi="宋体" w:cs="宋体" w:eastAsia="宋体" w:hint="default"/>
          <w:sz w:val="3"/>
          <w:szCs w:val="3"/>
        </w:rPr>
      </w:pPr>
    </w:p>
    <w:tbl>
      <w:tblPr>
        <w:tblW w:w="0" w:type="auto"/>
        <w:jc w:val="left"/>
        <w:tblInd w:w="570" w:type="dxa"/>
        <w:tblLayout w:type="fixed"/>
        <w:tblCellMar>
          <w:top w:w="0" w:type="dxa"/>
          <w:left w:w="0" w:type="dxa"/>
          <w:bottom w:w="0" w:type="dxa"/>
          <w:right w:w="0" w:type="dxa"/>
        </w:tblCellMar>
        <w:tblLook w:val="01E0"/>
      </w:tblPr>
      <w:tblGrid>
        <w:gridCol w:w="8289"/>
      </w:tblGrid>
      <w:tr>
        <w:trPr>
          <w:trHeight w:val="420" w:hRule="exact"/>
        </w:trPr>
        <w:tc>
          <w:tcPr>
            <w:tcW w:w="82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sz w:val="18"/>
              </w:rPr>
              <w:t>UABELGAMAELEKTRONIKA</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江苏林洋微网科技有限公司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林洋能源科技（上海）有限公司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安徽林洋能效管理有限公司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江苏林洋电力科技有限公司</w:t>
            </w:r>
          </w:p>
        </w:tc>
      </w:tr>
      <w:tr>
        <w:trPr>
          <w:trHeight w:val="422" w:hRule="exact"/>
        </w:trPr>
        <w:tc>
          <w:tcPr>
            <w:tcW w:w="8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p>
        </w:tc>
      </w:tr>
    </w:tbl>
    <w:p>
      <w:pPr>
        <w:spacing w:after="0" w:line="240" w:lineRule="auto"/>
        <w:jc w:val="left"/>
        <w:rPr>
          <w:rFonts w:ascii="宋体" w:hAnsi="宋体" w:cs="宋体" w:eastAsia="宋体" w:hint="default"/>
          <w:sz w:val="18"/>
          <w:szCs w:val="18"/>
        </w:rPr>
        <w:sectPr>
          <w:pgSz w:w="11910" w:h="16840"/>
          <w:pgMar w:header="643" w:footer="974" w:top="1120" w:bottom="1160" w:left="1240" w:right="1300"/>
        </w:sectPr>
      </w:pPr>
    </w:p>
    <w:p>
      <w:pPr>
        <w:spacing w:line="240" w:lineRule="auto" w:before="4"/>
        <w:rPr>
          <w:rFonts w:ascii="Times New Roman" w:hAnsi="Times New Roman" w:cs="Times New Roman" w:eastAsia="Times New Roman" w:hint="default"/>
          <w:sz w:val="27"/>
          <w:szCs w:val="27"/>
        </w:rPr>
      </w:pPr>
    </w:p>
    <w:tbl>
      <w:tblPr>
        <w:tblW w:w="0" w:type="auto"/>
        <w:jc w:val="left"/>
        <w:tblInd w:w="570" w:type="dxa"/>
        <w:tblLayout w:type="fixed"/>
        <w:tblCellMar>
          <w:top w:w="0" w:type="dxa"/>
          <w:left w:w="0" w:type="dxa"/>
          <w:bottom w:w="0" w:type="dxa"/>
          <w:right w:w="0" w:type="dxa"/>
        </w:tblCellMar>
        <w:tblLook w:val="01E0"/>
      </w:tblPr>
      <w:tblGrid>
        <w:gridCol w:w="8289"/>
      </w:tblGrid>
      <w:tr>
        <w:trPr>
          <w:trHeight w:val="420" w:hRule="exact"/>
        </w:trPr>
        <w:tc>
          <w:tcPr>
            <w:tcW w:w="82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宿迁林洋光电有限公司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林洋新能源澳洲有限公司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新加坡林洋能源科技有限公司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江苏华乐光电有限公司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泗洪林洋光伏科技有限公司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江苏林洋光伏运维有限公司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南京华虹新能源科技有限公司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泗洪润晖新能源有限公司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泗洪县华乐新能源科技有限公司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泗洪县永乐新能源科技有限公司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盐城利能新能源有限公司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扬中市阜润电力科技有限公司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扬州林洋零点新能源科技有限公司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邳州市城阳电力科技有限公司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兴化市旭晖电力科技有限公司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四川林洋新能源科技有限公司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泗洪永盛新能源科技有限公司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东海县中盛红利新能源有限公司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灌云华虹农业科技有限公司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灌云林洋新能源科技有限公司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灌云中森太阳能科技有限公司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江苏飞展能源科技有限公司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连云港易睐珂新能源有限公司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连云港林洋新能源有限公司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连云港首耀新能源科技有限公司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海门市林洋新能源电力有限公司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南通华陆新能源科技有限公司</w:t>
            </w:r>
          </w:p>
        </w:tc>
      </w:tr>
      <w:tr>
        <w:trPr>
          <w:trHeight w:val="420" w:hRule="exact"/>
        </w:trPr>
        <w:tc>
          <w:tcPr>
            <w:tcW w:w="8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南通林森新能源科技有限公司</w:t>
            </w:r>
          </w:p>
        </w:tc>
      </w:tr>
    </w:tbl>
    <w:p>
      <w:pPr>
        <w:spacing w:after="0" w:line="240" w:lineRule="auto"/>
        <w:jc w:val="left"/>
        <w:rPr>
          <w:rFonts w:ascii="宋体" w:hAnsi="宋体" w:cs="宋体" w:eastAsia="宋体" w:hint="default"/>
          <w:sz w:val="18"/>
          <w:szCs w:val="18"/>
        </w:rPr>
        <w:sectPr>
          <w:pgSz w:w="11910" w:h="16840"/>
          <w:pgMar w:header="643" w:footer="974" w:top="1120" w:bottom="1160" w:left="1240" w:right="1300"/>
        </w:sectPr>
      </w:pPr>
    </w:p>
    <w:p>
      <w:pPr>
        <w:spacing w:line="240" w:lineRule="auto" w:before="4"/>
        <w:rPr>
          <w:rFonts w:ascii="Times New Roman" w:hAnsi="Times New Roman" w:cs="Times New Roman" w:eastAsia="Times New Roman" w:hint="default"/>
          <w:sz w:val="27"/>
          <w:szCs w:val="27"/>
        </w:rPr>
      </w:pPr>
    </w:p>
    <w:tbl>
      <w:tblPr>
        <w:tblW w:w="0" w:type="auto"/>
        <w:jc w:val="left"/>
        <w:tblInd w:w="570" w:type="dxa"/>
        <w:tblLayout w:type="fixed"/>
        <w:tblCellMar>
          <w:top w:w="0" w:type="dxa"/>
          <w:left w:w="0" w:type="dxa"/>
          <w:bottom w:w="0" w:type="dxa"/>
          <w:right w:w="0" w:type="dxa"/>
        </w:tblCellMar>
        <w:tblLook w:val="01E0"/>
      </w:tblPr>
      <w:tblGrid>
        <w:gridCol w:w="8289"/>
      </w:tblGrid>
      <w:tr>
        <w:trPr>
          <w:trHeight w:val="420" w:hRule="exact"/>
        </w:trPr>
        <w:tc>
          <w:tcPr>
            <w:tcW w:w="82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江苏永林新能源科技有限公司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南通市华乐新能源电力有限公司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启东市华虹新能源电力有限公司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启东市华乐新能源电力有限公司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如皋市林洋新能源电力有限公司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启东市永乐新能源电力有限公司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沈阳林洋新能源科技有限公司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沈阳林博新能源科技有限公司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铁岭林华新能源科技有限公司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铁岭林乾新能源科技有限公司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辽宁林洋新能源科技有限公司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铁岭林燕新能源科技有限公司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安徽林洋新能源科技有限公司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亳州市谯城区华金新能源科技有限公司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亳州市谯城区华太新能源科技有限公司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亳州市谯城区华阳新能源科技有限公司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肥东县永耀新能源科技有限公司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肥西绿辉光伏科技工程有限公司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阜阳华明农业太阳能发电有限公司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阜阳金明农业太阳能发电有限公司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阜阳林洋新能源科技有限公司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临泉永明太阳能发电有限公司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阜阳永明农业太阳能发电有限公司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阜阳永强农业科技有限公司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合肥福润能源科技有限公司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合肥恒科光伏科技有限公司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合肥慧天云网新能源有限公司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合肥吉田新能源有限公司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界首市金明农业发展有限公司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界首市永明光伏科技有限公司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濉溪县永瑞现代农业科技有限公司</w:t>
            </w:r>
          </w:p>
        </w:tc>
      </w:tr>
      <w:tr>
        <w:trPr>
          <w:trHeight w:val="420" w:hRule="exact"/>
        </w:trPr>
        <w:tc>
          <w:tcPr>
            <w:tcW w:w="8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濉溪永晖新能源科技有限公司</w:t>
            </w:r>
          </w:p>
        </w:tc>
      </w:tr>
    </w:tbl>
    <w:p>
      <w:pPr>
        <w:spacing w:after="0" w:line="240" w:lineRule="auto"/>
        <w:jc w:val="left"/>
        <w:rPr>
          <w:rFonts w:ascii="宋体" w:hAnsi="宋体" w:cs="宋体" w:eastAsia="宋体" w:hint="default"/>
          <w:sz w:val="18"/>
          <w:szCs w:val="18"/>
        </w:rPr>
        <w:sectPr>
          <w:pgSz w:w="11910" w:h="16840"/>
          <w:pgMar w:header="643" w:footer="974" w:top="1120" w:bottom="1160" w:left="1240" w:right="1300"/>
        </w:sectPr>
      </w:pPr>
    </w:p>
    <w:p>
      <w:pPr>
        <w:spacing w:line="240" w:lineRule="auto" w:before="4"/>
        <w:rPr>
          <w:rFonts w:ascii="Times New Roman" w:hAnsi="Times New Roman" w:cs="Times New Roman" w:eastAsia="Times New Roman" w:hint="default"/>
          <w:sz w:val="27"/>
          <w:szCs w:val="27"/>
        </w:rPr>
      </w:pPr>
    </w:p>
    <w:tbl>
      <w:tblPr>
        <w:tblW w:w="0" w:type="auto"/>
        <w:jc w:val="left"/>
        <w:tblInd w:w="570" w:type="dxa"/>
        <w:tblLayout w:type="fixed"/>
        <w:tblCellMar>
          <w:top w:w="0" w:type="dxa"/>
          <w:left w:w="0" w:type="dxa"/>
          <w:bottom w:w="0" w:type="dxa"/>
          <w:right w:w="0" w:type="dxa"/>
        </w:tblCellMar>
        <w:tblLook w:val="01E0"/>
      </w:tblPr>
      <w:tblGrid>
        <w:gridCol w:w="8289"/>
      </w:tblGrid>
      <w:tr>
        <w:trPr>
          <w:trHeight w:val="420" w:hRule="exact"/>
        </w:trPr>
        <w:tc>
          <w:tcPr>
            <w:tcW w:w="82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太和县金明农业科技有限公司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太和县天明农业太阳能发电有限公司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萧县华丰现代农业有限公司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萧县华耀农业太阳能发电有限公司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宿州金耀新能源科技有限公司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颖上华盛农业太阳能发电有限公司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颖上华新新能源科技有限公司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颖上永阳新能源科技有限公司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宿州金阳新能源科技有限公司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灵璧华浍新能源科技有限公司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灵璧灵阳新能源科技有限公司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灵璧县明升新能源科技有限公司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河南林洋新能源科技有限公司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商丘林洋光伏科技有限公司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永城永阳农业科技有限公司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安丘晨晖光电科技有限公司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安丘汇创新能源科技有限公司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安丘永旭光电科技有限公司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德州市华耀光电科技有限公司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德州永创新能源有限公司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东营三力光伏发电有限公司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东营市津禾光伏有限公司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东营华创新能源有限公司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东营永洋光伏发电有限公司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冠县华博农业科技有限公司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惠民县永正农业科技有限公司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潍坊滨海融光新能源发展有限公司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潍坊创能新能源发展有限公司</w:t>
            </w:r>
          </w:p>
        </w:tc>
      </w:tr>
      <w:tr>
        <w:trPr>
          <w:trHeight w:val="420" w:hRule="exact"/>
        </w:trPr>
        <w:tc>
          <w:tcPr>
            <w:tcW w:w="8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潍坊祥光新能源发展有限公司</w:t>
            </w:r>
          </w:p>
        </w:tc>
      </w:tr>
    </w:tbl>
    <w:p>
      <w:pPr>
        <w:spacing w:after="0" w:line="240" w:lineRule="auto"/>
        <w:jc w:val="left"/>
        <w:rPr>
          <w:rFonts w:ascii="宋体" w:hAnsi="宋体" w:cs="宋体" w:eastAsia="宋体" w:hint="default"/>
          <w:sz w:val="18"/>
          <w:szCs w:val="18"/>
        </w:rPr>
        <w:sectPr>
          <w:pgSz w:w="11910" w:h="16840"/>
          <w:pgMar w:header="643" w:footer="974" w:top="1120" w:bottom="1160" w:left="1240" w:right="1300"/>
        </w:sectPr>
      </w:pPr>
    </w:p>
    <w:p>
      <w:pPr>
        <w:spacing w:line="240" w:lineRule="auto" w:before="4"/>
        <w:rPr>
          <w:rFonts w:ascii="Times New Roman" w:hAnsi="Times New Roman" w:cs="Times New Roman" w:eastAsia="Times New Roman" w:hint="default"/>
          <w:sz w:val="27"/>
          <w:szCs w:val="27"/>
        </w:rPr>
      </w:pPr>
    </w:p>
    <w:tbl>
      <w:tblPr>
        <w:tblW w:w="0" w:type="auto"/>
        <w:jc w:val="left"/>
        <w:tblInd w:w="570" w:type="dxa"/>
        <w:tblLayout w:type="fixed"/>
        <w:tblCellMar>
          <w:top w:w="0" w:type="dxa"/>
          <w:left w:w="0" w:type="dxa"/>
          <w:bottom w:w="0" w:type="dxa"/>
          <w:right w:w="0" w:type="dxa"/>
        </w:tblCellMar>
        <w:tblLook w:val="01E0"/>
      </w:tblPr>
      <w:tblGrid>
        <w:gridCol w:w="8289"/>
      </w:tblGrid>
      <w:tr>
        <w:trPr>
          <w:trHeight w:val="420" w:hRule="exact"/>
        </w:trPr>
        <w:tc>
          <w:tcPr>
            <w:tcW w:w="82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夏津力诺太阳能电力科技有限公司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淄博青意光伏发电有限公司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淄博开耀光伏电力有限公司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微山永旭新能源有限公司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河北林洋微网新能源科技有限公司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围场满族蒙古族自治县风阳光伏发电有限公司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长丰吉润新能源科技有限公司</w:t>
            </w:r>
          </w:p>
        </w:tc>
      </w:tr>
      <w:tr>
        <w:trPr>
          <w:trHeight w:val="411"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合肥盛康电力有限责任公司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合肥华洋新能源科技有限公司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邳州市大诚电力科技有限公司</w:t>
            </w:r>
          </w:p>
        </w:tc>
      </w:tr>
      <w:tr>
        <w:trPr>
          <w:trHeight w:val="408"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启东市永威新能源电力有限公司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肥东金润新能源有限公司</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sz w:val="18"/>
              </w:rPr>
              <w:t>LINYANGSMARTENERGYAFRICA(PTY)LTD</w:t>
            </w:r>
          </w:p>
        </w:tc>
      </w:tr>
      <w:tr>
        <w:trPr>
          <w:trHeight w:val="410" w:hRule="exact"/>
        </w:trPr>
        <w:tc>
          <w:tcPr>
            <w:tcW w:w="8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北京林洋新能源科技有限公司</w:t>
            </w:r>
          </w:p>
        </w:tc>
      </w:tr>
      <w:tr>
        <w:trPr>
          <w:trHeight w:val="420" w:hRule="exact"/>
        </w:trPr>
        <w:tc>
          <w:tcPr>
            <w:tcW w:w="8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南通市永乐新能源电力有限公司</w:t>
            </w:r>
          </w:p>
        </w:tc>
      </w:tr>
    </w:tbl>
    <w:p>
      <w:pPr>
        <w:pStyle w:val="BodyText"/>
        <w:spacing w:line="273" w:lineRule="auto"/>
        <w:ind w:left="178" w:right="347" w:firstLine="420"/>
        <w:jc w:val="both"/>
      </w:pPr>
      <w:r>
        <w:rPr>
          <w:spacing w:val="-2"/>
        </w:rPr>
        <w:t>本期合并财务报表范围及其变化情况详见本附注“六、合并范围的变更”和“七、在其他主体</w:t>
      </w:r>
      <w:r>
        <w:rPr>
          <w:w w:val="100"/>
        </w:rPr>
        <w:t> </w:t>
      </w:r>
      <w:r>
        <w:rPr/>
        <w:t>中的权益”。</w:t>
      </w:r>
    </w:p>
    <w:p>
      <w:pPr>
        <w:spacing w:line="240" w:lineRule="auto" w:before="0"/>
        <w:rPr>
          <w:rFonts w:ascii="宋体" w:hAnsi="宋体" w:cs="宋体" w:eastAsia="宋体" w:hint="default"/>
          <w:sz w:val="29"/>
          <w:szCs w:val="29"/>
        </w:rPr>
      </w:pPr>
    </w:p>
    <w:p>
      <w:pPr>
        <w:pStyle w:val="Heading2"/>
        <w:tabs>
          <w:tab w:pos="603" w:val="left" w:leader="none"/>
        </w:tabs>
        <w:spacing w:line="324" w:lineRule="auto" w:before="0"/>
        <w:ind w:left="178" w:right="7059"/>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43" w:lineRule="auto" w:before="129"/>
        <w:ind w:left="178" w:right="312" w:firstLine="42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w w:val="100"/>
        </w:rPr>
        <w:t> </w:t>
      </w:r>
      <w:r>
        <w:rPr>
          <w:spacing w:val="-2"/>
        </w:rPr>
        <w:t>基本准则》和各项具体会计准则、企业会计准则应用指南、企业会计准则解释及其他相关规定（以</w:t>
      </w:r>
      <w:r>
        <w:rPr>
          <w:spacing w:val="-25"/>
        </w:rPr>
        <w:t> </w:t>
      </w:r>
      <w:r>
        <w:rPr>
          <w:spacing w:val="-25"/>
        </w:rPr>
      </w:r>
      <w:r>
        <w:rPr>
          <w:spacing w:val="-6"/>
          <w:w w:val="100"/>
        </w:rPr>
        <w:t>下合称“企业会计准则”），以及中国证券监督管理委员会《公开发行证券的公司信息披露编报规则</w:t>
      </w:r>
      <w:r>
        <w:rPr>
          <w:spacing w:val="-75"/>
          <w:w w:val="100"/>
        </w:rPr>
        <w:t> </w:t>
      </w:r>
      <w:r>
        <w:rPr>
          <w:spacing w:val="-75"/>
          <w:w w:val="100"/>
        </w:rPr>
      </w:r>
      <w:r>
        <w:rPr/>
        <w:t>第</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2"/>
        <w:rPr>
          <w:rFonts w:ascii="宋体" w:hAnsi="宋体" w:cs="宋体" w:eastAsia="宋体" w:hint="default"/>
          <w:sz w:val="21"/>
          <w:szCs w:val="21"/>
        </w:rPr>
      </w:pPr>
    </w:p>
    <w:p>
      <w:pPr>
        <w:pStyle w:val="Heading2"/>
        <w:tabs>
          <w:tab w:pos="603" w:val="left" w:leader="none"/>
        </w:tabs>
        <w:spacing w:line="240" w:lineRule="auto" w:before="0"/>
        <w:ind w:left="178" w:right="7059"/>
        <w:jc w:val="left"/>
        <w:rPr>
          <w:b w:val="0"/>
          <w:bCs w:val="0"/>
        </w:rPr>
      </w:pPr>
      <w:r>
        <w:rPr>
          <w:rFonts w:ascii="宋体" w:hAnsi="宋体" w:cs="宋体" w:eastAsia="宋体" w:hint="default"/>
          <w:w w:val="95"/>
        </w:rPr>
        <w:t>2.</w:t>
        <w:tab/>
      </w:r>
      <w:r>
        <w:rPr/>
        <w:t>持续经营</w:t>
      </w:r>
      <w:r>
        <w:rPr>
          <w:b w:val="0"/>
          <w:bCs w:val="0"/>
        </w:rPr>
      </w:r>
    </w:p>
    <w:p>
      <w:pPr>
        <w:pStyle w:val="BodyText"/>
        <w:spacing w:line="348" w:lineRule="auto" w:before="97"/>
        <w:ind w:left="598" w:right="0" w:hanging="420"/>
        <w:jc w:val="left"/>
      </w:pPr>
      <w:r>
        <w:rPr/>
        <w:t>√适用</w:t>
      </w:r>
      <w:r>
        <w:rPr>
          <w:spacing w:val="-2"/>
        </w:rPr>
        <w:t> </w:t>
      </w:r>
      <w:r>
        <w:rPr/>
        <w:t>□不适用</w:t>
      </w:r>
      <w:r>
        <w:rPr>
          <w:spacing w:val="-103"/>
        </w:rPr>
        <w:t> </w:t>
      </w:r>
      <w:r>
        <w:rPr>
          <w:spacing w:val="-103"/>
        </w:rPr>
      </w:r>
      <w:r>
        <w:rPr>
          <w:spacing w:val="-1"/>
        </w:rPr>
        <w:t>公司不存在可能导致对公司自报告期末起</w:t>
      </w:r>
      <w:r>
        <w:rPr>
          <w:rFonts w:ascii="宋体" w:hAnsi="宋体" w:cs="宋体" w:eastAsia="宋体" w:hint="default"/>
          <w:spacing w:val="-1"/>
        </w:rPr>
        <w:t>12</w:t>
      </w:r>
      <w:r>
        <w:rPr>
          <w:spacing w:val="-1"/>
        </w:rPr>
        <w:t>个月内的持续经营能力产生重大疑虑的事项或情况。</w:t>
      </w:r>
    </w:p>
    <w:p>
      <w:pPr>
        <w:spacing w:line="240" w:lineRule="auto" w:before="1"/>
        <w:rPr>
          <w:rFonts w:ascii="宋体" w:hAnsi="宋体" w:cs="宋体" w:eastAsia="宋体" w:hint="default"/>
          <w:sz w:val="24"/>
          <w:szCs w:val="24"/>
        </w:rPr>
      </w:pPr>
    </w:p>
    <w:p>
      <w:pPr>
        <w:spacing w:line="324" w:lineRule="auto" w:before="0"/>
        <w:ind w:left="178" w:right="375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9" w:lineRule="exact"/>
        <w:ind w:left="178" w:right="7059"/>
        <w:jc w:val="left"/>
      </w:pPr>
      <w:r>
        <w:rPr/>
        <w:t>√适用 □不适用</w:t>
      </w:r>
    </w:p>
    <w:p>
      <w:pPr>
        <w:pStyle w:val="BodyText"/>
        <w:spacing w:line="240" w:lineRule="auto" w:before="37"/>
        <w:ind w:left="178" w:right="0"/>
        <w:jc w:val="left"/>
      </w:pPr>
      <w:r>
        <w:rPr/>
        <w:t>以下披露内容已涵盖了本公司根据实际生产经营特点制定的具体会计政策和会计估计。</w:t>
      </w:r>
    </w:p>
    <w:p>
      <w:pPr>
        <w:spacing w:after="0" w:line="240" w:lineRule="auto"/>
        <w:jc w:val="left"/>
        <w:sectPr>
          <w:pgSz w:w="11910" w:h="16840"/>
          <w:pgMar w:header="643" w:footer="974" w:top="1120" w:bottom="1160" w:left="1240" w:right="1100"/>
        </w:sectPr>
      </w:pPr>
    </w:p>
    <w:p>
      <w:pPr>
        <w:spacing w:line="240" w:lineRule="auto" w:before="4"/>
        <w:rPr>
          <w:rFonts w:ascii="宋体" w:hAnsi="宋体" w:cs="宋体" w:eastAsia="宋体" w:hint="default"/>
          <w:sz w:val="20"/>
          <w:szCs w:val="20"/>
        </w:rPr>
      </w:pPr>
    </w:p>
    <w:p>
      <w:pPr>
        <w:tabs>
          <w:tab w:pos="603" w:val="left" w:leader="none"/>
        </w:tabs>
        <w:spacing w:line="417" w:lineRule="auto" w:before="36"/>
        <w:ind w:left="598" w:right="109"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公司所编制的财务报表符合企业会计准则的要求，真实、完整地反映了报告期公司的财务状况、</w:t>
      </w:r>
    </w:p>
    <w:p>
      <w:pPr>
        <w:pStyle w:val="BodyText"/>
        <w:spacing w:line="245" w:lineRule="exact"/>
        <w:ind w:left="178" w:right="1815"/>
        <w:jc w:val="left"/>
      </w:pPr>
      <w:r>
        <w:rPr/>
        <w:t>经营成果、现金流量等有关信息。</w:t>
      </w:r>
    </w:p>
    <w:p>
      <w:pPr>
        <w:spacing w:line="240" w:lineRule="auto" w:before="11"/>
        <w:rPr>
          <w:rFonts w:ascii="宋体" w:hAnsi="宋体" w:cs="宋体" w:eastAsia="宋体" w:hint="default"/>
          <w:sz w:val="29"/>
          <w:szCs w:val="29"/>
        </w:rPr>
      </w:pPr>
    </w:p>
    <w:p>
      <w:pPr>
        <w:pStyle w:val="Heading2"/>
        <w:tabs>
          <w:tab w:pos="603" w:val="left" w:leader="none"/>
        </w:tabs>
        <w:spacing w:line="240" w:lineRule="auto" w:before="0"/>
        <w:ind w:left="178" w:right="181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left="178" w:right="1815"/>
        <w:jc w:val="left"/>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pStyle w:val="Heading2"/>
        <w:tabs>
          <w:tab w:pos="603" w:val="left" w:leader="none"/>
        </w:tabs>
        <w:spacing w:line="240" w:lineRule="auto" w:before="147"/>
        <w:ind w:left="178" w:right="1815"/>
        <w:jc w:val="left"/>
        <w:rPr>
          <w:b w:val="0"/>
          <w:bCs w:val="0"/>
        </w:rPr>
      </w:pPr>
      <w:r>
        <w:rPr>
          <w:rFonts w:ascii="宋体" w:hAnsi="宋体" w:cs="宋体" w:eastAsia="宋体" w:hint="default"/>
          <w:w w:val="95"/>
        </w:rPr>
        <w:t>3.</w:t>
        <w:tab/>
      </w:r>
      <w:r>
        <w:rPr/>
        <w:t>营业周期</w:t>
      </w:r>
      <w:r>
        <w:rPr>
          <w:b w:val="0"/>
          <w:bCs w:val="0"/>
        </w:rPr>
      </w:r>
    </w:p>
    <w:p>
      <w:pPr>
        <w:pStyle w:val="BodyText"/>
        <w:spacing w:line="364" w:lineRule="auto" w:before="97"/>
        <w:ind w:left="178" w:right="6550"/>
        <w:jc w:val="left"/>
      </w:pPr>
      <w:r>
        <w:rPr/>
        <w:t>√适用</w:t>
      </w:r>
      <w:r>
        <w:rPr>
          <w:spacing w:val="-2"/>
        </w:rPr>
        <w:t> </w:t>
      </w:r>
      <w:r>
        <w:rPr/>
        <w:t>□不适用</w:t>
      </w:r>
      <w:r>
        <w:rPr>
          <w:spacing w:val="-103"/>
        </w:rPr>
        <w:t> </w:t>
      </w:r>
      <w:r>
        <w:rPr>
          <w:spacing w:val="-103"/>
        </w:rPr>
      </w:r>
      <w:r>
        <w:rPr/>
        <w:t>本公司营业周期为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line="240" w:lineRule="auto" w:before="7"/>
        <w:rPr>
          <w:rFonts w:ascii="宋体" w:hAnsi="宋体" w:cs="宋体" w:eastAsia="宋体" w:hint="default"/>
          <w:sz w:val="19"/>
          <w:szCs w:val="19"/>
        </w:rPr>
      </w:pPr>
    </w:p>
    <w:p>
      <w:pPr>
        <w:tabs>
          <w:tab w:pos="603" w:val="left" w:leader="none"/>
        </w:tabs>
        <w:spacing w:line="324" w:lineRule="auto" w:before="0"/>
        <w:ind w:left="178" w:right="62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9"/>
        <w:rPr>
          <w:rFonts w:ascii="宋体" w:hAnsi="宋体" w:cs="宋体" w:eastAsia="宋体" w:hint="default"/>
          <w:sz w:val="25"/>
          <w:szCs w:val="25"/>
        </w:rPr>
      </w:pPr>
    </w:p>
    <w:p>
      <w:pPr>
        <w:pStyle w:val="Heading2"/>
        <w:tabs>
          <w:tab w:pos="603" w:val="left" w:leader="none"/>
        </w:tabs>
        <w:spacing w:line="240" w:lineRule="auto" w:before="0"/>
        <w:ind w:left="178" w:right="181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364" w:lineRule="auto" w:before="97"/>
        <w:ind w:left="598" w:right="0" w:hanging="420"/>
        <w:jc w:val="left"/>
      </w:pPr>
      <w:r>
        <w:rPr/>
        <w:t>√适用</w:t>
      </w:r>
      <w:r>
        <w:rPr>
          <w:spacing w:val="-2"/>
        </w:rPr>
        <w:t> </w:t>
      </w:r>
      <w:r>
        <w:rPr/>
        <w:t>□不适用</w:t>
      </w:r>
      <w:r>
        <w:rPr>
          <w:spacing w:val="-103"/>
        </w:rPr>
        <w:t> </w:t>
      </w:r>
      <w:r>
        <w:rPr>
          <w:spacing w:val="-103"/>
        </w:rPr>
      </w:r>
      <w:r>
        <w:rPr>
          <w:spacing w:val="-2"/>
        </w:rPr>
        <w:t>同一控制下企业合并：本公司在企业合并中取得的资产和负债，按照合并日被合并方资产、负</w:t>
      </w:r>
    </w:p>
    <w:p>
      <w:pPr>
        <w:pStyle w:val="BodyText"/>
        <w:spacing w:line="348" w:lineRule="auto" w:before="16"/>
        <w:ind w:left="178" w:right="148"/>
        <w:jc w:val="both"/>
      </w:pPr>
      <w:r>
        <w:rPr>
          <w:spacing w:val="-2"/>
        </w:rPr>
        <w:t>债（包括最终控制方收购被合并方而形成的商誉）在最终控制方合并财务报表中的账面价值计量。</w:t>
      </w:r>
      <w:r>
        <w:rPr>
          <w:spacing w:val="-25"/>
        </w:rPr>
        <w:t> </w:t>
      </w:r>
      <w:r>
        <w:rPr>
          <w:spacing w:val="-25"/>
        </w:rPr>
      </w:r>
      <w:r>
        <w:rPr>
          <w:spacing w:val="-2"/>
        </w:rPr>
        <w:t>在合并中取得的净资产账面价值与支付的合并对价账面价值（或发行股份面值总额）的差额，调整</w:t>
      </w:r>
      <w:r>
        <w:rPr>
          <w:spacing w:val="-25"/>
        </w:rPr>
        <w:t> </w:t>
      </w:r>
      <w:r>
        <w:rPr>
          <w:spacing w:val="-25"/>
        </w:rPr>
      </w:r>
      <w:r>
        <w:rPr/>
        <w:t>资本公积中的股本溢价，资本公积中的股本溢价不足冲减的，调整留存收益。</w:t>
      </w:r>
    </w:p>
    <w:p>
      <w:pPr>
        <w:pStyle w:val="BodyText"/>
        <w:spacing w:line="350" w:lineRule="auto" w:before="31"/>
        <w:ind w:left="178" w:right="148" w:firstLine="420"/>
        <w:jc w:val="both"/>
      </w:pPr>
      <w:r>
        <w:rPr>
          <w:spacing w:val="-2"/>
        </w:rPr>
        <w:t>非同一控制下企业合并：本公司在购买日对作为企业合并对价付出的资产、发生或承担的负债</w:t>
      </w:r>
      <w:r>
        <w:rPr>
          <w:w w:val="100"/>
        </w:rPr>
        <w:t> </w:t>
      </w:r>
      <w:r>
        <w:rPr>
          <w:spacing w:val="-2"/>
        </w:rPr>
        <w:t>按照公允价值计量，公允价值与其账面价值的差额，计入当期损益。本公司对合并成本大于合并中</w:t>
      </w:r>
      <w:r>
        <w:rPr>
          <w:spacing w:val="-25"/>
        </w:rPr>
        <w:t> </w:t>
      </w:r>
      <w:r>
        <w:rPr>
          <w:spacing w:val="-25"/>
        </w:rPr>
      </w:r>
      <w:r>
        <w:rPr>
          <w:spacing w:val="-2"/>
        </w:rPr>
        <w:t>取得的被购买方可辨认净资产公允价值份额的差额，确认为商誉；合并成本小于合并中取得的被购</w:t>
      </w:r>
      <w:r>
        <w:rPr>
          <w:spacing w:val="-26"/>
        </w:rPr>
        <w:t> </w:t>
      </w:r>
      <w:r>
        <w:rPr>
          <w:spacing w:val="-26"/>
        </w:rPr>
      </w:r>
      <w:r>
        <w:rPr/>
        <w:t>买方可辨认净资产公允价值份额的差额，经复核后，计入当期损益。</w:t>
      </w:r>
    </w:p>
    <w:p>
      <w:pPr>
        <w:pStyle w:val="BodyText"/>
        <w:spacing w:line="350" w:lineRule="auto" w:before="27"/>
        <w:ind w:left="178" w:right="148" w:firstLine="420"/>
        <w:jc w:val="both"/>
      </w:pPr>
      <w:r>
        <w:rPr>
          <w:spacing w:val="-2"/>
        </w:rPr>
        <w:t>为企业合并发生的审计、法律服务、评估咨询等中介费用以及其他直接相关费用，于发生时计</w:t>
      </w:r>
      <w:r>
        <w:rPr>
          <w:w w:val="100"/>
        </w:rPr>
        <w:t> </w:t>
      </w:r>
      <w:r>
        <w:rPr/>
        <w:t>入当期损益；为企业合并而发行权益性证券的交易费用，冲减权益。</w:t>
      </w:r>
    </w:p>
    <w:p>
      <w:pPr>
        <w:spacing w:line="240" w:lineRule="auto" w:before="9"/>
        <w:rPr>
          <w:rFonts w:ascii="宋体" w:hAnsi="宋体" w:cs="宋体" w:eastAsia="宋体" w:hint="default"/>
          <w:sz w:val="22"/>
          <w:szCs w:val="22"/>
        </w:rPr>
      </w:pPr>
    </w:p>
    <w:p>
      <w:pPr>
        <w:pStyle w:val="Heading2"/>
        <w:tabs>
          <w:tab w:pos="603" w:val="left" w:leader="none"/>
        </w:tabs>
        <w:spacing w:line="240" w:lineRule="auto" w:before="0"/>
        <w:ind w:left="178" w:right="1815"/>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97"/>
        <w:ind w:left="178" w:right="1815"/>
        <w:jc w:val="left"/>
      </w:pPr>
      <w:r>
        <w:rPr/>
        <w:t>√适用 □不适用</w:t>
      </w:r>
    </w:p>
    <w:p>
      <w:pPr>
        <w:pStyle w:val="BodyText"/>
        <w:spacing w:line="328" w:lineRule="auto" w:before="142"/>
        <w:ind w:left="598" w:right="0" w:firstLine="14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85"/>
        </w:rPr>
        <w:t> </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本公司合并财务报表的合并范围以控制为基础确定，所有子公司（包括本公司所控制的被投资</w:t>
      </w:r>
    </w:p>
    <w:p>
      <w:pPr>
        <w:pStyle w:val="BodyText"/>
        <w:spacing w:line="240" w:lineRule="auto" w:before="48"/>
        <w:ind w:left="178" w:right="1815"/>
        <w:jc w:val="left"/>
      </w:pPr>
      <w:r>
        <w:rPr/>
        <w:t>方可分割的部分）均纳入合并财务报表。</w:t>
      </w:r>
    </w:p>
    <w:p>
      <w:pPr>
        <w:pStyle w:val="BodyText"/>
        <w:spacing w:line="328" w:lineRule="auto" w:before="126"/>
        <w:ind w:left="598" w:right="0" w:firstLine="14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85"/>
        </w:rPr>
        <w:t> </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w:t>
      </w:r>
    </w:p>
    <w:p>
      <w:pPr>
        <w:pStyle w:val="BodyText"/>
        <w:spacing w:line="350" w:lineRule="auto" w:before="48"/>
        <w:ind w:left="178" w:right="0"/>
        <w:jc w:val="left"/>
      </w:pPr>
      <w:r>
        <w:rPr>
          <w:spacing w:val="-2"/>
        </w:rPr>
        <w:t>编制合并财务报表，将整个企业集团视为一个会计主体，依据相关企业会计准则的确认、计量和列</w:t>
      </w:r>
      <w:r>
        <w:rPr>
          <w:spacing w:val="-25"/>
        </w:rPr>
        <w:t> </w:t>
      </w:r>
      <w:r>
        <w:rPr>
          <w:spacing w:val="-25"/>
        </w:rPr>
      </w:r>
      <w:r>
        <w:rPr/>
        <w:t>报要求，按照统一的会计政策，反映本企业集团整体财务状况、经营成果和现金流量。</w:t>
      </w:r>
    </w:p>
    <w:p>
      <w:pPr>
        <w:spacing w:after="0" w:line="350" w:lineRule="auto"/>
        <w:jc w:val="left"/>
        <w:sectPr>
          <w:footerReference w:type="default" r:id="rId43"/>
          <w:pgSz w:w="11910" w:h="16840"/>
          <w:pgMar w:footer="974" w:header="643" w:top="1120" w:bottom="1160" w:left="1240" w:right="1300"/>
        </w:sectPr>
      </w:pPr>
    </w:p>
    <w:p>
      <w:pPr>
        <w:spacing w:line="240" w:lineRule="auto" w:before="5"/>
        <w:rPr>
          <w:rFonts w:ascii="宋体" w:hAnsi="宋体" w:cs="宋体" w:eastAsia="宋体" w:hint="default"/>
          <w:sz w:val="28"/>
          <w:szCs w:val="28"/>
        </w:rPr>
      </w:pPr>
    </w:p>
    <w:p>
      <w:pPr>
        <w:pStyle w:val="BodyText"/>
        <w:spacing w:line="348" w:lineRule="auto" w:before="36"/>
        <w:ind w:left="178" w:right="148" w:firstLine="420"/>
        <w:jc w:val="both"/>
      </w:pPr>
      <w:r>
        <w:rPr>
          <w:spacing w:val="-2"/>
        </w:rPr>
        <w:t>所有纳入合并财务报表合并范围的子公司所采用的会计政策、会计期间与本公司一致，如子公</w:t>
      </w:r>
      <w:r>
        <w:rPr>
          <w:w w:val="100"/>
        </w:rPr>
        <w:t> </w:t>
      </w:r>
      <w:r>
        <w:rPr>
          <w:spacing w:val="-2"/>
        </w:rPr>
        <w:t>司采用的会计政策、会计期间与本公司不一致的，在编制合并财务报表时，按本公司的会计政策、</w:t>
      </w:r>
      <w:r>
        <w:rPr>
          <w:spacing w:val="-25"/>
        </w:rPr>
        <w:t> </w:t>
      </w:r>
      <w:r>
        <w:rPr>
          <w:spacing w:val="-25"/>
        </w:rPr>
      </w:r>
      <w:r>
        <w:rPr>
          <w:spacing w:val="-2"/>
        </w:rPr>
        <w:t>会计期间进行必要的调整。对于非同一控制下企业合并取得的子公司，以购买日可辨认净资产公允</w:t>
      </w:r>
      <w:r>
        <w:rPr>
          <w:spacing w:val="-25"/>
        </w:rPr>
        <w:t> </w:t>
      </w:r>
      <w:r>
        <w:rPr>
          <w:spacing w:val="-25"/>
        </w:rPr>
      </w:r>
      <w:r>
        <w:rPr>
          <w:spacing w:val="-2"/>
        </w:rPr>
        <w:t>价值为基础对其财务报表进行调整。对于同一控制下企业合并取得的子公司，以其资产、负债（包</w:t>
      </w:r>
      <w:r>
        <w:rPr>
          <w:spacing w:val="-25"/>
        </w:rPr>
        <w:t> </w:t>
      </w:r>
      <w:r>
        <w:rPr>
          <w:spacing w:val="-25"/>
        </w:rPr>
      </w:r>
      <w:r>
        <w:rPr>
          <w:spacing w:val="-2"/>
        </w:rPr>
        <w:t>括最终控制方收购该子公司而形成的商誉）在最终控制方财务报表中的账面价值为基础对其财务报</w:t>
      </w:r>
      <w:r>
        <w:rPr>
          <w:spacing w:val="-25"/>
        </w:rPr>
        <w:t> </w:t>
      </w:r>
      <w:r>
        <w:rPr>
          <w:spacing w:val="-25"/>
        </w:rPr>
      </w:r>
      <w:r>
        <w:rPr/>
        <w:t>表进行调整。</w:t>
      </w:r>
    </w:p>
    <w:p>
      <w:pPr>
        <w:pStyle w:val="BodyText"/>
        <w:spacing w:line="350" w:lineRule="auto" w:before="31"/>
        <w:ind w:left="178" w:right="148" w:firstLine="420"/>
        <w:jc w:val="both"/>
      </w:pPr>
      <w:r>
        <w:rPr>
          <w:spacing w:val="-2"/>
        </w:rPr>
        <w:t>子公司所有者权益、当期净损益和当期综合收益中属于少数股东的份额分别在合并资产负债表</w:t>
      </w:r>
      <w:r>
        <w:rPr>
          <w:w w:val="100"/>
        </w:rPr>
        <w:t> </w:t>
      </w:r>
      <w:r>
        <w:rPr>
          <w:spacing w:val="-2"/>
        </w:rPr>
        <w:t>中所有者权益项目下、合并利润表中净利润项目下和综合收益总额项目下单独列示。子公司少数股</w:t>
      </w:r>
      <w:r>
        <w:rPr>
          <w:spacing w:val="-25"/>
        </w:rPr>
        <w:t> </w:t>
      </w:r>
      <w:r>
        <w:rPr>
          <w:spacing w:val="-25"/>
        </w:rPr>
      </w:r>
      <w:r>
        <w:rPr>
          <w:spacing w:val="-2"/>
        </w:rPr>
        <w:t>东分担的当期亏损超过了少数股东在该子公司期初所有者权益中所享有份额而形成的余额，冲减少</w:t>
      </w:r>
      <w:r>
        <w:rPr>
          <w:spacing w:val="-25"/>
        </w:rPr>
        <w:t> </w:t>
      </w:r>
      <w:r>
        <w:rPr>
          <w:spacing w:val="-25"/>
        </w:rPr>
      </w:r>
      <w:r>
        <w:rPr/>
        <w:t>数股东权益。</w:t>
      </w:r>
    </w:p>
    <w:p>
      <w:pPr>
        <w:pStyle w:val="BodyText"/>
        <w:spacing w:line="328" w:lineRule="auto" w:before="29"/>
        <w:ind w:left="598" w:right="0"/>
        <w:jc w:val="left"/>
      </w:pPr>
      <w:r>
        <w:rPr/>
        <w:t>（</w:t>
      </w:r>
      <w:r>
        <w:rPr>
          <w:rFonts w:ascii="Times New Roman" w:hAnsi="Times New Roman" w:cs="Times New Roman" w:eastAsia="Times New Roman" w:hint="default"/>
        </w:rPr>
        <w:t>1</w:t>
      </w:r>
      <w:r>
        <w:rPr/>
        <w:t>）增加子公司或业务</w:t>
      </w:r>
      <w:r>
        <w:rPr>
          <w:w w:val="100"/>
        </w:rPr>
        <w:t> </w:t>
      </w:r>
      <w:r>
        <w:rPr>
          <w:spacing w:val="-6"/>
          <w:w w:val="100"/>
        </w:rPr>
        <w:t>在报告期内，若因同一控制下企业合并增加子公司或业务的，则调整合并资产负债表的期初数；</w:t>
      </w:r>
    </w:p>
    <w:p>
      <w:pPr>
        <w:pStyle w:val="BodyText"/>
        <w:spacing w:line="348" w:lineRule="auto" w:before="48"/>
        <w:ind w:left="178" w:right="148"/>
        <w:jc w:val="both"/>
      </w:pPr>
      <w:r>
        <w:rPr>
          <w:spacing w:val="-2"/>
        </w:rPr>
        <w:t>将子公司或业务合并当期期初至报告期末的收入、费用、利润纳入合并利润表；将子公司或业务合</w:t>
      </w:r>
      <w:r>
        <w:rPr>
          <w:spacing w:val="-25"/>
        </w:rPr>
        <w:t> </w:t>
      </w:r>
      <w:r>
        <w:rPr>
          <w:spacing w:val="-25"/>
        </w:rPr>
      </w:r>
      <w:r>
        <w:rPr>
          <w:spacing w:val="-2"/>
        </w:rPr>
        <w:t>并当期期初至报告期末的现金流量纳入合并现金流量表，同时对比较报表的相关项目进行调整，视</w:t>
      </w:r>
      <w:r>
        <w:rPr>
          <w:spacing w:val="-25"/>
        </w:rPr>
        <w:t> </w:t>
      </w:r>
      <w:r>
        <w:rPr>
          <w:spacing w:val="-25"/>
        </w:rPr>
      </w:r>
      <w:r>
        <w:rPr/>
        <w:t>同合并后的报告主体自最终控制方开始控制时点起一直存在。</w:t>
      </w:r>
    </w:p>
    <w:p>
      <w:pPr>
        <w:pStyle w:val="BodyText"/>
        <w:spacing w:line="350" w:lineRule="auto" w:before="31"/>
        <w:ind w:left="178" w:right="148" w:firstLine="420"/>
        <w:jc w:val="both"/>
      </w:pPr>
      <w:r>
        <w:rPr>
          <w:spacing w:val="-2"/>
        </w:rPr>
        <w:t>因追加投资等原因能够对同一控制下的被投资方实施控制的，视同参与合并的各方在最终控制</w:t>
      </w:r>
      <w:r>
        <w:rPr>
          <w:w w:val="100"/>
        </w:rPr>
        <w:t> </w:t>
      </w:r>
      <w:r>
        <w:rPr>
          <w:spacing w:val="-2"/>
        </w:rPr>
        <w:t>方开始控制时即以目前的状态存在进行调整。在取得被合并方控制权之前持有的股权投资，在取得</w:t>
      </w:r>
      <w:r>
        <w:rPr>
          <w:spacing w:val="-25"/>
        </w:rPr>
        <w:t> </w:t>
      </w:r>
      <w:r>
        <w:rPr>
          <w:spacing w:val="-25"/>
        </w:rPr>
      </w:r>
      <w:r>
        <w:rPr>
          <w:spacing w:val="-2"/>
        </w:rPr>
        <w:t>原股权之日与合并方和被合并方同处于同一控制之日孰晚日起至合并日之间已确认有关损益、其他</w:t>
      </w:r>
      <w:r>
        <w:rPr>
          <w:spacing w:val="-25"/>
        </w:rPr>
        <w:t> </w:t>
      </w:r>
      <w:r>
        <w:rPr>
          <w:spacing w:val="-25"/>
        </w:rPr>
      </w:r>
      <w:r>
        <w:rPr/>
        <w:t>综合收益以及其他净资产变动，分别冲减比较报表期间的期初留存收益或当期损益。</w:t>
      </w:r>
    </w:p>
    <w:p>
      <w:pPr>
        <w:pStyle w:val="BodyText"/>
        <w:spacing w:line="348" w:lineRule="auto" w:before="29"/>
        <w:ind w:left="178" w:right="148" w:firstLine="420"/>
        <w:jc w:val="both"/>
      </w:pPr>
      <w:r>
        <w:rPr>
          <w:spacing w:val="-2"/>
        </w:rPr>
        <w:t>在报告期内，若因非同一控制下企业合并增加子公司或业务的，则不调整合并资产负债表期初</w:t>
      </w:r>
      <w:r>
        <w:rPr>
          <w:w w:val="100"/>
        </w:rPr>
        <w:t> </w:t>
      </w:r>
      <w:r>
        <w:rPr>
          <w:spacing w:val="-2"/>
        </w:rPr>
        <w:t>数；将该子公司或业务自购买日至报告期末的收入、费用、利润纳入合并利润表；该子公司或业务</w:t>
      </w:r>
      <w:r>
        <w:rPr>
          <w:spacing w:val="-25"/>
        </w:rPr>
        <w:t> </w:t>
      </w:r>
      <w:r>
        <w:rPr>
          <w:spacing w:val="-25"/>
        </w:rPr>
      </w:r>
      <w:r>
        <w:rPr/>
        <w:t>自购买日至报告期末的现金流量纳入合并现金流量表。</w:t>
      </w:r>
    </w:p>
    <w:p>
      <w:pPr>
        <w:pStyle w:val="BodyText"/>
        <w:spacing w:line="350" w:lineRule="auto" w:before="31"/>
        <w:ind w:left="178" w:right="148" w:firstLine="420"/>
        <w:jc w:val="both"/>
      </w:pPr>
      <w:r>
        <w:rPr>
          <w:spacing w:val="-2"/>
        </w:rPr>
        <w:t>因追加投资等原因能够对非同一控制下的被投资方实施控制的，对于购买日之前持有的被购买</w:t>
      </w:r>
      <w:r>
        <w:rPr>
          <w:w w:val="100"/>
        </w:rPr>
        <w:t> </w:t>
      </w:r>
      <w:r>
        <w:rPr>
          <w:spacing w:val="-2"/>
        </w:rPr>
        <w:t>方的股权，本公司按照该股权在购买日的公允价值进行重新计量，公允价值与其账面价值的差额计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入当期投资收益。购买日之前持有的被购买方的股权涉及权益法核算下的其他综合收益以及除净损</w:t>
      </w:r>
      <w:r>
        <w:rPr>
          <w:spacing w:val="-25"/>
        </w:rPr>
        <w:t> </w:t>
      </w:r>
      <w:r>
        <w:rPr>
          <w:spacing w:val="-25"/>
        </w:rPr>
      </w:r>
      <w:r>
        <w:rPr>
          <w:spacing w:val="-2"/>
        </w:rPr>
        <w:t>益、其他综合收益和利润分配之外的其他所有者权益变动的，与其相关的其他综合收益、其他所有</w:t>
      </w:r>
      <w:r>
        <w:rPr>
          <w:spacing w:val="-25"/>
        </w:rPr>
        <w:t> </w:t>
      </w:r>
      <w:r>
        <w:rPr>
          <w:spacing w:val="-25"/>
        </w:rPr>
      </w:r>
      <w:r>
        <w:rPr>
          <w:spacing w:val="-2"/>
        </w:rPr>
        <w:t>者权益变动转为购买日所属当期投资收益，由于被投资方重新计量设定受益计划净负债或净资产变</w:t>
      </w:r>
      <w:r>
        <w:rPr>
          <w:spacing w:val="-25"/>
        </w:rPr>
        <w:t> </w:t>
      </w:r>
      <w:r>
        <w:rPr>
          <w:spacing w:val="-25"/>
        </w:rPr>
      </w:r>
      <w:r>
        <w:rPr/>
        <w:t>动而产生的其他综合收益除外。</w:t>
      </w:r>
    </w:p>
    <w:p>
      <w:pPr>
        <w:pStyle w:val="BodyText"/>
        <w:spacing w:line="240" w:lineRule="auto" w:before="29"/>
        <w:ind w:left="598" w:right="1815"/>
        <w:jc w:val="left"/>
      </w:pPr>
      <w:r>
        <w:rPr/>
        <w:t>（</w:t>
      </w:r>
      <w:r>
        <w:rPr>
          <w:rFonts w:ascii="Times New Roman" w:hAnsi="Times New Roman" w:cs="Times New Roman" w:eastAsia="Times New Roman" w:hint="default"/>
        </w:rPr>
        <w:t>2</w:t>
      </w:r>
      <w:r>
        <w:rPr/>
        <w:t>）处置子公司或业务</w:t>
      </w:r>
    </w:p>
    <w:p>
      <w:pPr>
        <w:pStyle w:val="BodyText"/>
        <w:spacing w:line="350" w:lineRule="auto" w:before="107"/>
        <w:ind w:left="598" w:right="0"/>
        <w:jc w:val="left"/>
      </w:pPr>
      <w:r>
        <w:rPr/>
        <w:t>①一般处理方法</w:t>
      </w:r>
      <w:r>
        <w:rPr>
          <w:w w:val="100"/>
        </w:rPr>
        <w:t> </w:t>
      </w:r>
      <w:r>
        <w:rPr>
          <w:spacing w:val="-2"/>
        </w:rPr>
        <w:t>在报告期内，本公司处置子公司或业务，则该子公司或业务期初至处置日的收入、费用、利润</w:t>
      </w:r>
    </w:p>
    <w:p>
      <w:pPr>
        <w:pStyle w:val="BodyText"/>
        <w:spacing w:line="348" w:lineRule="auto" w:before="29"/>
        <w:ind w:left="598" w:right="0" w:hanging="420"/>
        <w:jc w:val="left"/>
      </w:pPr>
      <w:r>
        <w:rPr/>
        <w:t>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因处置部分股权投资或其他原因丧失了对被投资方控制权时，对于处置后的剩余股权投资，本</w:t>
      </w:r>
    </w:p>
    <w:p>
      <w:pPr>
        <w:pStyle w:val="BodyText"/>
        <w:spacing w:line="240" w:lineRule="auto" w:before="32"/>
        <w:ind w:left="178" w:right="0"/>
        <w:jc w:val="both"/>
      </w:pPr>
      <w:r>
        <w:rPr/>
        <w:t>公司按照其在丧失控制权日的公允价值进行重新计量。处置股权取得的对价与剩余股权公允价值之</w:t>
      </w:r>
    </w:p>
    <w:p>
      <w:pPr>
        <w:spacing w:after="0" w:line="240" w:lineRule="auto"/>
        <w:jc w:val="both"/>
        <w:sectPr>
          <w:footerReference w:type="default" r:id="rId44"/>
          <w:pgSz w:w="11910" w:h="16840"/>
          <w:pgMar w:footer="974" w:header="643" w:top="1120" w:bottom="1160" w:left="1240" w:right="1300"/>
          <w:pgNumType w:start="101"/>
        </w:sectPr>
      </w:pPr>
    </w:p>
    <w:p>
      <w:pPr>
        <w:spacing w:line="240" w:lineRule="auto" w:before="5"/>
        <w:rPr>
          <w:rFonts w:ascii="宋体" w:hAnsi="宋体" w:cs="宋体" w:eastAsia="宋体" w:hint="default"/>
          <w:sz w:val="28"/>
          <w:szCs w:val="28"/>
        </w:rPr>
      </w:pPr>
    </w:p>
    <w:p>
      <w:pPr>
        <w:pStyle w:val="BodyText"/>
        <w:spacing w:line="350" w:lineRule="auto" w:before="36"/>
        <w:ind w:left="178" w:right="209"/>
        <w:jc w:val="both"/>
      </w:pPr>
      <w:r>
        <w:rPr>
          <w:spacing w:val="-2"/>
        </w:rPr>
        <w:t>和，减去按原持股比例计算应享有原有子公司自购买日或合并日开始持续计算的净资产的份额与商</w:t>
      </w:r>
      <w:r>
        <w:rPr>
          <w:spacing w:val="-25"/>
        </w:rPr>
        <w:t> </w:t>
      </w:r>
      <w:r>
        <w:rPr>
          <w:spacing w:val="-25"/>
        </w:rPr>
      </w:r>
      <w:r>
        <w:rPr>
          <w:spacing w:val="-2"/>
        </w:rPr>
        <w:t>誉之和的差额，计入丧失控制权当期的投资收益。与原有子公司股权投资相关的其他综合收益或除</w:t>
      </w:r>
      <w:r>
        <w:rPr>
          <w:spacing w:val="-25"/>
        </w:rPr>
        <w:t> </w:t>
      </w:r>
      <w:r>
        <w:rPr>
          <w:spacing w:val="-25"/>
        </w:rPr>
      </w:r>
      <w:r>
        <w:rPr>
          <w:spacing w:val="-6"/>
          <w:w w:val="100"/>
        </w:rPr>
        <w:t>净损益、其他综合收益及利润分配之外的其他所有者权益变动，在丧失控制权时转为当期投资收益，</w:t>
      </w:r>
      <w:r>
        <w:rPr>
          <w:spacing w:val="-74"/>
          <w:w w:val="100"/>
        </w:rPr>
        <w:t> </w:t>
      </w:r>
      <w:r>
        <w:rPr>
          <w:spacing w:val="-74"/>
          <w:w w:val="100"/>
        </w:rPr>
      </w:r>
      <w:r>
        <w:rPr/>
        <w:t>由于被投资方重新计量设定受益计划净负债或净资产变动而产生的其他综合收益除外。</w:t>
      </w:r>
    </w:p>
    <w:p>
      <w:pPr>
        <w:pStyle w:val="BodyText"/>
        <w:spacing w:line="348" w:lineRule="auto" w:before="29"/>
        <w:ind w:left="178" w:right="207" w:firstLine="420"/>
        <w:jc w:val="left"/>
      </w:pPr>
      <w:r>
        <w:rPr>
          <w:spacing w:val="-2"/>
        </w:rPr>
        <w:t>因其他投资方对子公司增资而导致本公司持股比例下降从而丧失控制权的，按照上述原则进行</w:t>
      </w:r>
      <w:r>
        <w:rPr>
          <w:w w:val="100"/>
        </w:rPr>
        <w:t> </w:t>
      </w:r>
      <w:r>
        <w:rPr/>
        <w:t>会计处理。</w:t>
      </w:r>
    </w:p>
    <w:p>
      <w:pPr>
        <w:pStyle w:val="BodyText"/>
        <w:spacing w:line="350" w:lineRule="auto" w:before="31"/>
        <w:ind w:left="598" w:right="207"/>
        <w:jc w:val="left"/>
      </w:pPr>
      <w:r>
        <w:rPr/>
        <w:t>②分步处置子公司</w:t>
      </w:r>
      <w:r>
        <w:rPr>
          <w:w w:val="100"/>
        </w:rPr>
        <w:t> </w:t>
      </w:r>
      <w:r>
        <w:rPr>
          <w:spacing w:val="-2"/>
        </w:rPr>
        <w:t>通过多次交易分步处置对子公司股权投资直至丧失控制权的，处置对子公司股权投资的各项交</w:t>
      </w:r>
    </w:p>
    <w:p>
      <w:pPr>
        <w:pStyle w:val="BodyText"/>
        <w:spacing w:line="350" w:lineRule="auto" w:before="27"/>
        <w:ind w:left="178" w:right="248"/>
        <w:jc w:val="both"/>
      </w:pPr>
      <w:r>
        <w:rPr>
          <w:spacing w:val="-2"/>
        </w:rPr>
        <w:t>易的条款、条件以及经济影响符合以下一种或多种情况，通常表明应将多次交易事项作为一揽子交</w:t>
      </w:r>
      <w:r>
        <w:rPr>
          <w:spacing w:val="-25"/>
        </w:rPr>
        <w:t> </w:t>
      </w:r>
      <w:r>
        <w:rPr>
          <w:spacing w:val="-25"/>
        </w:rPr>
      </w:r>
      <w:r>
        <w:rPr/>
        <w:t>易进行会计处理：</w:t>
      </w:r>
    </w:p>
    <w:p>
      <w:pPr>
        <w:pStyle w:val="BodyText"/>
        <w:spacing w:line="348" w:lineRule="auto" w:before="29"/>
        <w:ind w:left="598" w:right="207"/>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w:t>
      </w:r>
    </w:p>
    <w:p>
      <w:pPr>
        <w:pStyle w:val="BodyText"/>
        <w:spacing w:line="348" w:lineRule="auto" w:before="31"/>
        <w:ind w:left="178" w:right="248"/>
        <w:jc w:val="both"/>
      </w:pPr>
      <w:r>
        <w:rPr>
          <w:spacing w:val="-2"/>
        </w:rPr>
        <w:t>一项处置子公司并丧失控制权的交易进行会计处理；但是，在丧失控制权之前每一次处置价款与处</w:t>
      </w:r>
      <w:r>
        <w:rPr>
          <w:spacing w:val="-25"/>
        </w:rPr>
        <w:t> </w:t>
      </w:r>
      <w:r>
        <w:rPr>
          <w:spacing w:val="-25"/>
        </w:rPr>
      </w:r>
      <w:r>
        <w:rPr>
          <w:spacing w:val="-2"/>
        </w:rPr>
        <w:t>置投资对应的享有该子公司净资产份额的差额，在合并财务报表中确认为其他综合收益，在丧失控</w:t>
      </w:r>
      <w:r>
        <w:rPr>
          <w:spacing w:val="-25"/>
        </w:rPr>
        <w:t> </w:t>
      </w:r>
      <w:r>
        <w:rPr>
          <w:spacing w:val="-25"/>
        </w:rPr>
      </w:r>
      <w:r>
        <w:rPr/>
        <w:t>制权时一并转入丧失控制权当期的损益。</w:t>
      </w:r>
    </w:p>
    <w:p>
      <w:pPr>
        <w:pStyle w:val="BodyText"/>
        <w:spacing w:line="348" w:lineRule="auto" w:before="31"/>
        <w:ind w:left="178" w:right="0" w:firstLine="420"/>
        <w:jc w:val="left"/>
      </w:pPr>
      <w:r>
        <w:rPr/>
        <w:t>处置对子公司股权投资直至丧失控制权的各项交易不属于一揽子交易的，在丧失控制权之前，</w:t>
      </w:r>
      <w:r>
        <w:rPr>
          <w:w w:val="100"/>
        </w:rPr>
        <w:t> </w:t>
      </w:r>
      <w:r>
        <w:rPr>
          <w:spacing w:val="-3"/>
        </w:rPr>
        <w:t>按不丧失控制权的情况下部分处置对子公司的股权投资的相关政策进行会计处理；在丧失控制权时，</w:t>
      </w:r>
      <w:r>
        <w:rPr>
          <w:spacing w:val="-45"/>
        </w:rPr>
        <w:t> </w:t>
      </w:r>
      <w:r>
        <w:rPr>
          <w:spacing w:val="-45"/>
        </w:rPr>
      </w:r>
      <w:r>
        <w:rPr/>
        <w:t>按处置子公司一般处理方法进行会计处理。</w:t>
      </w:r>
    </w:p>
    <w:p>
      <w:pPr>
        <w:pStyle w:val="BodyText"/>
        <w:spacing w:line="331" w:lineRule="auto" w:before="31"/>
        <w:ind w:left="598" w:right="207"/>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w:t>
      </w:r>
    </w:p>
    <w:p>
      <w:pPr>
        <w:pStyle w:val="BodyText"/>
        <w:spacing w:line="350" w:lineRule="auto" w:before="43"/>
        <w:ind w:left="178" w:right="248"/>
        <w:jc w:val="both"/>
      </w:pPr>
      <w:r>
        <w:rPr>
          <w:spacing w:val="-2"/>
        </w:rPr>
        <w:t>（或合并日）开始持续计算的净资产份额之间的差额，调整合并资产负债表中的资本公积中的股本</w:t>
      </w:r>
      <w:r>
        <w:rPr>
          <w:spacing w:val="-25"/>
        </w:rPr>
        <w:t> </w:t>
      </w:r>
      <w:r>
        <w:rPr>
          <w:spacing w:val="-25"/>
        </w:rPr>
      </w:r>
      <w:r>
        <w:rPr/>
        <w:t>溢价，资本公积中的股本溢价不足冲减的，调整留存收益。</w:t>
      </w:r>
    </w:p>
    <w:p>
      <w:pPr>
        <w:pStyle w:val="BodyText"/>
        <w:spacing w:line="328" w:lineRule="auto" w:before="30"/>
        <w:ind w:left="598" w:right="207"/>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w:t>
      </w:r>
    </w:p>
    <w:p>
      <w:pPr>
        <w:pStyle w:val="BodyText"/>
        <w:spacing w:line="350" w:lineRule="auto" w:before="48"/>
        <w:ind w:left="178" w:right="248"/>
        <w:jc w:val="both"/>
      </w:pPr>
      <w:r>
        <w:rPr>
          <w:spacing w:val="-2"/>
        </w:rPr>
        <w:t>权投资相对应享有子公司自购买日或合并日开始持续计算的净资产份额之间的差额，调整合并资产</w:t>
      </w:r>
      <w:r>
        <w:rPr>
          <w:spacing w:val="-25"/>
        </w:rPr>
        <w:t> </w:t>
      </w:r>
      <w:r>
        <w:rPr>
          <w:spacing w:val="-25"/>
        </w:rPr>
      </w:r>
      <w:r>
        <w:rPr/>
        <w:t>负债表中的资本公积中的股本溢价，资本公积中的股本溢价不足冲减的，调整留存收益。</w:t>
      </w:r>
    </w:p>
    <w:p>
      <w:pPr>
        <w:spacing w:line="240" w:lineRule="auto" w:before="6"/>
        <w:rPr>
          <w:rFonts w:ascii="宋体" w:hAnsi="宋体" w:cs="宋体" w:eastAsia="宋体" w:hint="default"/>
          <w:sz w:val="22"/>
          <w:szCs w:val="22"/>
        </w:rPr>
      </w:pPr>
    </w:p>
    <w:p>
      <w:pPr>
        <w:pStyle w:val="Heading2"/>
        <w:spacing w:line="240" w:lineRule="auto" w:before="0"/>
        <w:ind w:left="178"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97"/>
        <w:ind w:left="178" w:right="0"/>
        <w:jc w:val="both"/>
      </w:pPr>
      <w:r>
        <w:rPr/>
        <w:t>□适用 √不适用</w:t>
      </w:r>
    </w:p>
    <w:p>
      <w:pPr>
        <w:spacing w:after="0" w:line="240" w:lineRule="auto"/>
        <w:jc w:val="both"/>
        <w:sectPr>
          <w:pgSz w:w="11910" w:h="16840"/>
          <w:pgMar w:header="643" w:footer="974" w:top="1120" w:bottom="1160" w:left="1240" w:right="1200"/>
        </w:sectPr>
      </w:pPr>
    </w:p>
    <w:p>
      <w:pPr>
        <w:spacing w:line="240" w:lineRule="auto" w:before="4"/>
        <w:rPr>
          <w:rFonts w:ascii="宋体" w:hAnsi="宋体" w:cs="宋体" w:eastAsia="宋体" w:hint="default"/>
          <w:sz w:val="20"/>
          <w:szCs w:val="20"/>
        </w:rPr>
      </w:pPr>
    </w:p>
    <w:p>
      <w:pPr>
        <w:tabs>
          <w:tab w:pos="603" w:val="left" w:leader="none"/>
        </w:tabs>
        <w:spacing w:line="324" w:lineRule="auto" w:before="36"/>
        <w:ind w:left="598" w:right="196"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w:t>
      </w:r>
    </w:p>
    <w:p>
      <w:pPr>
        <w:pStyle w:val="BodyText"/>
        <w:spacing w:line="238" w:lineRule="exact"/>
        <w:ind w:left="178" w:right="0"/>
        <w:jc w:val="left"/>
      </w:pPr>
      <w:r>
        <w:rPr/>
        <w:t>备期限短（从购买日起三个月内到期）、流动性强、易于转换为已知现金、价值变动风险很小四个</w:t>
      </w:r>
    </w:p>
    <w:p>
      <w:pPr>
        <w:pStyle w:val="BodyText"/>
        <w:spacing w:line="240" w:lineRule="auto" w:before="37"/>
        <w:ind w:left="178" w:right="1815"/>
        <w:jc w:val="left"/>
      </w:pPr>
      <w:r>
        <w:rPr/>
        <w:t>条件的投资，确定为现金等价物。</w:t>
      </w:r>
    </w:p>
    <w:p>
      <w:pPr>
        <w:spacing w:line="240" w:lineRule="auto" w:before="0"/>
        <w:rPr>
          <w:rFonts w:ascii="宋体" w:hAnsi="宋体" w:cs="宋体" w:eastAsia="宋体" w:hint="default"/>
          <w:sz w:val="20"/>
          <w:szCs w:val="20"/>
        </w:rPr>
      </w:pPr>
    </w:p>
    <w:p>
      <w:pPr>
        <w:pStyle w:val="Heading2"/>
        <w:tabs>
          <w:tab w:pos="603" w:val="left" w:leader="none"/>
        </w:tabs>
        <w:spacing w:line="240" w:lineRule="auto" w:before="147"/>
        <w:ind w:left="178" w:right="1815"/>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97"/>
        <w:ind w:left="178" w:right="1815"/>
        <w:jc w:val="left"/>
      </w:pPr>
      <w:r>
        <w:rPr/>
        <w:t>√适用 □不适用</w:t>
      </w:r>
    </w:p>
    <w:p>
      <w:pPr>
        <w:pStyle w:val="BodyText"/>
        <w:spacing w:line="340" w:lineRule="auto" w:before="142"/>
        <w:ind w:left="598" w:right="145"/>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w:t>
      </w:r>
    </w:p>
    <w:p>
      <w:pPr>
        <w:pStyle w:val="BodyText"/>
        <w:spacing w:line="350" w:lineRule="auto" w:before="37"/>
        <w:ind w:left="178" w:right="0"/>
        <w:jc w:val="left"/>
      </w:pPr>
      <w:r>
        <w:rPr>
          <w:spacing w:val="-2"/>
        </w:rPr>
        <w:t>于与购建符合资本化条件的资产相关的外币专门借款产生的汇兑差额按照借款费用资本化的原则处</w:t>
      </w:r>
      <w:r>
        <w:rPr>
          <w:spacing w:val="-25"/>
        </w:rPr>
        <w:t> </w:t>
      </w:r>
      <w:r>
        <w:rPr>
          <w:spacing w:val="-25"/>
        </w:rPr>
      </w:r>
      <w:r>
        <w:rPr/>
        <w:t>理外，均计入当期损益。</w:t>
      </w:r>
    </w:p>
    <w:p>
      <w:pPr>
        <w:spacing w:line="324" w:lineRule="auto" w:before="27"/>
        <w:ind w:left="59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3"/>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未分</w:t>
      </w:r>
    </w:p>
    <w:p>
      <w:pPr>
        <w:pStyle w:val="BodyText"/>
        <w:spacing w:line="324" w:lineRule="auto" w:before="16"/>
        <w:ind w:left="178" w:right="0"/>
        <w:jc w:val="left"/>
      </w:pPr>
      <w:r>
        <w:rPr>
          <w:spacing w:val="-3"/>
        </w:rPr>
        <w:t>配利润</w:t>
      </w:r>
      <w:r>
        <w:rPr>
          <w:rFonts w:ascii="Times New Roman" w:hAnsi="Times New Roman" w:cs="Times New Roman" w:eastAsia="Times New Roman" w:hint="default"/>
          <w:spacing w:val="-3"/>
        </w:rPr>
        <w:t>”</w:t>
      </w:r>
      <w:r>
        <w:rPr>
          <w:spacing w:val="-3"/>
        </w:rPr>
        <w:t>项目外，其他项目采用发生时的即期汇率折算。利润表中的收入和费用项目，采用与交易发</w:t>
      </w:r>
      <w:r>
        <w:rPr>
          <w:spacing w:val="-36"/>
        </w:rPr>
        <w:t> </w:t>
      </w:r>
      <w:r>
        <w:rPr>
          <w:spacing w:val="-36"/>
        </w:rPr>
      </w:r>
      <w:r>
        <w:rPr/>
        <w:t>生日即期汇率近似的汇率（实际采用合并期间的平均汇率）折算。</w:t>
      </w:r>
    </w:p>
    <w:p>
      <w:pPr>
        <w:pStyle w:val="BodyText"/>
        <w:spacing w:line="219" w:lineRule="exact"/>
        <w:ind w:left="598" w:right="0"/>
        <w:jc w:val="left"/>
      </w:pPr>
      <w:r>
        <w:rPr/>
        <w:t>处置境外经营时，将与该境外经营相关的外币财务报表折算差额，自所有者权益项目转入处置</w:t>
      </w:r>
    </w:p>
    <w:p>
      <w:pPr>
        <w:pStyle w:val="BodyText"/>
        <w:spacing w:line="240" w:lineRule="auto" w:before="37"/>
        <w:ind w:left="178" w:right="1815"/>
        <w:jc w:val="left"/>
      </w:pPr>
      <w:r>
        <w:rPr/>
        <w:t>当期损益。</w:t>
      </w:r>
    </w:p>
    <w:p>
      <w:pPr>
        <w:spacing w:line="240" w:lineRule="auto" w:before="0"/>
        <w:rPr>
          <w:rFonts w:ascii="宋体" w:hAnsi="宋体" w:cs="宋体" w:eastAsia="宋体" w:hint="default"/>
          <w:sz w:val="20"/>
          <w:szCs w:val="20"/>
        </w:rPr>
      </w:pPr>
    </w:p>
    <w:p>
      <w:pPr>
        <w:pStyle w:val="Heading2"/>
        <w:spacing w:line="240" w:lineRule="auto" w:before="148"/>
        <w:ind w:left="178" w:right="1815"/>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auto" w:before="97"/>
        <w:ind w:left="598" w:right="3679" w:hanging="420"/>
        <w:jc w:val="left"/>
      </w:pPr>
      <w:r>
        <w:rPr/>
        <w:t>√适用</w:t>
      </w:r>
      <w:r>
        <w:rPr>
          <w:spacing w:val="-2"/>
        </w:rPr>
        <w:t> </w:t>
      </w:r>
      <w:r>
        <w:rPr/>
        <w:t>□不适用</w:t>
      </w:r>
      <w:r>
        <w:rPr>
          <w:spacing w:val="-103"/>
        </w:rPr>
        <w:t> </w:t>
      </w:r>
      <w:r>
        <w:rPr>
          <w:spacing w:val="-103"/>
        </w:rPr>
      </w:r>
      <w:r>
        <w:rPr>
          <w:spacing w:val="-2"/>
        </w:rPr>
        <w:t>金融工具包括金融资产、金融负债和权益工具。</w:t>
      </w:r>
    </w:p>
    <w:p>
      <w:pPr>
        <w:pStyle w:val="BodyText"/>
        <w:spacing w:line="350" w:lineRule="auto" w:before="113"/>
        <w:ind w:left="598" w:right="0" w:firstLine="2"/>
        <w:jc w:val="left"/>
      </w:pP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金融资产和金融负债于初始确认时分类为：以公允价值计量且其变动计入当期损益的金融资产</w:t>
      </w:r>
    </w:p>
    <w:p>
      <w:pPr>
        <w:pStyle w:val="BodyText"/>
        <w:spacing w:line="348" w:lineRule="auto" w:before="29"/>
        <w:ind w:left="178" w:right="0"/>
        <w:jc w:val="left"/>
      </w:pPr>
      <w:r>
        <w:rPr>
          <w:spacing w:val="-2"/>
        </w:rPr>
        <w:t>或金融负债，包括交易性金融资产或金融负债和直接指定为以公允价值计量且其变动计入当期损益</w:t>
      </w:r>
      <w:r>
        <w:rPr>
          <w:spacing w:val="-25"/>
        </w:rPr>
        <w:t> </w:t>
      </w:r>
      <w:r>
        <w:rPr>
          <w:spacing w:val="-25"/>
        </w:rPr>
      </w:r>
      <w:r>
        <w:rPr/>
        <w:t>的金融资产或金融负债；持有至到期投资；应收款项；可供出售金融资产；其他金融负债等。</w:t>
      </w:r>
    </w:p>
    <w:p>
      <w:pPr>
        <w:pStyle w:val="Heading2"/>
        <w:spacing w:line="240" w:lineRule="auto" w:before="31"/>
        <w:ind w:left="598" w:right="1815"/>
        <w:jc w:val="left"/>
        <w:rPr>
          <w:b w:val="0"/>
          <w:bCs w:val="0"/>
        </w:rPr>
      </w:pPr>
      <w:r>
        <w:rPr>
          <w:rFonts w:ascii="宋体" w:hAnsi="宋体" w:cs="宋体" w:eastAsia="宋体" w:hint="default"/>
        </w:rPr>
        <w:t>2</w:t>
      </w:r>
      <w:r>
        <w:rPr/>
        <w:t>、金融工具的确认依据和计量方法</w:t>
      </w:r>
      <w:r>
        <w:rPr>
          <w:b w:val="0"/>
          <w:bCs w:val="0"/>
        </w:rPr>
      </w:r>
    </w:p>
    <w:p>
      <w:pPr>
        <w:pStyle w:val="BodyText"/>
        <w:spacing w:line="348" w:lineRule="auto" w:before="126"/>
        <w:ind w:left="598" w:right="0"/>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w:t>
      </w:r>
    </w:p>
    <w:p>
      <w:pPr>
        <w:pStyle w:val="BodyText"/>
        <w:spacing w:line="348" w:lineRule="auto" w:before="31"/>
        <w:ind w:left="598" w:right="0" w:hanging="420"/>
        <w:jc w:val="left"/>
      </w:pPr>
      <w:r>
        <w:rPr/>
        <w:t>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6"/>
          <w:w w:val="100"/>
        </w:rPr>
        <w:t>处置时，其公允价值与初始入账金额之间的差额确认为投资收益，同时调整公允价值变动损益。</w:t>
      </w:r>
    </w:p>
    <w:p>
      <w:pPr>
        <w:pStyle w:val="BodyText"/>
        <w:spacing w:line="350" w:lineRule="auto" w:before="31"/>
        <w:ind w:left="598" w:right="0"/>
        <w:jc w:val="left"/>
      </w:pPr>
      <w:r>
        <w:rPr/>
        <w:t>（</w:t>
      </w:r>
      <w:r>
        <w:rPr>
          <w:rFonts w:ascii="宋体" w:hAnsi="宋体" w:cs="宋体" w:eastAsia="宋体" w:hint="default"/>
        </w:rPr>
        <w:t>2</w:t>
      </w:r>
      <w:r>
        <w:rPr/>
        <w:t>）持有至到期投资</w:t>
      </w:r>
      <w:r>
        <w:rPr>
          <w:w w:val="100"/>
        </w:rPr>
        <w:t> </w:t>
      </w:r>
      <w:r>
        <w:rPr>
          <w:spacing w:val="-2"/>
        </w:rPr>
        <w:t>取得时按公允价值（扣除已到付息期但尚未领取的债券利息）和相关交易费用之和作为初始确</w:t>
      </w:r>
    </w:p>
    <w:p>
      <w:pPr>
        <w:pStyle w:val="BodyText"/>
        <w:spacing w:line="240" w:lineRule="auto" w:before="27"/>
        <w:ind w:left="178" w:right="1815"/>
        <w:jc w:val="left"/>
      </w:pPr>
      <w:r>
        <w:rPr/>
        <w:t>认金额。</w:t>
      </w:r>
    </w:p>
    <w:p>
      <w:pPr>
        <w:pStyle w:val="BodyText"/>
        <w:spacing w:line="240" w:lineRule="auto" w:before="126"/>
        <w:ind w:left="598" w:right="0"/>
        <w:jc w:val="left"/>
      </w:pPr>
      <w:r>
        <w:rPr>
          <w:w w:val="100"/>
        </w:rPr>
        <w:t>持有</w:t>
      </w:r>
      <w:r>
        <w:rPr>
          <w:spacing w:val="-3"/>
          <w:w w:val="100"/>
        </w:rPr>
        <w:t>期</w:t>
      </w:r>
      <w:r>
        <w:rPr>
          <w:spacing w:val="-1"/>
          <w:w w:val="100"/>
        </w:rPr>
        <w:t>间</w:t>
      </w:r>
      <w:r>
        <w:rPr>
          <w:spacing w:val="-3"/>
          <w:w w:val="100"/>
        </w:rPr>
        <w:t>按</w:t>
      </w:r>
      <w:r>
        <w:rPr>
          <w:w w:val="100"/>
        </w:rPr>
        <w:t>照</w:t>
      </w:r>
      <w:r>
        <w:rPr>
          <w:spacing w:val="-3"/>
          <w:w w:val="100"/>
        </w:rPr>
        <w:t>摊</w:t>
      </w:r>
      <w:r>
        <w:rPr>
          <w:w w:val="100"/>
        </w:rPr>
        <w:t>余</w:t>
      </w:r>
      <w:r>
        <w:rPr>
          <w:spacing w:val="-3"/>
          <w:w w:val="100"/>
        </w:rPr>
        <w:t>成</w:t>
      </w:r>
      <w:r>
        <w:rPr>
          <w:w w:val="100"/>
        </w:rPr>
        <w:t>本</w:t>
      </w:r>
      <w:r>
        <w:rPr>
          <w:spacing w:val="-3"/>
          <w:w w:val="100"/>
        </w:rPr>
        <w:t>和</w:t>
      </w:r>
      <w:r>
        <w:rPr>
          <w:w w:val="100"/>
        </w:rPr>
        <w:t>实际</w:t>
      </w:r>
      <w:r>
        <w:rPr>
          <w:spacing w:val="-3"/>
          <w:w w:val="100"/>
        </w:rPr>
        <w:t>利</w:t>
      </w:r>
      <w:r>
        <w:rPr>
          <w:w w:val="100"/>
        </w:rPr>
        <w:t>率</w:t>
      </w:r>
      <w:r>
        <w:rPr>
          <w:spacing w:val="-3"/>
          <w:w w:val="100"/>
        </w:rPr>
        <w:t>计</w:t>
      </w:r>
      <w:r>
        <w:rPr>
          <w:w w:val="100"/>
        </w:rPr>
        <w:t>算</w:t>
      </w:r>
      <w:r>
        <w:rPr>
          <w:spacing w:val="-3"/>
          <w:w w:val="100"/>
        </w:rPr>
        <w:t>确</w:t>
      </w:r>
      <w:r>
        <w:rPr>
          <w:w w:val="100"/>
        </w:rPr>
        <w:t>认</w:t>
      </w:r>
      <w:r>
        <w:rPr>
          <w:spacing w:val="-3"/>
          <w:w w:val="100"/>
        </w:rPr>
        <w:t>利</w:t>
      </w:r>
      <w:r>
        <w:rPr>
          <w:w w:val="100"/>
        </w:rPr>
        <w:t>息</w:t>
      </w:r>
      <w:r>
        <w:rPr>
          <w:spacing w:val="-3"/>
          <w:w w:val="100"/>
        </w:rPr>
        <w:t>收</w:t>
      </w:r>
      <w:r>
        <w:rPr>
          <w:w w:val="100"/>
        </w:rPr>
        <w:t>入</w:t>
      </w:r>
      <w:r>
        <w:rPr>
          <w:spacing w:val="-87"/>
          <w:w w:val="100"/>
        </w:rPr>
        <w:t>，</w:t>
      </w:r>
      <w:r>
        <w:rPr>
          <w:w w:val="100"/>
        </w:rPr>
        <w:t>计</w:t>
      </w:r>
      <w:r>
        <w:rPr>
          <w:spacing w:val="-3"/>
          <w:w w:val="100"/>
        </w:rPr>
        <w:t>入</w:t>
      </w:r>
      <w:r>
        <w:rPr>
          <w:w w:val="100"/>
        </w:rPr>
        <w:t>投</w:t>
      </w:r>
      <w:r>
        <w:rPr>
          <w:spacing w:val="-3"/>
          <w:w w:val="100"/>
        </w:rPr>
        <w:t>资</w:t>
      </w:r>
      <w:r>
        <w:rPr>
          <w:w w:val="100"/>
        </w:rPr>
        <w:t>收</w:t>
      </w:r>
      <w:r>
        <w:rPr>
          <w:spacing w:val="-3"/>
          <w:w w:val="100"/>
        </w:rPr>
        <w:t>益</w:t>
      </w:r>
      <w:r>
        <w:rPr>
          <w:spacing w:val="-87"/>
          <w:w w:val="100"/>
        </w:rPr>
        <w:t>。</w:t>
      </w:r>
      <w:r>
        <w:rPr>
          <w:w w:val="100"/>
        </w:rPr>
        <w:t>实</w:t>
      </w:r>
      <w:r>
        <w:rPr>
          <w:spacing w:val="-3"/>
          <w:w w:val="100"/>
        </w:rPr>
        <w:t>际利</w:t>
      </w:r>
      <w:r>
        <w:rPr>
          <w:w w:val="100"/>
        </w:rPr>
        <w:t>率在</w:t>
      </w:r>
      <w:r>
        <w:rPr>
          <w:spacing w:val="-3"/>
          <w:w w:val="100"/>
        </w:rPr>
        <w:t>取</w:t>
      </w:r>
      <w:r>
        <w:rPr>
          <w:w w:val="100"/>
        </w:rPr>
        <w:t>得</w:t>
      </w:r>
      <w:r>
        <w:rPr>
          <w:spacing w:val="-3"/>
          <w:w w:val="100"/>
        </w:rPr>
        <w:t>时</w:t>
      </w:r>
      <w:r>
        <w:rPr>
          <w:w w:val="100"/>
        </w:rPr>
        <w:t>确</w:t>
      </w:r>
      <w:r>
        <w:rPr>
          <w:spacing w:val="-3"/>
          <w:w w:val="100"/>
        </w:rPr>
        <w:t>定</w:t>
      </w:r>
      <w:r>
        <w:rPr>
          <w:w w:val="100"/>
        </w:rPr>
        <w:t>，</w:t>
      </w:r>
    </w:p>
    <w:p>
      <w:pPr>
        <w:spacing w:after="0" w:line="240" w:lineRule="auto"/>
        <w:jc w:val="left"/>
        <w:sectPr>
          <w:pgSz w:w="11910" w:h="16840"/>
          <w:pgMar w:header="643" w:footer="974" w:top="1120" w:bottom="1160" w:left="1240" w:right="1300"/>
        </w:sectPr>
      </w:pPr>
    </w:p>
    <w:p>
      <w:pPr>
        <w:spacing w:line="240" w:lineRule="auto" w:before="5"/>
        <w:rPr>
          <w:rFonts w:ascii="宋体" w:hAnsi="宋体" w:cs="宋体" w:eastAsia="宋体" w:hint="default"/>
          <w:sz w:val="28"/>
          <w:szCs w:val="28"/>
        </w:rPr>
      </w:pPr>
    </w:p>
    <w:p>
      <w:pPr>
        <w:pStyle w:val="BodyText"/>
        <w:spacing w:line="350" w:lineRule="auto" w:before="36"/>
        <w:ind w:left="598" w:right="1815" w:hanging="420"/>
        <w:jc w:val="left"/>
      </w:pPr>
      <w:r>
        <w:rPr/>
        <w:t>在该预期存续期间或适用的更短期间内保持不变。</w:t>
      </w:r>
      <w:r>
        <w:rPr>
          <w:w w:val="100"/>
        </w:rPr>
        <w:t> </w:t>
      </w:r>
      <w:r>
        <w:rPr>
          <w:spacing w:val="-2"/>
        </w:rPr>
        <w:t>处置时，将所取得价款与该投资账面价值之间的差额计入投资收益。</w:t>
      </w:r>
    </w:p>
    <w:p>
      <w:pPr>
        <w:pStyle w:val="BodyText"/>
        <w:spacing w:line="350" w:lineRule="auto" w:before="27"/>
        <w:ind w:left="598" w:right="0"/>
        <w:jc w:val="left"/>
      </w:pPr>
      <w:r>
        <w:rPr/>
        <w:t>（</w:t>
      </w:r>
      <w:r>
        <w:rPr>
          <w:rFonts w:ascii="宋体" w:hAnsi="宋体" w:cs="宋体" w:eastAsia="宋体" w:hint="default"/>
        </w:rPr>
        <w:t>3</w:t>
      </w:r>
      <w:r>
        <w:rPr/>
        <w:t>）应收款项</w:t>
      </w:r>
      <w:r>
        <w:rPr>
          <w:w w:val="100"/>
        </w:rPr>
        <w:t> </w:t>
      </w:r>
      <w:r>
        <w:rPr>
          <w:spacing w:val="-2"/>
        </w:rPr>
        <w:t>公司对外销售商品或提供劳务形成的应收债权，以及公司持有的其他企业的不包括在活跃市场</w:t>
      </w:r>
    </w:p>
    <w:p>
      <w:pPr>
        <w:pStyle w:val="BodyText"/>
        <w:spacing w:line="348" w:lineRule="auto" w:before="29"/>
        <w:ind w:left="178" w:right="0"/>
        <w:jc w:val="left"/>
      </w:pPr>
      <w:r>
        <w:rPr>
          <w:spacing w:val="-2"/>
        </w:rPr>
        <w:t>上有报价的债务工具的债权，包括应收账款、其他应收款等，以向购货方应收的合同或协议价款作</w:t>
      </w:r>
      <w:r>
        <w:rPr>
          <w:spacing w:val="-25"/>
        </w:rPr>
        <w:t> </w:t>
      </w:r>
      <w:r>
        <w:rPr>
          <w:spacing w:val="-25"/>
        </w:rPr>
      </w:r>
      <w:r>
        <w:rPr/>
        <w:t>为初始确认金额；具有融资性质的，按其现值进行初始确认。</w:t>
      </w:r>
    </w:p>
    <w:p>
      <w:pPr>
        <w:pStyle w:val="BodyText"/>
        <w:spacing w:line="240" w:lineRule="auto" w:before="31"/>
        <w:ind w:left="598" w:right="0"/>
        <w:jc w:val="left"/>
      </w:pPr>
      <w:r>
        <w:rPr/>
        <w:t>收回或处置时，将取得的价款与该应收款项账面价值之间的差额计入当期损益。</w:t>
      </w:r>
    </w:p>
    <w:p>
      <w:pPr>
        <w:pStyle w:val="BodyText"/>
        <w:spacing w:line="348" w:lineRule="auto" w:before="126"/>
        <w:ind w:left="598" w:right="0"/>
        <w:jc w:val="left"/>
      </w:pPr>
      <w:r>
        <w:rPr/>
        <w:t>（</w:t>
      </w:r>
      <w:r>
        <w:rPr>
          <w:rFonts w:ascii="宋体" w:hAnsi="宋体" w:cs="宋体" w:eastAsia="宋体" w:hint="default"/>
        </w:rPr>
        <w:t>4</w:t>
      </w:r>
      <w:r>
        <w:rPr/>
        <w:t>）可供出售金融资产</w:t>
      </w:r>
      <w:r>
        <w:rPr>
          <w:w w:val="100"/>
        </w:rPr>
        <w:t> </w:t>
      </w:r>
      <w:r>
        <w:rPr>
          <w:spacing w:val="-2"/>
        </w:rPr>
        <w:t>取得时按公允价值（扣除已宣告但尚未发放的现金股利或已到付息期但尚未领取的债券利息）</w:t>
      </w:r>
    </w:p>
    <w:p>
      <w:pPr>
        <w:pStyle w:val="BodyText"/>
        <w:spacing w:line="350" w:lineRule="auto" w:before="31"/>
        <w:ind w:left="598" w:right="0" w:hanging="420"/>
        <w:jc w:val="left"/>
      </w:pPr>
      <w:r>
        <w:rPr/>
        <w:t>和相关交易费用之和作为初始确认金额。</w:t>
      </w:r>
      <w:r>
        <w:rPr>
          <w:w w:val="100"/>
        </w:rPr>
        <w:t> </w:t>
      </w:r>
      <w:r>
        <w:rPr>
          <w:spacing w:val="-2"/>
        </w:rPr>
        <w:t>持有期间将取得的利息或现金股利确认为投资收益。期末以公允价值计量且将公允价值变动计</w:t>
      </w:r>
    </w:p>
    <w:p>
      <w:pPr>
        <w:pStyle w:val="BodyText"/>
        <w:spacing w:line="350" w:lineRule="auto" w:before="27"/>
        <w:ind w:left="178" w:right="0"/>
        <w:jc w:val="left"/>
      </w:pPr>
      <w:r>
        <w:rPr>
          <w:spacing w:val="-2"/>
        </w:rPr>
        <w:t>入其他综合收益。但是，在活跃市场中没有报价且其公允价值不能可靠计量的权益工具投资，以及</w:t>
      </w:r>
      <w:r>
        <w:rPr>
          <w:spacing w:val="-25"/>
        </w:rPr>
        <w:t> </w:t>
      </w:r>
      <w:r>
        <w:rPr>
          <w:spacing w:val="-25"/>
        </w:rPr>
      </w:r>
      <w:r>
        <w:rPr/>
        <w:t>与该权益工具挂钩并须通过交付该权益工具结算的衍生金融资产，按照成本计量。</w:t>
      </w:r>
    </w:p>
    <w:p>
      <w:pPr>
        <w:pStyle w:val="BodyText"/>
        <w:spacing w:line="348" w:lineRule="auto" w:before="29"/>
        <w:ind w:left="178" w:right="148" w:firstLine="420"/>
        <w:jc w:val="both"/>
      </w:pPr>
      <w:r>
        <w:rPr>
          <w:spacing w:val="-2"/>
        </w:rPr>
        <w:t>处置时，将取得的价款与该金融资产账面价值之间的差额，计入投资损益；同时，将原直接计</w:t>
      </w:r>
      <w:r>
        <w:rPr>
          <w:w w:val="100"/>
        </w:rPr>
        <w:t> </w:t>
      </w:r>
      <w:r>
        <w:rPr/>
        <w:t>入其他综合收益的公允价值变动累计额对应处置部分的金额转出，计入当期损益。</w:t>
      </w:r>
    </w:p>
    <w:p>
      <w:pPr>
        <w:pStyle w:val="BodyText"/>
        <w:spacing w:line="350" w:lineRule="auto" w:before="31"/>
        <w:ind w:left="598" w:right="0"/>
        <w:jc w:val="left"/>
      </w:pPr>
      <w:r>
        <w:rPr/>
        <w:t>（</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r>
        <w:rPr>
          <w:w w:val="100"/>
        </w:rPr>
        <w:t> </w:t>
      </w:r>
      <w:r>
        <w:rPr>
          <w:rFonts w:ascii="宋体" w:hAnsi="宋体" w:cs="宋体" w:eastAsia="宋体"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公司发生金融资产转移时，如已将金融资产所有权上几乎所有的风险和报酬转移给转入方，则</w:t>
      </w:r>
    </w:p>
    <w:p>
      <w:pPr>
        <w:pStyle w:val="BodyText"/>
        <w:spacing w:line="348" w:lineRule="auto" w:before="29"/>
        <w:ind w:left="178" w:right="0"/>
        <w:jc w:val="left"/>
      </w:pPr>
      <w:r>
        <w:rPr>
          <w:spacing w:val="-2"/>
        </w:rPr>
        <w:t>终止确认该金融资产；如保留了金融资产所有权上几乎所有的风险和报酬的，则不终止确认该金融</w:t>
      </w:r>
      <w:r>
        <w:rPr>
          <w:spacing w:val="-25"/>
        </w:rPr>
        <w:t> </w:t>
      </w:r>
      <w:r>
        <w:rPr>
          <w:spacing w:val="-25"/>
        </w:rPr>
      </w:r>
      <w:r>
        <w:rPr/>
        <w:t>资产。</w:t>
      </w:r>
    </w:p>
    <w:p>
      <w:pPr>
        <w:pStyle w:val="BodyText"/>
        <w:spacing w:line="348" w:lineRule="auto" w:before="31"/>
        <w:ind w:left="178" w:right="148" w:firstLine="420"/>
        <w:jc w:val="both"/>
      </w:pPr>
      <w:r>
        <w:rPr>
          <w:spacing w:val="-2"/>
        </w:rPr>
        <w:t>在判断金融资产转移是否满足上述金融资产终止确认条件时，采用实质重于形式的原则。公司</w:t>
      </w:r>
      <w:r>
        <w:rPr>
          <w:w w:val="100"/>
        </w:rPr>
        <w:t> </w:t>
      </w:r>
      <w:r>
        <w:rPr>
          <w:spacing w:val="-2"/>
        </w:rPr>
        <w:t>将金融资产转移区分为金融资产整体转移和部分转移。金融资产整体转移满足终止确认条件的，将</w:t>
      </w:r>
      <w:r>
        <w:rPr>
          <w:spacing w:val="-25"/>
        </w:rPr>
        <w:t> </w:t>
      </w:r>
      <w:r>
        <w:rPr>
          <w:spacing w:val="-25"/>
        </w:rPr>
      </w:r>
      <w:r>
        <w:rPr/>
        <w:t>下列两项金额的差额计入当期损益：</w:t>
      </w:r>
    </w:p>
    <w:p>
      <w:pPr>
        <w:pStyle w:val="BodyText"/>
        <w:spacing w:line="240" w:lineRule="auto" w:before="31"/>
        <w:ind w:left="598" w:right="1815"/>
        <w:jc w:val="left"/>
      </w:pPr>
      <w:r>
        <w:rPr/>
        <w:t>（</w:t>
      </w:r>
      <w:r>
        <w:rPr>
          <w:rFonts w:ascii="宋体" w:hAnsi="宋体" w:cs="宋体" w:eastAsia="宋体" w:hint="default"/>
        </w:rPr>
        <w:t>1</w:t>
      </w:r>
      <w:r>
        <w:rPr/>
        <w:t>）所转移金融资产的账面价值；</w:t>
      </w:r>
    </w:p>
    <w:p>
      <w:pPr>
        <w:pStyle w:val="BodyText"/>
        <w:spacing w:line="348" w:lineRule="auto" w:before="126"/>
        <w:ind w:left="178" w:right="111" w:firstLine="420"/>
        <w:jc w:val="both"/>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）因转移而收到的对价，与原直接计入所有者权益的公允价值变动累计额（涉及转移的金融</w:t>
      </w:r>
      <w:r>
        <w:rPr>
          <w:w w:val="100"/>
        </w:rPr>
        <w:t> </w:t>
      </w:r>
      <w:r>
        <w:rPr/>
        <w:t>资产为可供出售金融资产的情形）之和。</w:t>
      </w:r>
    </w:p>
    <w:p>
      <w:pPr>
        <w:pStyle w:val="BodyText"/>
        <w:spacing w:line="348" w:lineRule="auto" w:before="31"/>
        <w:ind w:left="178" w:right="148" w:firstLine="420"/>
        <w:jc w:val="both"/>
      </w:pPr>
      <w:r>
        <w:rPr>
          <w:spacing w:val="-2"/>
        </w:rPr>
        <w:t>金融资产部分转移满足终止确认条件的，将所转移金融资产整体的账面价值，在终止确认部分</w:t>
      </w:r>
      <w:r>
        <w:rPr>
          <w:w w:val="100"/>
        </w:rPr>
        <w:t> </w:t>
      </w:r>
      <w:r>
        <w:rPr>
          <w:spacing w:val="-2"/>
        </w:rPr>
        <w:t>和未终止确认部分之间，按照各自的相对公允价值进行分摊，并将下列两项金额的差额计入当期损</w:t>
      </w:r>
      <w:r>
        <w:rPr>
          <w:spacing w:val="-25"/>
        </w:rPr>
        <w:t> </w:t>
      </w:r>
      <w:r>
        <w:rPr>
          <w:spacing w:val="-25"/>
        </w:rPr>
      </w:r>
      <w:r>
        <w:rPr/>
        <w:t>益：</w:t>
      </w:r>
    </w:p>
    <w:p>
      <w:pPr>
        <w:pStyle w:val="BodyText"/>
        <w:spacing w:line="240" w:lineRule="auto" w:before="31"/>
        <w:ind w:left="598" w:right="1815"/>
        <w:jc w:val="left"/>
      </w:pPr>
      <w:r>
        <w:rPr/>
        <w:t>（</w:t>
      </w:r>
      <w:r>
        <w:rPr>
          <w:rFonts w:ascii="宋体" w:hAnsi="宋体" w:cs="宋体" w:eastAsia="宋体" w:hint="default"/>
        </w:rPr>
        <w:t>1</w:t>
      </w:r>
      <w:r>
        <w:rPr/>
        <w:t>）终止确认部分的账面价值；</w:t>
      </w:r>
    </w:p>
    <w:p>
      <w:pPr>
        <w:pStyle w:val="BodyText"/>
        <w:spacing w:line="348" w:lineRule="auto" w:before="126"/>
        <w:ind w:left="178" w:right="109" w:firstLine="420"/>
        <w:jc w:val="both"/>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）终止确认部分的对价，与原直接计入所有者权益的公允价值变动累计额中对应终止确认部</w:t>
      </w:r>
      <w:r>
        <w:rPr>
          <w:w w:val="100"/>
        </w:rPr>
        <w:t> </w:t>
      </w:r>
      <w:r>
        <w:rPr/>
        <w:t>分的金额（涉及转移的金融资产为可供出售金融资产的情形）之和。</w:t>
      </w:r>
    </w:p>
    <w:p>
      <w:pPr>
        <w:pStyle w:val="BodyText"/>
        <w:spacing w:line="240" w:lineRule="auto" w:before="32"/>
        <w:ind w:left="598" w:right="0"/>
        <w:jc w:val="left"/>
      </w:pPr>
      <w:r>
        <w:rPr/>
        <w:t>金融资产转移不满足终止确认条件的，继续确认该金融资产，所收到的对价确认为一项金融负</w:t>
      </w:r>
    </w:p>
    <w:p>
      <w:pPr>
        <w:spacing w:after="0" w:line="240" w:lineRule="auto"/>
        <w:jc w:val="left"/>
        <w:sectPr>
          <w:pgSz w:w="11910" w:h="16840"/>
          <w:pgMar w:header="643" w:footer="974" w:top="1120" w:bottom="1160" w:left="1240" w:right="1300"/>
        </w:sectPr>
      </w:pPr>
    </w:p>
    <w:p>
      <w:pPr>
        <w:spacing w:line="240" w:lineRule="auto" w:before="5"/>
        <w:rPr>
          <w:rFonts w:ascii="宋体" w:hAnsi="宋体" w:cs="宋体" w:eastAsia="宋体" w:hint="default"/>
          <w:sz w:val="28"/>
          <w:szCs w:val="28"/>
        </w:rPr>
      </w:pPr>
    </w:p>
    <w:p>
      <w:pPr>
        <w:pStyle w:val="BodyText"/>
        <w:spacing w:line="240" w:lineRule="auto" w:before="36"/>
        <w:ind w:right="0"/>
        <w:jc w:val="both"/>
      </w:pPr>
      <w:r>
        <w:rPr/>
        <w:t>债。</w:t>
      </w:r>
    </w:p>
    <w:p>
      <w:pPr>
        <w:spacing w:line="348" w:lineRule="auto" w:before="126"/>
        <w:ind w:left="638" w:right="104"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w:t>
      </w:r>
    </w:p>
    <w:p>
      <w:pPr>
        <w:pStyle w:val="BodyText"/>
        <w:spacing w:line="350" w:lineRule="auto" w:before="31"/>
        <w:ind w:right="104"/>
        <w:jc w:val="left"/>
      </w:pPr>
      <w:r>
        <w:rPr>
          <w:spacing w:val="-2"/>
        </w:rPr>
        <w:t>债权人签定协议，以承担新金融负债方式替换现存金融负债，且新金融负债与现存金融负债的合同</w:t>
      </w:r>
      <w:r>
        <w:rPr>
          <w:spacing w:val="-25"/>
        </w:rPr>
        <w:t> </w:t>
      </w:r>
      <w:r>
        <w:rPr>
          <w:spacing w:val="-25"/>
        </w:rPr>
      </w:r>
      <w:r>
        <w:rPr/>
        <w:t>条款实质上不同的，则终止确认现存金融负债，并同时确认新金融负债。</w:t>
      </w:r>
    </w:p>
    <w:p>
      <w:pPr>
        <w:pStyle w:val="BodyText"/>
        <w:spacing w:line="350" w:lineRule="auto" w:before="27"/>
        <w:ind w:right="104" w:firstLine="420"/>
        <w:jc w:val="left"/>
      </w:pPr>
      <w:r>
        <w:rPr>
          <w:spacing w:val="-3"/>
        </w:rPr>
        <w:t>对现存金融负债全部或部分合同条款作出实质性修改的，则终止确认现存金融负债或其一部分，</w:t>
      </w:r>
      <w:r>
        <w:rPr>
          <w:w w:val="100"/>
        </w:rPr>
        <w:t> </w:t>
      </w:r>
      <w:r>
        <w:rPr/>
        <w:t>同时将修改条款后的金融负债确认为一项新金融负债。</w:t>
      </w:r>
    </w:p>
    <w:p>
      <w:pPr>
        <w:pStyle w:val="BodyText"/>
        <w:spacing w:line="348" w:lineRule="auto" w:before="29"/>
        <w:ind w:right="248" w:firstLine="420"/>
        <w:jc w:val="both"/>
      </w:pPr>
      <w:r>
        <w:rPr>
          <w:spacing w:val="-2"/>
        </w:rPr>
        <w:t>金融负债全部或部分终止确认时，终止确认的金融负债账面价值与支付对价（包括转出的非现</w:t>
      </w:r>
      <w:r>
        <w:rPr>
          <w:w w:val="100"/>
        </w:rPr>
        <w:t> </w:t>
      </w:r>
      <w:r>
        <w:rPr/>
        <w:t>金资产或承担的新金融负债）之间的差额，计入当期损益。</w:t>
      </w:r>
    </w:p>
    <w:p>
      <w:pPr>
        <w:pStyle w:val="BodyText"/>
        <w:spacing w:line="348" w:lineRule="auto" w:before="31"/>
        <w:ind w:right="248" w:firstLine="420"/>
        <w:jc w:val="both"/>
      </w:pPr>
      <w:r>
        <w:rPr>
          <w:spacing w:val="-2"/>
        </w:rPr>
        <w:t>本公司若回购部分金融负债的，在回购日按照继续确认部分与终止确认部分的相对公允价值，</w:t>
      </w:r>
      <w:r>
        <w:rPr>
          <w:w w:val="100"/>
        </w:rPr>
        <w:t> </w:t>
      </w:r>
      <w:r>
        <w:rPr>
          <w:spacing w:val="-2"/>
        </w:rPr>
        <w:t>将该金融负债整体的账面价值进行分配。分配给终止确认部分的账面价值与支付的对价（包括转出</w:t>
      </w:r>
      <w:r>
        <w:rPr>
          <w:spacing w:val="-25"/>
        </w:rPr>
        <w:t> </w:t>
      </w:r>
      <w:r>
        <w:rPr>
          <w:spacing w:val="-25"/>
        </w:rPr>
      </w:r>
      <w:r>
        <w:rPr/>
        <w:t>的非现金资产或承担的新金融负债）之间的差额，计入当期损益。</w:t>
      </w:r>
    </w:p>
    <w:p>
      <w:pPr>
        <w:spacing w:line="350" w:lineRule="auto" w:before="31"/>
        <w:ind w:left="638" w:right="104"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存在活跃市场的金融工具，以活跃市场中的报价确定其公允价值。不存在活跃市场的金融工具，</w:t>
      </w:r>
    </w:p>
    <w:p>
      <w:pPr>
        <w:pStyle w:val="BodyText"/>
        <w:spacing w:line="350" w:lineRule="auto" w:before="27"/>
        <w:ind w:right="248"/>
        <w:jc w:val="both"/>
      </w:pPr>
      <w:r>
        <w:rPr>
          <w:spacing w:val="-2"/>
        </w:rPr>
        <w:t>采用估值技术确定其公允价值。在估值时，本公司采用在当前情况下适用并且有足够可利用数据和</w:t>
      </w:r>
      <w:r>
        <w:rPr>
          <w:spacing w:val="-25"/>
        </w:rPr>
        <w:t> </w:t>
      </w:r>
      <w:r>
        <w:rPr>
          <w:spacing w:val="-25"/>
        </w:rPr>
      </w:r>
      <w:r>
        <w:rPr>
          <w:spacing w:val="-2"/>
        </w:rPr>
        <w:t>其他信息支持的估值技术，选择与市场参与者在相关资产或负债的交易中所考虑的资产或负债特征</w:t>
      </w:r>
      <w:r>
        <w:rPr>
          <w:spacing w:val="-25"/>
        </w:rPr>
        <w:t> </w:t>
      </w:r>
      <w:r>
        <w:rPr>
          <w:spacing w:val="-25"/>
        </w:rPr>
      </w:r>
      <w:r>
        <w:rPr>
          <w:spacing w:val="-2"/>
        </w:rPr>
        <w:t>相一致的输入值，并优先使用相关可观察输入值。只有在相关可观察输入值无法取得或取得不切实</w:t>
      </w:r>
      <w:r>
        <w:rPr>
          <w:spacing w:val="-25"/>
        </w:rPr>
        <w:t> </w:t>
      </w:r>
      <w:r>
        <w:rPr>
          <w:spacing w:val="-25"/>
        </w:rPr>
      </w:r>
      <w:r>
        <w:rPr/>
        <w:t>可行的情况下，才使用不可观察输入值。</w:t>
      </w:r>
    </w:p>
    <w:p>
      <w:pPr>
        <w:spacing w:line="350" w:lineRule="auto" w:before="29"/>
        <w:ind w:left="638" w:right="104"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w:t>
      </w:r>
    </w:p>
    <w:p>
      <w:pPr>
        <w:pStyle w:val="BodyText"/>
        <w:spacing w:line="240" w:lineRule="auto" w:before="27"/>
        <w:ind w:right="0"/>
        <w:jc w:val="both"/>
      </w:pPr>
      <w:r>
        <w:rPr/>
        <w:t>账面价值进行检查，如果有客观证据表明某项金融资产发生减值的，计提减值准备。</w:t>
      </w:r>
    </w:p>
    <w:p>
      <w:pPr>
        <w:pStyle w:val="BodyText"/>
        <w:spacing w:line="350" w:lineRule="auto" w:before="126"/>
        <w:ind w:left="638" w:right="104"/>
        <w:jc w:val="left"/>
      </w:pPr>
      <w:r>
        <w:rPr/>
        <w:t>（</w:t>
      </w:r>
      <w:r>
        <w:rPr>
          <w:rFonts w:ascii="宋体" w:hAnsi="宋体" w:cs="宋体" w:eastAsia="宋体" w:hint="default"/>
        </w:rPr>
        <w:t>1</w:t>
      </w:r>
      <w:r>
        <w:rPr/>
        <w:t>）可供出售金融资产的减值准备：</w:t>
      </w:r>
      <w:r>
        <w:rPr>
          <w:w w:val="100"/>
        </w:rPr>
        <w:t> </w:t>
      </w:r>
      <w:r>
        <w:rPr>
          <w:spacing w:val="-2"/>
        </w:rPr>
        <w:t>期末如果可供出售金融资产的公允价值发生严重下降，或在综合考虑各种相关因素后，预期这</w:t>
      </w:r>
    </w:p>
    <w:p>
      <w:pPr>
        <w:pStyle w:val="BodyText"/>
        <w:spacing w:line="350" w:lineRule="auto" w:before="27"/>
        <w:ind w:right="104"/>
        <w:jc w:val="left"/>
      </w:pPr>
      <w:r>
        <w:rPr>
          <w:spacing w:val="-2"/>
        </w:rPr>
        <w:t>种下降趋势属于非暂时性的，就认定其已发生减值，将原直接计入所有者权益的公允价值下降形成</w:t>
      </w:r>
      <w:r>
        <w:rPr>
          <w:spacing w:val="-25"/>
        </w:rPr>
        <w:t> </w:t>
      </w:r>
      <w:r>
        <w:rPr>
          <w:spacing w:val="-25"/>
        </w:rPr>
      </w:r>
      <w:r>
        <w:rPr/>
        <w:t>的累计损失一并转出，确认减值损失。</w:t>
      </w:r>
    </w:p>
    <w:p>
      <w:pPr>
        <w:pStyle w:val="BodyText"/>
        <w:spacing w:line="348" w:lineRule="auto" w:before="30"/>
        <w:ind w:right="248" w:firstLine="420"/>
        <w:jc w:val="both"/>
      </w:pPr>
      <w:r>
        <w:rPr>
          <w:spacing w:val="-2"/>
        </w:rPr>
        <w:t>对于已确认减值损失的可供出售债务工具，在随后的会计期间公允价值已上升且客观上与确认</w:t>
      </w:r>
      <w:r>
        <w:rPr>
          <w:w w:val="100"/>
        </w:rPr>
        <w:t> </w:t>
      </w:r>
      <w:r>
        <w:rPr/>
        <w:t>原减值损失确认后发生的事项有关的，原确认的减值损失予以转回，计入当期损益。</w:t>
      </w:r>
    </w:p>
    <w:p>
      <w:pPr>
        <w:pStyle w:val="BodyText"/>
        <w:spacing w:line="240" w:lineRule="auto" w:before="31"/>
        <w:ind w:left="638" w:right="104"/>
        <w:jc w:val="left"/>
      </w:pPr>
      <w:r>
        <w:rPr/>
        <w:t>可供出售权益工具投资发生的减值损失，不通过损益转回。</w:t>
      </w:r>
    </w:p>
    <w:p>
      <w:pPr>
        <w:pStyle w:val="BodyText"/>
        <w:spacing w:line="256" w:lineRule="auto" w:before="126"/>
        <w:ind w:left="638" w:right="104"/>
        <w:jc w:val="left"/>
      </w:pPr>
      <w:r>
        <w:rPr/>
        <w:t>（</w:t>
      </w: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pStyle w:val="Heading2"/>
        <w:spacing w:line="324" w:lineRule="auto" w:before="132"/>
        <w:ind w:right="462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24"/>
        <w:ind w:right="0"/>
        <w:jc w:val="both"/>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582"/>
        <w:gridCol w:w="4467"/>
      </w:tblGrid>
      <w:tr>
        <w:trPr>
          <w:trHeight w:val="32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单项金额占应收款项余额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w:t>
            </w:r>
          </w:p>
        </w:tc>
      </w:tr>
    </w:tbl>
    <w:p>
      <w:pPr>
        <w:spacing w:after="0" w:line="278" w:lineRule="exact"/>
        <w:jc w:val="left"/>
        <w:rPr>
          <w:rFonts w:ascii="宋体" w:hAnsi="宋体" w:cs="宋体" w:eastAsia="宋体" w:hint="default"/>
          <w:sz w:val="21"/>
          <w:szCs w:val="21"/>
        </w:rPr>
        <w:sectPr>
          <w:pgSz w:w="11910" w:h="16840"/>
          <w:pgMar w:header="643" w:footer="974" w:top="1120" w:bottom="1160" w:left="1200" w:right="1200"/>
        </w:sectPr>
      </w:pP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582"/>
        <w:gridCol w:w="4467"/>
      </w:tblGrid>
      <w:tr>
        <w:trPr>
          <w:trHeight w:val="157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7"/>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单独进行减值测试，如有客观证据表明其已发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生减值，按预计未来现金流量现值低于其账面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价值的差额计提坏账准备，计入当期损益。单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独测试未发生减值的应收款项，将其归入相应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组合计提坏账准备。</w:t>
            </w:r>
          </w:p>
        </w:tc>
      </w:tr>
    </w:tbl>
    <w:p>
      <w:pPr>
        <w:spacing w:line="240" w:lineRule="auto" w:before="9"/>
        <w:rPr>
          <w:rFonts w:ascii="宋体" w:hAnsi="宋体" w:cs="宋体" w:eastAsia="宋体" w:hint="default"/>
          <w:sz w:val="24"/>
          <w:szCs w:val="24"/>
        </w:rPr>
      </w:pPr>
    </w:p>
    <w:p>
      <w:pPr>
        <w:pStyle w:val="Heading2"/>
        <w:spacing w:line="240" w:lineRule="auto"/>
        <w:ind w:right="258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97"/>
        <w:ind w:right="258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582"/>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63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7"/>
              <w:jc w:val="left"/>
              <w:rPr>
                <w:rFonts w:ascii="宋体" w:hAnsi="宋体" w:cs="宋体" w:eastAsia="宋体" w:hint="default"/>
                <w:sz w:val="21"/>
                <w:szCs w:val="21"/>
              </w:rPr>
            </w:pPr>
            <w:r>
              <w:rPr>
                <w:rFonts w:ascii="宋体" w:hAnsi="宋体" w:cs="宋体" w:eastAsia="宋体" w:hint="default"/>
                <w:spacing w:val="-2"/>
                <w:sz w:val="21"/>
                <w:szCs w:val="21"/>
              </w:rPr>
              <w:t>账龄分析法：除单独测试并单项计提减值准备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的应收款项以外的应收账款和其他应收款</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光伏发电应收补贴组合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应收光伏发电补贴款不计提坏账准备</w:t>
            </w:r>
          </w:p>
        </w:tc>
      </w:tr>
    </w:tbl>
    <w:p>
      <w:pPr>
        <w:spacing w:line="240" w:lineRule="auto" w:before="2"/>
        <w:rPr>
          <w:rFonts w:ascii="宋体" w:hAnsi="宋体" w:cs="宋体" w:eastAsia="宋体" w:hint="default"/>
          <w:sz w:val="20"/>
          <w:szCs w:val="20"/>
        </w:rPr>
      </w:pPr>
    </w:p>
    <w:p>
      <w:pPr>
        <w:pStyle w:val="BodyText"/>
        <w:spacing w:line="240" w:lineRule="auto" w:before="36"/>
        <w:ind w:right="2585"/>
        <w:jc w:val="left"/>
      </w:pPr>
      <w:r>
        <w:rPr/>
        <w:t>组合中，采用账龄分析法计提坏账准备的</w:t>
      </w:r>
    </w:p>
    <w:p>
      <w:pPr>
        <w:pStyle w:val="BodyText"/>
        <w:spacing w:line="240" w:lineRule="auto" w:before="37"/>
        <w:ind w:right="258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33"/>
        <w:gridCol w:w="3072"/>
        <w:gridCol w:w="3145"/>
      </w:tblGrid>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r>
      <w:tr>
        <w:trPr>
          <w:trHeight w:val="63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9"/>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宋体" w:hAnsi="宋体" w:cs="宋体" w:eastAsia="宋体" w:hint="default"/>
                <w:spacing w:val="-5"/>
                <w:sz w:val="21"/>
                <w:szCs w:val="21"/>
              </w:rPr>
              <w:t>1</w:t>
            </w:r>
            <w:r>
              <w:rPr>
                <w:rFonts w:ascii="宋体" w:hAnsi="宋体" w:cs="宋体" w:eastAsia="宋体" w:hint="default"/>
                <w:spacing w:val="-40"/>
                <w:sz w:val="21"/>
                <w:szCs w:val="21"/>
              </w:rPr>
              <w:t> </w:t>
            </w:r>
            <w:r>
              <w:rPr>
                <w:rFonts w:ascii="宋体" w:hAnsi="宋体" w:cs="宋体" w:eastAsia="宋体" w:hint="default"/>
                <w:spacing w:val="-4"/>
                <w:sz w:val="21"/>
                <w:szCs w:val="21"/>
              </w:rPr>
              <w:t>年以内分项，可添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z w:val="21"/>
              </w:rPr>
              <w:t>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30</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BodyText"/>
        <w:spacing w:line="240" w:lineRule="auto" w:before="36"/>
        <w:ind w:right="2585"/>
        <w:jc w:val="left"/>
      </w:pPr>
      <w:r>
        <w:rPr/>
        <w:t>组合中，采用余额百分比法计提坏账准备的</w:t>
      </w:r>
    </w:p>
    <w:p>
      <w:pPr>
        <w:pStyle w:val="BodyText"/>
        <w:spacing w:line="273" w:lineRule="auto" w:before="37"/>
        <w:ind w:right="4099"/>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40" w:lineRule="auto" w:before="7"/>
        <w:ind w:right="258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97"/>
        <w:ind w:right="258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340"/>
        <w:gridCol w:w="4710"/>
      </w:tblGrid>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账龄时间较长且存在客观证据表明发生了减值</w:t>
            </w:r>
          </w:p>
        </w:tc>
      </w:tr>
      <w:tr>
        <w:trPr>
          <w:trHeight w:val="6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根据预计未来现金流量现值低于其账面价值的差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额，确认减值损失，计提坏账准备。</w:t>
            </w:r>
          </w:p>
        </w:tc>
      </w:tr>
    </w:tbl>
    <w:p>
      <w:pPr>
        <w:spacing w:line="240" w:lineRule="auto" w:before="9"/>
        <w:rPr>
          <w:rFonts w:ascii="宋体" w:hAnsi="宋体" w:cs="宋体" w:eastAsia="宋体" w:hint="default"/>
          <w:sz w:val="24"/>
          <w:szCs w:val="24"/>
        </w:rPr>
      </w:pPr>
    </w:p>
    <w:p>
      <w:pPr>
        <w:pStyle w:val="Heading2"/>
        <w:spacing w:line="240" w:lineRule="auto"/>
        <w:ind w:right="258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spacing w:line="364" w:lineRule="auto" w:before="97"/>
        <w:ind w:left="638" w:right="7377"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340" w:lineRule="auto" w:before="14"/>
        <w:ind w:left="638" w:right="0"/>
        <w:jc w:val="left"/>
      </w:pPr>
      <w:r>
        <w:rPr/>
        <w:t>存货分类为：原材料、周转材料、库存商品、在产品、发出商品、委托加工物资等。</w:t>
      </w:r>
      <w:r>
        <w:rPr>
          <w:w w:val="100"/>
        </w:rPr>
        <w:t> </w:t>
      </w:r>
      <w:r>
        <w:rPr>
          <w:rFonts w:ascii="Times New Roman" w:hAnsi="Times New Roman" w:cs="Times New Roman" w:eastAsia="Times New Roman" w:hint="default"/>
          <w:b/>
          <w:bCs/>
        </w:rPr>
        <w:t>2</w:t>
      </w:r>
      <w:r>
        <w:rPr>
          <w:rFonts w:ascii="宋体" w:hAnsi="宋体" w:cs="宋体" w:eastAsia="宋体" w:hint="default"/>
          <w:b/>
          <w:bCs/>
        </w:rPr>
        <w:t>、发出存货的计价方法</w:t>
      </w:r>
      <w:r>
        <w:rPr>
          <w:rFonts w:ascii="宋体" w:hAnsi="宋体" w:cs="宋体" w:eastAsia="宋体" w:hint="default"/>
          <w:b/>
          <w:bCs/>
          <w:w w:val="100"/>
        </w:rPr>
        <w:t> </w:t>
      </w:r>
      <w:r>
        <w:rPr>
          <w:spacing w:val="-2"/>
        </w:rPr>
        <w:t>原材料发出时按移动加权平均法；库存商品中电能表和用电信息管理系统及终端发出时按照合</w:t>
      </w:r>
    </w:p>
    <w:p>
      <w:pPr>
        <w:pStyle w:val="BodyText"/>
        <w:spacing w:line="240" w:lineRule="auto" w:before="35"/>
        <w:ind w:right="2585"/>
        <w:jc w:val="left"/>
      </w:pPr>
      <w:r>
        <w:rPr/>
        <w:t>同批次进行个别认定，其他库存商品发出时按移动加权平均法计价。</w:t>
      </w:r>
    </w:p>
    <w:p>
      <w:pPr>
        <w:spacing w:after="0" w:line="240" w:lineRule="auto"/>
        <w:jc w:val="left"/>
        <w:sectPr>
          <w:pgSz w:w="11910" w:h="16840"/>
          <w:pgMar w:header="643" w:footer="974" w:top="1120" w:bottom="1160" w:left="1200" w:right="1300"/>
        </w:sectPr>
      </w:pPr>
    </w:p>
    <w:p>
      <w:pPr>
        <w:spacing w:line="240" w:lineRule="auto" w:before="5"/>
        <w:rPr>
          <w:rFonts w:ascii="宋体" w:hAnsi="宋体" w:cs="宋体" w:eastAsia="宋体" w:hint="default"/>
          <w:sz w:val="28"/>
          <w:szCs w:val="28"/>
        </w:rPr>
      </w:pPr>
    </w:p>
    <w:p>
      <w:pPr>
        <w:spacing w:line="331" w:lineRule="auto" w:before="36"/>
        <w:ind w:left="59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产成品、库存商品和用于出售的材料等直接用于出售的商品存货，在正常生产经营过程中，以</w:t>
      </w:r>
    </w:p>
    <w:p>
      <w:pPr>
        <w:pStyle w:val="BodyText"/>
        <w:spacing w:line="350" w:lineRule="auto" w:before="43"/>
        <w:ind w:left="178" w:right="148"/>
        <w:jc w:val="both"/>
      </w:pPr>
      <w:r>
        <w:rPr>
          <w:spacing w:val="-2"/>
        </w:rPr>
        <w:t>该存货的估计售价减去估计的销售费用和相关税费后的金额，确定其可变现净值；需要经过加工的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材料存货，在正常生产经营过程中，以所生产的产成品的估计售价减去至完工时估计将要发生的成</w:t>
      </w:r>
      <w:r>
        <w:rPr>
          <w:spacing w:val="-25"/>
        </w:rPr>
        <w:t> </w:t>
      </w:r>
      <w:r>
        <w:rPr>
          <w:spacing w:val="-25"/>
        </w:rPr>
      </w:r>
      <w:r>
        <w:rPr>
          <w:spacing w:val="-2"/>
        </w:rPr>
        <w:t>本、估计的销售费用和相关税费后的金额，确定其可变现净值；为执行销售合同或者劳务合同而持</w:t>
      </w:r>
      <w:r>
        <w:rPr>
          <w:spacing w:val="-25"/>
        </w:rPr>
        <w:t> </w:t>
      </w:r>
      <w:r>
        <w:rPr>
          <w:spacing w:val="-25"/>
        </w:rPr>
      </w:r>
      <w:r>
        <w:rPr>
          <w:spacing w:val="-2"/>
        </w:rPr>
        <w:t>有的存货，其可变现净值以合同价格为基础计算，若持有存货的数量多于销售合同订购数量的，超</w:t>
      </w:r>
      <w:r>
        <w:rPr>
          <w:spacing w:val="-25"/>
        </w:rPr>
        <w:t> </w:t>
      </w:r>
      <w:r>
        <w:rPr>
          <w:spacing w:val="-25"/>
        </w:rPr>
      </w:r>
      <w:r>
        <w:rPr/>
        <w:t>出部分的存货的可变现净值以一般销售价格为基础计算。</w:t>
      </w:r>
    </w:p>
    <w:p>
      <w:pPr>
        <w:pStyle w:val="BodyText"/>
        <w:spacing w:line="350" w:lineRule="auto" w:before="29"/>
        <w:ind w:left="178" w:right="148" w:firstLine="420"/>
        <w:jc w:val="both"/>
      </w:pPr>
      <w:r>
        <w:rPr>
          <w:spacing w:val="-2"/>
        </w:rPr>
        <w:t>期末按照单个存货项目计提存货跌价准备；但对于数量繁多、单价较低的存货，按照存货类别</w:t>
      </w:r>
      <w:r>
        <w:rPr>
          <w:w w:val="100"/>
        </w:rPr>
        <w:t> </w:t>
      </w:r>
      <w:r>
        <w:rPr>
          <w:spacing w:val="-2"/>
        </w:rPr>
        <w:t>计提存货跌价准备；与在同一地区生产和销售的产品系列相关、具有相同或类似最终用途或目的，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p>
    <w:p>
      <w:pPr>
        <w:pStyle w:val="BodyText"/>
        <w:spacing w:line="348" w:lineRule="auto" w:before="29"/>
        <w:ind w:left="178" w:right="148" w:firstLine="420"/>
        <w:jc w:val="both"/>
      </w:pPr>
      <w:r>
        <w:rPr>
          <w:spacing w:val="-2"/>
        </w:rPr>
        <w:t>除有明确证据表明资产负债表日市场价格异常外，存货项目的可变现净值以资产负债表日市场</w:t>
      </w:r>
      <w:r>
        <w:rPr>
          <w:w w:val="100"/>
        </w:rPr>
        <w:t> </w:t>
      </w:r>
      <w:r>
        <w:rPr/>
        <w:t>价格为基础确定。</w:t>
      </w:r>
    </w:p>
    <w:p>
      <w:pPr>
        <w:pStyle w:val="BodyText"/>
        <w:spacing w:line="240" w:lineRule="auto" w:before="31"/>
        <w:ind w:left="598" w:right="1815"/>
        <w:jc w:val="left"/>
      </w:pPr>
      <w:r>
        <w:rPr/>
        <w:t>本期期末存货项目的可变现净值以资产负债表日市场价格为基础确定。</w:t>
      </w:r>
    </w:p>
    <w:p>
      <w:pPr>
        <w:spacing w:line="338" w:lineRule="auto" w:before="126"/>
        <w:ind w:left="598" w:right="548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15"/>
        <w:ind w:left="598" w:right="1815"/>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7"/>
        <w:ind w:left="598" w:right="1815"/>
        <w:jc w:val="left"/>
      </w:pPr>
      <w:r>
        <w:rPr/>
        <w:t>（</w:t>
      </w:r>
      <w:r>
        <w:rPr>
          <w:rFonts w:ascii="Times New Roman" w:hAnsi="Times New Roman" w:cs="Times New Roman" w:eastAsia="Times New Roman" w:hint="default"/>
        </w:rPr>
        <w:t>2</w:t>
      </w:r>
      <w:r>
        <w:rPr/>
        <w:t>）包装物采用一次转销法。</w:t>
      </w:r>
    </w:p>
    <w:p>
      <w:pPr>
        <w:spacing w:line="240" w:lineRule="auto" w:before="10"/>
        <w:rPr>
          <w:rFonts w:ascii="宋体" w:hAnsi="宋体" w:cs="宋体" w:eastAsia="宋体" w:hint="default"/>
          <w:sz w:val="28"/>
          <w:szCs w:val="28"/>
        </w:rPr>
      </w:pPr>
    </w:p>
    <w:p>
      <w:pPr>
        <w:pStyle w:val="Heading2"/>
        <w:spacing w:line="240" w:lineRule="auto" w:before="0"/>
        <w:ind w:left="178"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97"/>
        <w:ind w:left="1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spacing w:line="364" w:lineRule="auto" w:before="97"/>
        <w:ind w:left="598" w:right="5388"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、共同控制、重大影响的判断标准</w:t>
      </w:r>
      <w:r>
        <w:rPr>
          <w:rFonts w:ascii="宋体" w:hAnsi="宋体" w:cs="宋体" w:eastAsia="宋体" w:hint="default"/>
          <w:spacing w:val="-1"/>
          <w:sz w:val="21"/>
          <w:szCs w:val="21"/>
        </w:rPr>
      </w:r>
    </w:p>
    <w:p>
      <w:pPr>
        <w:pStyle w:val="BodyText"/>
        <w:spacing w:line="348" w:lineRule="auto" w:before="17"/>
        <w:ind w:left="178" w:right="148" w:firstLine="420"/>
        <w:jc w:val="both"/>
      </w:pPr>
      <w:r>
        <w:rPr>
          <w:spacing w:val="-2"/>
        </w:rPr>
        <w:t>共同控制，是指按照相关约定对某项安排所共有的控制，并且该安排的相关活动必须经过分享</w:t>
      </w:r>
      <w:r>
        <w:rPr>
          <w:w w:val="100"/>
        </w:rPr>
        <w:t> </w:t>
      </w:r>
      <w:r>
        <w:rPr>
          <w:spacing w:val="-2"/>
        </w:rPr>
        <w:t>控制权的参与方一致同意后才能决策。本公司与其他合营方一同对被投资单位实施共同控制且对被</w:t>
      </w:r>
      <w:r>
        <w:rPr>
          <w:spacing w:val="-25"/>
        </w:rPr>
        <w:t> </w:t>
      </w:r>
      <w:r>
        <w:rPr>
          <w:spacing w:val="-25"/>
        </w:rPr>
      </w:r>
      <w:r>
        <w:rPr/>
        <w:t>投资单位净资产享有权利的，被投资单位为本公司的合营企业。</w:t>
      </w:r>
    </w:p>
    <w:p>
      <w:pPr>
        <w:pStyle w:val="BodyText"/>
        <w:spacing w:line="348" w:lineRule="auto" w:before="31"/>
        <w:ind w:left="178" w:right="148" w:firstLine="420"/>
        <w:jc w:val="both"/>
      </w:pPr>
      <w:r>
        <w:rPr>
          <w:spacing w:val="-2"/>
        </w:rPr>
        <w:t>重大影响，是指对一个企业的财务和经营决策有参与决策的权力，但并不能够控制或者与其他</w:t>
      </w:r>
      <w:r>
        <w:rPr>
          <w:w w:val="100"/>
        </w:rPr>
        <w:t> </w:t>
      </w:r>
      <w:r>
        <w:rPr>
          <w:spacing w:val="-2"/>
        </w:rPr>
        <w:t>方一起共同控制这些政策的制定。本公司能够对被投资单位施加重大影响的，被投资单位为本公司</w:t>
      </w:r>
      <w:r>
        <w:rPr>
          <w:spacing w:val="-25"/>
        </w:rPr>
        <w:t> </w:t>
      </w:r>
      <w:r>
        <w:rPr>
          <w:spacing w:val="-25"/>
        </w:rPr>
      </w:r>
      <w:r>
        <w:rPr/>
        <w:t>联营企业。</w:t>
      </w:r>
    </w:p>
    <w:p>
      <w:pPr>
        <w:pStyle w:val="Heading2"/>
        <w:spacing w:line="240" w:lineRule="auto" w:before="31"/>
        <w:ind w:left="601" w:right="1815"/>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31" w:lineRule="auto" w:before="107"/>
        <w:ind w:left="598" w:right="0"/>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w:t>
      </w:r>
    </w:p>
    <w:p>
      <w:pPr>
        <w:pStyle w:val="BodyText"/>
        <w:spacing w:line="240" w:lineRule="auto" w:before="46"/>
        <w:ind w:left="178" w:right="0"/>
        <w:jc w:val="both"/>
      </w:pPr>
      <w:r>
        <w:rPr/>
        <w:t>证券作为合并对价的，在合并日按照取得被合并方所有者权益在最终控制方合并财务报表中的账面</w:t>
      </w:r>
    </w:p>
    <w:p>
      <w:pPr>
        <w:spacing w:after="0" w:line="240" w:lineRule="auto"/>
        <w:jc w:val="both"/>
        <w:sectPr>
          <w:pgSz w:w="11910" w:h="16840"/>
          <w:pgMar w:header="643" w:footer="974" w:top="1120" w:bottom="1160" w:left="1240" w:right="1300"/>
        </w:sectPr>
      </w:pPr>
    </w:p>
    <w:p>
      <w:pPr>
        <w:spacing w:line="240" w:lineRule="auto" w:before="5"/>
        <w:rPr>
          <w:rFonts w:ascii="宋体" w:hAnsi="宋体" w:cs="宋体" w:eastAsia="宋体" w:hint="default"/>
          <w:sz w:val="28"/>
          <w:szCs w:val="28"/>
        </w:rPr>
      </w:pPr>
    </w:p>
    <w:p>
      <w:pPr>
        <w:pStyle w:val="BodyText"/>
        <w:spacing w:line="350" w:lineRule="auto" w:before="36"/>
        <w:ind w:left="178" w:right="248"/>
        <w:jc w:val="both"/>
      </w:pPr>
      <w:r>
        <w:rPr>
          <w:spacing w:val="-2"/>
        </w:rPr>
        <w:t>价值的份额作为长期股权投资的初始投资成本。因追加投资等原因能够对同一控制下的被投资单位</w:t>
      </w:r>
      <w:r>
        <w:rPr>
          <w:spacing w:val="-25"/>
        </w:rPr>
        <w:t> </w:t>
      </w:r>
      <w:r>
        <w:rPr>
          <w:spacing w:val="-25"/>
        </w:rPr>
      </w:r>
      <w:r>
        <w:rPr>
          <w:spacing w:val="-2"/>
        </w:rPr>
        <w:t>实施控制的，在合并日根据合并后应享有被合并方净资产在最终控制方合并财务报表中的账面价值</w:t>
      </w:r>
      <w:r>
        <w:rPr>
          <w:spacing w:val="-25"/>
        </w:rPr>
        <w:t> </w:t>
      </w:r>
      <w:r>
        <w:rPr>
          <w:spacing w:val="-25"/>
        </w:rPr>
      </w:r>
      <w:r>
        <w:rPr>
          <w:spacing w:val="-2"/>
        </w:rPr>
        <w:t>的份额，确定长期股权投资的初始投资成本。合并日长期股权投资的初始投资成本，与达到合并前</w:t>
      </w:r>
      <w:r>
        <w:rPr>
          <w:spacing w:val="-25"/>
        </w:rPr>
        <w:t> </w:t>
      </w:r>
      <w:r>
        <w:rPr>
          <w:spacing w:val="-25"/>
        </w:rPr>
      </w:r>
      <w:r>
        <w:rPr>
          <w:spacing w:val="-2"/>
        </w:rPr>
        <w:t>的长期股权投资账面价值加上合并日进一步取得股份新支付对价的账面价值之和的差额，调整股本</w:t>
      </w:r>
      <w:r>
        <w:rPr>
          <w:spacing w:val="-25"/>
        </w:rPr>
        <w:t> </w:t>
      </w:r>
      <w:r>
        <w:rPr>
          <w:spacing w:val="-25"/>
        </w:rPr>
      </w:r>
      <w:r>
        <w:rPr/>
        <w:t>溢价，股本溢价不足冲减的，冲减留存收益。</w:t>
      </w:r>
    </w:p>
    <w:p>
      <w:pPr>
        <w:pStyle w:val="BodyText"/>
        <w:spacing w:line="350" w:lineRule="auto" w:before="27"/>
        <w:ind w:left="178" w:right="0" w:firstLine="420"/>
        <w:jc w:val="left"/>
      </w:pPr>
      <w:r>
        <w:rPr>
          <w:spacing w:val="-3"/>
        </w:rPr>
        <w:t>非同一控制下的企业合并：公司按照购买日确定的合并成本作为长期股权投资的初始投资成本。</w:t>
      </w:r>
      <w:r>
        <w:rPr>
          <w:w w:val="100"/>
        </w:rPr>
        <w:t> </w:t>
      </w:r>
      <w:r>
        <w:rPr/>
        <w:t>因追加投资等原因能够对非同一控制下的被投资单位实施控制的，按照原持有的股权投资账面价值</w:t>
      </w:r>
      <w:r>
        <w:rPr>
          <w:w w:val="100"/>
        </w:rPr>
        <w:t> </w:t>
      </w:r>
      <w:r>
        <w:rPr/>
        <w:t>加上新增投资成本之和，作为改按成本法核算的初始投资成本。</w:t>
      </w:r>
    </w:p>
    <w:p>
      <w:pPr>
        <w:pStyle w:val="BodyText"/>
        <w:spacing w:line="343" w:lineRule="auto" w:before="27"/>
        <w:ind w:left="598" w:right="207"/>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spacing w:val="-2"/>
        </w:rPr>
        <w:t>以发行权益性证券取得的长期股权投资，按照发行权益性证券的公允价值作为初始投资成本。</w:t>
      </w:r>
      <w:r>
        <w:rPr>
          <w:spacing w:val="-28"/>
        </w:rPr>
        <w:t> </w:t>
      </w:r>
      <w:r>
        <w:rPr>
          <w:spacing w:val="-28"/>
        </w:rPr>
      </w:r>
      <w:r>
        <w:rPr>
          <w:spacing w:val="-1"/>
        </w:rPr>
        <w:t>在非货币性资产交换具备商业实质和换入资产或换出资产的公允价值能够可靠计量的前提下，</w:t>
      </w:r>
    </w:p>
    <w:p>
      <w:pPr>
        <w:pStyle w:val="BodyText"/>
        <w:spacing w:line="348" w:lineRule="auto" w:before="35"/>
        <w:ind w:left="178" w:right="210"/>
        <w:jc w:val="both"/>
      </w:pPr>
      <w:r>
        <w:rPr>
          <w:spacing w:val="-1"/>
        </w:rPr>
        <w:t>非货币性资产交换换入的长期股权投资以换出资产的公允价值和应支付的相关税费确定其初始投资</w:t>
      </w:r>
      <w:r>
        <w:rPr>
          <w:spacing w:val="-20"/>
        </w:rPr>
        <w:t> </w:t>
      </w:r>
      <w:r>
        <w:rPr>
          <w:spacing w:val="-20"/>
        </w:rPr>
      </w:r>
      <w:r>
        <w:rPr>
          <w:spacing w:val="-1"/>
        </w:rPr>
        <w:t>成本，除非有确凿证据表明换入资产的公允价值更加可靠；不满足上述前提的非货币性资产交换，</w:t>
      </w:r>
      <w:r>
        <w:rPr>
          <w:spacing w:val="-20"/>
        </w:rPr>
        <w:t> </w:t>
      </w:r>
      <w:r>
        <w:rPr>
          <w:spacing w:val="-20"/>
        </w:rPr>
      </w:r>
      <w:r>
        <w:rPr/>
        <w:t>以换出资产的账面价值和应支付的相关税费作为换入长期股权投资的初始投资成本。</w:t>
      </w:r>
    </w:p>
    <w:p>
      <w:pPr>
        <w:pStyle w:val="BodyText"/>
        <w:spacing w:line="240" w:lineRule="auto" w:before="31"/>
        <w:ind w:left="598" w:right="207"/>
        <w:jc w:val="left"/>
      </w:pPr>
      <w:r>
        <w:rPr/>
        <w:t>通过债务重组取得的长期股权投资，其初始投资成本按照公允价值为基础确定。</w:t>
      </w:r>
    </w:p>
    <w:p>
      <w:pPr>
        <w:pStyle w:val="Heading2"/>
        <w:spacing w:line="240" w:lineRule="auto" w:before="126"/>
        <w:ind w:left="601" w:right="207"/>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31" w:lineRule="auto" w:before="107"/>
        <w:ind w:left="598" w:right="207"/>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w:t>
      </w:r>
    </w:p>
    <w:p>
      <w:pPr>
        <w:pStyle w:val="BodyText"/>
        <w:spacing w:line="348" w:lineRule="auto" w:before="46"/>
        <w:ind w:left="178" w:right="248"/>
        <w:jc w:val="both"/>
      </w:pPr>
      <w:r>
        <w:rPr>
          <w:spacing w:val="-2"/>
        </w:rPr>
        <w:t>的已宣告但尚未发放的现金股利或利润外，公司按照享有被投资单位宣告发放的现金股利或利润确</w:t>
      </w:r>
      <w:r>
        <w:rPr>
          <w:spacing w:val="-25"/>
        </w:rPr>
        <w:t> </w:t>
      </w:r>
      <w:r>
        <w:rPr>
          <w:spacing w:val="-25"/>
        </w:rPr>
      </w:r>
      <w:r>
        <w:rPr/>
        <w:t>认当期投资收益。</w:t>
      </w:r>
    </w:p>
    <w:p>
      <w:pPr>
        <w:pStyle w:val="BodyText"/>
        <w:spacing w:line="331" w:lineRule="auto" w:before="31"/>
        <w:ind w:left="598" w:right="207"/>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w:t>
      </w:r>
    </w:p>
    <w:p>
      <w:pPr>
        <w:pStyle w:val="BodyText"/>
        <w:spacing w:line="350" w:lineRule="auto" w:before="43"/>
        <w:ind w:left="178" w:right="248"/>
        <w:jc w:val="both"/>
      </w:pPr>
      <w:r>
        <w:rPr>
          <w:spacing w:val="-2"/>
        </w:rPr>
        <w:t>投资单位可辨认净资产公允价值份额的差额，不调整长期股权投资的初始投资成本；初始投资成本</w:t>
      </w:r>
      <w:r>
        <w:rPr>
          <w:spacing w:val="-25"/>
        </w:rPr>
        <w:t> </w:t>
      </w:r>
      <w:r>
        <w:rPr>
          <w:spacing w:val="-25"/>
        </w:rPr>
      </w:r>
      <w:r>
        <w:rPr/>
        <w:t>小于投资时应享有被投资单位可辨认净资产公允价值份额的差额，计入当期损益。</w:t>
      </w:r>
    </w:p>
    <w:p>
      <w:pPr>
        <w:pStyle w:val="BodyText"/>
        <w:spacing w:line="350" w:lineRule="auto" w:before="30"/>
        <w:ind w:left="178" w:right="248" w:firstLine="420"/>
        <w:jc w:val="both"/>
      </w:pPr>
      <w:r>
        <w:rPr>
          <w:spacing w:val="-2"/>
        </w:rPr>
        <w:t>公司按照应享有或应分担的被投资单位实现的净损益和其他综合收益的份额，分别确认投资收</w:t>
      </w:r>
      <w:r>
        <w:rPr>
          <w:w w:val="100"/>
        </w:rPr>
        <w:t> </w:t>
      </w:r>
      <w:r>
        <w:rPr>
          <w:spacing w:val="-2"/>
        </w:rPr>
        <w:t>益和其他综合收益，同时调整长期股权投资的账面价值；按照被投资单位宣告分派的利润或现金股</w:t>
      </w:r>
      <w:r>
        <w:rPr>
          <w:spacing w:val="-26"/>
        </w:rPr>
        <w:t> </w:t>
      </w:r>
      <w:r>
        <w:rPr>
          <w:spacing w:val="-26"/>
        </w:rPr>
      </w:r>
      <w:r>
        <w:rPr>
          <w:spacing w:val="-2"/>
        </w:rPr>
        <w:t>利计算应享有的部分，相应减少长期股权投资的账面价值；对于被投资单位除净损益、其他综合收</w:t>
      </w:r>
      <w:r>
        <w:rPr>
          <w:spacing w:val="-25"/>
        </w:rPr>
        <w:t> </w:t>
      </w:r>
      <w:r>
        <w:rPr>
          <w:spacing w:val="-25"/>
        </w:rPr>
      </w:r>
      <w:r>
        <w:rPr/>
        <w:t>益和利润分配以外所有者权益的其他变动，调整长期股权投资的账面价值并计入所有者权益。</w:t>
      </w:r>
    </w:p>
    <w:p>
      <w:pPr>
        <w:pStyle w:val="BodyText"/>
        <w:spacing w:line="350" w:lineRule="auto" w:before="27"/>
        <w:ind w:left="178" w:right="248" w:firstLine="420"/>
        <w:jc w:val="both"/>
      </w:pPr>
      <w:r>
        <w:rPr>
          <w:spacing w:val="-2"/>
        </w:rPr>
        <w:t>在确认应享有被投资单位净损益的份额时，以取得投资时被投资单位可辨认净资产的公允价值</w:t>
      </w:r>
      <w:r>
        <w:rPr>
          <w:w w:val="100"/>
        </w:rPr>
        <w:t> </w:t>
      </w:r>
      <w:r>
        <w:rPr>
          <w:spacing w:val="-2"/>
        </w:rPr>
        <w:t>为基础，并按照公司的会计政策及会计期间，对被投资单位的净利润进行调整后确认。在持有投资</w:t>
      </w:r>
      <w:r>
        <w:rPr>
          <w:spacing w:val="-25"/>
        </w:rPr>
        <w:t> </w:t>
      </w:r>
      <w:r>
        <w:rPr>
          <w:spacing w:val="-25"/>
        </w:rPr>
      </w:r>
      <w:r>
        <w:rPr>
          <w:spacing w:val="-2"/>
        </w:rPr>
        <w:t>期间，被投资单位编制合并财务报表的，以合并财务报表中的净利润、其他综合收益和其他所有者</w:t>
      </w:r>
      <w:r>
        <w:rPr>
          <w:spacing w:val="-25"/>
        </w:rPr>
        <w:t> </w:t>
      </w:r>
      <w:r>
        <w:rPr>
          <w:spacing w:val="-25"/>
        </w:rPr>
      </w:r>
      <w:r>
        <w:rPr/>
        <w:t>权益变动中归属于被投资单位的金额为基础进行核算。</w:t>
      </w:r>
    </w:p>
    <w:p>
      <w:pPr>
        <w:pStyle w:val="BodyText"/>
        <w:spacing w:line="240" w:lineRule="auto" w:before="29"/>
        <w:ind w:left="598" w:right="207"/>
        <w:jc w:val="left"/>
      </w:pPr>
      <w:r>
        <w:rPr/>
        <w:t>公司与联营企业之间发生的未实现内部交易损益按照应享有的比例计算归属于公司的部分，予</w:t>
      </w:r>
    </w:p>
    <w:p>
      <w:pPr>
        <w:spacing w:after="0" w:line="240" w:lineRule="auto"/>
        <w:jc w:val="left"/>
        <w:sectPr>
          <w:pgSz w:w="11910" w:h="16840"/>
          <w:pgMar w:header="643" w:footer="974" w:top="1120" w:bottom="1160" w:left="1240" w:right="1200"/>
        </w:sectPr>
      </w:pPr>
    </w:p>
    <w:p>
      <w:pPr>
        <w:spacing w:line="240" w:lineRule="auto" w:before="5"/>
        <w:rPr>
          <w:rFonts w:ascii="宋体" w:hAnsi="宋体" w:cs="宋体" w:eastAsia="宋体" w:hint="default"/>
          <w:sz w:val="28"/>
          <w:szCs w:val="28"/>
        </w:rPr>
      </w:pPr>
    </w:p>
    <w:p>
      <w:pPr>
        <w:pStyle w:val="BodyText"/>
        <w:spacing w:line="350" w:lineRule="auto" w:before="36"/>
        <w:ind w:left="178" w:right="210"/>
        <w:jc w:val="both"/>
      </w:pPr>
      <w:r>
        <w:rPr>
          <w:spacing w:val="-1"/>
        </w:rPr>
        <w:t>以抵销，在此基础上确认投资收益。与被投资单位发生的未实现内部交易损失，属于资产减值损失</w:t>
      </w:r>
      <w:r>
        <w:rPr>
          <w:spacing w:val="-20"/>
        </w:rPr>
        <w:t> </w:t>
      </w:r>
      <w:r>
        <w:rPr>
          <w:spacing w:val="-20"/>
        </w:rPr>
      </w:r>
      <w:r>
        <w:rPr>
          <w:spacing w:val="-1"/>
        </w:rPr>
        <w:t>的，全额确认。公司与联营企业之间发生投出或出售资产的交易，该资产构成业务的，按照本附注</w:t>
      </w:r>
      <w:r>
        <w:rPr>
          <w:spacing w:val="-20"/>
        </w:rPr>
        <w:t> </w:t>
      </w:r>
      <w:r>
        <w:rPr>
          <w:spacing w:val="-20"/>
        </w:rPr>
      </w:r>
      <w:r>
        <w:rPr>
          <w:spacing w:val="-6"/>
          <w:w w:val="100"/>
        </w:rPr>
        <w:t>“三、（五）同一控制下和非同一控制下企业合并的会计处理方法”和“三、（六）合并财务报表的</w:t>
      </w:r>
      <w:r>
        <w:rPr>
          <w:spacing w:val="-66"/>
          <w:w w:val="100"/>
        </w:rPr>
        <w:t> </w:t>
      </w:r>
      <w:r>
        <w:rPr>
          <w:spacing w:val="-66"/>
          <w:w w:val="100"/>
        </w:rPr>
      </w:r>
      <w:r>
        <w:rPr/>
        <w:t>编制方法”中披露的相关政策进行会计处理。</w:t>
      </w:r>
    </w:p>
    <w:p>
      <w:pPr>
        <w:pStyle w:val="BodyText"/>
        <w:spacing w:line="348" w:lineRule="auto" w:before="29"/>
        <w:ind w:left="178" w:right="248" w:firstLine="420"/>
        <w:jc w:val="both"/>
      </w:pPr>
      <w:r>
        <w:rPr>
          <w:spacing w:val="-2"/>
        </w:rPr>
        <w:t>在公司确认应分担被投资单位发生的亏损时，按照以下顺序进行处理：首先，冲减长期股权投</w:t>
      </w:r>
      <w:r>
        <w:rPr>
          <w:w w:val="100"/>
        </w:rPr>
        <w:t> </w:t>
      </w:r>
      <w:r>
        <w:rPr>
          <w:spacing w:val="-2"/>
        </w:rPr>
        <w:t>资的账面价值。其次，长期股权投资的账面价值不足以冲减的，以其他实质上构成对被投资单位净</w:t>
      </w:r>
      <w:r>
        <w:rPr>
          <w:spacing w:val="-25"/>
        </w:rPr>
        <w:t> </w:t>
      </w:r>
      <w:r>
        <w:rPr>
          <w:spacing w:val="-25"/>
        </w:rPr>
      </w:r>
      <w:r>
        <w:rPr>
          <w:spacing w:val="-2"/>
        </w:rPr>
        <w:t>投资的长期权益账面价值为限继续确认投资损失，冲减长期应收项目等的账面价值。最后，经过上</w:t>
      </w:r>
      <w:r>
        <w:rPr>
          <w:spacing w:val="-25"/>
        </w:rPr>
        <w:t> </w:t>
      </w:r>
      <w:r>
        <w:rPr>
          <w:spacing w:val="-25"/>
        </w:rPr>
      </w:r>
      <w:r>
        <w:rPr>
          <w:spacing w:val="-2"/>
        </w:rPr>
        <w:t>述处理，按照投资合同或协议约定企业仍承担额外义务的，按预计承担的义务确认预计负债，计入</w:t>
      </w:r>
      <w:r>
        <w:rPr>
          <w:spacing w:val="-25"/>
        </w:rPr>
        <w:t> </w:t>
      </w:r>
      <w:r>
        <w:rPr>
          <w:spacing w:val="-25"/>
        </w:rPr>
      </w:r>
      <w:r>
        <w:rPr/>
        <w:t>当期投资损失。</w:t>
      </w:r>
    </w:p>
    <w:p>
      <w:pPr>
        <w:pStyle w:val="BodyText"/>
        <w:spacing w:line="338" w:lineRule="auto" w:before="31"/>
        <w:ind w:left="598" w:right="207"/>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采用权益法核算的长期股权投资，在处置该项投资时，采用与被投资单位直接处置相关资产或</w:t>
      </w:r>
    </w:p>
    <w:p>
      <w:pPr>
        <w:pStyle w:val="BodyText"/>
        <w:spacing w:line="348" w:lineRule="auto" w:before="40"/>
        <w:ind w:left="178" w:right="0"/>
        <w:jc w:val="left"/>
      </w:pPr>
      <w:r>
        <w:rPr>
          <w:spacing w:val="-6"/>
          <w:w w:val="100"/>
        </w:rPr>
        <w:t>负债相同的基础，按相应比例对原计入其他综合收益的部分进行会计处理。因被投资单位除净损益、</w:t>
      </w:r>
      <w:r>
        <w:rPr>
          <w:spacing w:val="-73"/>
          <w:w w:val="100"/>
        </w:rPr>
        <w:t> </w:t>
      </w:r>
      <w:r>
        <w:rPr>
          <w:spacing w:val="-73"/>
          <w:w w:val="100"/>
        </w:rPr>
      </w:r>
      <w:r>
        <w:rPr>
          <w:spacing w:val="-3"/>
        </w:rPr>
        <w:t>其他综合收益和利润分配以外的其他所有者权益变动而确认的所有者权益，按比例结转入当期损益，</w:t>
      </w:r>
      <w:r>
        <w:rPr>
          <w:spacing w:val="-45"/>
        </w:rPr>
        <w:t> </w:t>
      </w:r>
      <w:r>
        <w:rPr>
          <w:spacing w:val="-45"/>
        </w:rPr>
      </w:r>
      <w:r>
        <w:rPr/>
        <w:t>由于被投资方重新计量设定受益计划净负债或净资产变动而产生的其他综合收益除外。</w:t>
      </w:r>
    </w:p>
    <w:p>
      <w:pPr>
        <w:pStyle w:val="BodyText"/>
        <w:spacing w:line="350" w:lineRule="auto" w:before="31"/>
        <w:ind w:left="178" w:right="247" w:firstLine="420"/>
        <w:jc w:val="both"/>
      </w:pPr>
      <w:r>
        <w:rPr>
          <w:spacing w:val="-2"/>
        </w:rPr>
        <w:t>因处置部分股权投资等原因丧失了对被投资单位的共同控制或重大影响的，处置后的剩余股权</w:t>
      </w:r>
      <w:r>
        <w:rPr>
          <w:w w:val="100"/>
        </w:rPr>
        <w:t> </w:t>
      </w:r>
      <w:r>
        <w:rPr>
          <w:spacing w:val="-2"/>
        </w:rPr>
        <w:t>改按金融工具确认和计量准则核算，其在丧失共同控制或重大影响之日的公允价值与账面价值之间</w:t>
      </w:r>
      <w:r>
        <w:rPr>
          <w:spacing w:val="-25"/>
        </w:rPr>
        <w:t> </w:t>
      </w:r>
      <w:r>
        <w:rPr>
          <w:spacing w:val="-25"/>
        </w:rPr>
      </w:r>
      <w:r>
        <w:rPr>
          <w:spacing w:val="-2"/>
        </w:rPr>
        <w:t>的差额计入当期损益。原股权投资因采用权益法核算而确认的其他综合收益，在终止采用权益法核</w:t>
      </w:r>
      <w:r>
        <w:rPr>
          <w:spacing w:val="-25"/>
        </w:rPr>
        <w:t> </w:t>
      </w:r>
      <w:r>
        <w:rPr>
          <w:spacing w:val="-25"/>
        </w:rPr>
      </w:r>
      <w:r>
        <w:rPr>
          <w:spacing w:val="-2"/>
        </w:rPr>
        <w:t>算时采用与被投资单位直接处置相关资产或负债相同的基础进行会计处理。因被投资方除净损益、</w:t>
      </w:r>
      <w:r>
        <w:rPr>
          <w:spacing w:val="-25"/>
        </w:rPr>
        <w:t> </w:t>
      </w:r>
      <w:r>
        <w:rPr>
          <w:spacing w:val="-25"/>
        </w:rPr>
      </w:r>
      <w:r>
        <w:rPr>
          <w:spacing w:val="-2"/>
        </w:rPr>
        <w:t>其他综合收益和利润分配以外的其他所有者权益变动而确认的所有者权益，在终止采用权益法核算</w:t>
      </w:r>
      <w:r>
        <w:rPr>
          <w:spacing w:val="-25"/>
        </w:rPr>
        <w:t> </w:t>
      </w:r>
      <w:r>
        <w:rPr>
          <w:spacing w:val="-25"/>
        </w:rPr>
      </w:r>
      <w:r>
        <w:rPr/>
        <w:t>时全部转入当期损益。</w:t>
      </w:r>
    </w:p>
    <w:p>
      <w:pPr>
        <w:pStyle w:val="BodyText"/>
        <w:spacing w:line="350" w:lineRule="auto" w:before="29"/>
        <w:ind w:left="178" w:right="249" w:firstLine="420"/>
        <w:jc w:val="both"/>
      </w:pPr>
      <w:r>
        <w:rPr>
          <w:spacing w:val="-2"/>
        </w:rPr>
        <w:t>因处置部分股权投资、因其他投资方对子公司增资而导致本公司持股比例下降等原因丧失了对</w:t>
      </w:r>
      <w:r>
        <w:rPr>
          <w:w w:val="100"/>
        </w:rPr>
        <w:t> </w:t>
      </w:r>
      <w:r>
        <w:rPr>
          <w:spacing w:val="-2"/>
        </w:rPr>
        <w:t>被投资单位控制权的，在编制个别财务报表时，剩余股权能够对被投资单位实施共同控制或重大影</w:t>
      </w:r>
      <w:r>
        <w:rPr>
          <w:spacing w:val="-25"/>
        </w:rPr>
        <w:t> </w:t>
      </w:r>
      <w:r>
        <w:rPr>
          <w:spacing w:val="-25"/>
        </w:rPr>
      </w:r>
      <w:r>
        <w:rPr>
          <w:spacing w:val="-2"/>
        </w:rPr>
        <w:t>响的，改按权益法核算，并对该剩余股权视同自取得时即采用权益法核算进行调整；剩余股权不能</w:t>
      </w:r>
      <w:r>
        <w:rPr>
          <w:spacing w:val="-25"/>
        </w:rPr>
        <w:t> </w:t>
      </w:r>
      <w:r>
        <w:rPr>
          <w:spacing w:val="-25"/>
        </w:rPr>
      </w:r>
      <w:r>
        <w:rPr>
          <w:spacing w:val="-2"/>
        </w:rPr>
        <w:t>对被投资单位实施共同控制或施加重大影响的，改按金融工具确认和计量准则的有关规定进行会计</w:t>
      </w:r>
      <w:r>
        <w:rPr>
          <w:spacing w:val="-25"/>
        </w:rPr>
        <w:t> </w:t>
      </w:r>
      <w:r>
        <w:rPr>
          <w:spacing w:val="-25"/>
        </w:rPr>
      </w:r>
      <w:r>
        <w:rPr/>
        <w:t>处理，其在丧失控制之日的公允价值与账面价值间的差额计入当期损益。</w:t>
      </w:r>
    </w:p>
    <w:p>
      <w:pPr>
        <w:pStyle w:val="BodyText"/>
        <w:spacing w:line="196" w:lineRule="exact"/>
        <w:ind w:left="178" w:right="0" w:firstLine="420"/>
        <w:jc w:val="both"/>
      </w:pPr>
      <w:r>
        <w:rPr/>
        <w:t>处置的股权是因追加投资等原因通过企业合并取得的，在编制个别财务报表时，处置后的剩余</w:t>
      </w:r>
    </w:p>
    <w:p>
      <w:pPr>
        <w:pStyle w:val="BodyText"/>
        <w:spacing w:line="273" w:lineRule="auto" w:before="37"/>
        <w:ind w:left="178" w:right="248"/>
        <w:jc w:val="both"/>
      </w:pPr>
      <w:r>
        <w:rPr>
          <w:spacing w:val="-2"/>
        </w:rPr>
        <w:t>股权采用成本法或权益法核算的，购买日之前持有的股权投资因采用权益法核算而确认的其他综合</w:t>
      </w:r>
      <w:r>
        <w:rPr>
          <w:spacing w:val="-25"/>
        </w:rPr>
        <w:t> </w:t>
      </w:r>
      <w:r>
        <w:rPr>
          <w:spacing w:val="-25"/>
        </w:rPr>
      </w:r>
      <w:r>
        <w:rPr>
          <w:spacing w:val="-2"/>
        </w:rPr>
        <w:t>收益和其他所有者权益按比例结转；处置后的剩余股权改按金融工具确认和计量准则进行会计处理</w:t>
      </w:r>
      <w:r>
        <w:rPr>
          <w:spacing w:val="-25"/>
        </w:rPr>
        <w:t> </w:t>
      </w:r>
      <w:r>
        <w:rPr>
          <w:spacing w:val="-25"/>
        </w:rPr>
      </w:r>
      <w:r>
        <w:rPr/>
        <w:t>的，其他综合收益和其他所有者权益全部结转。</w:t>
      </w:r>
    </w:p>
    <w:p>
      <w:pPr>
        <w:spacing w:line="240" w:lineRule="auto" w:before="0"/>
        <w:rPr>
          <w:rFonts w:ascii="宋体" w:hAnsi="宋体" w:cs="宋体" w:eastAsia="宋体" w:hint="default"/>
          <w:sz w:val="29"/>
          <w:szCs w:val="29"/>
        </w:rPr>
      </w:pPr>
    </w:p>
    <w:p>
      <w:pPr>
        <w:spacing w:line="324" w:lineRule="auto" w:before="0"/>
        <w:ind w:left="178" w:right="757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324" w:lineRule="auto"/>
        <w:jc w:val="left"/>
        <w:rPr>
          <w:rFonts w:ascii="宋体" w:hAnsi="宋体" w:cs="宋体" w:eastAsia="宋体" w:hint="default"/>
          <w:sz w:val="21"/>
          <w:szCs w:val="21"/>
        </w:rPr>
        <w:sectPr>
          <w:pgSz w:w="11910" w:h="16840"/>
          <w:pgMar w:header="643" w:footer="974" w:top="1120" w:bottom="1160" w:left="1240" w:right="1200"/>
        </w:sectPr>
      </w:pPr>
    </w:p>
    <w:p>
      <w:pPr>
        <w:spacing w:line="240" w:lineRule="auto" w:before="4"/>
        <w:rPr>
          <w:rFonts w:ascii="宋体" w:hAnsi="宋体" w:cs="宋体" w:eastAsia="宋体" w:hint="default"/>
          <w:sz w:val="20"/>
          <w:szCs w:val="20"/>
        </w:rPr>
      </w:pPr>
    </w:p>
    <w:p>
      <w:pPr>
        <w:pStyle w:val="Heading2"/>
        <w:spacing w:line="324" w:lineRule="auto"/>
        <w:ind w:right="789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64" w:lineRule="auto" w:before="23"/>
        <w:ind w:left="638" w:right="0" w:hanging="420"/>
        <w:jc w:val="left"/>
      </w:pPr>
      <w:r>
        <w:rPr/>
        <w:t>√适用</w:t>
      </w:r>
      <w:r>
        <w:rPr>
          <w:spacing w:val="-2"/>
        </w:rPr>
        <w:t> </w:t>
      </w:r>
      <w:r>
        <w:rPr/>
        <w:t>□不适用</w:t>
      </w:r>
      <w:r>
        <w:rPr>
          <w:spacing w:val="-103"/>
        </w:rPr>
        <w:t> </w:t>
      </w:r>
      <w:r>
        <w:rPr>
          <w:spacing w:val="-103"/>
        </w:rPr>
      </w:r>
      <w:r>
        <w:rPr>
          <w:spacing w:val="-2"/>
        </w:rPr>
        <w:t>固定资产指为生产商品、提供劳务、出租或经营管理而持有，并且使用寿命超过一个会计年度</w:t>
      </w:r>
    </w:p>
    <w:p>
      <w:pPr>
        <w:pStyle w:val="BodyText"/>
        <w:spacing w:line="240" w:lineRule="auto" w:before="16"/>
        <w:ind w:right="2585"/>
        <w:jc w:val="left"/>
      </w:pPr>
      <w:r>
        <w:rPr/>
        <w:t>的有形资产。固定资产在同时满足下列条件时予以确认：</w:t>
      </w:r>
    </w:p>
    <w:p>
      <w:pPr>
        <w:pStyle w:val="BodyText"/>
        <w:spacing w:line="240" w:lineRule="auto" w:before="123"/>
        <w:ind w:left="638" w:right="2585"/>
        <w:jc w:val="left"/>
      </w:pPr>
      <w:r>
        <w:rPr/>
        <w:t>（</w:t>
      </w:r>
      <w:r>
        <w:rPr>
          <w:rFonts w:ascii="宋体" w:hAnsi="宋体" w:cs="宋体" w:eastAsia="宋体" w:hint="default"/>
        </w:rPr>
        <w:t>1</w:t>
      </w:r>
      <w:r>
        <w:rPr/>
        <w:t>）与该固定资产有关的经济利益很可能流入企业；</w:t>
      </w:r>
    </w:p>
    <w:p>
      <w:pPr>
        <w:pStyle w:val="BodyText"/>
        <w:spacing w:line="240" w:lineRule="auto" w:before="20"/>
        <w:ind w:left="638" w:right="2585"/>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97"/>
        <w:ind w:right="258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4.5</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9-18</w:t>
            </w:r>
          </w:p>
        </w:tc>
      </w:tr>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18-30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18-22.50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3.60</w:t>
            </w:r>
          </w:p>
        </w:tc>
      </w:tr>
    </w:tbl>
    <w:p>
      <w:pPr>
        <w:spacing w:line="240" w:lineRule="auto" w:before="9"/>
        <w:rPr>
          <w:rFonts w:ascii="宋体" w:hAnsi="宋体" w:cs="宋体" w:eastAsia="宋体" w:hint="default"/>
          <w:sz w:val="24"/>
          <w:szCs w:val="24"/>
        </w:rPr>
      </w:pPr>
    </w:p>
    <w:p>
      <w:pPr>
        <w:pStyle w:val="Heading2"/>
        <w:spacing w:line="240" w:lineRule="auto"/>
        <w:ind w:right="258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364" w:lineRule="auto" w:before="97"/>
        <w:ind w:left="638" w:right="0" w:hanging="420"/>
        <w:jc w:val="left"/>
      </w:pPr>
      <w:r>
        <w:rPr/>
        <w:t>√适用</w:t>
      </w:r>
      <w:r>
        <w:rPr>
          <w:spacing w:val="-2"/>
        </w:rPr>
        <w:t> </w:t>
      </w:r>
      <w:r>
        <w:rPr/>
        <w:t>□不适用</w:t>
      </w:r>
      <w:r>
        <w:rPr>
          <w:spacing w:val="-103"/>
        </w:rPr>
        <w:t> </w:t>
      </w:r>
      <w:r>
        <w:rPr>
          <w:spacing w:val="-103"/>
        </w:rPr>
      </w:r>
      <w:r>
        <w:rPr>
          <w:spacing w:val="-2"/>
        </w:rPr>
        <w:t>公司与租赁方所签订的租赁协议条款中规定了下列条件之一的，确认为融资租入资产：</w:t>
      </w:r>
    </w:p>
    <w:p>
      <w:pPr>
        <w:pStyle w:val="BodyText"/>
        <w:spacing w:line="240" w:lineRule="auto" w:before="16"/>
        <w:ind w:left="638" w:right="2585"/>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7"/>
        <w:ind w:left="638"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10"/>
        <w:ind w:left="638" w:right="2585"/>
        <w:jc w:val="left"/>
      </w:pPr>
      <w:r>
        <w:rPr/>
        <w:t>（</w:t>
      </w:r>
      <w:r>
        <w:rPr>
          <w:rFonts w:ascii="Times New Roman" w:hAnsi="Times New Roman" w:cs="Times New Roman" w:eastAsia="Times New Roman" w:hint="default"/>
        </w:rPr>
        <w:t>3</w:t>
      </w:r>
      <w:r>
        <w:rPr/>
        <w:t>）租赁期占所租赁资产使用寿命的大部分；</w:t>
      </w:r>
    </w:p>
    <w:p>
      <w:pPr>
        <w:pStyle w:val="BodyText"/>
        <w:spacing w:line="242" w:lineRule="auto" w:before="110"/>
        <w:ind w:left="638" w:right="0"/>
        <w:jc w:val="left"/>
      </w:pPr>
      <w:r>
        <w:rPr/>
        <w:t>（</w:t>
      </w:r>
      <w:r>
        <w:rPr>
          <w:rFonts w:ascii="Times New Roman" w:hAnsi="Times New Roman" w:cs="Times New Roman" w:eastAsia="Times New Roman" w:hint="default"/>
        </w:rPr>
        <w:t>4</w:t>
      </w:r>
      <w:r>
        <w:rPr/>
        <w:t>）租赁开始日的最低租赁付款额现值，与该资产的公允价值不存在较大的差异。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w:t>
      </w:r>
    </w:p>
    <w:p>
      <w:pPr>
        <w:pStyle w:val="BodyText"/>
        <w:spacing w:line="240" w:lineRule="auto" w:before="35"/>
        <w:ind w:right="0"/>
        <w:jc w:val="left"/>
      </w:pPr>
      <w:r>
        <w:rPr/>
        <w:t>入账价值，将最低租赁付款额作为长期应付款的入账价值，其差额作为未确认的融资费。</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73" w:lineRule="auto" w:before="97"/>
        <w:ind w:left="638" w:right="0" w:hanging="420"/>
        <w:jc w:val="left"/>
      </w:pPr>
      <w:r>
        <w:rPr/>
        <w:t>√适用</w:t>
      </w:r>
      <w:r>
        <w:rPr>
          <w:spacing w:val="-2"/>
        </w:rPr>
        <w:t> </w:t>
      </w:r>
      <w:r>
        <w:rPr/>
        <w:t>□不适用</w:t>
      </w:r>
      <w:r>
        <w:rPr>
          <w:spacing w:val="-103"/>
        </w:rPr>
        <w:t> </w:t>
      </w:r>
      <w:r>
        <w:rPr>
          <w:spacing w:val="-103"/>
        </w:rPr>
      </w:r>
      <w:r>
        <w:rPr>
          <w:spacing w:val="-2"/>
        </w:rPr>
        <w:t>在建工程项目按建造该项资产达到预定可使用状态前所发生的必要支出，作为固定资产的入账</w:t>
      </w:r>
    </w:p>
    <w:p>
      <w:pPr>
        <w:pStyle w:val="BodyText"/>
        <w:spacing w:line="273" w:lineRule="auto" w:before="7"/>
        <w:ind w:right="109"/>
        <w:jc w:val="both"/>
      </w:pPr>
      <w:r>
        <w:rPr>
          <w:spacing w:val="-2"/>
        </w:rPr>
        <w:t>价值。所建造的固定资产在工程已达到预定可使用状态，但尚未办理竣工决算的，自达到预定可使</w:t>
      </w:r>
      <w:r>
        <w:rPr>
          <w:spacing w:val="-25"/>
        </w:rPr>
        <w:t> </w:t>
      </w:r>
      <w:r>
        <w:rPr>
          <w:spacing w:val="-25"/>
        </w:rPr>
      </w:r>
      <w:r>
        <w:rPr>
          <w:spacing w:val="-2"/>
        </w:rPr>
        <w:t>用状态之日起，根据工程预算、造价或者工程实际成本等，按估计的价值转入固定资产，并按本公</w:t>
      </w:r>
      <w:r>
        <w:rPr>
          <w:spacing w:val="-25"/>
        </w:rPr>
        <w:t> </w:t>
      </w:r>
      <w:r>
        <w:rPr>
          <w:spacing w:val="-25"/>
        </w:rPr>
      </w:r>
      <w:r>
        <w:rPr>
          <w:spacing w:val="-6"/>
          <w:w w:val="100"/>
        </w:rPr>
        <w:t>司固定资产折旧政策计提固定资产的折旧，待办理竣工决算后，再按实际成本调整原来的暂估价值，</w:t>
      </w:r>
      <w:r>
        <w:rPr>
          <w:spacing w:val="-74"/>
          <w:w w:val="100"/>
        </w:rPr>
        <w:t> </w:t>
      </w:r>
      <w:r>
        <w:rPr>
          <w:spacing w:val="-74"/>
          <w:w w:val="100"/>
        </w:rPr>
      </w:r>
      <w:r>
        <w:rPr/>
        <w:t>但不调整原已计提的折旧额。</w:t>
      </w:r>
    </w:p>
    <w:p>
      <w:pPr>
        <w:spacing w:line="240" w:lineRule="auto" w:before="0"/>
        <w:rPr>
          <w:rFonts w:ascii="宋体" w:hAnsi="宋体" w:cs="宋体" w:eastAsia="宋体" w:hint="default"/>
          <w:sz w:val="29"/>
          <w:szCs w:val="29"/>
        </w:rPr>
      </w:pPr>
    </w:p>
    <w:p>
      <w:pPr>
        <w:pStyle w:val="Heading2"/>
        <w:spacing w:line="240" w:lineRule="auto" w:before="0"/>
        <w:ind w:right="2585"/>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spacing w:line="364" w:lineRule="auto" w:before="97"/>
        <w:ind w:left="638" w:right="5915"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、借款费用资本化的确认原则</w:t>
      </w:r>
      <w:r>
        <w:rPr>
          <w:rFonts w:ascii="宋体" w:hAnsi="宋体" w:cs="宋体" w:eastAsia="宋体" w:hint="default"/>
          <w:spacing w:val="-1"/>
          <w:sz w:val="21"/>
          <w:szCs w:val="21"/>
        </w:rPr>
      </w:r>
    </w:p>
    <w:p>
      <w:pPr>
        <w:pStyle w:val="BodyText"/>
        <w:spacing w:line="240" w:lineRule="auto" w:before="16"/>
        <w:ind w:left="638" w:right="0"/>
        <w:jc w:val="left"/>
      </w:pPr>
      <w:r>
        <w:rPr/>
        <w:t>借款费用，包括借款利息、折价或者溢价的摊销、辅助费用以及因外币借款而发生的汇兑差额</w:t>
      </w:r>
    </w:p>
    <w:p>
      <w:pPr>
        <w:spacing w:after="0" w:line="240" w:lineRule="auto"/>
        <w:jc w:val="left"/>
        <w:sectPr>
          <w:footerReference w:type="default" r:id="rId45"/>
          <w:pgSz w:w="11910" w:h="16840"/>
          <w:pgMar w:footer="974" w:header="643" w:top="1120" w:bottom="1160" w:left="1200" w:right="1300"/>
        </w:sectPr>
      </w:pPr>
    </w:p>
    <w:p>
      <w:pPr>
        <w:spacing w:line="240" w:lineRule="auto" w:before="5"/>
        <w:rPr>
          <w:rFonts w:ascii="宋体" w:hAnsi="宋体" w:cs="宋体" w:eastAsia="宋体" w:hint="default"/>
          <w:sz w:val="28"/>
          <w:szCs w:val="28"/>
        </w:rPr>
      </w:pPr>
    </w:p>
    <w:p>
      <w:pPr>
        <w:pStyle w:val="BodyText"/>
        <w:spacing w:line="240" w:lineRule="auto" w:before="36"/>
        <w:ind w:left="178" w:right="0"/>
        <w:jc w:val="both"/>
      </w:pPr>
      <w:r>
        <w:rPr/>
        <w:t>等。</w:t>
      </w:r>
    </w:p>
    <w:p>
      <w:pPr>
        <w:pStyle w:val="BodyText"/>
        <w:spacing w:line="348" w:lineRule="auto" w:before="126"/>
        <w:ind w:left="178" w:right="207" w:firstLine="420"/>
        <w:jc w:val="left"/>
      </w:pPr>
      <w:r>
        <w:rPr>
          <w:spacing w:val="-2"/>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p>
    <w:p>
      <w:pPr>
        <w:pStyle w:val="BodyText"/>
        <w:spacing w:line="350" w:lineRule="auto" w:before="31"/>
        <w:ind w:left="178" w:right="207" w:firstLine="420"/>
        <w:jc w:val="left"/>
      </w:pPr>
      <w:r>
        <w:rPr>
          <w:spacing w:val="-2"/>
        </w:rPr>
        <w:t>符合资本化条件的资产，是指需要经过相当长时间的购建或者生产活动才能达到预定可使用或</w:t>
      </w:r>
      <w:r>
        <w:rPr>
          <w:w w:val="100"/>
        </w:rPr>
        <w:t> </w:t>
      </w:r>
      <w:r>
        <w:rPr/>
        <w:t>者可销售状态的固定资产、投资性房地产和存货等资产。</w:t>
      </w:r>
    </w:p>
    <w:p>
      <w:pPr>
        <w:pStyle w:val="BodyText"/>
        <w:spacing w:line="240" w:lineRule="auto" w:before="27"/>
        <w:ind w:left="598" w:right="207"/>
        <w:jc w:val="left"/>
      </w:pPr>
      <w:r>
        <w:rPr/>
        <w:t>借款费用同时满足下列条件时开始资本化：</w:t>
      </w:r>
    </w:p>
    <w:p>
      <w:pPr>
        <w:pStyle w:val="BodyText"/>
        <w:spacing w:line="331" w:lineRule="auto" w:before="126"/>
        <w:ind w:left="178" w:right="0" w:firstLine="420"/>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44"/>
        <w:ind w:left="598" w:right="207"/>
        <w:jc w:val="left"/>
      </w:pPr>
      <w:r>
        <w:rPr/>
        <w:t>（</w:t>
      </w:r>
      <w:r>
        <w:rPr>
          <w:rFonts w:ascii="Times New Roman" w:hAnsi="Times New Roman" w:cs="Times New Roman" w:eastAsia="Times New Roman" w:hint="default"/>
        </w:rPr>
        <w:t>2</w:t>
      </w:r>
      <w:r>
        <w:rPr/>
        <w:t>）借款费用已经发生；</w:t>
      </w:r>
    </w:p>
    <w:p>
      <w:pPr>
        <w:pStyle w:val="BodyText"/>
        <w:spacing w:line="328" w:lineRule="auto" w:before="110"/>
        <w:ind w:left="598" w:right="20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spacing w:val="-2"/>
        </w:rPr>
        <w:t>资本化期间，指从借款费用开始资本化时点到停止资本化时点的期间，借款费用暂停资本化的</w:t>
      </w:r>
    </w:p>
    <w:p>
      <w:pPr>
        <w:pStyle w:val="BodyText"/>
        <w:spacing w:line="350" w:lineRule="auto" w:before="48"/>
        <w:ind w:left="598" w:right="207" w:hanging="420"/>
        <w:jc w:val="left"/>
      </w:pPr>
      <w:r>
        <w:rPr/>
        <w:t>期间不包括在内。</w:t>
      </w:r>
      <w:r>
        <w:rPr>
          <w:w w:val="100"/>
        </w:rPr>
        <w:t> </w:t>
      </w:r>
      <w:r>
        <w:rPr>
          <w:spacing w:val="-2"/>
        </w:rPr>
        <w:t>当购建或者生产符合资本化条件的资产达到预定可使用或者可销售状态时，借款费用停止资本</w:t>
      </w:r>
    </w:p>
    <w:p>
      <w:pPr>
        <w:pStyle w:val="BodyText"/>
        <w:spacing w:line="240" w:lineRule="auto" w:before="27"/>
        <w:ind w:left="178" w:right="0"/>
        <w:jc w:val="both"/>
      </w:pPr>
      <w:r>
        <w:rPr/>
        <w:t>化。</w:t>
      </w:r>
    </w:p>
    <w:p>
      <w:pPr>
        <w:pStyle w:val="BodyText"/>
        <w:spacing w:line="350" w:lineRule="auto" w:before="126"/>
        <w:ind w:left="178" w:right="207" w:firstLine="420"/>
        <w:jc w:val="left"/>
      </w:pPr>
      <w:r>
        <w:rPr>
          <w:spacing w:val="-2"/>
        </w:rPr>
        <w:t>当购建或者生产符合资本化条件的资产中部分项目分别完工且可单独使用时，该部分资产借款</w:t>
      </w:r>
      <w:r>
        <w:rPr>
          <w:w w:val="100"/>
        </w:rPr>
        <w:t> </w:t>
      </w:r>
      <w:r>
        <w:rPr/>
        <w:t>费用停止资本化。</w:t>
      </w:r>
    </w:p>
    <w:p>
      <w:pPr>
        <w:pStyle w:val="BodyText"/>
        <w:spacing w:line="350" w:lineRule="auto" w:before="27"/>
        <w:ind w:left="178" w:right="207" w:firstLine="420"/>
        <w:jc w:val="left"/>
      </w:pPr>
      <w:r>
        <w:rPr>
          <w:spacing w:val="-2"/>
        </w:rPr>
        <w:t>购建或者生产的资产的各部分分别完工，但必须等到整体完工后才可使用或可对外销售的，在</w:t>
      </w:r>
      <w:r>
        <w:rPr>
          <w:w w:val="100"/>
        </w:rPr>
        <w:t> </w:t>
      </w:r>
      <w:r>
        <w:rPr/>
        <w:t>该资产整体完工时停止借款费用资本化。</w:t>
      </w:r>
    </w:p>
    <w:p>
      <w:pPr>
        <w:pStyle w:val="BodyText"/>
        <w:spacing w:line="328" w:lineRule="auto" w:before="29"/>
        <w:ind w:left="598" w:right="99" w:firstLine="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spacing w:val="-4"/>
        </w:rPr>
        <w:t>符合资本化条件的资产在购建或生产过程中发生的非正常中断、且中断时间连续超过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个月的，</w:t>
      </w:r>
    </w:p>
    <w:p>
      <w:pPr>
        <w:pStyle w:val="BodyText"/>
        <w:spacing w:line="348" w:lineRule="auto" w:before="24"/>
        <w:ind w:left="178" w:right="209"/>
        <w:jc w:val="both"/>
      </w:pPr>
      <w:r>
        <w:rPr>
          <w:spacing w:val="-2"/>
        </w:rPr>
        <w:t>则借款费用暂停资本化；该项中断如是所购建或生产的符合资本化条件的资产达到预定可使用状态</w:t>
      </w:r>
      <w:r>
        <w:rPr>
          <w:spacing w:val="-25"/>
        </w:rPr>
        <w:t> </w:t>
      </w:r>
      <w:r>
        <w:rPr>
          <w:spacing w:val="-25"/>
        </w:rPr>
      </w:r>
      <w:r>
        <w:rPr>
          <w:spacing w:val="-6"/>
          <w:w w:val="100"/>
        </w:rPr>
        <w:t>或者可销售状态必要的程序，则借款费用继续资本化。在中断期间发生的借款费用确认为当期损益，</w:t>
      </w:r>
      <w:r>
        <w:rPr>
          <w:spacing w:val="-74"/>
          <w:w w:val="100"/>
        </w:rPr>
        <w:t> </w:t>
      </w:r>
      <w:r>
        <w:rPr>
          <w:spacing w:val="-74"/>
          <w:w w:val="100"/>
        </w:rPr>
      </w:r>
      <w:r>
        <w:rPr/>
        <w:t>直至资产的购建或者生产活动重新开始后借款费用继续资本化。</w:t>
      </w:r>
    </w:p>
    <w:p>
      <w:pPr>
        <w:spacing w:line="331" w:lineRule="auto" w:before="31"/>
        <w:ind w:left="598"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w:t>
      </w:r>
    </w:p>
    <w:p>
      <w:pPr>
        <w:pStyle w:val="BodyText"/>
        <w:spacing w:line="350" w:lineRule="auto" w:before="43"/>
        <w:ind w:left="178" w:right="207"/>
        <w:jc w:val="left"/>
      </w:pPr>
      <w:r>
        <w:rPr>
          <w:spacing w:val="-2"/>
        </w:rPr>
        <w:t>款费用，减去尚未动用的借款资金存入银行取得的利息收入或进行暂时性投资取得的投资收益后的</w:t>
      </w:r>
      <w:r>
        <w:rPr>
          <w:spacing w:val="-25"/>
        </w:rPr>
        <w:t> </w:t>
      </w:r>
      <w:r>
        <w:rPr>
          <w:spacing w:val="-25"/>
        </w:rPr>
      </w:r>
      <w:r>
        <w:rPr/>
        <w:t>金额，来确定借款费用的资本化金额。</w:t>
      </w:r>
    </w:p>
    <w:p>
      <w:pPr>
        <w:pStyle w:val="BodyText"/>
        <w:spacing w:line="199" w:lineRule="exact"/>
        <w:ind w:left="178" w:right="207" w:firstLine="420"/>
        <w:jc w:val="left"/>
      </w:pPr>
      <w:r>
        <w:rPr/>
        <w:t>对于为购建或者生产符合资本化条件的资产而占用的一般借款，根据累计资产支出超过专门借</w:t>
      </w:r>
    </w:p>
    <w:p>
      <w:pPr>
        <w:pStyle w:val="BodyText"/>
        <w:spacing w:line="273" w:lineRule="auto" w:before="37"/>
        <w:ind w:left="178" w:right="207"/>
        <w:jc w:val="left"/>
      </w:pPr>
      <w:r>
        <w:rPr>
          <w:spacing w:val="-2"/>
        </w:rPr>
        <w:t>款部分的资产支出加权平均数乘以所占用一般借款的资本化率，计算确定一般借款应予资本化的借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p>
    <w:p>
      <w:pPr>
        <w:spacing w:line="240" w:lineRule="auto" w:before="0"/>
        <w:rPr>
          <w:rFonts w:ascii="宋体" w:hAnsi="宋体" w:cs="宋体" w:eastAsia="宋体" w:hint="default"/>
          <w:sz w:val="29"/>
          <w:szCs w:val="29"/>
        </w:rPr>
      </w:pPr>
    </w:p>
    <w:p>
      <w:pPr>
        <w:pStyle w:val="Heading2"/>
        <w:spacing w:line="240" w:lineRule="auto" w:before="0"/>
        <w:ind w:left="17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97"/>
        <w:ind w:left="178" w:right="0"/>
        <w:jc w:val="both"/>
      </w:pPr>
      <w:r>
        <w:rPr/>
        <w:t>√适用 □不适用</w:t>
      </w:r>
    </w:p>
    <w:p>
      <w:pPr>
        <w:pStyle w:val="BodyText"/>
        <w:spacing w:line="240" w:lineRule="auto" w:before="143"/>
        <w:ind w:left="598" w:right="207"/>
        <w:jc w:val="left"/>
      </w:pPr>
      <w:r>
        <w:rPr>
          <w:rFonts w:ascii="Times New Roman" w:hAnsi="Times New Roman" w:cs="Times New Roman" w:eastAsia="Times New Roman" w:hint="default"/>
        </w:rPr>
        <w:t>1</w:t>
      </w:r>
      <w:r>
        <w:rPr/>
        <w:t>、本公司的生物资产为生产性生物资产。</w:t>
      </w:r>
    </w:p>
    <w:p>
      <w:pPr>
        <w:spacing w:after="0" w:line="240" w:lineRule="auto"/>
        <w:jc w:val="left"/>
        <w:sectPr>
          <w:footerReference w:type="default" r:id="rId46"/>
          <w:pgSz w:w="11910" w:h="16840"/>
          <w:pgMar w:footer="974" w:header="643" w:top="1120" w:bottom="1160" w:left="1240" w:right="1200"/>
          <w:pgNumType w:start="111"/>
        </w:sectPr>
      </w:pPr>
    </w:p>
    <w:p>
      <w:pPr>
        <w:spacing w:line="240" w:lineRule="auto" w:before="5"/>
        <w:rPr>
          <w:rFonts w:ascii="宋体" w:hAnsi="宋体" w:cs="宋体" w:eastAsia="宋体" w:hint="default"/>
          <w:sz w:val="28"/>
          <w:szCs w:val="28"/>
        </w:rPr>
      </w:pPr>
    </w:p>
    <w:p>
      <w:pPr>
        <w:pStyle w:val="BodyText"/>
        <w:spacing w:line="240" w:lineRule="auto" w:before="36"/>
        <w:ind w:left="598" w:right="1815"/>
        <w:jc w:val="left"/>
      </w:pPr>
      <w:r>
        <w:rPr>
          <w:rFonts w:ascii="Times New Roman" w:hAnsi="Times New Roman" w:cs="Times New Roman" w:eastAsia="Times New Roman" w:hint="default"/>
        </w:rPr>
        <w:t>2</w:t>
      </w:r>
      <w:r>
        <w:rPr/>
        <w:t>、生物资产按成本进行初始计量。</w:t>
      </w:r>
    </w:p>
    <w:p>
      <w:pPr>
        <w:pStyle w:val="BodyText"/>
        <w:spacing w:line="328" w:lineRule="auto" w:before="110"/>
        <w:ind w:left="178" w:right="109" w:firstLine="420"/>
        <w:jc w:val="both"/>
      </w:pPr>
      <w:r>
        <w:rPr>
          <w:rFonts w:ascii="Times New Roman" w:hAnsi="Times New Roman" w:cs="Times New Roman" w:eastAsia="Times New Roman" w:hint="default"/>
          <w:spacing w:val="-3"/>
        </w:rPr>
        <w:t>3</w:t>
      </w:r>
      <w:r>
        <w:rPr>
          <w:spacing w:val="-3"/>
        </w:rPr>
        <w:t>、生产性生物资产在达到预定生产目的前发生的必要支出构成生产性生物资产的成本，达到预</w:t>
      </w:r>
      <w:r>
        <w:rPr>
          <w:w w:val="100"/>
        </w:rPr>
        <w:t> </w:t>
      </w:r>
      <w:r>
        <w:rPr/>
        <w:t>定生产目的后发生的后续支出，计入当期损益。</w:t>
      </w:r>
    </w:p>
    <w:p>
      <w:pPr>
        <w:pStyle w:val="BodyText"/>
        <w:spacing w:line="336" w:lineRule="auto" w:before="48"/>
        <w:ind w:left="178" w:right="109" w:firstLine="420"/>
        <w:jc w:val="both"/>
      </w:pPr>
      <w:r>
        <w:rPr>
          <w:rFonts w:ascii="Times New Roman" w:hAnsi="Times New Roman" w:cs="Times New Roman" w:eastAsia="Times New Roman" w:hint="default"/>
          <w:spacing w:val="-3"/>
        </w:rPr>
        <w:t>4</w:t>
      </w:r>
      <w:r>
        <w:rPr>
          <w:spacing w:val="-3"/>
        </w:rPr>
        <w:t>、本公司生物资产系油用牡丹，在达到预定生产经营目的次月起按年限平均法计提折旧，使用</w:t>
      </w:r>
      <w:r>
        <w:rPr>
          <w:w w:val="100"/>
        </w:rPr>
        <w:t> </w:t>
      </w:r>
      <w:r>
        <w:rPr/>
        <w:t>寿命确定为 </w:t>
      </w:r>
      <w:r>
        <w:rPr>
          <w:rFonts w:ascii="Times New Roman" w:hAnsi="Times New Roman" w:cs="Times New Roman" w:eastAsia="Times New Roman" w:hint="default"/>
        </w:rPr>
        <w:t>20 </w:t>
      </w:r>
      <w:r>
        <w:rPr>
          <w:spacing w:val="-4"/>
        </w:rPr>
        <w:t>年，残值率为零。公司每年度终了对使用寿命、预计净残值和折旧方法进行复核，如</w:t>
      </w:r>
      <w:r>
        <w:rPr>
          <w:spacing w:val="-83"/>
        </w:rPr>
        <w:t> </w:t>
      </w:r>
      <w:r>
        <w:rPr>
          <w:spacing w:val="-83"/>
        </w:rPr>
      </w:r>
      <w:r>
        <w:rPr>
          <w:spacing w:val="-2"/>
        </w:rPr>
        <w:t>使用寿命、预计净残值预期数与原先估计数有差异或经济利益实现方式有重大变化的，作为会计估</w:t>
      </w:r>
      <w:r>
        <w:rPr>
          <w:spacing w:val="-25"/>
        </w:rPr>
        <w:t> </w:t>
      </w:r>
      <w:r>
        <w:rPr>
          <w:spacing w:val="-25"/>
        </w:rPr>
      </w:r>
      <w:r>
        <w:rPr/>
        <w:t>计变更调整使用寿命或预计净残值或改变折旧方法。</w:t>
      </w:r>
    </w:p>
    <w:p>
      <w:pPr>
        <w:pStyle w:val="BodyText"/>
        <w:spacing w:line="211" w:lineRule="exact"/>
        <w:ind w:left="598" w:right="0"/>
        <w:jc w:val="left"/>
      </w:pPr>
      <w:r>
        <w:rPr>
          <w:rFonts w:ascii="宋体" w:hAnsi="宋体" w:cs="宋体" w:eastAsia="宋体" w:hint="default"/>
          <w:spacing w:val="-3"/>
        </w:rPr>
        <w:t>5</w:t>
      </w:r>
      <w:r>
        <w:rPr>
          <w:spacing w:val="-3"/>
        </w:rPr>
        <w:t>、生物资产出售、盘亏、死亡或毁损的处置收入扣除其账面价值和相关税费后的差额计入当期</w:t>
      </w:r>
    </w:p>
    <w:p>
      <w:pPr>
        <w:pStyle w:val="BodyText"/>
        <w:spacing w:line="240" w:lineRule="auto" w:before="37"/>
        <w:ind w:left="178" w:right="1815"/>
        <w:jc w:val="left"/>
      </w:pPr>
      <w:r>
        <w:rPr/>
        <w:t>损益。</w:t>
      </w:r>
    </w:p>
    <w:p>
      <w:pPr>
        <w:spacing w:line="240" w:lineRule="auto" w:before="0"/>
        <w:rPr>
          <w:rFonts w:ascii="宋体" w:hAnsi="宋体" w:cs="宋体" w:eastAsia="宋体" w:hint="default"/>
          <w:sz w:val="20"/>
          <w:szCs w:val="20"/>
        </w:rPr>
      </w:pPr>
    </w:p>
    <w:p>
      <w:pPr>
        <w:pStyle w:val="Heading2"/>
        <w:spacing w:line="240" w:lineRule="auto" w:before="148"/>
        <w:ind w:left="178" w:right="181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97"/>
        <w:ind w:left="178" w:right="1815"/>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178" w:right="579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spacing w:line="364" w:lineRule="auto" w:before="23"/>
        <w:ind w:left="598" w:right="6534"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331" w:lineRule="auto" w:before="14"/>
        <w:ind w:left="598"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w:t>
      </w:r>
    </w:p>
    <w:p>
      <w:pPr>
        <w:pStyle w:val="BodyText"/>
        <w:spacing w:line="348" w:lineRule="auto" w:before="46"/>
        <w:ind w:left="178" w:right="0"/>
        <w:jc w:val="left"/>
      </w:pPr>
      <w:r>
        <w:rPr>
          <w:spacing w:val="-2"/>
        </w:rPr>
        <w:t>生的其他支出。购买无形资产的价款超过正常信用条件延期支付，实质上具有融资性质的，无形资</w:t>
      </w:r>
      <w:r>
        <w:rPr>
          <w:spacing w:val="-25"/>
        </w:rPr>
        <w:t> </w:t>
      </w:r>
      <w:r>
        <w:rPr>
          <w:spacing w:val="-25"/>
        </w:rPr>
      </w:r>
      <w:r>
        <w:rPr/>
        <w:t>产的成本以购买价款的现值为基础确定。</w:t>
      </w:r>
    </w:p>
    <w:p>
      <w:pPr>
        <w:pStyle w:val="BodyText"/>
        <w:spacing w:line="350" w:lineRule="auto" w:before="31"/>
        <w:ind w:left="178" w:right="148" w:firstLine="420"/>
        <w:jc w:val="both"/>
      </w:pPr>
      <w:r>
        <w:rPr>
          <w:spacing w:val="-2"/>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50" w:lineRule="auto" w:before="27"/>
        <w:ind w:left="178" w:right="148" w:firstLine="420"/>
        <w:jc w:val="both"/>
      </w:pPr>
      <w:r>
        <w:rPr>
          <w:spacing w:val="-2"/>
        </w:rPr>
        <w:t>在非货币性资产交换具备商业实质且换入资产或换出资产的公允价值能够可靠计量的前提下，</w:t>
      </w:r>
      <w:r>
        <w:rPr>
          <w:w w:val="100"/>
        </w:rPr>
        <w:t> </w:t>
      </w:r>
      <w:r>
        <w:rPr>
          <w:spacing w:val="-2"/>
        </w:rPr>
        <w:t>非货币性资产交换换入的无形资产以换出资产的公允价值为基础确定其入账价值，除非有确凿证据</w:t>
      </w:r>
      <w:r>
        <w:rPr>
          <w:spacing w:val="-25"/>
        </w:rPr>
        <w:t> </w:t>
      </w:r>
      <w:r>
        <w:rPr>
          <w:spacing w:val="-25"/>
        </w:rPr>
      </w:r>
      <w:r>
        <w:rPr>
          <w:spacing w:val="-2"/>
        </w:rPr>
        <w:t>表明换入资产的公允价值更加可靠；不满足上述前提的非货币性资产交换，以换出资产的账面价值</w:t>
      </w:r>
      <w:r>
        <w:rPr>
          <w:spacing w:val="-25"/>
        </w:rPr>
        <w:t> </w:t>
      </w:r>
      <w:r>
        <w:rPr>
          <w:spacing w:val="-25"/>
        </w:rPr>
      </w:r>
      <w:r>
        <w:rPr/>
        <w:t>和应支付的相关税费作为换入无形资产的成本，不确认损益。</w:t>
      </w:r>
    </w:p>
    <w:p>
      <w:pPr>
        <w:pStyle w:val="BodyText"/>
        <w:spacing w:line="331" w:lineRule="auto" w:before="29"/>
        <w:ind w:left="598" w:right="3679"/>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50" w:lineRule="auto" w:before="43"/>
        <w:ind w:left="178" w:right="148" w:firstLine="420"/>
        <w:jc w:val="both"/>
      </w:pPr>
      <w:r>
        <w:rPr>
          <w:spacing w:val="-2"/>
        </w:rPr>
        <w:t>对于使用寿命有限的无形资产，在为企业带来经济利益的期限内按直线法摊销；无法预见无形</w:t>
      </w:r>
      <w:r>
        <w:rPr>
          <w:w w:val="100"/>
        </w:rPr>
        <w:t> </w:t>
      </w:r>
      <w:r>
        <w:rPr/>
        <w:t>资产为企业带来经济利益期限的，视为使用寿命不确定的无形资产，不予摊销。</w:t>
      </w:r>
    </w:p>
    <w:p>
      <w:pPr>
        <w:spacing w:line="240" w:lineRule="auto" w:before="0"/>
        <w:rPr>
          <w:rFonts w:ascii="宋体" w:hAnsi="宋体" w:cs="宋体" w:eastAsia="宋体" w:hint="default"/>
          <w:sz w:val="20"/>
          <w:szCs w:val="20"/>
        </w:rPr>
      </w:pPr>
    </w:p>
    <w:p>
      <w:pPr>
        <w:pStyle w:val="Heading2"/>
        <w:spacing w:line="240" w:lineRule="auto" w:before="166"/>
        <w:ind w:left="886" w:right="1815"/>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pStyle w:val="BodyText"/>
        <w:tabs>
          <w:tab w:pos="2509" w:val="left" w:leader="none"/>
          <w:tab w:pos="4408" w:val="left" w:leader="none"/>
          <w:tab w:pos="7353" w:val="left" w:leader="none"/>
        </w:tabs>
        <w:spacing w:line="240" w:lineRule="auto" w:before="11"/>
        <w:ind w:left="2086" w:right="0"/>
        <w:jc w:val="left"/>
      </w:pPr>
      <w:r>
        <w:rPr/>
        <w:pict>
          <v:group style="position:absolute;margin-left:100.580002pt;margin-top:.81367pt;width:264.650pt;height:1.6pt;mso-position-horizontal-relative:page;mso-position-vertical-relative:paragraph;z-index:-1113784" coordorigin="2012,16" coordsize="5293,32">
            <v:group style="position:absolute;left:2026;top:31;width:3234;height:2" coordorigin="2026,31" coordsize="3234,2">
              <v:shape style="position:absolute;left:2026;top:31;width:3234;height:2" coordorigin="2026,31" coordsize="3234,0" path="m2026,31l5259,31e" filled="false" stroked="true" strokeweight="1.44pt" strokecolor="#000000">
                <v:path arrowok="t"/>
              </v:shape>
              <v:shape style="position:absolute;left:5259;top:45;width:10;height:2" type="#_x0000_t75" stroked="false">
                <v:imagedata r:id="rId47" o:title=""/>
              </v:shape>
            </v:group>
            <v:group style="position:absolute;left:5259;top:31;width:29;height:2" coordorigin="5259,31" coordsize="29,2">
              <v:shape style="position:absolute;left:5259;top:31;width:29;height:2" coordorigin="5259,31" coordsize="29,0" path="m5259,31l5288,31e" filled="false" stroked="true" strokeweight="1.44pt" strokecolor="#000000">
                <v:path arrowok="t"/>
              </v:shape>
            </v:group>
            <v:group style="position:absolute;left:5288;top:31;width:2002;height:2" coordorigin="5288,31" coordsize="2002,2">
              <v:shape style="position:absolute;left:5288;top:31;width:2002;height:2" coordorigin="5288,31" coordsize="2002,0" path="m5288,31l7290,31e" filled="false" stroked="true" strokeweight="1.44pt" strokecolor="#000000">
                <v:path arrowok="t"/>
              </v:shape>
              <v:shape style="position:absolute;left:7290;top:45;width:10;height:2" type="#_x0000_t75" stroked="false">
                <v:imagedata r:id="rId47" o:title=""/>
              </v:shape>
            </v:group>
            <w10:wrap type="none"/>
          </v:group>
        </w:pict>
      </w:r>
      <w:r>
        <w:rPr/>
        <w:pict>
          <v:group style="position:absolute;margin-left:101.300003pt;margin-top:11.01365pt;width:414.45pt;height:5.4pt;mso-position-horizontal-relative:page;mso-position-vertical-relative:paragraph;z-index:-1113760" coordorigin="2026,220" coordsize="8289,108">
            <v:shape style="position:absolute;left:2026;top:220;width:3253;height:108" type="#_x0000_t75" stroked="false">
              <v:imagedata r:id="rId48" o:title=""/>
            </v:shape>
            <v:shape style="position:absolute;left:5255;top:316;width:2045;height:12" type="#_x0000_t75" stroked="false">
              <v:imagedata r:id="rId49" o:title=""/>
            </v:shape>
            <v:shape style="position:absolute;left:7285;top:319;width:3029;height:10" type="#_x0000_t75" stroked="false">
              <v:imagedata r:id="rId50" o:title=""/>
            </v:shape>
            <w10:wrap type="none"/>
          </v:group>
        </w:pict>
      </w:r>
      <w:r>
        <w:rPr/>
        <w:pict>
          <v:shape style="position:absolute;margin-left:100.580002pt;margin-top:.81367pt;width:415.15pt;height:46.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3"/>
                    <w:gridCol w:w="2031"/>
                    <w:gridCol w:w="3020"/>
                  </w:tblGrid>
                  <w:tr>
                    <w:trPr>
                      <w:trHeight w:val="122" w:hRule="exact"/>
                    </w:trPr>
                    <w:tc>
                      <w:tcPr>
                        <w:tcW w:w="325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3020" w:type="dxa"/>
                        <w:tcBorders>
                          <w:top w:val="single" w:sz="12" w:space="0" w:color="000000"/>
                          <w:left w:val="single" w:sz="4" w:space="0" w:color="000000"/>
                          <w:bottom w:val="nil" w:sz="6" w:space="0" w:color="auto"/>
                          <w:right w:val="nil" w:sz="6" w:space="0" w:color="auto"/>
                        </w:tcBorders>
                      </w:tcPr>
                      <w:p>
                        <w:pPr/>
                      </w:p>
                    </w:tc>
                  </w:tr>
                  <w:tr>
                    <w:trPr>
                      <w:trHeight w:val="66" w:hRule="exact"/>
                    </w:trPr>
                    <w:tc>
                      <w:tcPr>
                        <w:tcW w:w="325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3020" w:type="dxa"/>
                        <w:tcBorders>
                          <w:top w:val="nil" w:sz="6" w:space="0" w:color="auto"/>
                          <w:left w:val="single" w:sz="4" w:space="0" w:color="000000"/>
                          <w:bottom w:val="nil" w:sz="6" w:space="0" w:color="auto"/>
                          <w:right w:val="nil" w:sz="6" w:space="0" w:color="auto"/>
                        </w:tcBorders>
                      </w:tcPr>
                      <w:p>
                        <w:pPr/>
                      </w:p>
                    </w:tc>
                  </w:tr>
                  <w:tr>
                    <w:trPr>
                      <w:trHeight w:val="372" w:hRule="exact"/>
                    </w:trPr>
                    <w:tc>
                      <w:tcPr>
                        <w:tcW w:w="3253"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3"/>
                          <w:jc w:val="center"/>
                          <w:rPr>
                            <w:rFonts w:ascii="宋体" w:hAnsi="宋体" w:cs="宋体" w:eastAsia="宋体" w:hint="default"/>
                            <w:sz w:val="21"/>
                            <w:szCs w:val="21"/>
                          </w:rPr>
                        </w:pPr>
                        <w:r>
                          <w:rPr>
                            <w:rFonts w:ascii="宋体" w:hAnsi="宋体" w:cs="宋体" w:eastAsia="宋体" w:hint="default"/>
                            <w:w w:val="100"/>
                            <w:sz w:val="21"/>
                            <w:szCs w:val="21"/>
                          </w:rPr>
                          <w:t>注</w:t>
                        </w:r>
                      </w:p>
                    </w:tc>
                    <w:tc>
                      <w:tcPr>
                        <w:tcW w:w="3020"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8"/>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9" w:hRule="exact"/>
                    </w:trPr>
                    <w:tc>
                      <w:tcPr>
                        <w:tcW w:w="325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3020"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253" w:type="dxa"/>
                        <w:tcBorders>
                          <w:top w:val="nil" w:sz="6" w:space="0" w:color="auto"/>
                          <w:left w:val="nil" w:sz="6" w:space="0" w:color="auto"/>
                          <w:bottom w:val="single" w:sz="12"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031" w:type="dxa"/>
                        <w:tcBorders>
                          <w:top w:val="nil" w:sz="6" w:space="0" w:color="auto"/>
                          <w:left w:val="single" w:sz="4" w:space="0" w:color="000000"/>
                          <w:bottom w:val="single" w:sz="12"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2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tc>
                  </w:tr>
                </w:tbl>
                <w:p>
                  <w:pPr/>
                </w:p>
              </w:txbxContent>
            </v:textbox>
            <w10:wrap type="none"/>
          </v:shape>
        </w:pict>
      </w:r>
      <w:r>
        <w:rPr/>
        <w:t>项</w:t>
        <w:tab/>
        <w:t>目</w:t>
        <w:tab/>
      </w:r>
      <w:r>
        <w:rPr>
          <w:spacing w:val="-1"/>
        </w:rPr>
        <w:t>预计使用寿命</w:t>
        <w:tab/>
      </w:r>
      <w:r>
        <w:rPr/>
        <w:t>依据</w:t>
      </w:r>
    </w:p>
    <w:p>
      <w:pPr>
        <w:spacing w:line="240" w:lineRule="auto" w:before="5"/>
        <w:rPr>
          <w:rFonts w:ascii="宋体" w:hAnsi="宋体" w:cs="宋体" w:eastAsia="宋体" w:hint="default"/>
          <w:sz w:val="19"/>
          <w:szCs w:val="19"/>
        </w:rPr>
      </w:pPr>
    </w:p>
    <w:p>
      <w:pPr>
        <w:spacing w:line="110" w:lineRule="exact"/>
        <w:ind w:left="786"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14.45pt;height:5.55pt;mso-position-horizontal-relative:char;mso-position-vertical-relative:line" coordorigin="0,0" coordsize="8289,111">
            <v:shape style="position:absolute;left:0;top:0;width:3253;height:110" type="#_x0000_t75" stroked="false">
              <v:imagedata r:id="rId51" o:title=""/>
            </v:shape>
            <v:shape style="position:absolute;left:3229;top:96;width:2045;height:14" type="#_x0000_t75" stroked="false">
              <v:imagedata r:id="rId52" o:title=""/>
            </v:shape>
            <v:shape style="position:absolute;left:5259;top:101;width:3029;height:10" type="#_x0000_t75" stroked="false">
              <v:imagedata r:id="rId50" o:title=""/>
            </v:shape>
          </v:group>
        </w:pict>
      </w:r>
      <w:r>
        <w:rPr>
          <w:rFonts w:ascii="宋体" w:hAnsi="宋体" w:cs="宋体" w:eastAsia="宋体" w:hint="default"/>
          <w:position w:val="-1"/>
          <w:sz w:val="11"/>
          <w:szCs w:val="11"/>
        </w:rPr>
      </w:r>
    </w:p>
    <w:p>
      <w:pPr>
        <w:spacing w:line="240" w:lineRule="auto" w:before="7"/>
        <w:rPr>
          <w:rFonts w:ascii="宋体" w:hAnsi="宋体" w:cs="宋体" w:eastAsia="宋体" w:hint="default"/>
          <w:sz w:val="20"/>
          <w:szCs w:val="20"/>
        </w:rPr>
      </w:pPr>
    </w:p>
    <w:p>
      <w:pPr>
        <w:tabs>
          <w:tab w:pos="6050" w:val="left" w:leader="none"/>
        </w:tabs>
        <w:spacing w:line="20" w:lineRule="exact"/>
        <w:ind w:left="4019" w:right="0" w:firstLine="0"/>
        <w:rPr>
          <w:rFonts w:ascii="宋体" w:hAnsi="宋体" w:cs="宋体" w:eastAsia="宋体" w:hint="default"/>
          <w:sz w:val="2"/>
          <w:szCs w:val="2"/>
        </w:rPr>
      </w:pPr>
      <w:r>
        <w:rPr>
          <w:rFonts w:ascii="宋体"/>
          <w:sz w:val="2"/>
        </w:rPr>
        <w:drawing>
          <wp:inline distT="0" distB="0" distL="0" distR="0">
            <wp:extent cx="5905" cy="2952"/>
            <wp:effectExtent l="0" t="0" r="0" b="0"/>
            <wp:docPr id="13" name="image14.png" descr=""/>
            <wp:cNvGraphicFramePr>
              <a:graphicFrameLocks noChangeAspect="1"/>
            </wp:cNvGraphicFramePr>
            <a:graphic>
              <a:graphicData uri="http://schemas.openxmlformats.org/drawingml/2006/picture">
                <pic:pic>
                  <pic:nvPicPr>
                    <pic:cNvPr id="14" name="image14.png"/>
                    <pic:cNvPicPr/>
                  </pic:nvPicPr>
                  <pic:blipFill>
                    <a:blip r:embed="rId53" cstate="print"/>
                    <a:stretch>
                      <a:fillRect/>
                    </a:stretch>
                  </pic:blipFill>
                  <pic:spPr>
                    <a:xfrm>
                      <a:off x="0" y="0"/>
                      <a:ext cx="5905" cy="295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05" cy="2952"/>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53" cstate="print"/>
                    <a:stretch>
                      <a:fillRect/>
                    </a:stretch>
                  </pic:blipFill>
                  <pic:spPr>
                    <a:xfrm>
                      <a:off x="0" y="0"/>
                      <a:ext cx="5905" cy="2952"/>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643" w:footer="974" w:top="1120" w:bottom="1160" w:left="1240" w:right="1300"/>
        </w:sectPr>
      </w:pPr>
    </w:p>
    <w:p>
      <w:pPr>
        <w:spacing w:line="240" w:lineRule="auto" w:before="3"/>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456.1pt;height:.75pt;mso-position-horizontal-relative:char;mso-position-vertical-relative:line" coordorigin="0,0" coordsize="9122,15">
            <v:group style="position:absolute;left:7;top:7;width:9107;height:2" coordorigin="7,7" coordsize="9107,2">
              <v:shape style="position:absolute;left:7;top:7;width:9107;height:2" coordorigin="7,7" coordsize="9107,0" path="m7,7l9114,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3"/>
          <w:szCs w:val="23"/>
        </w:rPr>
      </w:pPr>
    </w:p>
    <w:p>
      <w:pPr>
        <w:spacing w:line="31" w:lineRule="exact"/>
        <w:ind w:left="771" w:right="0" w:firstLine="0"/>
        <w:rPr>
          <w:rFonts w:ascii="宋体" w:hAnsi="宋体" w:cs="宋体" w:eastAsia="宋体" w:hint="default"/>
          <w:sz w:val="3"/>
          <w:szCs w:val="3"/>
        </w:rPr>
      </w:pPr>
      <w:r>
        <w:rPr>
          <w:rFonts w:ascii="宋体" w:hAnsi="宋体" w:cs="宋体" w:eastAsia="宋体" w:hint="default"/>
          <w:position w:val="0"/>
          <w:sz w:val="3"/>
          <w:szCs w:val="3"/>
        </w:rPr>
        <w:pict>
          <v:group style="width:264.650pt;height:1.6pt;mso-position-horizontal-relative:char;mso-position-vertical-relative:line" coordorigin="0,0" coordsize="5293,32">
            <v:group style="position:absolute;left:14;top:14;width:3234;height:2" coordorigin="14,14" coordsize="3234,2">
              <v:shape style="position:absolute;left:14;top:14;width:3234;height:2" coordorigin="14,14" coordsize="3234,0" path="m14,14l3248,14e" filled="false" stroked="true" strokeweight="1.44pt" strokecolor="#000000">
                <v:path arrowok="t"/>
              </v:shape>
              <v:shape style="position:absolute;left:3248;top:29;width:10;height:2" type="#_x0000_t75" stroked="false">
                <v:imagedata r:id="rId54" o:title=""/>
              </v:shape>
            </v:group>
            <v:group style="position:absolute;left:3248;top:14;width:29;height:2" coordorigin="3248,14" coordsize="29,2">
              <v:shape style="position:absolute;left:3248;top:14;width:29;height:2" coordorigin="3248,14" coordsize="29,0" path="m3248,14l3277,14e" filled="false" stroked="true" strokeweight="1.44pt" strokecolor="#000000">
                <v:path arrowok="t"/>
              </v:shape>
            </v:group>
            <v:group style="position:absolute;left:3277;top:14;width:2002;height:2" coordorigin="3277,14" coordsize="2002,2">
              <v:shape style="position:absolute;left:3277;top:14;width:2002;height:2" coordorigin="3277,14" coordsize="2002,0" path="m3277,14l5279,14e" filled="false" stroked="true" strokeweight="1.44pt" strokecolor="#000000">
                <v:path arrowok="t"/>
              </v:shape>
              <v:shape style="position:absolute;left:5279;top:29;width:10;height:2" type="#_x0000_t75" stroked="false">
                <v:imagedata r:id="rId54" o:title=""/>
              </v:shape>
            </v:group>
          </v:group>
        </w:pict>
      </w:r>
      <w:r>
        <w:rPr>
          <w:rFonts w:ascii="宋体" w:hAnsi="宋体" w:cs="宋体" w:eastAsia="宋体" w:hint="default"/>
          <w:position w:val="0"/>
          <w:sz w:val="3"/>
          <w:szCs w:val="3"/>
        </w:rPr>
      </w:r>
    </w:p>
    <w:p>
      <w:pPr>
        <w:pStyle w:val="BodyText"/>
        <w:tabs>
          <w:tab w:pos="2509" w:val="left" w:leader="none"/>
          <w:tab w:pos="4408" w:val="left" w:leader="none"/>
          <w:tab w:pos="7353" w:val="left" w:leader="none"/>
        </w:tabs>
        <w:spacing w:line="241" w:lineRule="exact"/>
        <w:ind w:left="2086" w:right="0"/>
        <w:jc w:val="left"/>
      </w:pPr>
      <w:r>
        <w:rPr/>
        <w:pict>
          <v:group style="position:absolute;margin-left:101.300003pt;margin-top:8.669980pt;width:414.45pt;height:5.4pt;mso-position-horizontal-relative:page;mso-position-vertical-relative:paragraph;z-index:-1113664" coordorigin="2026,173" coordsize="8289,108">
            <v:shape style="position:absolute;left:2026;top:173;width:3253;height:108" type="#_x0000_t75" stroked="false">
              <v:imagedata r:id="rId55" o:title=""/>
            </v:shape>
            <v:shape style="position:absolute;left:5255;top:269;width:2045;height:12" type="#_x0000_t75" stroked="false">
              <v:imagedata r:id="rId56" o:title=""/>
            </v:shape>
            <v:shape style="position:absolute;left:7285;top:272;width:3029;height:10" type="#_x0000_t75" stroked="false">
              <v:imagedata r:id="rId57" o:title=""/>
            </v:shape>
            <w10:wrap type="none"/>
          </v:group>
        </w:pict>
      </w:r>
      <w:r>
        <w:rPr/>
        <w:pict>
          <v:shape style="position:absolute;margin-left:100.580002pt;margin-top:-17.629999pt;width:424.3pt;height:46.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3"/>
                    <w:gridCol w:w="2031"/>
                    <w:gridCol w:w="3020"/>
                    <w:gridCol w:w="182"/>
                  </w:tblGrid>
                  <w:tr>
                    <w:trPr>
                      <w:trHeight w:val="336" w:hRule="exact"/>
                    </w:trPr>
                    <w:tc>
                      <w:tcPr>
                        <w:tcW w:w="325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single" w:sz="12"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123" w:hRule="exact"/>
                    </w:trPr>
                    <w:tc>
                      <w:tcPr>
                        <w:tcW w:w="325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3020" w:type="dxa"/>
                        <w:tcBorders>
                          <w:top w:val="single" w:sz="12" w:space="0" w:color="000000"/>
                          <w:left w:val="single" w:sz="4" w:space="0" w:color="000000"/>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68" w:hRule="exact"/>
                    </w:trPr>
                    <w:tc>
                      <w:tcPr>
                        <w:tcW w:w="325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3020" w:type="dxa"/>
                        <w:tcBorders>
                          <w:top w:val="nil" w:sz="6" w:space="0" w:color="auto"/>
                          <w:left w:val="single" w:sz="4" w:space="0" w:color="000000"/>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r>
                  <w:tr>
                    <w:trPr>
                      <w:trHeight w:val="396" w:hRule="exact"/>
                    </w:trPr>
                    <w:tc>
                      <w:tcPr>
                        <w:tcW w:w="3253" w:type="dxa"/>
                        <w:tcBorders>
                          <w:top w:val="nil" w:sz="6" w:space="0" w:color="auto"/>
                          <w:left w:val="nil" w:sz="6" w:space="0" w:color="auto"/>
                          <w:bottom w:val="single" w:sz="12" w:space="0" w:color="000000"/>
                          <w:right w:val="single" w:sz="4" w:space="0" w:color="000000"/>
                        </w:tcBorders>
                      </w:tcPr>
                      <w:p>
                        <w:pPr>
                          <w:pStyle w:val="TableParagraph"/>
                          <w:spacing w:line="240" w:lineRule="auto" w:before="73"/>
                          <w:ind w:left="12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0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20"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9"/>
                            <w:szCs w:val="29"/>
                          </w:rPr>
                        </w:pPr>
                      </w:p>
                    </w:tc>
                    <w:tc>
                      <w:tcPr>
                        <w:tcW w:w="18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项</w:t>
        <w:tab/>
        <w:t>目</w:t>
        <w:tab/>
      </w:r>
      <w:r>
        <w:rPr>
          <w:spacing w:val="-1"/>
        </w:rPr>
        <w:t>预计使用寿命</w:t>
        <w:tab/>
      </w:r>
      <w:r>
        <w:rPr/>
        <w:t>依据</w:t>
      </w:r>
    </w:p>
    <w:p>
      <w:pPr>
        <w:spacing w:line="240" w:lineRule="auto" w:before="8"/>
        <w:rPr>
          <w:rFonts w:ascii="宋体" w:hAnsi="宋体" w:cs="宋体" w:eastAsia="宋体" w:hint="default"/>
          <w:sz w:val="23"/>
          <w:szCs w:val="23"/>
        </w:rPr>
      </w:pPr>
    </w:p>
    <w:p>
      <w:pPr>
        <w:tabs>
          <w:tab w:pos="6050" w:val="left" w:leader="none"/>
        </w:tabs>
        <w:spacing w:line="20" w:lineRule="exact"/>
        <w:ind w:left="4019" w:right="0" w:firstLine="0"/>
        <w:rPr>
          <w:rFonts w:ascii="宋体" w:hAnsi="宋体" w:cs="宋体" w:eastAsia="宋体" w:hint="default"/>
          <w:sz w:val="2"/>
          <w:szCs w:val="2"/>
        </w:rPr>
      </w:pPr>
      <w:r>
        <w:rPr>
          <w:rFonts w:ascii="宋体"/>
          <w:sz w:val="2"/>
        </w:rPr>
        <w:drawing>
          <wp:inline distT="0" distB="0" distL="0" distR="0">
            <wp:extent cx="6096" cy="3048"/>
            <wp:effectExtent l="0" t="0" r="0" b="0"/>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54" cstate="print"/>
                    <a:stretch>
                      <a:fillRect/>
                    </a:stretch>
                  </pic:blipFill>
                  <pic:spPr>
                    <a:xfrm>
                      <a:off x="0" y="0"/>
                      <a:ext cx="6096" cy="304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3048"/>
            <wp:effectExtent l="0" t="0" r="0" b="0"/>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54" cstate="print"/>
                    <a:stretch>
                      <a:fillRect/>
                    </a:stretch>
                  </pic:blipFill>
                  <pic:spPr>
                    <a:xfrm>
                      <a:off x="0" y="0"/>
                      <a:ext cx="6096" cy="3048"/>
                    </a:xfrm>
                    <a:prstGeom prst="rect">
                      <a:avLst/>
                    </a:prstGeom>
                  </pic:spPr>
                </pic:pic>
              </a:graphicData>
            </a:graphic>
          </wp:inline>
        </w:drawing>
      </w:r>
      <w:r>
        <w:rPr>
          <w:rFonts w:ascii="宋体"/>
          <w:sz w:val="2"/>
        </w:rPr>
      </w:r>
    </w:p>
    <w:p>
      <w:pPr>
        <w:pStyle w:val="BodyText"/>
        <w:spacing w:line="357" w:lineRule="auto" w:before="87"/>
        <w:ind w:left="598" w:right="0"/>
        <w:jc w:val="left"/>
      </w:pPr>
      <w:r>
        <w:rPr>
          <w:spacing w:val="-2"/>
        </w:rPr>
        <w:t>注：公司的土地使用权按取得的土地使用权证规定的剩余使用年限认定其使用寿命。</w:t>
      </w:r>
      <w:r>
        <w:rPr>
          <w:spacing w:val="-35"/>
        </w:rPr>
        <w:t> </w:t>
      </w:r>
      <w:r>
        <w:rPr>
          <w:spacing w:val="-35"/>
        </w:rPr>
      </w:r>
      <w:r>
        <w:rPr/>
        <w:t>每年度终了，对使用寿命有限的无形资产的使用寿命及摊销方法进行复核。</w:t>
      </w:r>
      <w:r>
        <w:rPr>
          <w:w w:val="100"/>
        </w:rPr>
        <w:t> </w:t>
      </w: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338" w:lineRule="auto" w:before="162"/>
        <w:ind w:left="59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、划分研究阶段和开发阶段的具体标准</w:t>
      </w:r>
      <w:r>
        <w:rPr>
          <w:rFonts w:ascii="宋体" w:hAnsi="宋体" w:cs="宋体" w:eastAsia="宋体" w:hint="default"/>
          <w:b/>
          <w:bCs/>
          <w:w w:val="100"/>
          <w:sz w:val="21"/>
          <w:szCs w:val="21"/>
        </w:rPr>
        <w:t> </w:t>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pacing w:val="-2"/>
          <w:sz w:val="21"/>
          <w:szCs w:val="21"/>
        </w:rPr>
        <w:t>研究阶段：为获取并理解新的科学或技术知识等而进行的独创性的有计划调查、研究活动的阶</w:t>
      </w:r>
    </w:p>
    <w:p>
      <w:pPr>
        <w:pStyle w:val="BodyText"/>
        <w:spacing w:line="240" w:lineRule="auto" w:before="40"/>
        <w:ind w:left="178" w:right="0"/>
        <w:jc w:val="both"/>
      </w:pPr>
      <w:r>
        <w:rPr/>
        <w:t>段。</w:t>
      </w:r>
    </w:p>
    <w:p>
      <w:pPr>
        <w:pStyle w:val="BodyText"/>
        <w:spacing w:line="350" w:lineRule="auto" w:before="123"/>
        <w:ind w:left="178" w:right="0" w:firstLine="420"/>
        <w:jc w:val="left"/>
      </w:pPr>
      <w:r>
        <w:rPr>
          <w:spacing w:val="-2"/>
        </w:rPr>
        <w:t>开发阶段：在进行商业性生产或使用前，将研究成果或其他知识应用于某项计划或设计，以生</w:t>
      </w:r>
      <w:r>
        <w:rPr>
          <w:w w:val="100"/>
        </w:rPr>
        <w:t> </w:t>
      </w:r>
      <w:r>
        <w:rPr/>
        <w:t>产出新的或具有实质性改进的材料、装置、产品等活动的阶段。</w:t>
      </w:r>
    </w:p>
    <w:p>
      <w:pPr>
        <w:spacing w:line="240" w:lineRule="auto" w:before="0"/>
        <w:rPr>
          <w:rFonts w:ascii="宋体" w:hAnsi="宋体" w:cs="宋体" w:eastAsia="宋体" w:hint="default"/>
          <w:sz w:val="20"/>
          <w:szCs w:val="20"/>
        </w:rPr>
      </w:pPr>
    </w:p>
    <w:p>
      <w:pPr>
        <w:spacing w:line="350" w:lineRule="auto" w:before="166"/>
        <w:ind w:left="598" w:right="1815"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29"/>
        <w:ind w:left="598" w:right="181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7"/>
        <w:ind w:left="598" w:right="181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10"/>
        <w:ind w:left="178" w:right="0" w:firstLine="420"/>
        <w:jc w:val="left"/>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31" w:lineRule="auto" w:before="43"/>
        <w:ind w:left="178" w:right="0" w:firstLine="42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）有足够的技术、财务资源和其他资源支持，以完成该无形资产的开发，并有能力使用或出</w:t>
      </w:r>
      <w:r>
        <w:rPr>
          <w:w w:val="100"/>
        </w:rPr>
        <w:t> </w:t>
      </w:r>
      <w:r>
        <w:rPr/>
        <w:t>售该无形资产；</w:t>
      </w:r>
    </w:p>
    <w:p>
      <w:pPr>
        <w:pStyle w:val="BodyText"/>
        <w:spacing w:line="328" w:lineRule="auto" w:before="46"/>
        <w:ind w:left="598"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w:t>
      </w:r>
    </w:p>
    <w:p>
      <w:pPr>
        <w:pStyle w:val="BodyText"/>
        <w:spacing w:line="240" w:lineRule="auto" w:before="48"/>
        <w:ind w:left="178" w:right="0"/>
        <w:jc w:val="both"/>
      </w:pPr>
      <w:r>
        <w:rPr/>
        <w:t>计入当期损益。</w:t>
      </w:r>
    </w:p>
    <w:p>
      <w:pPr>
        <w:spacing w:line="240" w:lineRule="auto" w:before="0"/>
        <w:rPr>
          <w:rFonts w:ascii="宋体" w:hAnsi="宋体" w:cs="宋体" w:eastAsia="宋体" w:hint="default"/>
          <w:sz w:val="20"/>
          <w:szCs w:val="20"/>
        </w:rPr>
      </w:pPr>
    </w:p>
    <w:p>
      <w:pPr>
        <w:pStyle w:val="Heading2"/>
        <w:spacing w:line="240" w:lineRule="auto" w:before="131"/>
        <w:ind w:left="178"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97"/>
        <w:ind w:left="17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364" w:lineRule="auto" w:before="97"/>
        <w:ind w:left="598" w:right="0" w:hanging="420"/>
        <w:jc w:val="left"/>
      </w:pPr>
      <w:r>
        <w:rPr/>
        <w:t>√适用</w:t>
      </w:r>
      <w:r>
        <w:rPr>
          <w:spacing w:val="-2"/>
        </w:rPr>
        <w:t> </w:t>
      </w:r>
      <w:r>
        <w:rPr/>
        <w:t>□不适用</w:t>
      </w:r>
      <w:r>
        <w:rPr>
          <w:spacing w:val="-103"/>
        </w:rPr>
        <w:t> </w:t>
      </w:r>
      <w:r>
        <w:rPr>
          <w:spacing w:val="-103"/>
        </w:rPr>
      </w:r>
      <w:r>
        <w:rPr>
          <w:spacing w:val="-6"/>
        </w:rPr>
        <w:t>长期股权投资、固定资产、在建工程、使用寿命有限的无形资产、生产性生物资产等长期资产，</w:t>
      </w:r>
    </w:p>
    <w:p>
      <w:pPr>
        <w:pStyle w:val="BodyText"/>
        <w:spacing w:line="350" w:lineRule="auto" w:before="14"/>
        <w:ind w:left="178" w:right="148"/>
        <w:jc w:val="both"/>
      </w:pPr>
      <w:r>
        <w:rPr>
          <w:spacing w:val="-2"/>
        </w:rPr>
        <w:t>于资产负债表日存在减值迹象的，进行减值测试。减值测试结果表明资产的可收回金额低于其账面</w:t>
      </w:r>
      <w:r>
        <w:rPr>
          <w:spacing w:val="-25"/>
        </w:rPr>
        <w:t> </w:t>
      </w:r>
      <w:r>
        <w:rPr>
          <w:spacing w:val="-25"/>
        </w:rPr>
      </w:r>
      <w:r>
        <w:rPr>
          <w:spacing w:val="-2"/>
        </w:rPr>
        <w:t>价值的，按其差额计提减值准备并计入减值损失。可收回金额为资产的公允价值减去处置费用后的</w:t>
      </w:r>
      <w:r>
        <w:rPr>
          <w:spacing w:val="-25"/>
        </w:rPr>
        <w:t> </w:t>
      </w:r>
      <w:r>
        <w:rPr>
          <w:spacing w:val="-25"/>
        </w:rPr>
      </w:r>
      <w:r>
        <w:rPr>
          <w:spacing w:val="-2"/>
        </w:rPr>
        <w:t>净额与资产预计未来现金流量的现值两者之间的较高者。资产减值准备按单项资产为基础计算并确</w:t>
      </w:r>
      <w:r>
        <w:rPr>
          <w:spacing w:val="-25"/>
        </w:rPr>
        <w:t> </w:t>
      </w:r>
      <w:r>
        <w:rPr>
          <w:spacing w:val="-25"/>
        </w:rPr>
      </w:r>
      <w:r>
        <w:rPr>
          <w:spacing w:val="-2"/>
        </w:rPr>
        <w:t>认，如果难以对单项资产的可收回金额进行估计的，以该资产所属的资产组确定资产组的可收回金</w:t>
      </w:r>
    </w:p>
    <w:p>
      <w:pPr>
        <w:spacing w:after="0" w:line="350" w:lineRule="auto"/>
        <w:jc w:val="both"/>
        <w:sectPr>
          <w:pgSz w:w="11910" w:h="16840"/>
          <w:pgMar w:header="643" w:footer="974" w:top="1080" w:bottom="1160" w:left="1240" w:right="1300"/>
        </w:sectPr>
      </w:pPr>
    </w:p>
    <w:p>
      <w:pPr>
        <w:spacing w:line="240" w:lineRule="auto" w:before="3"/>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456.1pt;height:.75pt;mso-position-horizontal-relative:char;mso-position-vertical-relative:line" coordorigin="0,0" coordsize="9122,15">
            <v:group style="position:absolute;left:7;top:7;width:9107;height:2" coordorigin="7,7" coordsize="9107,2">
              <v:shape style="position:absolute;left:7;top:7;width:9107;height:2" coordorigin="7,7" coordsize="9107,0" path="m7,7l9114,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BodyText"/>
        <w:spacing w:line="350" w:lineRule="auto" w:before="36"/>
        <w:ind w:left="598" w:right="1815" w:hanging="420"/>
        <w:jc w:val="left"/>
      </w:pPr>
      <w:r>
        <w:rPr>
          <w:spacing w:val="-2"/>
        </w:rPr>
        <w:t>额。资产组是能够独立产生现金流入的最小资产组合。</w:t>
      </w:r>
      <w:r>
        <w:rPr>
          <w:spacing w:val="-59"/>
        </w:rPr>
        <w:t> </w:t>
      </w:r>
      <w:r>
        <w:rPr>
          <w:spacing w:val="-59"/>
        </w:rPr>
      </w:r>
      <w:r>
        <w:rPr/>
        <w:t>商誉至少在每年年度终了进行减值测试。</w:t>
      </w:r>
    </w:p>
    <w:p>
      <w:pPr>
        <w:pStyle w:val="BodyText"/>
        <w:spacing w:line="350" w:lineRule="auto" w:before="27"/>
        <w:ind w:left="178" w:right="148" w:firstLine="420"/>
        <w:jc w:val="both"/>
      </w:pPr>
      <w:r>
        <w:rPr>
          <w:spacing w:val="-2"/>
        </w:rPr>
        <w:t>本公司进行商誉减值测试，对于因企业合并形成的商誉的账面价值，自购买日起按照合理的方</w:t>
      </w:r>
      <w:r>
        <w:rPr>
          <w:w w:val="100"/>
        </w:rPr>
        <w:t> </w:t>
      </w:r>
      <w:r>
        <w:rPr>
          <w:spacing w:val="-2"/>
        </w:rPr>
        <w:t>法分摊至相关的资产组；难以分摊至相关的资产组的，将其分摊至相关的资产组组合。在将商誉的</w:t>
      </w:r>
      <w:r>
        <w:rPr>
          <w:spacing w:val="-25"/>
        </w:rPr>
        <w:t> </w:t>
      </w:r>
      <w:r>
        <w:rPr>
          <w:spacing w:val="-25"/>
        </w:rPr>
      </w:r>
      <w:r>
        <w:rPr>
          <w:spacing w:val="-2"/>
        </w:rPr>
        <w:t>账面价值分摊至相关的资产组或者资产组组合时，按照各资产组或者资产组组合的公允价值占相关</w:t>
      </w:r>
      <w:r>
        <w:rPr>
          <w:spacing w:val="-25"/>
        </w:rPr>
        <w:t> </w:t>
      </w:r>
      <w:r>
        <w:rPr>
          <w:spacing w:val="-25"/>
        </w:rPr>
      </w:r>
      <w:r>
        <w:rPr>
          <w:spacing w:val="-2"/>
        </w:rPr>
        <w:t>资产组或者资产组组合公允价值总额的比例进行分摊。公允价值难以可靠计量的，按照各资产组或</w:t>
      </w:r>
      <w:r>
        <w:rPr>
          <w:spacing w:val="-25"/>
        </w:rPr>
        <w:t> </w:t>
      </w:r>
      <w:r>
        <w:rPr>
          <w:spacing w:val="-25"/>
        </w:rPr>
      </w:r>
      <w:r>
        <w:rPr/>
        <w:t>者资产组组合的账面价值占相关资产组或者资产组组合账面价值总额的比例进行分摊。</w:t>
      </w:r>
    </w:p>
    <w:p>
      <w:pPr>
        <w:pStyle w:val="BodyText"/>
        <w:spacing w:line="199" w:lineRule="exact"/>
        <w:ind w:left="178" w:right="0" w:firstLine="420"/>
        <w:jc w:val="left"/>
      </w:pPr>
      <w:r>
        <w:rPr/>
        <w:t>在对包含商誉的相关资产组或者资产组组合进行减值测试时，如与商誉相关的资产组或者资产</w:t>
      </w:r>
    </w:p>
    <w:p>
      <w:pPr>
        <w:pStyle w:val="BodyText"/>
        <w:spacing w:line="273" w:lineRule="auto" w:before="37"/>
        <w:ind w:left="178" w:right="109"/>
        <w:jc w:val="both"/>
      </w:pPr>
      <w:r>
        <w:rPr>
          <w:spacing w:val="-6"/>
          <w:w w:val="100"/>
        </w:rPr>
        <w:t>组组合存在减值迹象的，先对不包含商誉的资产组或者资产组组合进行减值测试，计算可收回金额，</w:t>
      </w:r>
      <w:r>
        <w:rPr>
          <w:spacing w:val="-75"/>
          <w:w w:val="100"/>
        </w:rPr>
        <w:t> </w:t>
      </w:r>
      <w:r>
        <w:rPr>
          <w:spacing w:val="-75"/>
          <w:w w:val="100"/>
        </w:rPr>
      </w:r>
      <w:r>
        <w:rPr>
          <w:spacing w:val="-2"/>
        </w:rPr>
        <w:t>并与相关账面价值相比较，确认相应的减值损失。再对包含商誉的资产组或者资产组组合进行减值</w:t>
      </w:r>
      <w:r>
        <w:rPr>
          <w:spacing w:val="-25"/>
        </w:rPr>
        <w:t> </w:t>
      </w:r>
      <w:r>
        <w:rPr>
          <w:spacing w:val="-25"/>
        </w:rPr>
      </w:r>
      <w:r>
        <w:rPr>
          <w:spacing w:val="-2"/>
        </w:rPr>
        <w:t>测试，比较这些相关资产组或者资产组组合的账面价值（包括所分摊的商誉的账面价值部分）与其</w:t>
      </w:r>
      <w:r>
        <w:rPr>
          <w:spacing w:val="-25"/>
        </w:rPr>
        <w:t> </w:t>
      </w:r>
      <w:r>
        <w:rPr>
          <w:spacing w:val="-25"/>
        </w:rPr>
      </w:r>
      <w:r>
        <w:rPr>
          <w:spacing w:val="-6"/>
          <w:w w:val="100"/>
        </w:rPr>
        <w:t>可收回金额，如相关资产组或者资产组组合的可收回金额低于其账面价值的，确认商誉的减值损失。</w:t>
      </w:r>
      <w:r>
        <w:rPr>
          <w:spacing w:val="-77"/>
          <w:w w:val="100"/>
        </w:rPr>
        <w:t> </w:t>
      </w:r>
      <w:r>
        <w:rPr>
          <w:spacing w:val="-77"/>
          <w:w w:val="100"/>
        </w:rPr>
      </w:r>
      <w:r>
        <w:rPr/>
        <w:t>上述资产减值损失一经确认，在以后会计期间不予转回。</w:t>
      </w:r>
    </w:p>
    <w:p>
      <w:pPr>
        <w:spacing w:line="240" w:lineRule="auto" w:before="0"/>
        <w:rPr>
          <w:rFonts w:ascii="宋体" w:hAnsi="宋体" w:cs="宋体" w:eastAsia="宋体" w:hint="default"/>
          <w:sz w:val="29"/>
          <w:szCs w:val="29"/>
        </w:rPr>
      </w:pPr>
    </w:p>
    <w:p>
      <w:pPr>
        <w:pStyle w:val="Heading2"/>
        <w:spacing w:line="240" w:lineRule="auto" w:before="0"/>
        <w:ind w:left="178" w:right="1815"/>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364" w:lineRule="auto" w:before="97"/>
        <w:ind w:left="598" w:right="0" w:hanging="420"/>
        <w:jc w:val="left"/>
      </w:pPr>
      <w:r>
        <w:rPr/>
        <w:t>√适用</w:t>
      </w:r>
      <w:r>
        <w:rPr>
          <w:spacing w:val="-2"/>
        </w:rPr>
        <w:t> </w:t>
      </w:r>
      <w:r>
        <w:rPr/>
        <w:t>□不适用</w:t>
      </w:r>
      <w:r>
        <w:rPr>
          <w:spacing w:val="-103"/>
        </w:rPr>
        <w:t> </w:t>
      </w:r>
      <w:r>
        <w:rPr>
          <w:spacing w:val="-103"/>
        </w:rPr>
      </w:r>
      <w:r>
        <w:rPr>
          <w:spacing w:val="-2"/>
        </w:rPr>
        <w:t>长期待摊费用为已经发生但应由本期和以后各期负担的分摊期限在一年以上的各项费用。本公</w:t>
      </w:r>
      <w:r>
        <w:rPr/>
      </w:r>
    </w:p>
    <w:p>
      <w:pPr>
        <w:pStyle w:val="BodyText"/>
        <w:spacing w:line="240" w:lineRule="auto" w:before="14"/>
        <w:ind w:left="178" w:right="1815"/>
        <w:jc w:val="left"/>
      </w:pPr>
      <w:r>
        <w:rPr/>
        <w:t>司长期待摊费用包括经营租入资产改良支出、长期租赁费。</w:t>
      </w:r>
    </w:p>
    <w:p>
      <w:pPr>
        <w:spacing w:line="331" w:lineRule="auto" w:before="126"/>
        <w:ind w:left="598" w:right="538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pStyle w:val="Heading2"/>
        <w:spacing w:line="240" w:lineRule="auto" w:before="43"/>
        <w:ind w:left="601" w:right="1815"/>
        <w:jc w:val="left"/>
        <w:rPr>
          <w:b w:val="0"/>
          <w:bCs w:val="0"/>
        </w:rPr>
      </w:pPr>
      <w:r>
        <w:rPr>
          <w:rFonts w:ascii="Times New Roman" w:hAnsi="Times New Roman" w:cs="Times New Roman" w:eastAsia="Times New Roman" w:hint="default"/>
        </w:rPr>
        <w:t>2</w:t>
      </w:r>
      <w:r>
        <w:rPr/>
        <w:t>、摊销年限</w:t>
      </w:r>
      <w:r>
        <w:rPr>
          <w:b w:val="0"/>
          <w:bCs w:val="0"/>
        </w:rPr>
      </w:r>
    </w:p>
    <w:p>
      <w:pPr>
        <w:pStyle w:val="BodyText"/>
        <w:spacing w:line="240" w:lineRule="auto" w:before="4"/>
        <w:ind w:left="598" w:right="0"/>
        <w:jc w:val="left"/>
      </w:pPr>
      <w:r>
        <w:rPr/>
        <w:t>公司经营租入固定资产装修按</w:t>
      </w:r>
      <w:r>
        <w:rPr>
          <w:spacing w:val="-55"/>
        </w:rPr>
        <w:t> </w:t>
      </w:r>
      <w:r>
        <w:rPr>
          <w:rFonts w:ascii="宋体" w:hAnsi="宋体" w:cs="宋体" w:eastAsia="宋体" w:hint="default"/>
        </w:rPr>
        <w:t>5</w:t>
      </w:r>
      <w:r>
        <w:rPr>
          <w:rFonts w:ascii="宋体" w:hAnsi="宋体" w:cs="宋体" w:eastAsia="宋体" w:hint="default"/>
          <w:spacing w:val="-57"/>
        </w:rPr>
        <w:t> </w:t>
      </w:r>
      <w:r>
        <w:rPr/>
        <w:t>年平均摊销，长期租赁费按租赁期平均摊销。</w:t>
      </w:r>
    </w:p>
    <w:p>
      <w:pPr>
        <w:spacing w:line="240" w:lineRule="auto" w:before="0"/>
        <w:rPr>
          <w:rFonts w:ascii="宋体" w:hAnsi="宋体" w:cs="宋体" w:eastAsia="宋体" w:hint="default"/>
          <w:sz w:val="20"/>
          <w:szCs w:val="20"/>
        </w:rPr>
      </w:pPr>
    </w:p>
    <w:p>
      <w:pPr>
        <w:pStyle w:val="Heading2"/>
        <w:spacing w:line="324" w:lineRule="auto" w:before="147"/>
        <w:ind w:left="178" w:right="6426"/>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64" w:lineRule="auto" w:before="23"/>
        <w:ind w:left="598" w:right="0" w:hanging="420"/>
        <w:jc w:val="left"/>
      </w:pPr>
      <w:r>
        <w:rPr/>
        <w:t>√适用</w:t>
      </w:r>
      <w:r>
        <w:rPr>
          <w:spacing w:val="-2"/>
        </w:rPr>
        <w:t> </w:t>
      </w:r>
      <w:r>
        <w:rPr/>
        <w:t>□不适用</w:t>
      </w:r>
      <w:r>
        <w:rPr>
          <w:spacing w:val="-103"/>
        </w:rPr>
        <w:t> </w:t>
      </w:r>
      <w:r>
        <w:rPr>
          <w:spacing w:val="-103"/>
        </w:rPr>
      </w:r>
      <w:r>
        <w:rPr>
          <w:spacing w:val="-2"/>
        </w:rPr>
        <w:t>本公司在职工为本公司提供服务的会计期间，将实际发生的短期薪酬确认为负债，并计入当期</w:t>
      </w:r>
    </w:p>
    <w:p>
      <w:pPr>
        <w:pStyle w:val="BodyText"/>
        <w:spacing w:line="348" w:lineRule="auto" w:before="17"/>
        <w:ind w:left="598" w:right="0" w:hanging="420"/>
        <w:jc w:val="left"/>
      </w:pPr>
      <w:r>
        <w:rPr/>
        <w:t>损益或相关资产成本。</w:t>
      </w:r>
      <w:r>
        <w:rPr>
          <w:w w:val="100"/>
        </w:rPr>
        <w:t> </w:t>
      </w:r>
      <w:r>
        <w:rPr>
          <w:spacing w:val="-2"/>
        </w:rPr>
        <w:t>本公司为职工缴纳的社会保险费和住房公积金，以及按规定提取的工会经费和职工教育经费，</w:t>
      </w:r>
    </w:p>
    <w:p>
      <w:pPr>
        <w:pStyle w:val="BodyText"/>
        <w:spacing w:line="350" w:lineRule="auto" w:before="31"/>
        <w:ind w:left="178" w:right="0"/>
        <w:jc w:val="left"/>
      </w:pPr>
      <w:r>
        <w:rPr>
          <w:spacing w:val="-2"/>
        </w:rPr>
        <w:t>在职工为本公司提供服务的会计期间，根据规定的计提基础和计提比例计算确定相应的职工薪酬金</w:t>
      </w:r>
      <w:r>
        <w:rPr>
          <w:spacing w:val="-25"/>
        </w:rPr>
        <w:t> </w:t>
      </w:r>
      <w:r>
        <w:rPr>
          <w:spacing w:val="-25"/>
        </w:rPr>
      </w:r>
      <w:r>
        <w:rPr/>
        <w:t>额。</w:t>
      </w:r>
    </w:p>
    <w:p>
      <w:pPr>
        <w:pStyle w:val="BodyText"/>
        <w:spacing w:line="196" w:lineRule="exact"/>
        <w:ind w:left="598" w:right="1815"/>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pStyle w:val="Heading2"/>
        <w:spacing w:line="240" w:lineRule="auto" w:before="147"/>
        <w:ind w:left="178" w:right="1815"/>
        <w:jc w:val="left"/>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97"/>
        <w:ind w:left="178" w:right="1815"/>
        <w:jc w:val="left"/>
      </w:pPr>
      <w:r>
        <w:rPr/>
        <w:t>√适用 □不适用</w:t>
      </w:r>
    </w:p>
    <w:p>
      <w:pPr>
        <w:pStyle w:val="BodyText"/>
        <w:spacing w:line="331" w:lineRule="auto" w:before="142"/>
        <w:ind w:left="598" w:right="0"/>
        <w:jc w:val="left"/>
      </w:pPr>
      <w:r>
        <w:rPr/>
        <w:t>（</w:t>
      </w:r>
      <w:r>
        <w:rPr>
          <w:rFonts w:ascii="Times New Roman" w:hAnsi="Times New Roman" w:cs="Times New Roman" w:eastAsia="Times New Roman" w:hint="default"/>
        </w:rPr>
        <w:t>1</w:t>
      </w:r>
      <w:r>
        <w:rPr/>
        <w:t>）设定提存计划</w:t>
      </w:r>
      <w:r>
        <w:rPr>
          <w:w w:val="100"/>
        </w:rPr>
        <w:t> </w:t>
      </w:r>
      <w:r>
        <w:rPr>
          <w:spacing w:val="-2"/>
        </w:rPr>
        <w:t>本公司按当地政府的相关规定为职工缴纳基本养老保险和失业保险，在职工为本公司提供服务</w:t>
      </w:r>
    </w:p>
    <w:p>
      <w:pPr>
        <w:spacing w:after="0" w:line="331" w:lineRule="auto"/>
        <w:jc w:val="left"/>
        <w:sectPr>
          <w:pgSz w:w="11910" w:h="16840"/>
          <w:pgMar w:header="643" w:footer="974" w:top="1080" w:bottom="1160" w:left="124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50" w:lineRule="auto"/>
        <w:ind w:left="178" w:right="207"/>
        <w:jc w:val="left"/>
      </w:pPr>
      <w:r>
        <w:rPr>
          <w:spacing w:val="-2"/>
        </w:rPr>
        <w:t>的会计期间，按以当地规定的缴纳基数和比例计算应缴纳金额，确认为负债，并计入当期损益或相</w:t>
      </w:r>
      <w:r>
        <w:rPr>
          <w:spacing w:val="-25"/>
        </w:rPr>
        <w:t> </w:t>
      </w:r>
      <w:r>
        <w:rPr>
          <w:spacing w:val="-25"/>
        </w:rPr>
      </w:r>
      <w:r>
        <w:rPr/>
        <w:t>关资产成本。</w:t>
      </w:r>
    </w:p>
    <w:p>
      <w:pPr>
        <w:pStyle w:val="BodyText"/>
        <w:spacing w:line="331" w:lineRule="auto" w:before="27"/>
        <w:ind w:left="598" w:right="207"/>
        <w:jc w:val="left"/>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w:t>
      </w:r>
    </w:p>
    <w:p>
      <w:pPr>
        <w:pStyle w:val="BodyText"/>
        <w:spacing w:line="256" w:lineRule="auto" w:before="46"/>
        <w:ind w:left="598" w:right="1489" w:hanging="420"/>
        <w:jc w:val="left"/>
      </w:pPr>
      <w:r>
        <w:rPr/>
        <w:t>务的期间，并计入当期损益或相关资产成本。</w:t>
      </w:r>
      <w:r>
        <w:rPr>
          <w:w w:val="100"/>
        </w:rPr>
        <w:t> </w:t>
      </w:r>
      <w:r>
        <w:rPr>
          <w:spacing w:val="-2"/>
        </w:rPr>
        <w:t>详见本附注“五、</w:t>
      </w:r>
      <w:r>
        <w:rPr>
          <w:rFonts w:ascii="宋体" w:hAnsi="宋体" w:cs="宋体" w:eastAsia="宋体" w:hint="default"/>
          <w:spacing w:val="-2"/>
        </w:rPr>
        <w:t>(</w:t>
      </w:r>
      <w:r>
        <w:rPr>
          <w:spacing w:val="-2"/>
        </w:rPr>
        <w:t>二十二</w:t>
      </w:r>
      <w:r>
        <w:rPr>
          <w:rFonts w:ascii="宋体" w:hAnsi="宋体" w:cs="宋体" w:eastAsia="宋体" w:hint="default"/>
          <w:spacing w:val="-2"/>
        </w:rPr>
        <w:t>)</w:t>
      </w:r>
      <w:r>
        <w:rPr>
          <w:spacing w:val="-2"/>
        </w:rPr>
        <w:t>应付职工薪酬”。</w:t>
      </w:r>
    </w:p>
    <w:p>
      <w:pPr>
        <w:spacing w:line="240" w:lineRule="auto" w:before="0"/>
        <w:rPr>
          <w:rFonts w:ascii="宋体" w:hAnsi="宋体" w:cs="宋体" w:eastAsia="宋体" w:hint="default"/>
          <w:sz w:val="20"/>
          <w:szCs w:val="20"/>
        </w:rPr>
      </w:pPr>
    </w:p>
    <w:p>
      <w:pPr>
        <w:pStyle w:val="Heading2"/>
        <w:spacing w:line="240" w:lineRule="auto" w:before="132"/>
        <w:ind w:left="178" w:right="207"/>
        <w:jc w:val="left"/>
        <w:rPr>
          <w:b w:val="0"/>
          <w:bCs w:val="0"/>
        </w:rPr>
      </w:pPr>
      <w:r>
        <w:rPr>
          <w:rFonts w:ascii="宋体" w:hAnsi="宋体" w:cs="宋体" w:eastAsia="宋体" w:hint="default"/>
        </w:rPr>
        <w:t>(3).</w:t>
      </w:r>
      <w:r>
        <w:rPr/>
        <w:t>辞退福利的会计处理方法</w:t>
      </w:r>
      <w:r>
        <w:rPr>
          <w:b w:val="0"/>
          <w:bCs w:val="0"/>
        </w:rPr>
      </w:r>
    </w:p>
    <w:p>
      <w:pPr>
        <w:pStyle w:val="BodyText"/>
        <w:spacing w:line="273" w:lineRule="auto" w:before="97"/>
        <w:ind w:left="598" w:right="207" w:hanging="420"/>
        <w:jc w:val="left"/>
      </w:pPr>
      <w:r>
        <w:rPr/>
        <w:t>√适用</w:t>
      </w:r>
      <w:r>
        <w:rPr>
          <w:spacing w:val="-2"/>
        </w:rPr>
        <w:t> </w:t>
      </w:r>
      <w:r>
        <w:rPr/>
        <w:t>□不适用</w:t>
      </w:r>
      <w:r>
        <w:rPr>
          <w:spacing w:val="-103"/>
        </w:rPr>
        <w:t> </w:t>
      </w:r>
      <w:r>
        <w:rPr>
          <w:spacing w:val="-103"/>
        </w:rPr>
      </w:r>
      <w:r>
        <w:rPr>
          <w:spacing w:val="-2"/>
        </w:rPr>
        <w:t>本公司在不能单方面撤回因解除劳动关系计划或裁减建议所提供的辞退福利时，或确认与涉及</w:t>
      </w:r>
    </w:p>
    <w:p>
      <w:pPr>
        <w:pStyle w:val="BodyText"/>
        <w:spacing w:line="273" w:lineRule="auto" w:before="7"/>
        <w:ind w:left="178" w:right="207"/>
        <w:jc w:val="left"/>
      </w:pPr>
      <w:r>
        <w:rPr>
          <w:spacing w:val="-2"/>
        </w:rPr>
        <w:t>支付辞退福利的重组相关的成本或费用时（两者孰早），确认辞退福利产生的职工薪酬负债，并计</w:t>
      </w:r>
      <w:r>
        <w:rPr>
          <w:spacing w:val="-25"/>
        </w:rPr>
        <w:t> </w:t>
      </w:r>
      <w:r>
        <w:rPr>
          <w:spacing w:val="-25"/>
        </w:rPr>
      </w:r>
      <w:r>
        <w:rPr/>
        <w:t>入当期损益。</w:t>
      </w:r>
    </w:p>
    <w:p>
      <w:pPr>
        <w:spacing w:line="240" w:lineRule="auto" w:before="0"/>
        <w:rPr>
          <w:rFonts w:ascii="宋体" w:hAnsi="宋体" w:cs="宋体" w:eastAsia="宋体" w:hint="default"/>
          <w:sz w:val="29"/>
          <w:szCs w:val="29"/>
        </w:rPr>
      </w:pPr>
    </w:p>
    <w:p>
      <w:pPr>
        <w:pStyle w:val="Heading2"/>
        <w:spacing w:line="240" w:lineRule="auto" w:before="0"/>
        <w:ind w:left="178" w:right="207"/>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40" w:lineRule="auto" w:before="97"/>
        <w:ind w:left="178" w:right="207"/>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207"/>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97"/>
        <w:ind w:left="178" w:right="207"/>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78" w:right="207"/>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364" w:lineRule="auto" w:before="97"/>
        <w:ind w:left="598" w:right="207" w:hanging="420"/>
        <w:jc w:val="left"/>
      </w:pPr>
      <w:r>
        <w:rPr/>
        <w:t>√适用</w:t>
      </w:r>
      <w:r>
        <w:rPr>
          <w:spacing w:val="-2"/>
        </w:rPr>
        <w:t> </w:t>
      </w:r>
      <w:r>
        <w:rPr/>
        <w:t>□不适用</w:t>
      </w:r>
      <w:r>
        <w:rPr>
          <w:spacing w:val="-103"/>
        </w:rPr>
        <w:t> </w:t>
      </w:r>
      <w:r>
        <w:rPr>
          <w:spacing w:val="-103"/>
        </w:rPr>
      </w:r>
      <w:r>
        <w:rPr>
          <w:spacing w:val="-2"/>
        </w:rPr>
        <w:t>本公司的股份支付是为了获取职工提供服务而授予权益工具或者承担以权益工具为基础确定的</w:t>
      </w:r>
    </w:p>
    <w:p>
      <w:pPr>
        <w:pStyle w:val="BodyText"/>
        <w:spacing w:line="350" w:lineRule="auto" w:before="16"/>
        <w:ind w:left="598" w:right="207" w:hanging="420"/>
        <w:jc w:val="left"/>
      </w:pPr>
      <w:r>
        <w:rPr/>
        <w:t>负债的交易。本公司的股份支付为以权益结算的股份支付。</w:t>
      </w:r>
      <w:r>
        <w:rPr>
          <w:w w:val="100"/>
        </w:rPr>
        <w:t> </w:t>
      </w:r>
      <w:r>
        <w:rPr>
          <w:spacing w:val="-2"/>
        </w:rPr>
        <w:t>以权益结算的股份支付换取职工提供服务的，以授予职工权益工具的公允价值计量。本公司以</w:t>
      </w:r>
    </w:p>
    <w:p>
      <w:pPr>
        <w:pStyle w:val="BodyText"/>
        <w:spacing w:line="350" w:lineRule="auto" w:before="27"/>
        <w:ind w:left="178" w:right="107"/>
        <w:jc w:val="left"/>
      </w:pPr>
      <w:r>
        <w:rPr/>
        <w:t>限制性股票进行股份支付的，职工出资认购股票，股票在达到解锁条件并解锁前不得上市流通或转</w:t>
      </w:r>
      <w:r>
        <w:rPr>
          <w:w w:val="100"/>
        </w:rPr>
        <w:t> </w:t>
      </w:r>
      <w:r>
        <w:rPr/>
        <w:t>让；如果最终股权激励计划规定的解锁条件未能达到，则本公司按照事先约定的价格回购股票。本</w:t>
      </w:r>
      <w:r>
        <w:rPr>
          <w:w w:val="100"/>
        </w:rPr>
        <w:t> </w:t>
      </w:r>
      <w:r>
        <w:rPr>
          <w:spacing w:val="-3"/>
          <w:w w:val="100"/>
        </w:rPr>
        <w:t>公司取得职工认购限制性股票支付的款项时，按照取得的认股款确认股本和资本公积（股本溢价），</w:t>
      </w:r>
      <w:r>
        <w:rPr>
          <w:spacing w:val="-103"/>
          <w:w w:val="100"/>
        </w:rPr>
        <w:t> </w:t>
      </w:r>
      <w:r>
        <w:rPr>
          <w:spacing w:val="-103"/>
          <w:w w:val="100"/>
        </w:rPr>
      </w:r>
      <w:r>
        <w:rPr/>
        <w:t>同时就回购义务全额确认一项负债并确认库存股。在等待期内每个资产负债表日，本公司根据最新</w:t>
      </w:r>
      <w:r>
        <w:rPr>
          <w:w w:val="100"/>
        </w:rPr>
        <w:t> </w:t>
      </w:r>
      <w:r>
        <w:rPr/>
        <w:t>取得的可行权职工人数变动、是否达到规定业绩条件等后续信息对可行权权益工具数量作出最佳估</w:t>
      </w:r>
      <w:r>
        <w:rPr>
          <w:w w:val="100"/>
        </w:rPr>
        <w:t> </w:t>
      </w:r>
      <w:r>
        <w:rPr/>
        <w:t>计，以此为基础，按照授予日的公允价值，将当期取得的服务计入相关成本或费用，相应增加资本</w:t>
      </w:r>
      <w:r>
        <w:rPr>
          <w:w w:val="100"/>
        </w:rPr>
        <w:t> </w:t>
      </w:r>
      <w:r>
        <w:rPr/>
        <w:t>公积。在可行权日之后不再对已确认的相关成本或费用和所有者权益总额进行调整。但授予后立即</w:t>
      </w:r>
      <w:r>
        <w:rPr>
          <w:w w:val="100"/>
        </w:rPr>
        <w:t> </w:t>
      </w:r>
      <w:r>
        <w:rPr/>
        <w:t>可行权的，在授予日按照公允价值计入相关成本或费用，相应增加资本公积。</w:t>
      </w:r>
    </w:p>
    <w:p>
      <w:pPr>
        <w:pStyle w:val="BodyText"/>
        <w:spacing w:line="348" w:lineRule="auto" w:before="29"/>
        <w:ind w:left="178" w:right="209" w:firstLine="420"/>
        <w:jc w:val="both"/>
      </w:pPr>
      <w:r>
        <w:rPr>
          <w:spacing w:val="-6"/>
          <w:w w:val="100"/>
        </w:rPr>
        <w:t>对于最终未能行权的股份支付，不确认成本或费用，除非行权条件是市场条件或非可行权条件，</w:t>
      </w:r>
      <w:r>
        <w:rPr>
          <w:w w:val="100"/>
        </w:rPr>
        <w:t> </w:t>
      </w:r>
      <w:r>
        <w:rPr>
          <w:spacing w:val="-2"/>
        </w:rPr>
        <w:t>此时无论是否满足市场条件或非可行权条件，只要满足所有可行权条件中的非市场条件，即视为可</w:t>
      </w:r>
      <w:r>
        <w:rPr>
          <w:spacing w:val="-25"/>
        </w:rPr>
        <w:t> </w:t>
      </w:r>
      <w:r>
        <w:rPr>
          <w:spacing w:val="-25"/>
        </w:rPr>
      </w:r>
      <w:r>
        <w:rPr/>
        <w:t>行权。</w:t>
      </w:r>
    </w:p>
    <w:p>
      <w:pPr>
        <w:pStyle w:val="BodyText"/>
        <w:spacing w:line="348" w:lineRule="auto" w:before="32"/>
        <w:ind w:left="178" w:right="209" w:firstLine="420"/>
        <w:jc w:val="both"/>
      </w:pPr>
      <w:r>
        <w:rPr>
          <w:w w:val="100"/>
        </w:rPr>
        <w:t>如果</w:t>
      </w:r>
      <w:r>
        <w:rPr>
          <w:spacing w:val="-3"/>
          <w:w w:val="100"/>
        </w:rPr>
        <w:t>修</w:t>
      </w:r>
      <w:r>
        <w:rPr>
          <w:w w:val="100"/>
        </w:rPr>
        <w:t>改</w:t>
      </w:r>
      <w:r>
        <w:rPr>
          <w:spacing w:val="-3"/>
          <w:w w:val="100"/>
        </w:rPr>
        <w:t>了</w:t>
      </w:r>
      <w:r>
        <w:rPr>
          <w:w w:val="100"/>
        </w:rPr>
        <w:t>以</w:t>
      </w:r>
      <w:r>
        <w:rPr>
          <w:spacing w:val="-3"/>
          <w:w w:val="100"/>
        </w:rPr>
        <w:t>权</w:t>
      </w:r>
      <w:r>
        <w:rPr>
          <w:w w:val="100"/>
        </w:rPr>
        <w:t>益</w:t>
      </w:r>
      <w:r>
        <w:rPr>
          <w:spacing w:val="-3"/>
          <w:w w:val="100"/>
        </w:rPr>
        <w:t>结</w:t>
      </w:r>
      <w:r>
        <w:rPr>
          <w:w w:val="100"/>
        </w:rPr>
        <w:t>算</w:t>
      </w:r>
      <w:r>
        <w:rPr>
          <w:spacing w:val="-3"/>
          <w:w w:val="100"/>
        </w:rPr>
        <w:t>的</w:t>
      </w:r>
      <w:r>
        <w:rPr>
          <w:w w:val="100"/>
        </w:rPr>
        <w:t>股份</w:t>
      </w:r>
      <w:r>
        <w:rPr>
          <w:spacing w:val="-3"/>
          <w:w w:val="100"/>
        </w:rPr>
        <w:t>支</w:t>
      </w:r>
      <w:r>
        <w:rPr>
          <w:w w:val="100"/>
        </w:rPr>
        <w:t>付</w:t>
      </w:r>
      <w:r>
        <w:rPr>
          <w:spacing w:val="-3"/>
          <w:w w:val="100"/>
        </w:rPr>
        <w:t>的</w:t>
      </w:r>
      <w:r>
        <w:rPr>
          <w:w w:val="100"/>
        </w:rPr>
        <w:t>条</w:t>
      </w:r>
      <w:r>
        <w:rPr>
          <w:spacing w:val="-3"/>
          <w:w w:val="100"/>
        </w:rPr>
        <w:t>款</w:t>
      </w:r>
      <w:r>
        <w:rPr>
          <w:spacing w:val="-87"/>
          <w:w w:val="100"/>
        </w:rPr>
        <w:t>，</w:t>
      </w:r>
      <w:r>
        <w:rPr>
          <w:w w:val="100"/>
        </w:rPr>
        <w:t>至</w:t>
      </w:r>
      <w:r>
        <w:rPr>
          <w:spacing w:val="-3"/>
          <w:w w:val="100"/>
        </w:rPr>
        <w:t>少</w:t>
      </w:r>
      <w:r>
        <w:rPr>
          <w:w w:val="100"/>
        </w:rPr>
        <w:t>按</w:t>
      </w:r>
      <w:r>
        <w:rPr>
          <w:spacing w:val="-3"/>
          <w:w w:val="100"/>
        </w:rPr>
        <w:t>照</w:t>
      </w:r>
      <w:r>
        <w:rPr>
          <w:w w:val="100"/>
        </w:rPr>
        <w:t>未修</w:t>
      </w:r>
      <w:r>
        <w:rPr>
          <w:spacing w:val="-3"/>
          <w:w w:val="100"/>
        </w:rPr>
        <w:t>改</w:t>
      </w:r>
      <w:r>
        <w:rPr>
          <w:w w:val="100"/>
        </w:rPr>
        <w:t>条</w:t>
      </w:r>
      <w:r>
        <w:rPr>
          <w:spacing w:val="-3"/>
          <w:w w:val="100"/>
        </w:rPr>
        <w:t>款</w:t>
      </w:r>
      <w:r>
        <w:rPr>
          <w:w w:val="100"/>
        </w:rPr>
        <w:t>的</w:t>
      </w:r>
      <w:r>
        <w:rPr>
          <w:spacing w:val="-3"/>
          <w:w w:val="100"/>
        </w:rPr>
        <w:t>情</w:t>
      </w:r>
      <w:r>
        <w:rPr>
          <w:w w:val="100"/>
        </w:rPr>
        <w:t>况</w:t>
      </w:r>
      <w:r>
        <w:rPr>
          <w:spacing w:val="-3"/>
          <w:w w:val="100"/>
        </w:rPr>
        <w:t>确</w:t>
      </w:r>
      <w:r>
        <w:rPr>
          <w:w w:val="100"/>
        </w:rPr>
        <w:t>认</w:t>
      </w:r>
      <w:r>
        <w:rPr>
          <w:spacing w:val="-3"/>
          <w:w w:val="100"/>
        </w:rPr>
        <w:t>取</w:t>
      </w:r>
      <w:r>
        <w:rPr>
          <w:w w:val="100"/>
        </w:rPr>
        <w:t>得的</w:t>
      </w:r>
      <w:r>
        <w:rPr>
          <w:spacing w:val="-3"/>
          <w:w w:val="100"/>
        </w:rPr>
        <w:t>服务</w:t>
      </w:r>
      <w:r>
        <w:rPr>
          <w:spacing w:val="-85"/>
          <w:w w:val="100"/>
        </w:rPr>
        <w:t>。</w:t>
      </w:r>
      <w:r>
        <w:rPr>
          <w:spacing w:val="-3"/>
          <w:w w:val="100"/>
        </w:rPr>
        <w:t>此外</w:t>
      </w:r>
      <w:r>
        <w:rPr>
          <w:w w:val="100"/>
        </w:rPr>
        <w:t>，</w:t>
      </w:r>
      <w:r>
        <w:rPr>
          <w:w w:val="100"/>
        </w:rPr>
        <w:t> 任何</w:t>
      </w:r>
      <w:r>
        <w:rPr>
          <w:spacing w:val="-3"/>
          <w:w w:val="100"/>
        </w:rPr>
        <w:t>增</w:t>
      </w:r>
      <w:r>
        <w:rPr>
          <w:w w:val="100"/>
        </w:rPr>
        <w:t>加</w:t>
      </w:r>
      <w:r>
        <w:rPr>
          <w:spacing w:val="-3"/>
          <w:w w:val="100"/>
        </w:rPr>
        <w:t>所</w:t>
      </w:r>
      <w:r>
        <w:rPr>
          <w:w w:val="100"/>
        </w:rPr>
        <w:t>授</w:t>
      </w:r>
      <w:r>
        <w:rPr>
          <w:spacing w:val="-3"/>
          <w:w w:val="100"/>
        </w:rPr>
        <w:t>予</w:t>
      </w:r>
      <w:r>
        <w:rPr>
          <w:w w:val="100"/>
        </w:rPr>
        <w:t>权</w:t>
      </w:r>
      <w:r>
        <w:rPr>
          <w:spacing w:val="-3"/>
          <w:w w:val="100"/>
        </w:rPr>
        <w:t>益</w:t>
      </w:r>
      <w:r>
        <w:rPr>
          <w:w w:val="100"/>
        </w:rPr>
        <w:t>工</w:t>
      </w:r>
      <w:r>
        <w:rPr>
          <w:spacing w:val="-3"/>
          <w:w w:val="100"/>
        </w:rPr>
        <w:t>具</w:t>
      </w:r>
      <w:r>
        <w:rPr>
          <w:w w:val="100"/>
        </w:rPr>
        <w:t>公允</w:t>
      </w:r>
      <w:r>
        <w:rPr>
          <w:spacing w:val="-3"/>
          <w:w w:val="100"/>
        </w:rPr>
        <w:t>价</w:t>
      </w:r>
      <w:r>
        <w:rPr>
          <w:w w:val="100"/>
        </w:rPr>
        <w:t>值</w:t>
      </w:r>
      <w:r>
        <w:rPr>
          <w:spacing w:val="-3"/>
          <w:w w:val="100"/>
        </w:rPr>
        <w:t>的</w:t>
      </w:r>
      <w:r>
        <w:rPr>
          <w:w w:val="100"/>
        </w:rPr>
        <w:t>修</w:t>
      </w:r>
      <w:r>
        <w:rPr>
          <w:spacing w:val="-3"/>
          <w:w w:val="100"/>
        </w:rPr>
        <w:t>改</w:t>
      </w:r>
      <w:r>
        <w:rPr>
          <w:spacing w:val="-87"/>
          <w:w w:val="100"/>
        </w:rPr>
        <w:t>，</w:t>
      </w:r>
      <w:r>
        <w:rPr>
          <w:w w:val="100"/>
        </w:rPr>
        <w:t>或</w:t>
      </w:r>
      <w:r>
        <w:rPr>
          <w:spacing w:val="-3"/>
          <w:w w:val="100"/>
        </w:rPr>
        <w:t>在</w:t>
      </w:r>
      <w:r>
        <w:rPr>
          <w:w w:val="100"/>
        </w:rPr>
        <w:t>修</w:t>
      </w:r>
      <w:r>
        <w:rPr>
          <w:spacing w:val="-3"/>
          <w:w w:val="100"/>
        </w:rPr>
        <w:t>改</w:t>
      </w:r>
      <w:r>
        <w:rPr>
          <w:w w:val="100"/>
        </w:rPr>
        <w:t>日对</w:t>
      </w:r>
      <w:r>
        <w:rPr>
          <w:spacing w:val="-3"/>
          <w:w w:val="100"/>
        </w:rPr>
        <w:t>职</w:t>
      </w:r>
      <w:r>
        <w:rPr>
          <w:w w:val="100"/>
        </w:rPr>
        <w:t>工</w:t>
      </w:r>
      <w:r>
        <w:rPr>
          <w:spacing w:val="-3"/>
          <w:w w:val="100"/>
        </w:rPr>
        <w:t>有</w:t>
      </w:r>
      <w:r>
        <w:rPr>
          <w:w w:val="100"/>
        </w:rPr>
        <w:t>利</w:t>
      </w:r>
      <w:r>
        <w:rPr>
          <w:spacing w:val="-3"/>
          <w:w w:val="100"/>
        </w:rPr>
        <w:t>的</w:t>
      </w:r>
      <w:r>
        <w:rPr>
          <w:w w:val="100"/>
        </w:rPr>
        <w:t>变</w:t>
      </w:r>
      <w:r>
        <w:rPr>
          <w:spacing w:val="-3"/>
          <w:w w:val="100"/>
        </w:rPr>
        <w:t>更</w:t>
      </w:r>
      <w:r>
        <w:rPr>
          <w:spacing w:val="-87"/>
          <w:w w:val="100"/>
        </w:rPr>
        <w:t>，</w:t>
      </w:r>
      <w:r>
        <w:rPr>
          <w:w w:val="100"/>
        </w:rPr>
        <w:t>均</w:t>
      </w:r>
      <w:r>
        <w:rPr>
          <w:spacing w:val="-3"/>
          <w:w w:val="100"/>
        </w:rPr>
        <w:t>确</w:t>
      </w:r>
      <w:r>
        <w:rPr>
          <w:w w:val="100"/>
        </w:rPr>
        <w:t>认取</w:t>
      </w:r>
      <w:r>
        <w:rPr>
          <w:spacing w:val="-3"/>
          <w:w w:val="100"/>
        </w:rPr>
        <w:t>得</w:t>
      </w:r>
      <w:r>
        <w:rPr>
          <w:w w:val="100"/>
        </w:rPr>
        <w:t>服</w:t>
      </w:r>
      <w:r>
        <w:rPr>
          <w:spacing w:val="-3"/>
          <w:w w:val="100"/>
        </w:rPr>
        <w:t>务的增加</w:t>
      </w:r>
      <w:r>
        <w:rPr>
          <w:w w:val="100"/>
        </w:rPr>
        <w:t>。</w:t>
      </w:r>
    </w:p>
    <w:p>
      <w:pPr>
        <w:spacing w:after="0" w:line="348" w:lineRule="auto"/>
        <w:jc w:val="both"/>
        <w:sectPr>
          <w:pgSz w:w="11910" w:h="16840"/>
          <w:pgMar w:header="643" w:footer="974" w:top="1080" w:bottom="1160" w:left="1240" w:right="1200"/>
        </w:sectPr>
      </w:pPr>
    </w:p>
    <w:p>
      <w:pPr>
        <w:spacing w:line="240" w:lineRule="auto" w:before="9"/>
        <w:rPr>
          <w:rFonts w:ascii="宋体" w:hAnsi="宋体" w:cs="宋体" w:eastAsia="宋体" w:hint="default"/>
          <w:sz w:val="23"/>
          <w:szCs w:val="23"/>
        </w:rPr>
      </w:pPr>
    </w:p>
    <w:p>
      <w:pPr>
        <w:pStyle w:val="BodyText"/>
        <w:spacing w:line="273" w:lineRule="auto" w:before="36"/>
        <w:ind w:left="178" w:right="109" w:firstLine="420"/>
        <w:jc w:val="both"/>
      </w:pPr>
      <w:r>
        <w:rPr>
          <w:spacing w:val="-6"/>
          <w:w w:val="100"/>
        </w:rPr>
        <w:t>如果取消了以权益结算的股份支付，则于取消日作为加速行权处理，立即确认尚未确认的金额。</w:t>
      </w:r>
      <w:r>
        <w:rPr>
          <w:w w:val="100"/>
        </w:rPr>
        <w:t> </w:t>
      </w:r>
      <w:r>
        <w:rPr>
          <w:spacing w:val="-2"/>
        </w:rPr>
        <w:t>职工或其他方能够选择满足非可行权条件但在等待期内未满足的，作为取消以权益结算的股份支付</w:t>
      </w:r>
      <w:r>
        <w:rPr>
          <w:spacing w:val="-25"/>
        </w:rPr>
        <w:t> </w:t>
      </w:r>
      <w:r>
        <w:rPr>
          <w:spacing w:val="-25"/>
        </w:rPr>
      </w:r>
      <w:r>
        <w:rPr>
          <w:spacing w:val="-2"/>
        </w:rPr>
        <w:t>处理。但是，如果授予新的权益工具，并在新权益工具授予日认定所授予的新权益工具是用于替代</w:t>
      </w:r>
      <w:r>
        <w:rPr>
          <w:spacing w:val="-25"/>
        </w:rPr>
        <w:t> </w:t>
      </w:r>
      <w:r>
        <w:rPr>
          <w:spacing w:val="-25"/>
        </w:rPr>
      </w:r>
      <w:r>
        <w:rPr>
          <w:spacing w:val="-2"/>
        </w:rPr>
        <w:t>被取消的权益工具的，则以与处理原权益工具条款和条件修改相同的方式，对所授予的替代权益工</w:t>
      </w:r>
      <w:r>
        <w:rPr>
          <w:spacing w:val="-25"/>
        </w:rPr>
        <w:t> </w:t>
      </w:r>
      <w:r>
        <w:rPr>
          <w:spacing w:val="-25"/>
        </w:rPr>
      </w:r>
      <w:r>
        <w:rPr/>
        <w:t>具进行处理。</w:t>
      </w:r>
    </w:p>
    <w:p>
      <w:pPr>
        <w:spacing w:line="240" w:lineRule="auto" w:before="0"/>
        <w:rPr>
          <w:rFonts w:ascii="宋体" w:hAnsi="宋体" w:cs="宋体" w:eastAsia="宋体" w:hint="default"/>
          <w:sz w:val="29"/>
          <w:szCs w:val="29"/>
        </w:rPr>
      </w:pPr>
    </w:p>
    <w:p>
      <w:pPr>
        <w:pStyle w:val="Heading2"/>
        <w:spacing w:line="240" w:lineRule="auto" w:before="0"/>
        <w:ind w:left="178" w:right="1815"/>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97"/>
        <w:ind w:left="178" w:right="181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1815"/>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spacing w:line="364" w:lineRule="auto" w:before="97"/>
        <w:ind w:left="598" w:right="5706"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、销售商品收入确认和计量原则</w:t>
      </w:r>
      <w:r>
        <w:rPr>
          <w:rFonts w:ascii="宋体" w:hAnsi="宋体" w:cs="宋体" w:eastAsia="宋体" w:hint="default"/>
          <w:spacing w:val="-1"/>
          <w:sz w:val="21"/>
          <w:szCs w:val="21"/>
        </w:rPr>
      </w:r>
    </w:p>
    <w:p>
      <w:pPr>
        <w:pStyle w:val="BodyText"/>
        <w:spacing w:line="328" w:lineRule="auto" w:before="16"/>
        <w:ind w:left="598" w:right="0"/>
        <w:jc w:val="left"/>
      </w:pPr>
      <w:r>
        <w:rPr/>
        <w:t>（</w:t>
      </w:r>
      <w:r>
        <w:rPr>
          <w:rFonts w:ascii="Times New Roman" w:hAnsi="Times New Roman" w:cs="Times New Roman" w:eastAsia="Times New Roman" w:hint="default"/>
        </w:rPr>
        <w:t>1</w:t>
      </w:r>
      <w:r>
        <w:rPr/>
        <w:t>）销售商品收入确认和计量的总体原则</w:t>
      </w:r>
      <w:r>
        <w:rPr>
          <w:w w:val="100"/>
        </w:rPr>
        <w:t> </w:t>
      </w:r>
      <w:r>
        <w:rPr>
          <w:spacing w:val="-2"/>
        </w:rPr>
        <w:t>公司已将商品所有权上的主要风险和报酬转移给购买方；公司既没有保留与所有权相联系的继</w:t>
      </w:r>
    </w:p>
    <w:p>
      <w:pPr>
        <w:pStyle w:val="BodyText"/>
        <w:spacing w:line="350" w:lineRule="auto" w:before="48"/>
        <w:ind w:left="178" w:right="0"/>
        <w:jc w:val="left"/>
      </w:pPr>
      <w:r>
        <w:rPr>
          <w:spacing w:val="-2"/>
        </w:rPr>
        <w:t>续管理权，也没有对已售出的商品实施有效控制；收入的金额能够可靠地计量；相关的经济利益很</w:t>
      </w:r>
      <w:r>
        <w:rPr>
          <w:spacing w:val="-25"/>
        </w:rPr>
        <w:t> </w:t>
      </w:r>
      <w:r>
        <w:rPr>
          <w:spacing w:val="-25"/>
        </w:rPr>
      </w:r>
      <w:r>
        <w:rPr/>
        <w:t>可能流入企业；相关的已发生或将发生的成本能够可靠地计量时，确认商品销售收入实现。</w:t>
      </w:r>
    </w:p>
    <w:p>
      <w:pPr>
        <w:pStyle w:val="BodyText"/>
        <w:spacing w:line="331" w:lineRule="auto" w:before="27"/>
        <w:ind w:left="598" w:right="0"/>
        <w:jc w:val="left"/>
      </w:pPr>
      <w:r>
        <w:rPr/>
        <w:t>（</w:t>
      </w:r>
      <w:r>
        <w:rPr>
          <w:rFonts w:ascii="Times New Roman" w:hAnsi="Times New Roman" w:cs="Times New Roman" w:eastAsia="Times New Roman" w:hint="default"/>
        </w:rPr>
        <w:t>2</w:t>
      </w:r>
      <w:r>
        <w:rPr/>
        <w:t>）本公司销售商品收入确认的确认标准及收入确认时间的具体判断标准</w:t>
      </w:r>
      <w:r>
        <w:rPr>
          <w:w w:val="100"/>
        </w:rPr>
        <w:t> </w:t>
      </w:r>
      <w:r>
        <w:rPr>
          <w:spacing w:val="-2"/>
        </w:rPr>
        <w:t>内销收入确认时点的具体标准为：所售产品货物已发出，并收到经客户验收合格后出具的验收</w:t>
      </w:r>
    </w:p>
    <w:p>
      <w:pPr>
        <w:pStyle w:val="BodyText"/>
        <w:spacing w:line="348" w:lineRule="auto" w:before="46"/>
        <w:ind w:left="178" w:right="0"/>
        <w:jc w:val="left"/>
      </w:pPr>
      <w:r>
        <w:rPr>
          <w:spacing w:val="-2"/>
        </w:rPr>
        <w:t>证明时。本公司外销出口销售收入确认时点的具体标准为：根据合同的约定，所售产品报关后货物</w:t>
      </w:r>
      <w:r>
        <w:rPr>
          <w:spacing w:val="-25"/>
        </w:rPr>
        <w:t> </w:t>
      </w:r>
      <w:r>
        <w:rPr>
          <w:spacing w:val="-25"/>
        </w:rPr>
      </w:r>
      <w:r>
        <w:rPr/>
        <w:t>装船出口时。</w:t>
      </w:r>
    </w:p>
    <w:p>
      <w:pPr>
        <w:spacing w:line="350" w:lineRule="auto" w:before="31"/>
        <w:ind w:left="601" w:right="1815" w:hanging="3"/>
        <w:jc w:val="left"/>
        <w:rPr>
          <w:rFonts w:ascii="宋体" w:hAnsi="宋体" w:cs="宋体" w:eastAsia="宋体" w:hint="default"/>
          <w:sz w:val="21"/>
          <w:szCs w:val="21"/>
        </w:rPr>
      </w:pPr>
      <w:r>
        <w:rPr>
          <w:rFonts w:ascii="宋体" w:hAnsi="宋体" w:cs="宋体" w:eastAsia="宋体" w:hint="default"/>
          <w:spacing w:val="-2"/>
          <w:sz w:val="21"/>
          <w:szCs w:val="21"/>
        </w:rPr>
        <w:t>本公司光伏发电收入依据上网结算电量确认。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sz w:val="21"/>
          <w:szCs w:val="21"/>
        </w:rPr>
      </w:r>
    </w:p>
    <w:p>
      <w:pPr>
        <w:pStyle w:val="BodyText"/>
        <w:spacing w:line="331" w:lineRule="auto" w:before="27"/>
        <w:ind w:left="598" w:right="0"/>
        <w:jc w:val="left"/>
      </w:pPr>
      <w:r>
        <w:rPr/>
        <w:t>（</w:t>
      </w:r>
      <w:r>
        <w:rPr>
          <w:rFonts w:ascii="Times New Roman" w:hAnsi="Times New Roman" w:cs="Times New Roman" w:eastAsia="Times New Roman" w:hint="default"/>
        </w:rPr>
        <w:t>1</w:t>
      </w:r>
      <w:r>
        <w:rPr/>
        <w:t>）让渡资产使用权收入确认和计量的总体原则</w:t>
      </w:r>
      <w:r>
        <w:rPr>
          <w:w w:val="100"/>
        </w:rPr>
        <w:t> </w:t>
      </w:r>
      <w:r>
        <w:rPr>
          <w:spacing w:val="-2"/>
        </w:rPr>
        <w:t>与交易相关的经济利益很可能流入企业，收入的金额能够可靠地计量时。分别下列情况确定让</w:t>
      </w:r>
    </w:p>
    <w:p>
      <w:pPr>
        <w:pStyle w:val="BodyText"/>
        <w:spacing w:line="240" w:lineRule="auto" w:before="46"/>
        <w:ind w:left="178" w:right="1815"/>
        <w:jc w:val="left"/>
      </w:pPr>
      <w:r>
        <w:rPr/>
        <w:t>渡资产使用权收入金额：</w:t>
      </w:r>
    </w:p>
    <w:p>
      <w:pPr>
        <w:pStyle w:val="BodyText"/>
        <w:spacing w:line="240" w:lineRule="auto" w:before="123"/>
        <w:ind w:left="598" w:right="0"/>
        <w:jc w:val="left"/>
      </w:pPr>
      <w:r>
        <w:rPr/>
        <w:t>①利息收入金额，按照他人使用本企业货币资金的时间和实际利率计算确定。</w:t>
      </w:r>
    </w:p>
    <w:p>
      <w:pPr>
        <w:pStyle w:val="BodyText"/>
        <w:spacing w:line="240" w:lineRule="auto" w:before="126"/>
        <w:ind w:left="598" w:right="0"/>
        <w:jc w:val="left"/>
      </w:pPr>
      <w:r>
        <w:rPr/>
        <w:t>②使用费收入金额，按照有关合同或协议约定的收费时间和方法计算确定。</w:t>
      </w:r>
    </w:p>
    <w:p>
      <w:pPr>
        <w:pStyle w:val="BodyText"/>
        <w:spacing w:line="328" w:lineRule="auto" w:before="126"/>
        <w:ind w:left="598" w:right="0"/>
        <w:jc w:val="left"/>
      </w:pPr>
      <w:r>
        <w:rPr/>
        <w:t>（</w:t>
      </w:r>
      <w:r>
        <w:rPr>
          <w:rFonts w:ascii="Times New Roman" w:hAnsi="Times New Roman" w:cs="Times New Roman" w:eastAsia="Times New Roman" w:hint="default"/>
        </w:rPr>
        <w:t>2</w:t>
      </w:r>
      <w:r>
        <w:rPr/>
        <w:t>）本公司确认让渡资产使用权收入的依据</w:t>
      </w:r>
      <w:r>
        <w:rPr>
          <w:w w:val="100"/>
        </w:rPr>
        <w:t> </w:t>
      </w:r>
      <w:r>
        <w:rPr>
          <w:spacing w:val="-2"/>
        </w:rPr>
        <w:t>本公司确认渡资产使用权收入的依据是相关资产已移交给承租人，按租赁合同或协议约定的收</w:t>
      </w:r>
    </w:p>
    <w:p>
      <w:pPr>
        <w:pStyle w:val="BodyText"/>
        <w:spacing w:line="240" w:lineRule="auto" w:before="48"/>
        <w:ind w:left="178" w:right="1815"/>
        <w:jc w:val="left"/>
      </w:pPr>
      <w:r>
        <w:rPr/>
        <w:t>费时间和方法能够计算确定租赁收入。</w:t>
      </w:r>
    </w:p>
    <w:p>
      <w:pPr>
        <w:spacing w:line="343" w:lineRule="auto" w:before="126"/>
        <w:ind w:left="5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）关于本公司让渡资产使用权收入相应的业务特点分析和介绍</w:t>
      </w:r>
      <w:r>
        <w:rPr>
          <w:rFonts w:ascii="宋体" w:hAnsi="宋体" w:cs="宋体" w:eastAsia="宋体" w:hint="default"/>
          <w:w w:val="100"/>
          <w:sz w:val="21"/>
          <w:szCs w:val="21"/>
        </w:rPr>
        <w:t> </w:t>
      </w:r>
      <w:r>
        <w:rPr>
          <w:rFonts w:ascii="宋体" w:hAnsi="宋体" w:cs="宋体" w:eastAsia="宋体" w:hint="default"/>
          <w:sz w:val="21"/>
          <w:szCs w:val="21"/>
        </w:rPr>
        <w:t>本公司相关租赁业务为暂时闲置房产用于临时性出租。</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、按完工百分比法确认提供劳务的收入和建造合同收入的确认和计量原则</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w:t>
      </w:r>
    </w:p>
    <w:p>
      <w:pPr>
        <w:pStyle w:val="BodyText"/>
        <w:spacing w:line="350" w:lineRule="auto" w:before="33"/>
        <w:ind w:left="598" w:right="0" w:hanging="420"/>
        <w:jc w:val="left"/>
      </w:pPr>
      <w:r>
        <w:rPr/>
        <w:t>提供劳务交易的完工进度，依据已完工作的测量确定。</w:t>
      </w:r>
      <w:r>
        <w:rPr>
          <w:w w:val="100"/>
        </w:rPr>
        <w:t> </w:t>
      </w:r>
      <w:r>
        <w:rPr>
          <w:spacing w:val="-2"/>
        </w:rPr>
        <w:t>按照已收或应收的合同或协议价款确定提供劳务收入总额，但已收或应收的合同或协议价款不</w:t>
      </w:r>
    </w:p>
    <w:p>
      <w:pPr>
        <w:spacing w:after="0" w:line="350" w:lineRule="auto"/>
        <w:jc w:val="left"/>
        <w:sectPr>
          <w:pgSz w:w="11910" w:h="16840"/>
          <w:pgMar w:header="643" w:footer="974" w:top="1080" w:bottom="1160" w:left="124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48" w:lineRule="auto"/>
        <w:ind w:left="178" w:right="248"/>
        <w:jc w:val="both"/>
      </w:pPr>
      <w:r>
        <w:rPr>
          <w:spacing w:val="-2"/>
        </w:rPr>
        <w:t>公允的除外。资产负债表日按照提供劳务收入总额乘以完工进度扣除以前会计期间累计已确认提供</w:t>
      </w:r>
      <w:r>
        <w:rPr>
          <w:spacing w:val="-25"/>
        </w:rPr>
        <w:t> </w:t>
      </w:r>
      <w:r>
        <w:rPr>
          <w:spacing w:val="-25"/>
        </w:rPr>
      </w:r>
      <w:r>
        <w:rPr>
          <w:spacing w:val="-2"/>
        </w:rPr>
        <w:t>劳务收入后的金额，确认当期提供劳务收入；同时，按照提供劳务估计总成本乘以完工进度扣除以</w:t>
      </w:r>
      <w:r>
        <w:rPr>
          <w:spacing w:val="-25"/>
        </w:rPr>
        <w:t> </w:t>
      </w:r>
      <w:r>
        <w:rPr>
          <w:spacing w:val="-25"/>
        </w:rPr>
      </w:r>
      <w:r>
        <w:rPr/>
        <w:t>前会计期间累计已确认劳务成本后的金额，结转当期劳务成本。</w:t>
      </w:r>
    </w:p>
    <w:p>
      <w:pPr>
        <w:pStyle w:val="BodyText"/>
        <w:spacing w:line="240" w:lineRule="auto" w:before="31"/>
        <w:ind w:left="598" w:right="207"/>
        <w:jc w:val="left"/>
      </w:pPr>
      <w:r>
        <w:rPr/>
        <w:t>在资产负债表日提供劳务交易结果不能够可靠估计的，分别下列情况处理：</w:t>
      </w:r>
    </w:p>
    <w:p>
      <w:pPr>
        <w:pStyle w:val="BodyText"/>
        <w:spacing w:line="348" w:lineRule="auto" w:before="126"/>
        <w:ind w:left="178" w:right="0" w:firstLine="420"/>
        <w:jc w:val="left"/>
      </w:pPr>
      <w:r>
        <w:rPr>
          <w:spacing w:val="-3"/>
        </w:rPr>
        <w:t>①已经发生的劳务成本预计能够得到补偿的，按照已经发生的劳务成本金额确认提供劳务收入，</w:t>
      </w:r>
      <w:r>
        <w:rPr>
          <w:w w:val="100"/>
        </w:rPr>
        <w:t> </w:t>
      </w:r>
      <w:r>
        <w:rPr/>
        <w:t>并按相同金额结转劳务成本。</w:t>
      </w:r>
    </w:p>
    <w:p>
      <w:pPr>
        <w:pStyle w:val="BodyText"/>
        <w:spacing w:line="201" w:lineRule="exact"/>
        <w:ind w:left="598" w:right="207"/>
        <w:jc w:val="left"/>
      </w:pPr>
      <w:r>
        <w:rPr/>
        <w:t>②已经发生的劳务成本预计不能够得到补偿的，将已经发生的劳务成本计入当期损益，不确认</w:t>
      </w:r>
    </w:p>
    <w:p>
      <w:pPr>
        <w:pStyle w:val="BodyText"/>
        <w:spacing w:line="240" w:lineRule="auto" w:before="37"/>
        <w:ind w:left="178" w:right="0"/>
        <w:jc w:val="both"/>
      </w:pPr>
      <w:r>
        <w:rPr/>
        <w:t>提供劳务收入。</w:t>
      </w:r>
    </w:p>
    <w:p>
      <w:pPr>
        <w:spacing w:line="240" w:lineRule="auto" w:before="0"/>
        <w:rPr>
          <w:rFonts w:ascii="宋体" w:hAnsi="宋体" w:cs="宋体" w:eastAsia="宋体" w:hint="default"/>
          <w:sz w:val="20"/>
          <w:szCs w:val="20"/>
        </w:rPr>
      </w:pPr>
    </w:p>
    <w:p>
      <w:pPr>
        <w:pStyle w:val="Heading2"/>
        <w:spacing w:line="240" w:lineRule="auto" w:before="148"/>
        <w:ind w:left="178"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spacing w:line="364" w:lineRule="auto" w:before="97"/>
        <w:ind w:left="598" w:right="7693" w:hanging="42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pStyle w:val="BodyText"/>
        <w:spacing w:line="348" w:lineRule="auto" w:before="16"/>
        <w:ind w:left="178" w:right="207" w:firstLine="420"/>
        <w:jc w:val="left"/>
      </w:pPr>
      <w:r>
        <w:rPr>
          <w:spacing w:val="-1"/>
        </w:rPr>
        <w:t>政府补助，是本公司从政府无偿取得的货币性资产与非货币性资产。分为与资产相关的政府补</w:t>
      </w:r>
      <w:r>
        <w:rPr>
          <w:w w:val="100"/>
        </w:rPr>
        <w:t> </w:t>
      </w:r>
      <w:r>
        <w:rPr/>
        <w:t>助和与收益相关的政府补助。</w:t>
      </w:r>
    </w:p>
    <w:p>
      <w:pPr>
        <w:pStyle w:val="BodyText"/>
        <w:spacing w:line="350" w:lineRule="auto" w:before="31"/>
        <w:ind w:left="178" w:right="207" w:firstLine="420"/>
        <w:jc w:val="left"/>
      </w:pPr>
      <w:r>
        <w:rPr>
          <w:spacing w:val="-6"/>
          <w:w w:val="100"/>
        </w:rPr>
        <w:t>与资产相关的政府补助，是指本公司取得的、用于购建或以其他方式形成长期资产的政府补助。</w:t>
      </w:r>
      <w:r>
        <w:rPr>
          <w:w w:val="100"/>
        </w:rPr>
        <w:t> </w:t>
      </w:r>
      <w:r>
        <w:rPr/>
        <w:t>与收益相关的政府补助，是指除与资产相关的政府补助之外的政府补助。</w:t>
      </w:r>
    </w:p>
    <w:p>
      <w:pPr>
        <w:pStyle w:val="BodyText"/>
        <w:spacing w:line="350" w:lineRule="auto" w:before="27"/>
        <w:ind w:left="178" w:right="207" w:firstLine="420"/>
        <w:jc w:val="left"/>
      </w:pPr>
      <w:r>
        <w:rPr>
          <w:spacing w:val="-1"/>
        </w:rPr>
        <w:t>本公司将政府补助划分为与资产相关的具体标准为：申请政府补助的项目最终形成一项或多项</w:t>
      </w:r>
      <w:r>
        <w:rPr>
          <w:w w:val="100"/>
        </w:rPr>
        <w:t> </w:t>
      </w:r>
      <w:r>
        <w:rPr/>
        <w:t>长期资产，且该长期资产可以为公司带来预期的经济利益。</w:t>
      </w:r>
    </w:p>
    <w:p>
      <w:pPr>
        <w:pStyle w:val="BodyText"/>
        <w:spacing w:line="348" w:lineRule="auto" w:before="29"/>
        <w:ind w:left="178" w:right="207" w:firstLine="420"/>
        <w:jc w:val="left"/>
      </w:pPr>
      <w:r>
        <w:rPr>
          <w:spacing w:val="-1"/>
        </w:rPr>
        <w:t>本公司将政府补助划分为与收益相关的具体标准为：申请政府补助的项目与公司主营业务紧密</w:t>
      </w:r>
      <w:r>
        <w:rPr>
          <w:w w:val="100"/>
        </w:rPr>
        <w:t> </w:t>
      </w:r>
      <w:r>
        <w:rPr/>
        <w:t>相关，公司的相关投入最终将计入相关会计期间费用。</w:t>
      </w:r>
    </w:p>
    <w:p>
      <w:pPr>
        <w:pStyle w:val="BodyText"/>
        <w:spacing w:line="240" w:lineRule="auto" w:before="31"/>
        <w:ind w:left="598" w:right="207"/>
        <w:jc w:val="left"/>
      </w:pPr>
      <w:r>
        <w:rPr/>
        <w:t>对于政府文件未明确规定补助对象的，本公司直接将收到的政府补助计入当期收益。</w:t>
      </w:r>
    </w:p>
    <w:p>
      <w:pPr>
        <w:spacing w:line="338" w:lineRule="auto" w:before="126"/>
        <w:ind w:left="598" w:right="14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以实际收到政府补助的货币性资产与非货币性资产时作为确认时点。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、会计处理</w:t>
      </w:r>
      <w:r>
        <w:rPr>
          <w:rFonts w:ascii="宋体" w:hAnsi="宋体" w:cs="宋体" w:eastAsia="宋体" w:hint="default"/>
          <w:sz w:val="21"/>
          <w:szCs w:val="21"/>
        </w:rPr>
      </w:r>
    </w:p>
    <w:p>
      <w:pPr>
        <w:pStyle w:val="BodyText"/>
        <w:spacing w:line="350" w:lineRule="auto" w:before="14"/>
        <w:ind w:left="178" w:right="210" w:firstLine="420"/>
        <w:jc w:val="both"/>
      </w:pPr>
      <w:r>
        <w:rPr>
          <w:spacing w:val="-1"/>
        </w:rPr>
        <w:t>与资产相关的政府补助，冲减相关资产账面价值或确认为递延收益。确认为递延收益的，在相</w:t>
      </w:r>
      <w:r>
        <w:rPr>
          <w:w w:val="100"/>
        </w:rPr>
        <w:t> </w:t>
      </w:r>
      <w:r>
        <w:rPr>
          <w:spacing w:val="-1"/>
        </w:rPr>
        <w:t>关资产使用寿命内按照合理、系统的方法分期计入当期损益（与本公司日常活动相关的，计入其他</w:t>
      </w:r>
      <w:r>
        <w:rPr>
          <w:spacing w:val="-21"/>
        </w:rPr>
        <w:t> </w:t>
      </w:r>
      <w:r>
        <w:rPr>
          <w:spacing w:val="-21"/>
        </w:rPr>
      </w:r>
      <w:r>
        <w:rPr>
          <w:spacing w:val="-6"/>
          <w:w w:val="100"/>
        </w:rPr>
        <w:t>收益；与本公司日常活动无关的，计入营业外收入）；</w:t>
      </w:r>
    </w:p>
    <w:p>
      <w:pPr>
        <w:pStyle w:val="BodyText"/>
        <w:spacing w:line="199" w:lineRule="exact"/>
        <w:ind w:left="178" w:right="0" w:firstLine="420"/>
        <w:jc w:val="left"/>
      </w:pPr>
      <w:r>
        <w:rPr>
          <w:w w:val="100"/>
        </w:rPr>
        <w:t>与收</w:t>
      </w:r>
      <w:r>
        <w:rPr>
          <w:spacing w:val="-3"/>
          <w:w w:val="100"/>
        </w:rPr>
        <w:t>益</w:t>
      </w:r>
      <w:r>
        <w:rPr>
          <w:w w:val="100"/>
        </w:rPr>
        <w:t>相</w:t>
      </w:r>
      <w:r>
        <w:rPr>
          <w:spacing w:val="-3"/>
          <w:w w:val="100"/>
        </w:rPr>
        <w:t>关</w:t>
      </w:r>
      <w:r>
        <w:rPr>
          <w:w w:val="100"/>
        </w:rPr>
        <w:t>的</w:t>
      </w:r>
      <w:r>
        <w:rPr>
          <w:spacing w:val="-3"/>
          <w:w w:val="100"/>
        </w:rPr>
        <w:t>政</w:t>
      </w:r>
      <w:r>
        <w:rPr>
          <w:w w:val="100"/>
        </w:rPr>
        <w:t>府</w:t>
      </w:r>
      <w:r>
        <w:rPr>
          <w:spacing w:val="-3"/>
          <w:w w:val="100"/>
        </w:rPr>
        <w:t>补助</w:t>
      </w:r>
      <w:r>
        <w:rPr>
          <w:spacing w:val="-85"/>
          <w:w w:val="100"/>
        </w:rPr>
        <w:t>，</w:t>
      </w:r>
      <w:r>
        <w:rPr>
          <w:spacing w:val="-3"/>
          <w:w w:val="100"/>
        </w:rPr>
        <w:t>用</w:t>
      </w:r>
      <w:r>
        <w:rPr>
          <w:w w:val="100"/>
        </w:rPr>
        <w:t>于补</w:t>
      </w:r>
      <w:r>
        <w:rPr>
          <w:spacing w:val="-3"/>
          <w:w w:val="100"/>
        </w:rPr>
        <w:t>偿</w:t>
      </w:r>
      <w:r>
        <w:rPr>
          <w:w w:val="100"/>
        </w:rPr>
        <w:t>本</w:t>
      </w:r>
      <w:r>
        <w:rPr>
          <w:spacing w:val="-3"/>
          <w:w w:val="100"/>
        </w:rPr>
        <w:t>公</w:t>
      </w:r>
      <w:r>
        <w:rPr>
          <w:w w:val="100"/>
        </w:rPr>
        <w:t>司</w:t>
      </w:r>
      <w:r>
        <w:rPr>
          <w:spacing w:val="-3"/>
          <w:w w:val="100"/>
        </w:rPr>
        <w:t>以</w:t>
      </w:r>
      <w:r>
        <w:rPr>
          <w:w w:val="100"/>
        </w:rPr>
        <w:t>后</w:t>
      </w:r>
      <w:r>
        <w:rPr>
          <w:spacing w:val="-3"/>
          <w:w w:val="100"/>
        </w:rPr>
        <w:t>期</w:t>
      </w:r>
      <w:r>
        <w:rPr>
          <w:w w:val="100"/>
        </w:rPr>
        <w:t>间</w:t>
      </w:r>
      <w:r>
        <w:rPr>
          <w:spacing w:val="-3"/>
          <w:w w:val="100"/>
        </w:rPr>
        <w:t>的</w:t>
      </w:r>
      <w:r>
        <w:rPr>
          <w:w w:val="100"/>
        </w:rPr>
        <w:t>相关</w:t>
      </w:r>
      <w:r>
        <w:rPr>
          <w:spacing w:val="-3"/>
          <w:w w:val="100"/>
        </w:rPr>
        <w:t>成</w:t>
      </w:r>
      <w:r>
        <w:rPr>
          <w:w w:val="100"/>
        </w:rPr>
        <w:t>本</w:t>
      </w:r>
      <w:r>
        <w:rPr>
          <w:spacing w:val="-3"/>
          <w:w w:val="100"/>
        </w:rPr>
        <w:t>费</w:t>
      </w:r>
      <w:r>
        <w:rPr>
          <w:w w:val="100"/>
        </w:rPr>
        <w:t>用</w:t>
      </w:r>
      <w:r>
        <w:rPr>
          <w:spacing w:val="-3"/>
          <w:w w:val="100"/>
        </w:rPr>
        <w:t>或</w:t>
      </w:r>
      <w:r>
        <w:rPr>
          <w:w w:val="100"/>
        </w:rPr>
        <w:t>损</w:t>
      </w:r>
      <w:r>
        <w:rPr>
          <w:spacing w:val="-3"/>
          <w:w w:val="100"/>
        </w:rPr>
        <w:t>失的</w:t>
      </w:r>
      <w:r>
        <w:rPr>
          <w:spacing w:val="-85"/>
          <w:w w:val="100"/>
        </w:rPr>
        <w:t>，</w:t>
      </w:r>
      <w:r>
        <w:rPr>
          <w:spacing w:val="-3"/>
          <w:w w:val="100"/>
        </w:rPr>
        <w:t>确</w:t>
      </w:r>
      <w:r>
        <w:rPr>
          <w:w w:val="100"/>
        </w:rPr>
        <w:t>认为</w:t>
      </w:r>
      <w:r>
        <w:rPr>
          <w:spacing w:val="-3"/>
          <w:w w:val="100"/>
        </w:rPr>
        <w:t>递</w:t>
      </w:r>
      <w:r>
        <w:rPr>
          <w:w w:val="100"/>
        </w:rPr>
        <w:t>延</w:t>
      </w:r>
      <w:r>
        <w:rPr>
          <w:spacing w:val="-3"/>
          <w:w w:val="100"/>
        </w:rPr>
        <w:t>收益</w:t>
      </w:r>
      <w:r>
        <w:rPr>
          <w:w w:val="100"/>
        </w:rPr>
        <w:t>，</w:t>
      </w:r>
    </w:p>
    <w:p>
      <w:pPr>
        <w:pStyle w:val="BodyText"/>
        <w:spacing w:line="273" w:lineRule="auto" w:before="37"/>
        <w:ind w:left="178" w:right="247"/>
        <w:jc w:val="both"/>
      </w:pPr>
      <w:r>
        <w:rPr>
          <w:spacing w:val="-2"/>
        </w:rPr>
        <w:t>并在确认相关成本费用或损失的期间，计入当期损益（与本公司日常活动相关的，计入其他收益；</w:t>
      </w:r>
      <w:r>
        <w:rPr>
          <w:spacing w:val="-25"/>
        </w:rPr>
        <w:t> </w:t>
      </w:r>
      <w:r>
        <w:rPr>
          <w:spacing w:val="-25"/>
        </w:rPr>
      </w:r>
      <w:r>
        <w:rPr>
          <w:spacing w:val="-2"/>
        </w:rPr>
        <w:t>与本公司日常活动无关的，计入营业外收入）或冲减相关成本费用或损失；用于补偿本公司已发生</w:t>
      </w:r>
      <w:r>
        <w:rPr>
          <w:spacing w:val="-25"/>
        </w:rPr>
        <w:t> </w:t>
      </w:r>
      <w:r>
        <w:rPr>
          <w:spacing w:val="-25"/>
        </w:rPr>
      </w:r>
      <w:r>
        <w:rPr>
          <w:spacing w:val="-2"/>
        </w:rPr>
        <w:t>的相关成本费用或损失的，直接计入当期损益（与本公司日常活动相关的，计入其他收益；与本公</w:t>
      </w:r>
      <w:r>
        <w:rPr>
          <w:spacing w:val="-25"/>
        </w:rPr>
        <w:t> </w:t>
      </w:r>
      <w:r>
        <w:rPr>
          <w:spacing w:val="-25"/>
        </w:rPr>
      </w:r>
      <w:r>
        <w:rPr/>
        <w:t>司日常活动无关的，计入营业外收入）或冲减相关成本费用或损失。</w:t>
      </w:r>
    </w:p>
    <w:p>
      <w:pPr>
        <w:spacing w:line="240" w:lineRule="auto" w:before="0"/>
        <w:rPr>
          <w:rFonts w:ascii="宋体" w:hAnsi="宋体" w:cs="宋体" w:eastAsia="宋体" w:hint="default"/>
          <w:sz w:val="29"/>
          <w:szCs w:val="29"/>
        </w:rPr>
      </w:pPr>
    </w:p>
    <w:p>
      <w:pPr>
        <w:pStyle w:val="Heading2"/>
        <w:spacing w:line="240" w:lineRule="auto" w:before="0"/>
        <w:ind w:left="178" w:right="0"/>
        <w:jc w:val="both"/>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364" w:lineRule="auto" w:before="70"/>
        <w:ind w:left="598" w:right="207" w:hanging="420"/>
        <w:jc w:val="left"/>
      </w:pPr>
      <w:r>
        <w:rPr/>
        <w:t>√适用</w:t>
      </w:r>
      <w:r>
        <w:rPr>
          <w:spacing w:val="-2"/>
        </w:rPr>
        <w:t> </w:t>
      </w:r>
      <w:r>
        <w:rPr/>
        <w:t>□不适用</w:t>
      </w:r>
      <w:r>
        <w:rPr>
          <w:spacing w:val="-103"/>
        </w:rPr>
        <w:t> </w:t>
      </w:r>
      <w:r>
        <w:rPr>
          <w:spacing w:val="-103"/>
        </w:rPr>
      </w:r>
      <w:r>
        <w:rPr>
          <w:spacing w:val="-2"/>
        </w:rPr>
        <w:t>对于可抵扣暂时性差异确认递延所得税资产，以未来期间很可能取得的用来抵扣可抵扣暂时性</w:t>
      </w:r>
    </w:p>
    <w:p>
      <w:pPr>
        <w:spacing w:after="0" w:line="364" w:lineRule="auto"/>
        <w:jc w:val="left"/>
        <w:sectPr>
          <w:pgSz w:w="11910" w:h="16840"/>
          <w:pgMar w:header="643" w:footer="974" w:top="1080" w:bottom="1160" w:left="1240" w:right="12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50" w:lineRule="auto"/>
        <w:ind w:left="178" w:right="207"/>
        <w:jc w:val="left"/>
      </w:pPr>
      <w:r>
        <w:rPr>
          <w:spacing w:val="-2"/>
        </w:rPr>
        <w:t>差异的应纳税所得额为限。对于能够结转以后年度的可抵扣亏损和税款抵减，以很可能获得用来抵</w:t>
      </w:r>
      <w:r>
        <w:rPr>
          <w:spacing w:val="-25"/>
        </w:rPr>
        <w:t> </w:t>
      </w:r>
      <w:r>
        <w:rPr>
          <w:spacing w:val="-25"/>
        </w:rPr>
      </w:r>
      <w:r>
        <w:rPr/>
        <w:t>扣可抵扣亏损和税款抵减的未来应纳税所得额为限，确认相应的递延所得税资产。</w:t>
      </w:r>
    </w:p>
    <w:p>
      <w:pPr>
        <w:pStyle w:val="BodyText"/>
        <w:spacing w:line="350" w:lineRule="auto" w:before="27"/>
        <w:ind w:left="598" w:right="207"/>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w:t>
      </w:r>
    </w:p>
    <w:p>
      <w:pPr>
        <w:pStyle w:val="BodyText"/>
        <w:spacing w:line="348" w:lineRule="auto" w:before="29"/>
        <w:ind w:left="598" w:right="207" w:hanging="420"/>
        <w:jc w:val="left"/>
      </w:pPr>
      <w:r>
        <w:rPr/>
        <w:t>的发生时既不影响会计利润也不影响应纳税所得额（或可抵扣亏损）的其他交易或事项。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w:t>
      </w:r>
    </w:p>
    <w:p>
      <w:pPr>
        <w:pStyle w:val="BodyText"/>
        <w:spacing w:line="256" w:lineRule="auto" w:before="31"/>
        <w:ind w:left="598" w:right="207" w:hanging="420"/>
        <w:jc w:val="left"/>
      </w:pPr>
      <w:r>
        <w:rPr/>
        <w:t>得税资产及当期所得税负债以抵销后的净额列报。</w:t>
      </w:r>
      <w:r>
        <w:rPr>
          <w:w w:val="100"/>
        </w:rPr>
        <w:t> </w:t>
      </w:r>
      <w:r>
        <w:rPr>
          <w:spacing w:val="-2"/>
        </w:rPr>
        <w:t>当拥有以净额结算当期所得税资产及当期所得税负债的法定权利，且递延所得税资产及递延所</w:t>
      </w:r>
    </w:p>
    <w:p>
      <w:pPr>
        <w:pStyle w:val="BodyText"/>
        <w:spacing w:line="273" w:lineRule="auto" w:before="22"/>
        <w:ind w:left="178" w:right="248"/>
        <w:jc w:val="both"/>
      </w:pPr>
      <w:r>
        <w:rPr>
          <w:spacing w:val="-2"/>
        </w:rPr>
        <w:t>得税负债是与同一税收征管部门对同一纳税主体征收的所得税相关或者是对不同的纳税主体相关，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但在未来每一具有重要性的递延所得税资产及负债转回的期间内，涉及的纳税主体意图以净额结算</w:t>
      </w:r>
      <w:r>
        <w:rPr>
          <w:spacing w:val="-25"/>
        </w:rPr>
        <w:t> </w:t>
      </w:r>
      <w:r>
        <w:rPr>
          <w:spacing w:val="-25"/>
        </w:rPr>
      </w:r>
      <w:r>
        <w:rPr>
          <w:spacing w:val="-2"/>
        </w:rPr>
        <w:t>当期所得税资产和负债或是同时取得资产、清偿负债时，递延所得税资产及递延所得税负债以抵销</w:t>
      </w:r>
      <w:r>
        <w:rPr>
          <w:spacing w:val="-25"/>
        </w:rPr>
        <w:t> </w:t>
      </w:r>
      <w:r>
        <w:rPr>
          <w:spacing w:val="-25"/>
        </w:rPr>
      </w:r>
      <w:r>
        <w:rPr/>
        <w:t>后的净额列报。</w:t>
      </w:r>
    </w:p>
    <w:p>
      <w:pPr>
        <w:spacing w:line="240" w:lineRule="auto" w:before="0"/>
        <w:rPr>
          <w:rFonts w:ascii="宋体" w:hAnsi="宋体" w:cs="宋体" w:eastAsia="宋体" w:hint="default"/>
          <w:sz w:val="29"/>
          <w:szCs w:val="29"/>
        </w:rPr>
      </w:pPr>
    </w:p>
    <w:p>
      <w:pPr>
        <w:pStyle w:val="Heading2"/>
        <w:spacing w:line="324" w:lineRule="auto" w:before="0"/>
        <w:ind w:left="178" w:right="6526"/>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23"/>
        <w:ind w:left="178" w:right="0"/>
        <w:jc w:val="both"/>
      </w:pPr>
      <w:r>
        <w:rPr/>
        <w:t>√适用 □不适用</w:t>
      </w:r>
    </w:p>
    <w:p>
      <w:pPr>
        <w:pStyle w:val="BodyText"/>
        <w:spacing w:line="328" w:lineRule="auto" w:before="142"/>
        <w:ind w:left="178" w:right="210" w:firstLine="420"/>
        <w:jc w:val="both"/>
      </w:pPr>
      <w:r>
        <w:rPr>
          <w:spacing w:val="-3"/>
        </w:rPr>
        <w:t>（</w:t>
      </w: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）公司租入资产所支付的租赁费，在不扣除免租期的整个租赁期内，按直线法进行分摊，计</w:t>
      </w:r>
      <w:r>
        <w:rPr>
          <w:w w:val="100"/>
        </w:rPr>
        <w:t> </w:t>
      </w:r>
      <w:r>
        <w:rPr/>
        <w:t>入当期费用。公司支付的与租赁交易相关的初始直接费用，计入当期费用。</w:t>
      </w:r>
    </w:p>
    <w:p>
      <w:pPr>
        <w:pStyle w:val="BodyText"/>
        <w:spacing w:line="350" w:lineRule="auto" w:before="48"/>
        <w:ind w:left="178" w:right="0" w:firstLine="420"/>
        <w:jc w:val="left"/>
      </w:pPr>
      <w:r>
        <w:rPr>
          <w:spacing w:val="-3"/>
        </w:rPr>
        <w:t>资产出租方承担了应由公司承担的与租赁相关的费用时，公司将该部分费用从租金总额中扣除，</w:t>
      </w:r>
      <w:r>
        <w:rPr>
          <w:w w:val="100"/>
        </w:rPr>
        <w:t> </w:t>
      </w:r>
      <w:r>
        <w:rPr/>
        <w:t>按扣除后的租金费用在租赁期内分摊，计入当期费用。</w:t>
      </w:r>
    </w:p>
    <w:p>
      <w:pPr>
        <w:pStyle w:val="BodyText"/>
        <w:spacing w:line="340" w:lineRule="auto" w:before="27"/>
        <w:ind w:left="178" w:right="210" w:firstLine="420"/>
        <w:jc w:val="both"/>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）公司出租资产所收取的租赁费，在不扣除免租期的整个租赁期内，按直线法进行分摊，确</w:t>
      </w:r>
      <w:r>
        <w:rPr>
          <w:w w:val="100"/>
        </w:rPr>
        <w:t> </w:t>
      </w:r>
      <w:r>
        <w:rPr>
          <w:spacing w:val="-1"/>
        </w:rPr>
        <w:t>认为租赁相关收入。公司支付的与租赁交易相关的初始直接费用，计入当期费用；如金额较大的，</w:t>
      </w:r>
      <w:r>
        <w:rPr>
          <w:spacing w:val="-20"/>
        </w:rPr>
        <w:t> </w:t>
      </w:r>
      <w:r>
        <w:rPr>
          <w:spacing w:val="-20"/>
        </w:rPr>
      </w:r>
      <w:r>
        <w:rPr/>
        <w:t>则予以资本化，在整个租赁期间内按照与租赁相关收入确认相同的基础分期计入当期收益。</w:t>
      </w:r>
    </w:p>
    <w:p>
      <w:pPr>
        <w:pStyle w:val="BodyText"/>
        <w:spacing w:line="205" w:lineRule="exact"/>
        <w:ind w:left="598" w:right="0"/>
        <w:jc w:val="left"/>
      </w:pPr>
      <w:r>
        <w:rPr>
          <w:spacing w:val="-3"/>
        </w:rPr>
        <w:t>公司承担了应由承租方承担的与租赁相关的费用时，公司将该部分费用从租金收入总额中扣除，</w:t>
      </w:r>
    </w:p>
    <w:p>
      <w:pPr>
        <w:pStyle w:val="BodyText"/>
        <w:spacing w:line="240" w:lineRule="auto" w:before="37"/>
        <w:ind w:left="178" w:right="0"/>
        <w:jc w:val="both"/>
      </w:pPr>
      <w:r>
        <w:rPr/>
        <w:t>按扣除后的租金费用在租赁期内分配。</w:t>
      </w:r>
    </w:p>
    <w:p>
      <w:pPr>
        <w:spacing w:line="240" w:lineRule="auto" w:before="0"/>
        <w:rPr>
          <w:rFonts w:ascii="宋体" w:hAnsi="宋体" w:cs="宋体" w:eastAsia="宋体" w:hint="default"/>
          <w:sz w:val="20"/>
          <w:szCs w:val="20"/>
        </w:rPr>
      </w:pPr>
    </w:p>
    <w:p>
      <w:pPr>
        <w:pStyle w:val="Heading2"/>
        <w:spacing w:line="240" w:lineRule="auto" w:before="147"/>
        <w:ind w:left="17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3" w:lineRule="auto" w:before="97"/>
        <w:ind w:left="598" w:right="207" w:hanging="420"/>
        <w:jc w:val="left"/>
      </w:pPr>
      <w:r>
        <w:rPr/>
        <w:t>√适用</w:t>
      </w:r>
      <w:r>
        <w:rPr>
          <w:spacing w:val="-2"/>
        </w:rPr>
        <w:t> </w:t>
      </w:r>
      <w:r>
        <w:rPr/>
        <w:t>□不适用</w:t>
      </w:r>
      <w:r>
        <w:rPr>
          <w:spacing w:val="-103"/>
        </w:rPr>
        <w:t> </w:t>
      </w:r>
      <w:r>
        <w:rPr>
          <w:spacing w:val="-103"/>
        </w:rPr>
      </w:r>
      <w:r>
        <w:rPr>
          <w:spacing w:val="-2"/>
        </w:rPr>
        <w:t>融资租入资产：公司在承租开始日，将租赁资产公允价值与最低租赁付款额现值两者中较低者</w:t>
      </w:r>
    </w:p>
    <w:p>
      <w:pPr>
        <w:pStyle w:val="BodyText"/>
        <w:spacing w:line="273" w:lineRule="auto" w:before="7"/>
        <w:ind w:left="178" w:right="248"/>
        <w:jc w:val="both"/>
      </w:pPr>
      <w:r>
        <w:rPr>
          <w:spacing w:val="-2"/>
        </w:rPr>
        <w:t>作为租入资产的入账价值，将最低租赁付款额作为长期应付款的入账价值，其差额作为未确认的融</w:t>
      </w:r>
      <w:r>
        <w:rPr>
          <w:spacing w:val="-25"/>
        </w:rPr>
        <w:t> </w:t>
      </w:r>
      <w:r>
        <w:rPr>
          <w:spacing w:val="-25"/>
        </w:rPr>
      </w:r>
      <w:r>
        <w:rPr>
          <w:spacing w:val="-2"/>
        </w:rPr>
        <w:t>资费用。公司采用实际利率法对未确认的融资费用，在资产租赁期间内摊销，计入财务费用。公司</w:t>
      </w:r>
      <w:r>
        <w:rPr>
          <w:spacing w:val="-25"/>
        </w:rPr>
        <w:t> </w:t>
      </w:r>
      <w:r>
        <w:rPr>
          <w:spacing w:val="-25"/>
        </w:rPr>
      </w:r>
      <w:r>
        <w:rPr/>
        <w:t>发生的初始直接费用，计入租入资产价值。</w:t>
      </w:r>
    </w:p>
    <w:p>
      <w:pPr>
        <w:spacing w:line="240" w:lineRule="auto" w:before="0"/>
        <w:rPr>
          <w:rFonts w:ascii="宋体" w:hAnsi="宋体" w:cs="宋体" w:eastAsia="宋体" w:hint="default"/>
          <w:sz w:val="29"/>
          <w:szCs w:val="29"/>
        </w:rPr>
      </w:pPr>
    </w:p>
    <w:p>
      <w:pPr>
        <w:pStyle w:val="Heading2"/>
        <w:spacing w:line="240" w:lineRule="auto" w:before="0"/>
        <w:ind w:left="178" w:right="0"/>
        <w:jc w:val="both"/>
        <w:rPr>
          <w:b w:val="0"/>
          <w:bCs w:val="0"/>
        </w:rPr>
      </w:pPr>
      <w:r>
        <w:rPr>
          <w:rFonts w:ascii="宋体" w:hAnsi="宋体" w:cs="宋体" w:eastAsia="宋体" w:hint="default"/>
        </w:rPr>
        <w:t>32. </w:t>
      </w:r>
      <w:r>
        <w:rPr/>
        <w:t>其他重要的会计政策和会计估计</w:t>
      </w:r>
      <w:r>
        <w:rPr>
          <w:b w:val="0"/>
          <w:bCs w:val="0"/>
        </w:rPr>
      </w:r>
    </w:p>
    <w:p>
      <w:pPr>
        <w:spacing w:line="273" w:lineRule="auto" w:before="97"/>
        <w:ind w:left="178" w:right="76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回购本公司股份</w:t>
      </w:r>
      <w:r>
        <w:rPr>
          <w:rFonts w:ascii="宋体" w:hAnsi="宋体" w:cs="宋体" w:eastAsia="宋体" w:hint="default"/>
          <w:sz w:val="21"/>
          <w:szCs w:val="21"/>
        </w:rPr>
      </w:r>
    </w:p>
    <w:p>
      <w:pPr>
        <w:pStyle w:val="BodyText"/>
        <w:spacing w:line="273" w:lineRule="auto" w:before="7"/>
        <w:ind w:left="178" w:right="248" w:firstLine="420"/>
        <w:jc w:val="both"/>
      </w:pPr>
      <w:r>
        <w:rPr>
          <w:spacing w:val="-2"/>
        </w:rPr>
        <w:t>因减少注册资本或用于员工股权激励等原因收购本公司股份的，按实际支付的金额作为库存股</w:t>
      </w:r>
      <w:r>
        <w:rPr>
          <w:w w:val="100"/>
        </w:rPr>
        <w:t> </w:t>
      </w:r>
      <w:r>
        <w:rPr>
          <w:spacing w:val="-2"/>
        </w:rPr>
        <w:t>处理，同时进行备查登记。如果将回购的股份注销，则将按注销股票面值和注销股数计算的股票面</w:t>
      </w:r>
      <w:r>
        <w:rPr>
          <w:spacing w:val="-25"/>
        </w:rPr>
        <w:t> </w:t>
      </w:r>
      <w:r>
        <w:rPr>
          <w:spacing w:val="-25"/>
        </w:rPr>
      </w:r>
      <w:r>
        <w:rPr>
          <w:spacing w:val="-2"/>
        </w:rPr>
        <w:t>值总额与实际回购所支付的金额之间的差额冲减资本公积，资本公积不足冲减的，冲减留存收益；</w:t>
      </w:r>
    </w:p>
    <w:p>
      <w:pPr>
        <w:spacing w:after="0" w:line="273" w:lineRule="auto"/>
        <w:jc w:val="both"/>
        <w:sectPr>
          <w:pgSz w:w="11910" w:h="16840"/>
          <w:pgMar w:header="643" w:footer="974" w:top="1080" w:bottom="1160" w:left="1240" w:right="1200"/>
        </w:sectPr>
      </w:pPr>
    </w:p>
    <w:p>
      <w:pPr>
        <w:spacing w:line="240" w:lineRule="auto" w:before="9"/>
        <w:rPr>
          <w:rFonts w:ascii="宋体" w:hAnsi="宋体" w:cs="宋体" w:eastAsia="宋体" w:hint="default"/>
          <w:sz w:val="23"/>
          <w:szCs w:val="23"/>
        </w:rPr>
      </w:pPr>
    </w:p>
    <w:p>
      <w:pPr>
        <w:pStyle w:val="BodyText"/>
        <w:spacing w:line="273" w:lineRule="auto" w:before="36"/>
        <w:ind w:left="418" w:right="448"/>
        <w:jc w:val="both"/>
      </w:pPr>
      <w:r>
        <w:rPr>
          <w:spacing w:val="-2"/>
        </w:rPr>
        <w:t>如果将回购的股份用于员工股权激励的属于以权益结算的股份支付，于员工行权购买本公司股份收</w:t>
      </w:r>
      <w:r>
        <w:rPr>
          <w:spacing w:val="-25"/>
        </w:rPr>
        <w:t> </w:t>
      </w:r>
      <w:r>
        <w:rPr>
          <w:spacing w:val="-25"/>
        </w:rPr>
      </w:r>
      <w:r>
        <w:rPr>
          <w:spacing w:val="-2"/>
        </w:rPr>
        <w:t>到价款时，转销交付员工的库存股成本和等待期内资本公积（其他资本公积）累计金额，同时，按</w:t>
      </w:r>
      <w:r>
        <w:rPr>
          <w:spacing w:val="-25"/>
        </w:rPr>
        <w:t> </w:t>
      </w:r>
      <w:r>
        <w:rPr>
          <w:spacing w:val="-25"/>
        </w:rPr>
      </w:r>
      <w:r>
        <w:rPr/>
        <w:t>照其差额调整资本公积（股本溢价）。</w:t>
      </w:r>
    </w:p>
    <w:p>
      <w:pPr>
        <w:spacing w:line="240" w:lineRule="auto" w:before="0"/>
        <w:rPr>
          <w:rFonts w:ascii="宋体" w:hAnsi="宋体" w:cs="宋体" w:eastAsia="宋体" w:hint="default"/>
          <w:sz w:val="29"/>
          <w:szCs w:val="29"/>
        </w:rPr>
      </w:pPr>
    </w:p>
    <w:p>
      <w:pPr>
        <w:pStyle w:val="Heading2"/>
        <w:spacing w:line="324" w:lineRule="auto" w:before="0"/>
        <w:ind w:left="418" w:right="6094"/>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23"/>
        <w:ind w:left="418" w:right="0"/>
        <w:jc w:val="both"/>
      </w:pPr>
      <w:r>
        <w:rPr/>
        <w:t>√适用 □不适用</w:t>
      </w:r>
    </w:p>
    <w:p>
      <w:pPr>
        <w:spacing w:line="240" w:lineRule="auto" w:before="8"/>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673"/>
        <w:gridCol w:w="1291"/>
        <w:gridCol w:w="4719"/>
      </w:tblGrid>
      <w:tr>
        <w:trPr>
          <w:trHeight w:val="322"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受重要影响的报表项目名称和金额</w:t>
            </w:r>
            <w:r>
              <w:rPr>
                <w:rFonts w:ascii="宋体" w:hAnsi="宋体" w:cs="宋体" w:eastAsia="宋体" w:hint="default"/>
                <w:sz w:val="21"/>
                <w:szCs w:val="21"/>
              </w:rPr>
              <w:t>)</w:t>
            </w:r>
          </w:p>
        </w:tc>
      </w:tr>
      <w:tr>
        <w:trPr>
          <w:trHeight w:val="2818"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1</w:t>
            </w:r>
            <w:r>
              <w:rPr>
                <w:rFonts w:ascii="宋体" w:hAnsi="宋体" w:cs="宋体" w:eastAsia="宋体" w:hint="default"/>
                <w:spacing w:val="-14"/>
                <w:sz w:val="21"/>
                <w:szCs w:val="21"/>
              </w:rPr>
              <w:t>）资产负债表中“应收票据”和“应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收账款”合并列示为“应收票据及应</w:t>
            </w:r>
            <w:r>
              <w:rPr>
                <w:rFonts w:ascii="宋体" w:hAnsi="宋体" w:cs="宋体" w:eastAsia="宋体" w:hint="default"/>
                <w:w w:val="100"/>
                <w:sz w:val="21"/>
                <w:szCs w:val="21"/>
              </w:rPr>
              <w:t> </w:t>
            </w:r>
            <w:r>
              <w:rPr>
                <w:rFonts w:ascii="宋体" w:hAnsi="宋体" w:cs="宋体" w:eastAsia="宋体" w:hint="default"/>
                <w:sz w:val="21"/>
                <w:szCs w:val="21"/>
              </w:rPr>
              <w:t>收账款”；“应付票据”和“应付账</w:t>
            </w:r>
            <w:r>
              <w:rPr>
                <w:rFonts w:ascii="宋体" w:hAnsi="宋体" w:cs="宋体" w:eastAsia="宋体" w:hint="default"/>
                <w:w w:val="100"/>
                <w:sz w:val="21"/>
                <w:szCs w:val="21"/>
              </w:rPr>
              <w:t> </w:t>
            </w:r>
            <w:r>
              <w:rPr>
                <w:rFonts w:ascii="宋体" w:hAnsi="宋体" w:cs="宋体" w:eastAsia="宋体" w:hint="default"/>
                <w:sz w:val="21"/>
                <w:szCs w:val="21"/>
              </w:rPr>
              <w:t>款”合并列示为“应付票据及应付账</w:t>
            </w:r>
            <w:r>
              <w:rPr>
                <w:rFonts w:ascii="宋体" w:hAnsi="宋体" w:cs="宋体" w:eastAsia="宋体" w:hint="default"/>
                <w:w w:val="100"/>
                <w:sz w:val="21"/>
                <w:szCs w:val="21"/>
              </w:rPr>
              <w:t> </w:t>
            </w:r>
            <w:r>
              <w:rPr>
                <w:rFonts w:ascii="宋体" w:hAnsi="宋体" w:cs="宋体" w:eastAsia="宋体" w:hint="default"/>
                <w:sz w:val="21"/>
                <w:szCs w:val="21"/>
              </w:rPr>
              <w:t>款”；“应收利息”和“应收股利”</w:t>
            </w:r>
            <w:r>
              <w:rPr>
                <w:rFonts w:ascii="宋体" w:hAnsi="宋体" w:cs="宋体" w:eastAsia="宋体" w:hint="default"/>
                <w:w w:val="100"/>
                <w:sz w:val="21"/>
                <w:szCs w:val="21"/>
              </w:rPr>
              <w:t> </w:t>
            </w:r>
            <w:r>
              <w:rPr>
                <w:rFonts w:ascii="宋体" w:hAnsi="宋体" w:cs="宋体" w:eastAsia="宋体" w:hint="default"/>
                <w:sz w:val="21"/>
                <w:szCs w:val="21"/>
              </w:rPr>
              <w:t>并入“其他应收款”列示；“应付利</w:t>
            </w:r>
            <w:r>
              <w:rPr>
                <w:rFonts w:ascii="宋体" w:hAnsi="宋体" w:cs="宋体" w:eastAsia="宋体" w:hint="default"/>
                <w:w w:val="100"/>
                <w:sz w:val="21"/>
                <w:szCs w:val="21"/>
              </w:rPr>
              <w:t> </w:t>
            </w:r>
            <w:r>
              <w:rPr>
                <w:rFonts w:ascii="宋体" w:hAnsi="宋体" w:cs="宋体" w:eastAsia="宋体" w:hint="default"/>
                <w:sz w:val="21"/>
                <w:szCs w:val="21"/>
              </w:rPr>
              <w:t>息”和“应付股利”并入“其他应付</w:t>
            </w:r>
            <w:r>
              <w:rPr>
                <w:rFonts w:ascii="宋体" w:hAnsi="宋体" w:cs="宋体" w:eastAsia="宋体" w:hint="default"/>
                <w:w w:val="100"/>
                <w:sz w:val="21"/>
                <w:szCs w:val="21"/>
              </w:rPr>
              <w:t> </w:t>
            </w:r>
            <w:r>
              <w:rPr>
                <w:rFonts w:ascii="宋体" w:hAnsi="宋体" w:cs="宋体" w:eastAsia="宋体" w:hint="default"/>
                <w:sz w:val="21"/>
                <w:szCs w:val="21"/>
              </w:rPr>
              <w:t>款”列示。</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25"/>
              <w:jc w:val="both"/>
              <w:rPr>
                <w:rFonts w:ascii="宋体" w:hAnsi="宋体" w:cs="宋体" w:eastAsia="宋体" w:hint="default"/>
                <w:sz w:val="21"/>
                <w:szCs w:val="21"/>
              </w:rPr>
            </w:pPr>
            <w:r>
              <w:rPr>
                <w:rFonts w:ascii="宋体" w:hAnsi="宋体" w:cs="宋体" w:eastAsia="宋体" w:hint="default"/>
                <w:sz w:val="21"/>
                <w:szCs w:val="21"/>
              </w:rPr>
              <w:t>第四届董事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6"/>
              <w:jc w:val="left"/>
              <w:rPr>
                <w:rFonts w:ascii="宋体" w:hAnsi="宋体" w:cs="宋体" w:eastAsia="宋体" w:hint="default"/>
                <w:sz w:val="21"/>
                <w:szCs w:val="21"/>
              </w:rPr>
            </w:pPr>
            <w:r>
              <w:rPr>
                <w:rFonts w:ascii="宋体" w:hAnsi="宋体" w:cs="宋体" w:eastAsia="宋体" w:hint="default"/>
                <w:sz w:val="21"/>
                <w:szCs w:val="21"/>
              </w:rPr>
              <w:t>“应收票据”和“应收账款”合并列示为“应收</w:t>
            </w:r>
            <w:r>
              <w:rPr>
                <w:rFonts w:ascii="宋体" w:hAnsi="宋体" w:cs="宋体" w:eastAsia="宋体" w:hint="default"/>
                <w:spacing w:val="-3"/>
                <w:w w:val="100"/>
                <w:sz w:val="21"/>
                <w:szCs w:val="21"/>
              </w:rPr>
              <w:t> </w:t>
            </w:r>
            <w:r>
              <w:rPr>
                <w:rFonts w:ascii="宋体" w:hAnsi="宋体" w:cs="宋体" w:eastAsia="宋体" w:hint="default"/>
                <w:sz w:val="21"/>
                <w:szCs w:val="21"/>
              </w:rPr>
              <w:t>票据及应收账款”，本期金额</w:t>
            </w:r>
            <w:r>
              <w:rPr>
                <w:rFonts w:ascii="宋体" w:hAnsi="宋体" w:cs="宋体" w:eastAsia="宋体" w:hint="default"/>
                <w:spacing w:val="-54"/>
                <w:sz w:val="21"/>
                <w:szCs w:val="21"/>
              </w:rPr>
              <w:t> </w:t>
            </w:r>
            <w:r>
              <w:rPr>
                <w:rFonts w:ascii="宋体" w:hAnsi="宋体" w:cs="宋体" w:eastAsia="宋体" w:hint="default"/>
                <w:sz w:val="21"/>
                <w:szCs w:val="21"/>
              </w:rPr>
              <w:t>2,893,246,866.76</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pacing w:val="-19"/>
                <w:w w:val="100"/>
                <w:sz w:val="21"/>
                <w:szCs w:val="21"/>
              </w:rPr>
              <w:t>元，上期金额</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2,038,105,166.53</w:t>
            </w:r>
            <w:r>
              <w:rPr>
                <w:rFonts w:ascii="宋体" w:hAnsi="宋体" w:cs="宋体" w:eastAsia="宋体" w:hint="default"/>
                <w:spacing w:val="-57"/>
                <w:w w:val="100"/>
                <w:sz w:val="21"/>
                <w:szCs w:val="21"/>
              </w:rPr>
              <w:t> </w:t>
            </w:r>
            <w:r>
              <w:rPr>
                <w:rFonts w:ascii="宋体" w:hAnsi="宋体" w:cs="宋体" w:eastAsia="宋体" w:hint="default"/>
                <w:spacing w:val="-15"/>
                <w:w w:val="100"/>
                <w:sz w:val="21"/>
                <w:szCs w:val="21"/>
              </w:rPr>
              <w:t>元；“应付票据”</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和“应付账款”合并列示为“应付票据及应付账</w:t>
            </w:r>
            <w:r>
              <w:rPr>
                <w:rFonts w:ascii="宋体" w:hAnsi="宋体" w:cs="宋体" w:eastAsia="宋体" w:hint="default"/>
                <w:w w:val="100"/>
                <w:sz w:val="21"/>
                <w:szCs w:val="21"/>
              </w:rPr>
              <w:t> </w:t>
            </w:r>
            <w:r>
              <w:rPr>
                <w:rFonts w:ascii="宋体" w:hAnsi="宋体" w:cs="宋体" w:eastAsia="宋体" w:hint="default"/>
                <w:sz w:val="21"/>
                <w:szCs w:val="21"/>
              </w:rPr>
              <w:t>款”，本期金额</w:t>
            </w:r>
            <w:r>
              <w:rPr>
                <w:rFonts w:ascii="宋体" w:hAnsi="宋体" w:cs="宋体" w:eastAsia="宋体" w:hint="default"/>
                <w:spacing w:val="-52"/>
                <w:sz w:val="21"/>
                <w:szCs w:val="21"/>
              </w:rPr>
              <w:t> </w:t>
            </w:r>
            <w:r>
              <w:rPr>
                <w:rFonts w:ascii="宋体" w:hAnsi="宋体" w:cs="宋体" w:eastAsia="宋体" w:hint="default"/>
                <w:sz w:val="21"/>
                <w:szCs w:val="21"/>
              </w:rPr>
              <w:t>1,611,805,696.69</w:t>
            </w:r>
            <w:r>
              <w:rPr>
                <w:rFonts w:ascii="宋体" w:hAnsi="宋体" w:cs="宋体" w:eastAsia="宋体" w:hint="default"/>
                <w:spacing w:val="-52"/>
                <w:sz w:val="21"/>
                <w:szCs w:val="21"/>
              </w:rPr>
              <w:t> </w:t>
            </w:r>
            <w:r>
              <w:rPr>
                <w:rFonts w:ascii="宋体" w:hAnsi="宋体" w:cs="宋体" w:eastAsia="宋体" w:hint="default"/>
                <w:spacing w:val="-3"/>
                <w:sz w:val="21"/>
                <w:szCs w:val="21"/>
              </w:rPr>
              <w:t>元，上期金额</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1,973,052,693.71</w:t>
            </w:r>
            <w:r>
              <w:rPr>
                <w:rFonts w:ascii="宋体" w:hAnsi="宋体" w:cs="宋体" w:eastAsia="宋体" w:hint="default"/>
                <w:spacing w:val="-61"/>
                <w:sz w:val="21"/>
                <w:szCs w:val="21"/>
              </w:rPr>
              <w:t> </w:t>
            </w:r>
            <w:r>
              <w:rPr>
                <w:rFonts w:ascii="宋体" w:hAnsi="宋体" w:cs="宋体" w:eastAsia="宋体" w:hint="default"/>
                <w:sz w:val="21"/>
                <w:szCs w:val="21"/>
              </w:rPr>
              <w:t>元；调增“其他应收款”本期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3"/>
                <w:sz w:val="21"/>
                <w:szCs w:val="21"/>
              </w:rPr>
              <w:t> </w:t>
            </w:r>
            <w:r>
              <w:rPr>
                <w:rFonts w:ascii="宋体" w:hAnsi="宋体" w:cs="宋体" w:eastAsia="宋体" w:hint="default"/>
                <w:sz w:val="21"/>
                <w:szCs w:val="21"/>
              </w:rPr>
              <w:t>2,687,513.89</w:t>
            </w:r>
            <w:r>
              <w:rPr>
                <w:rFonts w:ascii="宋体" w:hAnsi="宋体" w:cs="宋体" w:eastAsia="宋体" w:hint="default"/>
                <w:spacing w:val="-56"/>
                <w:sz w:val="21"/>
                <w:szCs w:val="21"/>
              </w:rPr>
              <w:t> </w:t>
            </w:r>
            <w:r>
              <w:rPr>
                <w:rFonts w:ascii="宋体" w:hAnsi="宋体" w:cs="宋体" w:eastAsia="宋体" w:hint="default"/>
                <w:sz w:val="21"/>
                <w:szCs w:val="21"/>
              </w:rPr>
              <w:t>元，上期金额</w:t>
            </w:r>
            <w:r>
              <w:rPr>
                <w:rFonts w:ascii="宋体" w:hAnsi="宋体" w:cs="宋体" w:eastAsia="宋体" w:hint="default"/>
                <w:spacing w:val="-53"/>
                <w:sz w:val="21"/>
                <w:szCs w:val="21"/>
              </w:rPr>
              <w:t> </w:t>
            </w:r>
            <w:r>
              <w:rPr>
                <w:rFonts w:ascii="宋体" w:hAnsi="宋体" w:cs="宋体" w:eastAsia="宋体" w:hint="default"/>
                <w:sz w:val="21"/>
                <w:szCs w:val="21"/>
              </w:rPr>
              <w:t>1,321,298.61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元；调增“其他应付款”本期金额</w:t>
            </w:r>
            <w:r>
              <w:rPr>
                <w:rFonts w:ascii="宋体" w:hAnsi="宋体" w:cs="宋体" w:eastAsia="宋体" w:hint="default"/>
                <w:spacing w:val="-55"/>
                <w:sz w:val="21"/>
                <w:szCs w:val="21"/>
              </w:rPr>
              <w:t> </w:t>
            </w:r>
            <w:r>
              <w:rPr>
                <w:rFonts w:ascii="宋体" w:hAnsi="宋体" w:cs="宋体" w:eastAsia="宋体" w:hint="default"/>
                <w:sz w:val="21"/>
                <w:szCs w:val="21"/>
              </w:rPr>
              <w:t>7,310,911.70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元，上期金额</w:t>
            </w:r>
            <w:r>
              <w:rPr>
                <w:rFonts w:ascii="宋体" w:hAnsi="宋体" w:cs="宋体" w:eastAsia="宋体" w:hint="default"/>
                <w:spacing w:val="-53"/>
                <w:sz w:val="21"/>
                <w:szCs w:val="21"/>
              </w:rPr>
              <w:t> </w:t>
            </w:r>
            <w:r>
              <w:rPr>
                <w:rFonts w:ascii="宋体" w:hAnsi="宋体" w:cs="宋体" w:eastAsia="宋体" w:hint="default"/>
                <w:sz w:val="21"/>
                <w:szCs w:val="21"/>
              </w:rPr>
              <w:t>7,790,334.08</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88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）在利润表中新增“研发费用”项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目，将原“管理费用”中的研发费用</w:t>
            </w:r>
            <w:r>
              <w:rPr>
                <w:rFonts w:ascii="宋体" w:hAnsi="宋体" w:cs="宋体" w:eastAsia="宋体" w:hint="default"/>
                <w:w w:val="100"/>
                <w:sz w:val="21"/>
                <w:szCs w:val="21"/>
              </w:rPr>
              <w:t> </w:t>
            </w:r>
            <w:r>
              <w:rPr>
                <w:rFonts w:ascii="宋体" w:hAnsi="宋体" w:cs="宋体" w:eastAsia="宋体" w:hint="default"/>
                <w:sz w:val="21"/>
                <w:szCs w:val="21"/>
              </w:rPr>
              <w:t>重分类至“研发费用”单独列示；在</w:t>
            </w:r>
            <w:r>
              <w:rPr>
                <w:rFonts w:ascii="宋体" w:hAnsi="宋体" w:cs="宋体" w:eastAsia="宋体" w:hint="default"/>
                <w:w w:val="100"/>
                <w:sz w:val="21"/>
                <w:szCs w:val="21"/>
              </w:rPr>
              <w:t> </w:t>
            </w:r>
            <w:r>
              <w:rPr>
                <w:rFonts w:ascii="宋体" w:hAnsi="宋体" w:cs="宋体" w:eastAsia="宋体" w:hint="default"/>
                <w:sz w:val="21"/>
                <w:szCs w:val="21"/>
              </w:rPr>
              <w:t>利润表中财务费用项下新增“其中：</w:t>
            </w:r>
            <w:r>
              <w:rPr>
                <w:rFonts w:ascii="宋体" w:hAnsi="宋体" w:cs="宋体" w:eastAsia="宋体" w:hint="default"/>
                <w:w w:val="100"/>
                <w:sz w:val="21"/>
                <w:szCs w:val="21"/>
              </w:rPr>
              <w:t> </w:t>
            </w:r>
            <w:r>
              <w:rPr>
                <w:rFonts w:ascii="宋体" w:hAnsi="宋体" w:cs="宋体" w:eastAsia="宋体" w:hint="default"/>
                <w:sz w:val="21"/>
                <w:szCs w:val="21"/>
              </w:rPr>
              <w:t>利息费用”和“利息收入”项目。比</w:t>
            </w:r>
            <w:r>
              <w:rPr>
                <w:rFonts w:ascii="宋体" w:hAnsi="宋体" w:cs="宋体" w:eastAsia="宋体" w:hint="default"/>
                <w:w w:val="100"/>
                <w:sz w:val="21"/>
                <w:szCs w:val="21"/>
              </w:rPr>
              <w:t> </w:t>
            </w:r>
            <w:r>
              <w:rPr>
                <w:rFonts w:ascii="宋体" w:hAnsi="宋体" w:cs="宋体" w:eastAsia="宋体" w:hint="default"/>
                <w:sz w:val="21"/>
                <w:szCs w:val="21"/>
              </w:rPr>
              <w:t>较数据相应调整。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25"/>
              <w:jc w:val="both"/>
              <w:rPr>
                <w:rFonts w:ascii="宋体" w:hAnsi="宋体" w:cs="宋体" w:eastAsia="宋体" w:hint="default"/>
                <w:sz w:val="21"/>
                <w:szCs w:val="21"/>
              </w:rPr>
            </w:pPr>
            <w:r>
              <w:rPr>
                <w:rFonts w:ascii="宋体" w:hAnsi="宋体" w:cs="宋体" w:eastAsia="宋体" w:hint="default"/>
                <w:sz w:val="21"/>
                <w:szCs w:val="21"/>
              </w:rPr>
              <w:t>第四届董事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调减“管理费用”本期金额</w:t>
            </w:r>
            <w:r>
              <w:rPr>
                <w:rFonts w:ascii="宋体" w:hAnsi="宋体" w:cs="宋体" w:eastAsia="宋体" w:hint="default"/>
                <w:spacing w:val="-53"/>
                <w:sz w:val="21"/>
                <w:szCs w:val="21"/>
              </w:rPr>
              <w:t> </w:t>
            </w:r>
            <w:r>
              <w:rPr>
                <w:rFonts w:ascii="宋体" w:hAnsi="宋体" w:cs="宋体" w:eastAsia="宋体" w:hint="default"/>
                <w:sz w:val="21"/>
                <w:szCs w:val="21"/>
              </w:rPr>
              <w:t>147,563,320.87</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pacing w:val="-45"/>
                <w:sz w:val="21"/>
                <w:szCs w:val="21"/>
              </w:rPr>
              <w:t> </w:t>
            </w:r>
            <w:r>
              <w:rPr>
                <w:rFonts w:ascii="宋体" w:hAnsi="宋体" w:cs="宋体" w:eastAsia="宋体" w:hint="default"/>
                <w:sz w:val="21"/>
                <w:szCs w:val="21"/>
              </w:rPr>
              <w:t>107,572,245.83</w:t>
            </w:r>
            <w:r>
              <w:rPr>
                <w:rFonts w:ascii="宋体" w:hAnsi="宋体" w:cs="宋体" w:eastAsia="宋体" w:hint="default"/>
                <w:spacing w:val="-48"/>
                <w:sz w:val="21"/>
                <w:szCs w:val="21"/>
              </w:rPr>
              <w:t> </w:t>
            </w:r>
            <w:r>
              <w:rPr>
                <w:rFonts w:ascii="宋体" w:hAnsi="宋体" w:cs="宋体" w:eastAsia="宋体" w:hint="default"/>
                <w:spacing w:val="-3"/>
                <w:sz w:val="21"/>
                <w:szCs w:val="21"/>
              </w:rPr>
              <w:t>元，重分类至“研发费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w:t>
            </w:r>
          </w:p>
        </w:tc>
      </w:tr>
    </w:tbl>
    <w:p>
      <w:pPr>
        <w:pStyle w:val="BodyText"/>
        <w:spacing w:line="262" w:lineRule="exact"/>
        <w:ind w:left="418" w:right="6094"/>
        <w:jc w:val="left"/>
      </w:pPr>
      <w:r>
        <w:rPr/>
        <w:t>其他说明</w:t>
      </w:r>
    </w:p>
    <w:p>
      <w:pPr>
        <w:pStyle w:val="BodyText"/>
        <w:spacing w:line="240" w:lineRule="auto" w:before="37"/>
        <w:ind w:left="418" w:right="0"/>
        <w:jc w:val="left"/>
      </w:pPr>
      <w:r>
        <w:rPr/>
        <w:t>财政部于</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t>月</w:t>
      </w:r>
      <w:r>
        <w:rPr>
          <w:spacing w:val="-49"/>
        </w:rPr>
        <w:t> </w:t>
      </w:r>
      <w:r>
        <w:rPr>
          <w:rFonts w:ascii="宋体" w:hAnsi="宋体" w:cs="宋体" w:eastAsia="宋体" w:hint="default"/>
        </w:rPr>
        <w:t>15</w:t>
      </w:r>
      <w:r>
        <w:rPr>
          <w:rFonts w:ascii="宋体" w:hAnsi="宋体" w:cs="宋体" w:eastAsia="宋体" w:hint="default"/>
          <w:spacing w:val="-51"/>
        </w:rPr>
        <w:t> </w:t>
      </w:r>
      <w:r>
        <w:rPr/>
        <w:t>日发布了《财政部关于修订印发</w:t>
      </w:r>
      <w:r>
        <w:rPr>
          <w:spacing w:val="-49"/>
        </w:rPr>
        <w:t> </w:t>
      </w:r>
      <w:r>
        <w:rPr>
          <w:rFonts w:ascii="宋体" w:hAnsi="宋体" w:cs="宋体" w:eastAsia="宋体" w:hint="default"/>
        </w:rPr>
        <w:t>2018</w:t>
      </w:r>
      <w:r>
        <w:rPr>
          <w:rFonts w:ascii="宋体" w:hAnsi="宋体" w:cs="宋体" w:eastAsia="宋体" w:hint="default"/>
          <w:spacing w:val="-49"/>
        </w:rPr>
        <w:t> </w:t>
      </w:r>
      <w:r>
        <w:rPr/>
        <w:t>年度一般企业财务报表格式的通知》</w:t>
      </w:r>
    </w:p>
    <w:p>
      <w:pPr>
        <w:pStyle w:val="BodyText"/>
        <w:spacing w:line="240" w:lineRule="auto" w:before="37"/>
        <w:ind w:left="418" w:right="0"/>
        <w:jc w:val="left"/>
      </w:pPr>
      <w:r>
        <w:rPr>
          <w:spacing w:val="-1"/>
        </w:rPr>
        <w:t>（财会（</w:t>
      </w:r>
      <w:r>
        <w:rPr>
          <w:rFonts w:ascii="宋体" w:hAnsi="宋体" w:cs="宋体" w:eastAsia="宋体" w:hint="default"/>
          <w:spacing w:val="-1"/>
        </w:rPr>
        <w:t>2018</w:t>
      </w:r>
      <w:r>
        <w:rPr>
          <w:spacing w:val="-1"/>
        </w:rPr>
        <w:t>）</w:t>
      </w:r>
      <w:r>
        <w:rPr>
          <w:rFonts w:ascii="宋体" w:hAnsi="宋体" w:cs="宋体" w:eastAsia="宋体" w:hint="default"/>
          <w:spacing w:val="-1"/>
        </w:rPr>
        <w:t>15</w:t>
      </w:r>
      <w:r>
        <w:rPr>
          <w:rFonts w:ascii="宋体" w:hAnsi="宋体" w:cs="宋体" w:eastAsia="宋体" w:hint="default"/>
          <w:spacing w:val="-9"/>
        </w:rPr>
        <w:t> </w:t>
      </w:r>
      <w:r>
        <w:rPr>
          <w:spacing w:val="-2"/>
        </w:rPr>
        <w:t>号），对一般企业财务报表格式进行了修订。</w:t>
      </w:r>
    </w:p>
    <w:p>
      <w:pPr>
        <w:spacing w:line="240" w:lineRule="auto" w:before="0"/>
        <w:rPr>
          <w:rFonts w:ascii="宋体" w:hAnsi="宋体" w:cs="宋体" w:eastAsia="宋体" w:hint="default"/>
          <w:sz w:val="20"/>
          <w:szCs w:val="20"/>
        </w:rPr>
      </w:pPr>
    </w:p>
    <w:p>
      <w:pPr>
        <w:pStyle w:val="Heading2"/>
        <w:spacing w:line="240" w:lineRule="auto" w:before="147"/>
        <w:ind w:left="418" w:right="6094"/>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left="418" w:right="6094"/>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418" w:right="6094"/>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97"/>
        <w:ind w:left="418" w:right="6094"/>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18" w:right="6094"/>
        <w:jc w:val="left"/>
        <w:rPr>
          <w:b w:val="0"/>
          <w:bCs w:val="0"/>
        </w:rPr>
      </w:pPr>
      <w:r>
        <w:rPr/>
        <w:t>六、税项</w:t>
      </w:r>
      <w:r>
        <w:rPr>
          <w:b w:val="0"/>
          <w:bCs w:val="0"/>
        </w:rPr>
      </w:r>
    </w:p>
    <w:p>
      <w:pPr>
        <w:tabs>
          <w:tab w:pos="843" w:val="left" w:leader="none"/>
        </w:tabs>
        <w:spacing w:line="324" w:lineRule="auto" w:before="97"/>
        <w:ind w:left="418" w:right="758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8" w:lineRule="exact"/>
        <w:ind w:left="418" w:right="6094"/>
        <w:jc w:val="left"/>
      </w:pPr>
      <w:r>
        <w:rPr/>
        <w:t>√适用 □不适用</w:t>
      </w:r>
    </w:p>
    <w:p>
      <w:pPr>
        <w:spacing w:line="240" w:lineRule="auto" w:before="10"/>
        <w:rPr>
          <w:rFonts w:ascii="宋体" w:hAnsi="宋体" w:cs="宋体" w:eastAsia="宋体" w:hint="default"/>
          <w:sz w:val="3"/>
          <w:szCs w:val="3"/>
        </w:rPr>
      </w:pPr>
    </w:p>
    <w:tbl>
      <w:tblPr>
        <w:tblW w:w="0" w:type="auto"/>
        <w:jc w:val="left"/>
        <w:tblInd w:w="306" w:type="dxa"/>
        <w:tblLayout w:type="fixed"/>
        <w:tblCellMar>
          <w:top w:w="0" w:type="dxa"/>
          <w:left w:w="0" w:type="dxa"/>
          <w:bottom w:w="0" w:type="dxa"/>
          <w:right w:w="0" w:type="dxa"/>
        </w:tblCellMar>
        <w:tblLook w:val="01E0"/>
      </w:tblPr>
      <w:tblGrid>
        <w:gridCol w:w="2782"/>
        <w:gridCol w:w="3147"/>
        <w:gridCol w:w="3121"/>
      </w:tblGrid>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94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r>
              <w:rPr>
                <w:rFonts w:ascii="宋体" w:hAnsi="宋体" w:cs="宋体" w:eastAsia="宋体" w:hint="default"/>
                <w:w w:val="100"/>
                <w:sz w:val="21"/>
                <w:szCs w:val="21"/>
              </w:rPr>
              <w:t> </w:t>
            </w: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p>
        </w:tc>
      </w:tr>
    </w:tbl>
    <w:p>
      <w:pPr>
        <w:spacing w:after="0" w:line="240" w:lineRule="auto"/>
        <w:jc w:val="left"/>
        <w:rPr>
          <w:rFonts w:ascii="宋体" w:hAnsi="宋体" w:cs="宋体" w:eastAsia="宋体" w:hint="default"/>
          <w:sz w:val="21"/>
          <w:szCs w:val="21"/>
        </w:rPr>
        <w:sectPr>
          <w:pgSz w:w="11910" w:h="16840"/>
          <w:pgMar w:header="643" w:footer="974" w:top="1080" w:bottom="1160" w:left="1000" w:right="1000"/>
        </w:sectPr>
      </w:pPr>
    </w:p>
    <w:p>
      <w:pPr>
        <w:spacing w:line="240" w:lineRule="auto" w:before="5"/>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782"/>
        <w:gridCol w:w="3147"/>
        <w:gridCol w:w="3121"/>
      </w:tblGrid>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按实际缴纳的增值税及消费税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sz w:val="21"/>
              </w:rPr>
              <w:t>7%</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12.50%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p>
        </w:tc>
      </w:tr>
    </w:tbl>
    <w:p>
      <w:pPr>
        <w:spacing w:line="240" w:lineRule="auto" w:before="2"/>
        <w:rPr>
          <w:rFonts w:ascii="宋体" w:hAnsi="宋体" w:cs="宋体" w:eastAsia="宋体" w:hint="default"/>
          <w:sz w:val="20"/>
          <w:szCs w:val="20"/>
        </w:rPr>
      </w:pPr>
    </w:p>
    <w:p>
      <w:pPr>
        <w:pStyle w:val="BodyText"/>
        <w:spacing w:line="240" w:lineRule="auto" w:before="36"/>
        <w:ind w:right="104"/>
        <w:jc w:val="left"/>
      </w:pPr>
      <w:r>
        <w:rPr/>
        <w:t>存在不同企业所得税税率纳税主体的，披露情况说明</w:t>
      </w:r>
    </w:p>
    <w:p>
      <w:pPr>
        <w:pStyle w:val="BodyText"/>
        <w:spacing w:line="240" w:lineRule="auto" w:before="37"/>
        <w:ind w:right="4907"/>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604"/>
        <w:gridCol w:w="4446"/>
      </w:tblGrid>
      <w:tr>
        <w:trPr>
          <w:trHeight w:val="325"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tabs>
          <w:tab w:pos="643" w:val="left" w:leader="none"/>
        </w:tabs>
        <w:spacing w:line="240" w:lineRule="auto"/>
        <w:ind w:right="4907"/>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right="4907"/>
        <w:jc w:val="left"/>
      </w:pPr>
      <w:r>
        <w:rPr/>
        <w:t>√适用 □不适用</w:t>
      </w:r>
    </w:p>
    <w:p>
      <w:pPr>
        <w:pStyle w:val="BodyText"/>
        <w:spacing w:line="340" w:lineRule="auto" w:before="116"/>
        <w:ind w:right="209" w:firstLine="420"/>
        <w:jc w:val="both"/>
      </w:pPr>
      <w:r>
        <w:rPr>
          <w:rFonts w:ascii="宋体" w:hAnsi="宋体" w:cs="宋体" w:eastAsia="宋体" w:hint="default"/>
        </w:rPr>
        <w:t>1.</w:t>
      </w:r>
      <w:r>
        <w:rPr>
          <w:rFonts w:ascii="宋体" w:hAnsi="宋体" w:cs="宋体" w:eastAsia="宋体" w:hint="default"/>
          <w:spacing w:val="97"/>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7"/>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日，公司获得江苏省科学技术厅、江苏省财政厅、江苏省国家税务局及江</w:t>
      </w:r>
      <w:r>
        <w:rPr>
          <w:w w:val="100"/>
        </w:rPr>
        <w:t> </w:t>
      </w:r>
      <w:r>
        <w:rPr>
          <w:spacing w:val="-2"/>
          <w:w w:val="100"/>
        </w:rPr>
        <w:t>苏省地方税务局共同颁发的编号为</w:t>
      </w:r>
      <w:r>
        <w:rPr>
          <w:spacing w:val="-20"/>
          <w:w w:val="100"/>
        </w:rPr>
        <w:t> </w:t>
      </w:r>
      <w:r>
        <w:rPr>
          <w:rFonts w:ascii="宋体" w:hAnsi="宋体" w:cs="宋体" w:eastAsia="宋体" w:hint="default"/>
          <w:spacing w:val="-1"/>
          <w:w w:val="100"/>
        </w:rPr>
        <w:t>GR201732001355</w:t>
      </w:r>
      <w:r>
        <w:rPr>
          <w:rFonts w:ascii="宋体" w:hAnsi="宋体" w:cs="宋体" w:eastAsia="宋体" w:hint="default"/>
          <w:spacing w:val="-23"/>
          <w:w w:val="100"/>
        </w:rPr>
        <w:t> </w:t>
      </w:r>
      <w:r>
        <w:rPr>
          <w:spacing w:val="-7"/>
          <w:w w:val="100"/>
        </w:rPr>
        <w:t>的《高新技术企业证书》，公司被认定为江苏省</w:t>
      </w:r>
      <w:r>
        <w:rPr>
          <w:spacing w:val="-102"/>
          <w:w w:val="100"/>
        </w:rPr>
        <w:t> </w:t>
      </w:r>
      <w:r>
        <w:rPr>
          <w:spacing w:val="-102"/>
          <w:w w:val="100"/>
        </w:rPr>
      </w:r>
      <w:r>
        <w:rPr/>
        <w:t>高新技术企业，有效期为三年。根据企业所得税法的相关规定，公司作为高新技术企业 </w:t>
      </w:r>
      <w:r>
        <w:rPr>
          <w:rFonts w:ascii="宋体" w:hAnsi="宋体" w:cs="宋体" w:eastAsia="宋体" w:hint="default"/>
        </w:rPr>
        <w:t>2017</w:t>
      </w:r>
      <w:r>
        <w:rPr>
          <w:rFonts w:ascii="宋体" w:hAnsi="宋体" w:cs="宋体" w:eastAsia="宋体" w:hint="default"/>
          <w:spacing w:val="40"/>
        </w:rPr>
        <w:t> </w:t>
      </w:r>
      <w:r>
        <w:rPr/>
        <w:t>年至</w:t>
      </w:r>
    </w:p>
    <w:p>
      <w:pPr>
        <w:pStyle w:val="BodyText"/>
        <w:spacing w:line="240" w:lineRule="auto" w:before="28"/>
        <w:ind w:right="4907"/>
        <w:jc w:val="left"/>
      </w:pPr>
      <w:r>
        <w:rPr>
          <w:rFonts w:ascii="宋体" w:hAnsi="宋体" w:cs="宋体" w:eastAsia="宋体" w:hint="default"/>
        </w:rPr>
        <w:t>2019</w:t>
      </w:r>
      <w:r>
        <w:rPr>
          <w:rFonts w:ascii="宋体" w:hAnsi="宋体" w:cs="宋体" w:eastAsia="宋体" w:hint="default"/>
          <w:spacing w:val="-55"/>
        </w:rPr>
        <w:t> </w:t>
      </w:r>
      <w:r>
        <w:rPr/>
        <w:t>年企业所得税减按</w:t>
      </w:r>
      <w:r>
        <w:rPr>
          <w:spacing w:val="-53"/>
        </w:rPr>
        <w:t> </w:t>
      </w:r>
      <w:r>
        <w:rPr>
          <w:rFonts w:ascii="宋体" w:hAnsi="宋体" w:cs="宋体" w:eastAsia="宋体" w:hint="default"/>
        </w:rPr>
        <w:t>15%</w:t>
      </w:r>
      <w:r>
        <w:rPr/>
        <w:t>的税率征收。</w:t>
      </w:r>
    </w:p>
    <w:p>
      <w:pPr>
        <w:pStyle w:val="BodyText"/>
        <w:spacing w:line="340" w:lineRule="auto" w:before="114"/>
        <w:ind w:right="209" w:firstLine="420"/>
        <w:jc w:val="both"/>
      </w:pPr>
      <w:r>
        <w:rPr>
          <w:rFonts w:ascii="宋体" w:hAnsi="宋体" w:cs="宋体" w:eastAsia="宋体" w:hint="default"/>
        </w:rPr>
        <w:t>2.</w:t>
      </w:r>
      <w:r>
        <w:rPr>
          <w:rFonts w:ascii="宋体" w:hAnsi="宋体" w:cs="宋体" w:eastAsia="宋体" w:hint="default"/>
          <w:spacing w:val="97"/>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7"/>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日，安徽永安电子有限公司获得安徽省科学技术厅、安徽省财政厅、安徽</w:t>
      </w:r>
      <w:r>
        <w:rPr>
          <w:w w:val="100"/>
        </w:rPr>
        <w:t> </w:t>
      </w:r>
      <w:r>
        <w:rPr>
          <w:spacing w:val="-2"/>
          <w:w w:val="100"/>
        </w:rPr>
        <w:t>省国家税务局及安徽省地方税务局共同颁发的编号为</w:t>
      </w:r>
      <w:r>
        <w:rPr>
          <w:spacing w:val="-24"/>
          <w:w w:val="100"/>
        </w:rPr>
        <w:t> </w:t>
      </w:r>
      <w:r>
        <w:rPr>
          <w:rFonts w:ascii="宋体" w:hAnsi="宋体" w:cs="宋体" w:eastAsia="宋体" w:hint="default"/>
          <w:spacing w:val="-1"/>
          <w:w w:val="100"/>
        </w:rPr>
        <w:t>GR201834001973</w:t>
      </w:r>
      <w:r>
        <w:rPr>
          <w:rFonts w:ascii="宋体" w:hAnsi="宋体" w:cs="宋体" w:eastAsia="宋体" w:hint="default"/>
          <w:spacing w:val="-24"/>
          <w:w w:val="100"/>
        </w:rPr>
        <w:t> </w:t>
      </w:r>
      <w:r>
        <w:rPr>
          <w:spacing w:val="-10"/>
          <w:w w:val="100"/>
        </w:rPr>
        <w:t>的《高新技术企业证书》，该</w:t>
      </w:r>
      <w:r>
        <w:rPr>
          <w:spacing w:val="-102"/>
          <w:w w:val="100"/>
        </w:rPr>
        <w:t> </w:t>
      </w:r>
      <w:r>
        <w:rPr>
          <w:spacing w:val="-102"/>
          <w:w w:val="100"/>
        </w:rPr>
      </w:r>
      <w:r>
        <w:rPr>
          <w:spacing w:val="-1"/>
        </w:rPr>
        <w:t>公司被认定为安徽省高新技术企业，有效期为三年。根据企业所得税法的相关规定，该公司作为高</w:t>
      </w:r>
      <w:r>
        <w:rPr>
          <w:spacing w:val="-20"/>
        </w:rPr>
        <w:t> </w:t>
      </w:r>
      <w:r>
        <w:rPr>
          <w:spacing w:val="-20"/>
        </w:rPr>
      </w:r>
      <w:r>
        <w:rPr/>
        <w:t>新技术企业</w:t>
      </w:r>
      <w:r>
        <w:rPr>
          <w:spacing w:val="-54"/>
        </w:rPr>
        <w:t> </w:t>
      </w:r>
      <w:r>
        <w:rPr>
          <w:rFonts w:ascii="宋体" w:hAnsi="宋体" w:cs="宋体" w:eastAsia="宋体" w:hint="default"/>
        </w:rPr>
        <w:t>2018</w:t>
      </w:r>
      <w:r>
        <w:rPr>
          <w:rFonts w:ascii="宋体" w:hAnsi="宋体" w:cs="宋体" w:eastAsia="宋体" w:hint="default"/>
          <w:spacing w:val="-54"/>
        </w:rPr>
        <w:t> </w:t>
      </w:r>
      <w:r>
        <w:rPr/>
        <w:t>年至</w:t>
      </w:r>
      <w:r>
        <w:rPr>
          <w:spacing w:val="-54"/>
        </w:rPr>
        <w:t> </w:t>
      </w:r>
      <w:r>
        <w:rPr>
          <w:rFonts w:ascii="宋体" w:hAnsi="宋体" w:cs="宋体" w:eastAsia="宋体" w:hint="default"/>
        </w:rPr>
        <w:t>2020</w:t>
      </w:r>
      <w:r>
        <w:rPr>
          <w:rFonts w:ascii="宋体" w:hAnsi="宋体" w:cs="宋体" w:eastAsia="宋体" w:hint="default"/>
          <w:spacing w:val="-53"/>
        </w:rPr>
        <w:t> </w:t>
      </w:r>
      <w:r>
        <w:rPr/>
        <w:t>年企业所得税减按</w:t>
      </w:r>
      <w:r>
        <w:rPr>
          <w:spacing w:val="-56"/>
        </w:rPr>
        <w:t> </w:t>
      </w:r>
      <w:r>
        <w:rPr>
          <w:rFonts w:ascii="宋体" w:hAnsi="宋体" w:cs="宋体" w:eastAsia="宋体" w:hint="default"/>
        </w:rPr>
        <w:t>15%</w:t>
      </w:r>
      <w:r>
        <w:rPr/>
        <w:t>的税率征收。</w:t>
      </w:r>
    </w:p>
    <w:p>
      <w:pPr>
        <w:pStyle w:val="BodyText"/>
        <w:tabs>
          <w:tab w:pos="1058" w:val="left" w:leader="none"/>
        </w:tabs>
        <w:spacing w:line="340" w:lineRule="auto" w:before="25"/>
        <w:ind w:right="104" w:firstLine="420"/>
        <w:jc w:val="left"/>
      </w:pPr>
      <w:r>
        <w:rPr>
          <w:rFonts w:ascii="宋体" w:hAnsi="宋体" w:cs="宋体" w:eastAsia="宋体" w:hint="default"/>
        </w:rPr>
        <w:t>3.</w:t>
        <w:tab/>
        <w:t>2017</w:t>
      </w:r>
      <w:r>
        <w:rPr>
          <w:rFonts w:ascii="宋体" w:hAnsi="宋体" w:cs="宋体" w:eastAsia="宋体" w:hint="default"/>
          <w:spacing w:val="-36"/>
        </w:rPr>
        <w:t> </w:t>
      </w:r>
      <w:r>
        <w:rPr/>
        <w:t>年</w:t>
      </w:r>
      <w:r>
        <w:rPr>
          <w:spacing w:val="-36"/>
        </w:rPr>
        <w:t> </w:t>
      </w:r>
      <w:r>
        <w:rPr>
          <w:rFonts w:ascii="宋体" w:hAnsi="宋体" w:cs="宋体" w:eastAsia="宋体" w:hint="default"/>
        </w:rPr>
        <w:t>12</w:t>
      </w:r>
      <w:r>
        <w:rPr>
          <w:rFonts w:ascii="宋体" w:hAnsi="宋体" w:cs="宋体" w:eastAsia="宋体" w:hint="default"/>
          <w:spacing w:val="-36"/>
        </w:rPr>
        <w:t> </w:t>
      </w:r>
      <w:r>
        <w:rPr/>
        <w:t>月</w:t>
      </w:r>
      <w:r>
        <w:rPr>
          <w:spacing w:val="-36"/>
        </w:rPr>
        <w:t> </w:t>
      </w:r>
      <w:r>
        <w:rPr>
          <w:rFonts w:ascii="宋体" w:hAnsi="宋体" w:cs="宋体" w:eastAsia="宋体" w:hint="default"/>
        </w:rPr>
        <w:t>7</w:t>
      </w:r>
      <w:r>
        <w:rPr>
          <w:rFonts w:ascii="宋体" w:hAnsi="宋体" w:cs="宋体" w:eastAsia="宋体" w:hint="default"/>
          <w:spacing w:val="-33"/>
        </w:rPr>
        <w:t> </w:t>
      </w:r>
      <w:r>
        <w:rPr/>
        <w:t>日，南京林洋电力科技有限公司获得江苏省科学技术厅、江苏省财政厅、</w:t>
      </w:r>
      <w:r>
        <w:rPr>
          <w:w w:val="100"/>
        </w:rPr>
        <w:t> </w:t>
      </w:r>
      <w:r>
        <w:rPr>
          <w:spacing w:val="-2"/>
          <w:w w:val="100"/>
        </w:rPr>
        <w:t>江苏省国家税务局及江苏省地方税务局共同颁发的编号为</w:t>
      </w:r>
      <w:r>
        <w:rPr>
          <w:spacing w:val="-42"/>
          <w:w w:val="100"/>
        </w:rPr>
        <w:t> </w:t>
      </w:r>
      <w:r>
        <w:rPr>
          <w:rFonts w:ascii="宋体" w:hAnsi="宋体" w:cs="宋体" w:eastAsia="宋体" w:hint="default"/>
          <w:spacing w:val="-1"/>
          <w:w w:val="100"/>
        </w:rPr>
        <w:t>GR201732002200</w:t>
      </w:r>
      <w:r>
        <w:rPr>
          <w:rFonts w:ascii="宋体" w:hAnsi="宋体" w:cs="宋体" w:eastAsia="宋体" w:hint="default"/>
          <w:spacing w:val="-45"/>
          <w:w w:val="100"/>
        </w:rPr>
        <w:t> </w:t>
      </w:r>
      <w:r>
        <w:rPr>
          <w:spacing w:val="-16"/>
          <w:w w:val="100"/>
        </w:rPr>
        <w:t>的《高新技术企业证书》，</w:t>
      </w:r>
      <w:r>
        <w:rPr>
          <w:spacing w:val="-101"/>
          <w:w w:val="100"/>
        </w:rPr>
        <w:t> </w:t>
      </w:r>
      <w:r>
        <w:rPr>
          <w:spacing w:val="-101"/>
          <w:w w:val="100"/>
        </w:rPr>
      </w:r>
      <w:r>
        <w:rPr/>
        <w:t>该公司被认定为江苏省高新技术企业，有效期为三年。根据企业所得税法的相关规定，该公司作为</w:t>
      </w:r>
      <w:r>
        <w:rPr>
          <w:spacing w:val="-63"/>
        </w:rPr>
        <w:t> </w:t>
      </w:r>
      <w:r>
        <w:rPr>
          <w:spacing w:val="-63"/>
        </w:rPr>
      </w:r>
      <w:r>
        <w:rPr/>
        <w:t>高新技术企业</w:t>
      </w:r>
      <w:r>
        <w:rPr>
          <w:spacing w:val="-54"/>
        </w:rPr>
        <w:t> </w:t>
      </w:r>
      <w:r>
        <w:rPr>
          <w:rFonts w:ascii="宋体" w:hAnsi="宋体" w:cs="宋体" w:eastAsia="宋体" w:hint="default"/>
        </w:rPr>
        <w:t>2017</w:t>
      </w:r>
      <w:r>
        <w:rPr>
          <w:rFonts w:ascii="宋体" w:hAnsi="宋体" w:cs="宋体" w:eastAsia="宋体" w:hint="default"/>
          <w:spacing w:val="-56"/>
        </w:rPr>
        <w:t> </w:t>
      </w:r>
      <w:r>
        <w:rPr/>
        <w:t>年至</w:t>
      </w:r>
      <w:r>
        <w:rPr>
          <w:spacing w:val="-56"/>
        </w:rPr>
        <w:t> </w:t>
      </w:r>
      <w:r>
        <w:rPr>
          <w:rFonts w:ascii="宋体" w:hAnsi="宋体" w:cs="宋体" w:eastAsia="宋体" w:hint="default"/>
        </w:rPr>
        <w:t>2019</w:t>
      </w:r>
      <w:r>
        <w:rPr>
          <w:rFonts w:ascii="宋体" w:hAnsi="宋体" w:cs="宋体" w:eastAsia="宋体" w:hint="default"/>
          <w:spacing w:val="-53"/>
        </w:rPr>
        <w:t> </w:t>
      </w:r>
      <w:r>
        <w:rPr/>
        <w:t>年企业所得税减按</w:t>
      </w:r>
      <w:r>
        <w:rPr>
          <w:spacing w:val="-54"/>
        </w:rPr>
        <w:t> </w:t>
      </w:r>
      <w:r>
        <w:rPr>
          <w:rFonts w:ascii="宋体" w:hAnsi="宋体" w:cs="宋体" w:eastAsia="宋体" w:hint="default"/>
        </w:rPr>
        <w:t>15%</w:t>
      </w:r>
      <w:r>
        <w:rPr/>
        <w:t>的税率征收。</w:t>
      </w:r>
    </w:p>
    <w:p>
      <w:pPr>
        <w:pStyle w:val="BodyText"/>
        <w:tabs>
          <w:tab w:pos="1058" w:val="left" w:leader="none"/>
        </w:tabs>
        <w:spacing w:line="340" w:lineRule="auto" w:before="25"/>
        <w:ind w:right="103" w:firstLine="420"/>
        <w:jc w:val="left"/>
      </w:pPr>
      <w:r>
        <w:rPr>
          <w:rFonts w:ascii="宋体" w:hAnsi="宋体" w:cs="宋体" w:eastAsia="宋体" w:hint="default"/>
        </w:rPr>
        <w:t>4.</w:t>
        <w:tab/>
        <w:t>2018</w:t>
      </w:r>
      <w:r>
        <w:rPr>
          <w:rFonts w:ascii="宋体" w:hAnsi="宋体" w:cs="宋体" w:eastAsia="宋体" w:hint="default"/>
          <w:spacing w:val="-36"/>
        </w:rPr>
        <w:t> </w:t>
      </w:r>
      <w:r>
        <w:rPr/>
        <w:t>年</w:t>
      </w:r>
      <w:r>
        <w:rPr>
          <w:spacing w:val="-36"/>
        </w:rPr>
        <w:t> </w:t>
      </w:r>
      <w:r>
        <w:rPr>
          <w:rFonts w:ascii="宋体" w:hAnsi="宋体" w:cs="宋体" w:eastAsia="宋体" w:hint="default"/>
        </w:rPr>
        <w:t>11</w:t>
      </w:r>
      <w:r>
        <w:rPr>
          <w:rFonts w:ascii="宋体" w:hAnsi="宋体" w:cs="宋体" w:eastAsia="宋体" w:hint="default"/>
          <w:spacing w:val="-36"/>
        </w:rPr>
        <w:t> </w:t>
      </w:r>
      <w:r>
        <w:rPr/>
        <w:t>月</w:t>
      </w:r>
      <w:r>
        <w:rPr>
          <w:spacing w:val="-33"/>
        </w:rPr>
        <w:t> </w:t>
      </w:r>
      <w:r>
        <w:rPr>
          <w:rFonts w:ascii="宋体" w:hAnsi="宋体" w:cs="宋体" w:eastAsia="宋体" w:hint="default"/>
        </w:rPr>
        <w:t>30</w:t>
      </w:r>
      <w:r>
        <w:rPr>
          <w:rFonts w:ascii="宋体" w:hAnsi="宋体" w:cs="宋体" w:eastAsia="宋体" w:hint="default"/>
          <w:spacing w:val="-35"/>
        </w:rPr>
        <w:t> </w:t>
      </w:r>
      <w:r>
        <w:rPr/>
        <w:t>日，江苏林洋微网科技有限公司获得江苏省科学技术厅、江苏省财政厅、</w:t>
      </w:r>
      <w:r>
        <w:rPr>
          <w:w w:val="100"/>
        </w:rPr>
        <w:t> </w:t>
      </w:r>
      <w:r>
        <w:rPr>
          <w:spacing w:val="-2"/>
          <w:w w:val="100"/>
        </w:rPr>
        <w:t>江苏省国家税务局及江苏省地方税务局共同颁发的编号为</w:t>
      </w:r>
      <w:r>
        <w:rPr>
          <w:spacing w:val="-42"/>
          <w:w w:val="100"/>
        </w:rPr>
        <w:t> </w:t>
      </w:r>
      <w:r>
        <w:rPr>
          <w:rFonts w:ascii="宋体" w:hAnsi="宋体" w:cs="宋体" w:eastAsia="宋体" w:hint="default"/>
          <w:spacing w:val="-1"/>
          <w:w w:val="100"/>
        </w:rPr>
        <w:t>GR201832004776</w:t>
      </w:r>
      <w:r>
        <w:rPr>
          <w:rFonts w:ascii="宋体" w:hAnsi="宋体" w:cs="宋体" w:eastAsia="宋体" w:hint="default"/>
          <w:spacing w:val="-45"/>
          <w:w w:val="100"/>
        </w:rPr>
        <w:t> </w:t>
      </w:r>
      <w:r>
        <w:rPr>
          <w:spacing w:val="-16"/>
          <w:w w:val="100"/>
        </w:rPr>
        <w:t>的《高新技术企业证书》，</w:t>
      </w:r>
      <w:r>
        <w:rPr>
          <w:spacing w:val="-101"/>
          <w:w w:val="100"/>
        </w:rPr>
        <w:t> </w:t>
      </w:r>
      <w:r>
        <w:rPr>
          <w:spacing w:val="-101"/>
          <w:w w:val="100"/>
        </w:rPr>
      </w:r>
      <w:r>
        <w:rPr/>
        <w:t>该公司被认定为江苏省高新技术企业，有效期为三年。根据企业所得税法的相关规定，该公司作为</w:t>
      </w:r>
      <w:r>
        <w:rPr>
          <w:spacing w:val="-63"/>
        </w:rPr>
        <w:t> </w:t>
      </w:r>
      <w:r>
        <w:rPr>
          <w:spacing w:val="-63"/>
        </w:rPr>
      </w:r>
      <w:r>
        <w:rPr/>
        <w:t>高新技术企业</w:t>
      </w:r>
      <w:r>
        <w:rPr>
          <w:spacing w:val="-54"/>
        </w:rPr>
        <w:t> </w:t>
      </w:r>
      <w:r>
        <w:rPr>
          <w:rFonts w:ascii="宋体" w:hAnsi="宋体" w:cs="宋体" w:eastAsia="宋体" w:hint="default"/>
        </w:rPr>
        <w:t>2018</w:t>
      </w:r>
      <w:r>
        <w:rPr>
          <w:rFonts w:ascii="宋体" w:hAnsi="宋体" w:cs="宋体" w:eastAsia="宋体" w:hint="default"/>
          <w:spacing w:val="-56"/>
        </w:rPr>
        <w:t> </w:t>
      </w:r>
      <w:r>
        <w:rPr/>
        <w:t>年至</w:t>
      </w:r>
      <w:r>
        <w:rPr>
          <w:spacing w:val="-56"/>
        </w:rPr>
        <w:t> </w:t>
      </w:r>
      <w:r>
        <w:rPr>
          <w:rFonts w:ascii="宋体" w:hAnsi="宋体" w:cs="宋体" w:eastAsia="宋体" w:hint="default"/>
        </w:rPr>
        <w:t>2020</w:t>
      </w:r>
      <w:r>
        <w:rPr>
          <w:rFonts w:ascii="宋体" w:hAnsi="宋体" w:cs="宋体" w:eastAsia="宋体" w:hint="default"/>
          <w:spacing w:val="-53"/>
        </w:rPr>
        <w:t> </w:t>
      </w:r>
      <w:r>
        <w:rPr/>
        <w:t>年企业所得税减按</w:t>
      </w:r>
      <w:r>
        <w:rPr>
          <w:spacing w:val="-54"/>
        </w:rPr>
        <w:t> </w:t>
      </w:r>
      <w:r>
        <w:rPr>
          <w:rFonts w:ascii="宋体" w:hAnsi="宋体" w:cs="宋体" w:eastAsia="宋体" w:hint="default"/>
        </w:rPr>
        <w:t>15%</w:t>
      </w:r>
      <w:r>
        <w:rPr/>
        <w:t>的税率征收。</w:t>
      </w:r>
    </w:p>
    <w:p>
      <w:pPr>
        <w:pStyle w:val="BodyText"/>
        <w:spacing w:line="340" w:lineRule="auto" w:before="25"/>
        <w:ind w:right="209" w:firstLine="420"/>
        <w:jc w:val="both"/>
      </w:pPr>
      <w:r>
        <w:rPr>
          <w:rFonts w:ascii="宋体" w:hAnsi="宋体" w:cs="宋体" w:eastAsia="宋体" w:hint="default"/>
        </w:rPr>
        <w:t>5.</w:t>
      </w:r>
      <w:r>
        <w:rPr>
          <w:rFonts w:ascii="宋体" w:hAnsi="宋体" w:cs="宋体" w:eastAsia="宋体" w:hint="default"/>
          <w:spacing w:val="34"/>
        </w:rPr>
        <w:t> </w:t>
      </w:r>
      <w:r>
        <w:rPr/>
        <w:t>公司下属光伏电站项目公司，根据《财政部国家税务总局国家发展改革委关于公布公共基</w:t>
      </w:r>
      <w:r>
        <w:rPr>
          <w:w w:val="100"/>
        </w:rPr>
        <w:t> </w:t>
      </w:r>
      <w:r>
        <w:rPr/>
        <w:t>础设施项目企业所得税优惠目录（</w:t>
      </w:r>
      <w:r>
        <w:rPr>
          <w:rFonts w:ascii="宋体" w:hAnsi="宋体" w:cs="宋体" w:eastAsia="宋体" w:hint="default"/>
        </w:rPr>
        <w:t>2008 </w:t>
      </w:r>
      <w:r>
        <w:rPr/>
        <w:t>年版）的通知》（财税</w:t>
      </w:r>
      <w:r>
        <w:rPr>
          <w:rFonts w:ascii="宋体" w:hAnsi="宋体" w:cs="宋体" w:eastAsia="宋体" w:hint="default"/>
        </w:rPr>
        <w:t>[2008]116</w:t>
      </w:r>
      <w:r>
        <w:rPr>
          <w:rFonts w:ascii="宋体" w:hAnsi="宋体" w:cs="宋体" w:eastAsia="宋体" w:hint="default"/>
          <w:spacing w:val="-73"/>
        </w:rPr>
        <w:t> </w:t>
      </w:r>
      <w:r>
        <w:rPr/>
        <w:t>号），自取得第一笔光伏</w:t>
      </w:r>
      <w:r>
        <w:rPr>
          <w:w w:val="100"/>
        </w:rPr>
        <w:t> </w:t>
      </w:r>
      <w:r>
        <w:rPr>
          <w:spacing w:val="-6"/>
          <w:w w:val="100"/>
        </w:rPr>
        <w:t>发电收入所属纳税年度起，第一年至第三年免征企业所得税，第四年至第六年减半征收企业所得税。</w:t>
      </w:r>
    </w:p>
    <w:p>
      <w:pPr>
        <w:spacing w:after="0" w:line="340" w:lineRule="auto"/>
        <w:jc w:val="both"/>
        <w:sectPr>
          <w:footerReference w:type="default" r:id="rId58"/>
          <w:pgSz w:w="11910" w:h="16840"/>
          <w:pgMar w:footer="974" w:header="643" w:top="1080" w:bottom="1160" w:left="12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tabs>
          <w:tab w:pos="643" w:val="left" w:leader="none"/>
        </w:tabs>
        <w:spacing w:line="240" w:lineRule="auto" w:before="0"/>
        <w:ind w:right="2585"/>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9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9"/>
          <w:pgSz w:w="11910" w:h="16840"/>
          <w:pgMar w:footer="974" w:header="643" w:top="1080" w:bottom="1160" w:left="1200" w:right="1300"/>
          <w:pgNumType w:start="121"/>
        </w:sectPr>
      </w:pPr>
    </w:p>
    <w:p>
      <w:pPr>
        <w:pStyle w:val="Heading2"/>
        <w:spacing w:line="324" w:lineRule="auto"/>
        <w:ind w:right="-15"/>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2"/>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754" w:space="4217"/>
            <w:col w:w="2439"/>
          </w:cols>
        </w:sectPr>
      </w:pPr>
    </w:p>
    <w:p>
      <w:pPr>
        <w:spacing w:line="240" w:lineRule="auto" w:before="7"/>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275"/>
        <w:gridCol w:w="3380"/>
        <w:gridCol w:w="3406"/>
      </w:tblGrid>
      <w:tr>
        <w:trPr>
          <w:trHeight w:val="283"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24,591.91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43,882.97</w:t>
            </w:r>
          </w:p>
        </w:tc>
      </w:tr>
      <w:tr>
        <w:trPr>
          <w:trHeight w:val="28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1,635,357,127.68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1,664,388,906.42</w:t>
            </w:r>
          </w:p>
        </w:tc>
      </w:tr>
      <w:tr>
        <w:trPr>
          <w:trHeight w:val="283"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547,385,088.14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877,970,355.85</w:t>
            </w:r>
          </w:p>
        </w:tc>
      </w:tr>
      <w:tr>
        <w:trPr>
          <w:trHeight w:val="28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2,182,766,807.73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2,542,403,145.24</w:t>
            </w:r>
          </w:p>
        </w:tc>
      </w:tr>
      <w:tr>
        <w:trPr>
          <w:trHeight w:val="5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30,674,859.77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15,319,135.55</w:t>
            </w:r>
          </w:p>
        </w:tc>
      </w:tr>
    </w:tbl>
    <w:p>
      <w:pPr>
        <w:pStyle w:val="BodyText"/>
        <w:spacing w:line="262" w:lineRule="exact"/>
        <w:ind w:right="2585"/>
        <w:jc w:val="left"/>
      </w:pPr>
      <w:r>
        <w:rPr/>
        <w:t>其他说明</w:t>
      </w:r>
    </w:p>
    <w:p>
      <w:pPr>
        <w:pStyle w:val="BodyText"/>
        <w:spacing w:line="240" w:lineRule="auto" w:before="142"/>
        <w:ind w:left="931" w:right="0"/>
        <w:jc w:val="left"/>
      </w:pPr>
      <w:r>
        <w:rPr/>
        <w:pict>
          <v:shape style="position:absolute;margin-left:267.290009pt;margin-top:23.923672pt;width:.48001pt;height:.12pt;mso-position-horizontal-relative:page;mso-position-vertical-relative:paragraph;z-index:-1113592" type="#_x0000_t75" stroked="false">
            <v:imagedata r:id="rId54" o:title=""/>
          </v:shape>
        </w:pict>
      </w:r>
      <w:r>
        <w:rPr/>
        <w:pict>
          <v:shape style="position:absolute;margin-left:385.98999pt;margin-top:23.923672pt;width:.47998pt;height:.12pt;mso-position-horizontal-relative:page;mso-position-vertical-relative:paragraph;z-index:-1113568" type="#_x0000_t75" stroked="false">
            <v:imagedata r:id="rId54" o:title=""/>
          </v:shape>
        </w:pict>
      </w:r>
      <w:r>
        <w:rPr/>
        <w:pict>
          <v:group style="position:absolute;margin-left:90.503998pt;margin-top:39.403683pt;width:414.45pt;height:5.05pt;mso-position-horizontal-relative:page;mso-position-vertical-relative:paragraph;z-index:-1113544" coordorigin="1810,788" coordsize="8289,101">
            <v:shape style="position:absolute;left:1810;top:788;width:3555;height:101" type="#_x0000_t75" stroked="false">
              <v:imagedata r:id="rId60" o:title=""/>
            </v:shape>
            <v:shape style="position:absolute;left:5341;top:879;width:2379;height:10" type="#_x0000_t75" stroked="false">
              <v:imagedata r:id="rId61" o:title=""/>
            </v:shape>
            <v:shape style="position:absolute;left:7715;top:879;width:2384;height:10" type="#_x0000_t75" stroked="false">
              <v:imagedata r:id="rId62" o:title=""/>
            </v:shape>
            <w10:wrap type="none"/>
          </v:group>
        </w:pict>
      </w:r>
      <w:r>
        <w:rPr/>
        <w:pict>
          <v:group style="position:absolute;margin-left:90.503998pt;margin-top:59.80368pt;width:414.45pt;height:5.2pt;mso-position-horizontal-relative:page;mso-position-vertical-relative:paragraph;z-index:-1113520" coordorigin="1810,1196" coordsize="8289,104">
            <v:shape style="position:absolute;left:1810;top:1196;width:3555;height:103" type="#_x0000_t75" stroked="false">
              <v:imagedata r:id="rId63" o:title=""/>
            </v:shape>
            <v:shape style="position:absolute;left:5341;top:1290;width:2379;height:10" type="#_x0000_t75" stroked="false">
              <v:imagedata r:id="rId61" o:title=""/>
            </v:shape>
            <v:shape style="position:absolute;left:7715;top:1290;width:2384;height:10" type="#_x0000_t75" stroked="false">
              <v:imagedata r:id="rId62" o:title=""/>
            </v:shape>
            <w10:wrap type="none"/>
          </v:group>
        </w:pict>
      </w:r>
      <w:r>
        <w:rPr/>
        <w:pict>
          <v:group style="position:absolute;margin-left:90.503998pt;margin-top:80.323654pt;width:414.45pt;height:5.2pt;mso-position-horizontal-relative:page;mso-position-vertical-relative:paragraph;z-index:-1113496" coordorigin="1810,1606" coordsize="8289,104">
            <v:shape style="position:absolute;left:1810;top:1606;width:3555;height:103" type="#_x0000_t75" stroked="false">
              <v:imagedata r:id="rId63" o:title=""/>
            </v:shape>
            <v:shape style="position:absolute;left:5341;top:1700;width:2379;height:10" type="#_x0000_t75" stroked="false">
              <v:imagedata r:id="rId64" o:title=""/>
            </v:shape>
            <v:shape style="position:absolute;left:7715;top:1700;width:2384;height:10" type="#_x0000_t75" stroked="false">
              <v:imagedata r:id="rId65" o:title=""/>
            </v:shape>
            <w10:wrap type="none"/>
          </v:group>
        </w:pict>
      </w:r>
      <w:r>
        <w:rPr/>
        <w:t>其中因抵押、质押或冻结等对使用有限制的货币资金明细如下：</w:t>
      </w:r>
    </w:p>
    <w:tbl>
      <w:tblPr>
        <w:tblW w:w="0" w:type="auto"/>
        <w:jc w:val="left"/>
        <w:tblInd w:w="595" w:type="dxa"/>
        <w:tblLayout w:type="fixed"/>
        <w:tblCellMar>
          <w:top w:w="0" w:type="dxa"/>
          <w:left w:w="0" w:type="dxa"/>
          <w:bottom w:w="0" w:type="dxa"/>
          <w:right w:w="0" w:type="dxa"/>
        </w:tblCellMar>
        <w:tblLook w:val="01E0"/>
      </w:tblPr>
      <w:tblGrid>
        <w:gridCol w:w="3555"/>
        <w:gridCol w:w="2374"/>
        <w:gridCol w:w="2374"/>
      </w:tblGrid>
      <w:tr>
        <w:trPr>
          <w:trHeight w:val="324" w:hRule="exact"/>
        </w:trPr>
        <w:tc>
          <w:tcPr>
            <w:tcW w:w="3555" w:type="dxa"/>
            <w:tcBorders>
              <w:top w:val="single" w:sz="12" w:space="0" w:color="000000"/>
              <w:left w:val="nil" w:sz="6" w:space="0" w:color="auto"/>
              <w:bottom w:val="nil" w:sz="6" w:space="0" w:color="auto"/>
              <w:right w:val="single" w:sz="4" w:space="0" w:color="000000"/>
            </w:tcBorders>
          </w:tcPr>
          <w:p>
            <w:pPr>
              <w:pStyle w:val="TableParagraph"/>
              <w:spacing w:line="212" w:lineRule="exact" w:before="15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74" w:type="dxa"/>
            <w:vMerge w:val="restart"/>
            <w:tcBorders>
              <w:top w:val="single" w:sz="12" w:space="0" w:color="000000"/>
              <w:left w:val="single" w:sz="4" w:space="0" w:color="000000"/>
              <w:right w:val="nil" w:sz="6" w:space="0" w:color="auto"/>
            </w:tcBorders>
          </w:tcPr>
          <w:p>
            <w:pPr>
              <w:pStyle w:val="TableParagraph"/>
              <w:spacing w:line="240" w:lineRule="auto" w:before="15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64" w:hRule="exact"/>
        </w:trPr>
        <w:tc>
          <w:tcPr>
            <w:tcW w:w="3555"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single" w:sz="4" w:space="0" w:color="000000"/>
            </w:tcBorders>
          </w:tcPr>
          <w:p>
            <w:pPr/>
          </w:p>
        </w:tc>
        <w:tc>
          <w:tcPr>
            <w:tcW w:w="2374" w:type="dxa"/>
            <w:vMerge/>
            <w:tcBorders>
              <w:left w:val="single" w:sz="4" w:space="0" w:color="000000"/>
              <w:right w:val="nil" w:sz="6" w:space="0" w:color="auto"/>
            </w:tcBorders>
          </w:tcPr>
          <w:p>
            <w:pPr/>
          </w:p>
        </w:tc>
      </w:tr>
      <w:tr>
        <w:trPr>
          <w:trHeight w:val="37" w:hRule="exact"/>
        </w:trPr>
        <w:tc>
          <w:tcPr>
            <w:tcW w:w="3555"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single" w:sz="4" w:space="0" w:color="000000"/>
            </w:tcBorders>
          </w:tcPr>
          <w:p>
            <w:pPr/>
          </w:p>
        </w:tc>
        <w:tc>
          <w:tcPr>
            <w:tcW w:w="2374" w:type="dxa"/>
            <w:vMerge/>
            <w:tcBorders>
              <w:left w:val="single" w:sz="4" w:space="0" w:color="000000"/>
              <w:bottom w:val="nil" w:sz="6" w:space="0" w:color="auto"/>
              <w:right w:val="nil" w:sz="6" w:space="0" w:color="auto"/>
            </w:tcBorders>
          </w:tcPr>
          <w:p>
            <w:pPr/>
          </w:p>
        </w:tc>
      </w:tr>
      <w:tr>
        <w:trPr>
          <w:trHeight w:val="371" w:hRule="exact"/>
        </w:trPr>
        <w:tc>
          <w:tcPr>
            <w:tcW w:w="3555"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120"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spacing w:val="-1"/>
                <w:sz w:val="18"/>
              </w:rPr>
              <w:t>211,209,789.55</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6"/>
              <w:jc w:val="right"/>
              <w:rPr>
                <w:rFonts w:ascii="宋体" w:hAnsi="宋体" w:cs="宋体" w:eastAsia="宋体" w:hint="default"/>
                <w:sz w:val="18"/>
                <w:szCs w:val="18"/>
              </w:rPr>
            </w:pPr>
            <w:r>
              <w:rPr>
                <w:rFonts w:ascii="宋体"/>
                <w:spacing w:val="-1"/>
                <w:sz w:val="18"/>
              </w:rPr>
              <w:t>409,782,369.64</w:t>
            </w:r>
          </w:p>
        </w:tc>
      </w:tr>
      <w:tr>
        <w:trPr>
          <w:trHeight w:val="39" w:hRule="exact"/>
        </w:trPr>
        <w:tc>
          <w:tcPr>
            <w:tcW w:w="3555"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single" w:sz="4" w:space="0" w:color="000000"/>
            </w:tcBorders>
          </w:tcPr>
          <w:p>
            <w:pPr/>
          </w:p>
        </w:tc>
        <w:tc>
          <w:tcPr>
            <w:tcW w:w="2374" w:type="dxa"/>
            <w:tcBorders>
              <w:top w:val="nil" w:sz="6" w:space="0" w:color="auto"/>
              <w:left w:val="single" w:sz="4" w:space="0" w:color="000000"/>
              <w:bottom w:val="nil" w:sz="6" w:space="0" w:color="auto"/>
              <w:right w:val="nil" w:sz="6" w:space="0" w:color="auto"/>
            </w:tcBorders>
          </w:tcPr>
          <w:p>
            <w:pPr/>
          </w:p>
        </w:tc>
      </w:tr>
      <w:tr>
        <w:trPr>
          <w:trHeight w:val="371" w:hRule="exact"/>
        </w:trPr>
        <w:tc>
          <w:tcPr>
            <w:tcW w:w="3555"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120"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spacing w:val="-1"/>
                <w:sz w:val="18"/>
              </w:rPr>
              <w:t>53,868,168.18</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6"/>
              <w:jc w:val="right"/>
              <w:rPr>
                <w:rFonts w:ascii="宋体" w:hAnsi="宋体" w:cs="宋体" w:eastAsia="宋体" w:hint="default"/>
                <w:sz w:val="18"/>
                <w:szCs w:val="18"/>
              </w:rPr>
            </w:pPr>
            <w:r>
              <w:rPr>
                <w:rFonts w:ascii="宋体"/>
                <w:spacing w:val="-1"/>
                <w:sz w:val="18"/>
              </w:rPr>
              <w:t>60,357,003.75</w:t>
            </w:r>
          </w:p>
        </w:tc>
      </w:tr>
      <w:tr>
        <w:trPr>
          <w:trHeight w:val="39" w:hRule="exact"/>
        </w:trPr>
        <w:tc>
          <w:tcPr>
            <w:tcW w:w="3555"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single" w:sz="4" w:space="0" w:color="000000"/>
            </w:tcBorders>
          </w:tcPr>
          <w:p>
            <w:pPr/>
          </w:p>
        </w:tc>
        <w:tc>
          <w:tcPr>
            <w:tcW w:w="2374" w:type="dxa"/>
            <w:tcBorders>
              <w:top w:val="nil" w:sz="6" w:space="0" w:color="auto"/>
              <w:left w:val="single" w:sz="4" w:space="0" w:color="000000"/>
              <w:bottom w:val="nil" w:sz="6" w:space="0" w:color="auto"/>
              <w:right w:val="nil" w:sz="6" w:space="0" w:color="auto"/>
            </w:tcBorders>
          </w:tcPr>
          <w:p>
            <w:pPr/>
          </w:p>
        </w:tc>
      </w:tr>
      <w:tr>
        <w:trPr>
          <w:trHeight w:val="371" w:hRule="exact"/>
        </w:trPr>
        <w:tc>
          <w:tcPr>
            <w:tcW w:w="3555"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120"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spacing w:val="-1"/>
                <w:sz w:val="18"/>
              </w:rPr>
              <w:t>3,061,730.19</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宋体" w:hAnsi="宋体" w:cs="宋体" w:eastAsia="宋体" w:hint="default"/>
                <w:sz w:val="18"/>
                <w:szCs w:val="18"/>
              </w:rPr>
            </w:pPr>
            <w:r>
              <w:rPr>
                <w:rFonts w:ascii="宋体"/>
                <w:spacing w:val="-1"/>
                <w:sz w:val="18"/>
              </w:rPr>
              <w:t>8,214,875.59</w:t>
            </w:r>
          </w:p>
        </w:tc>
      </w:tr>
      <w:tr>
        <w:trPr>
          <w:trHeight w:val="39" w:hRule="exact"/>
        </w:trPr>
        <w:tc>
          <w:tcPr>
            <w:tcW w:w="3555"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single" w:sz="4" w:space="0" w:color="000000"/>
            </w:tcBorders>
          </w:tcPr>
          <w:p>
            <w:pPr/>
          </w:p>
        </w:tc>
        <w:tc>
          <w:tcPr>
            <w:tcW w:w="23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55"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120"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spacing w:val="-1"/>
                <w:sz w:val="18"/>
              </w:rPr>
              <w:t>35,000,000.00</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6"/>
              <w:jc w:val="right"/>
              <w:rPr>
                <w:rFonts w:ascii="宋体" w:hAnsi="宋体" w:cs="宋体" w:eastAsia="宋体" w:hint="default"/>
                <w:sz w:val="18"/>
                <w:szCs w:val="18"/>
              </w:rPr>
            </w:pPr>
            <w:r>
              <w:rPr>
                <w:rFonts w:ascii="宋体"/>
                <w:spacing w:val="-1"/>
                <w:sz w:val="18"/>
              </w:rPr>
              <w:t>35,000,000.00</w:t>
            </w:r>
          </w:p>
        </w:tc>
      </w:tr>
      <w:tr>
        <w:trPr>
          <w:trHeight w:val="415" w:hRule="exact"/>
        </w:trPr>
        <w:tc>
          <w:tcPr>
            <w:tcW w:w="3555" w:type="dxa"/>
            <w:tcBorders>
              <w:top w:val="nil" w:sz="6" w:space="0" w:color="auto"/>
              <w:left w:val="nil" w:sz="6" w:space="0" w:color="auto"/>
              <w:bottom w:val="single" w:sz="12" w:space="0" w:color="000000"/>
              <w:right w:val="single" w:sz="4" w:space="0" w:color="000000"/>
            </w:tcBorders>
          </w:tcPr>
          <w:p>
            <w:pPr>
              <w:pStyle w:val="TableParagraph"/>
              <w:spacing w:line="240" w:lineRule="auto" w:before="148"/>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spacing w:val="-1"/>
                <w:sz w:val="18"/>
              </w:rPr>
              <w:t>303,139,687.92</w:t>
            </w:r>
          </w:p>
        </w:tc>
        <w:tc>
          <w:tcPr>
            <w:tcW w:w="2374"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right="106"/>
              <w:jc w:val="right"/>
              <w:rPr>
                <w:rFonts w:ascii="宋体" w:hAnsi="宋体" w:cs="宋体" w:eastAsia="宋体" w:hint="default"/>
                <w:sz w:val="18"/>
                <w:szCs w:val="18"/>
              </w:rPr>
            </w:pPr>
            <w:r>
              <w:rPr>
                <w:rFonts w:ascii="宋体"/>
                <w:spacing w:val="-1"/>
                <w:sz w:val="18"/>
              </w:rPr>
              <w:t>513,354,248.98</w:t>
            </w:r>
          </w:p>
        </w:tc>
      </w:tr>
    </w:tbl>
    <w:p>
      <w:pPr>
        <w:pStyle w:val="BodyText"/>
        <w:spacing w:line="273" w:lineRule="auto" w:before="20"/>
        <w:ind w:right="0" w:firstLine="420"/>
        <w:jc w:val="left"/>
      </w:pPr>
      <w:r>
        <w:rPr/>
        <w:pict>
          <v:group style="position:absolute;margin-left:90.503998pt;margin-top:-45.536304pt;width:414.45pt;height:5.2pt;mso-position-horizontal-relative:page;mso-position-vertical-relative:paragraph;z-index:-1113472" coordorigin="1810,-911" coordsize="8289,104">
            <v:shape style="position:absolute;left:1810;top:-911;width:3555;height:103" type="#_x0000_t75" stroked="false">
              <v:imagedata r:id="rId66" o:title=""/>
            </v:shape>
            <v:shape style="position:absolute;left:5341;top:-817;width:2379;height:10" type="#_x0000_t75" stroked="false">
              <v:imagedata r:id="rId61" o:title=""/>
            </v:shape>
            <v:shape style="position:absolute;left:7715;top:-817;width:2384;height:10" type="#_x0000_t75" stroked="false">
              <v:imagedata r:id="rId62" o:title=""/>
            </v:shape>
            <w10:wrap type="none"/>
          </v:group>
        </w:pict>
      </w:r>
      <w:r>
        <w:rPr/>
        <w:pict>
          <v:group style="position:absolute;margin-left:90.503998pt;margin-top:-25.016336pt;width:414.45pt;height:5.2pt;mso-position-horizontal-relative:page;mso-position-vertical-relative:paragraph;z-index:-1113448" coordorigin="1810,-500" coordsize="8289,104">
            <v:shape style="position:absolute;left:1810;top:-500;width:3555;height:103" type="#_x0000_t75" stroked="false">
              <v:imagedata r:id="rId63" o:title=""/>
            </v:shape>
            <v:shape style="position:absolute;left:5341;top:-407;width:2379;height:10" type="#_x0000_t75" stroked="false">
              <v:imagedata r:id="rId61" o:title=""/>
            </v:shape>
            <v:shape style="position:absolute;left:7715;top:-407;width:2384;height:10" type="#_x0000_t75" stroked="false">
              <v:imagedata r:id="rId62" o:title=""/>
            </v:shape>
            <w10:wrap type="none"/>
          </v:group>
        </w:pict>
      </w: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日，其他货币资金中人民币</w:t>
      </w:r>
      <w:r>
        <w:rPr>
          <w:spacing w:val="-54"/>
        </w:rPr>
        <w:t> </w:t>
      </w:r>
      <w:r>
        <w:rPr>
          <w:rFonts w:ascii="宋体" w:hAnsi="宋体" w:cs="宋体" w:eastAsia="宋体" w:hint="default"/>
        </w:rPr>
        <w:t>3,061,730.19</w:t>
      </w:r>
      <w:r>
        <w:rPr>
          <w:rFonts w:ascii="宋体" w:hAnsi="宋体" w:cs="宋体" w:eastAsia="宋体" w:hint="default"/>
          <w:spacing w:val="-54"/>
        </w:rPr>
        <w:t> </w:t>
      </w:r>
      <w:r>
        <w:rPr/>
        <w:t>元为本公司向银行申请开具无</w:t>
      </w:r>
      <w:r>
        <w:rPr>
          <w:w w:val="100"/>
        </w:rPr>
        <w:t> </w:t>
      </w:r>
      <w:r>
        <w:rPr/>
        <w:t>条件、不可撤销的担保函所存入的保证金存款。</w:t>
      </w:r>
    </w:p>
    <w:p>
      <w:pPr>
        <w:spacing w:line="240" w:lineRule="auto" w:before="0"/>
        <w:rPr>
          <w:rFonts w:ascii="宋体" w:hAnsi="宋体" w:cs="宋体" w:eastAsia="宋体" w:hint="default"/>
          <w:sz w:val="29"/>
          <w:szCs w:val="29"/>
        </w:rPr>
      </w:pPr>
    </w:p>
    <w:p>
      <w:pPr>
        <w:pStyle w:val="Heading2"/>
        <w:spacing w:line="240" w:lineRule="auto" w:before="0"/>
        <w:ind w:right="2585"/>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97"/>
        <w:ind w:right="258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right="2585"/>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right="2585"/>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200" w:right="1300"/>
        </w:sectPr>
      </w:pPr>
    </w:p>
    <w:p>
      <w:pPr>
        <w:pStyle w:val="Heading2"/>
        <w:spacing w:line="324" w:lineRule="auto"/>
        <w:ind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23"/>
        <w:ind w:right="-18"/>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pPr>
      <w:r>
        <w:rPr/>
        <w:t>单位：元币种：人民币</w:t>
      </w:r>
    </w:p>
    <w:p>
      <w:pPr>
        <w:spacing w:after="0" w:line="240" w:lineRule="auto"/>
        <w:jc w:val="left"/>
        <w:sectPr>
          <w:type w:val="continuous"/>
          <w:pgSz w:w="11910" w:h="16840"/>
          <w:pgMar w:top="1580" w:bottom="280" w:left="1200" w:right="1300"/>
          <w:cols w:num="2" w:equalWidth="0">
            <w:col w:w="2540" w:space="4325"/>
            <w:col w:w="2545"/>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197"/>
        <w:gridCol w:w="2938"/>
        <w:gridCol w:w="2926"/>
      </w:tblGrid>
      <w:tr>
        <w:trPr>
          <w:trHeight w:val="32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
              <w:jc w:val="right"/>
              <w:rPr>
                <w:rFonts w:ascii="宋体" w:hAnsi="宋体" w:cs="宋体" w:eastAsia="宋体" w:hint="default"/>
                <w:sz w:val="21"/>
                <w:szCs w:val="21"/>
              </w:rPr>
            </w:pPr>
            <w:r>
              <w:rPr>
                <w:rFonts w:ascii="宋体"/>
                <w:spacing w:val="-1"/>
                <w:sz w:val="21"/>
              </w:rPr>
              <w:t>46,033,292.54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0"/>
              <w:jc w:val="right"/>
              <w:rPr>
                <w:rFonts w:ascii="宋体" w:hAnsi="宋体" w:cs="宋体" w:eastAsia="宋体" w:hint="default"/>
                <w:sz w:val="21"/>
                <w:szCs w:val="21"/>
              </w:rPr>
            </w:pPr>
            <w:r>
              <w:rPr>
                <w:rFonts w:ascii="宋体"/>
                <w:spacing w:val="-1"/>
                <w:sz w:val="21"/>
              </w:rPr>
              <w:t>86,420,391.07</w:t>
            </w:r>
          </w:p>
        </w:tc>
      </w:tr>
      <w:tr>
        <w:trPr>
          <w:trHeight w:val="3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pacing w:val="-1"/>
                <w:sz w:val="21"/>
              </w:rPr>
              <w:t>2,847,213,574.22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1,951,684,775.46</w:t>
            </w:r>
          </w:p>
        </w:tc>
      </w:tr>
    </w:tbl>
    <w:p>
      <w:pPr>
        <w:spacing w:after="0" w:line="262" w:lineRule="exact"/>
        <w:jc w:val="right"/>
        <w:rPr>
          <w:rFonts w:ascii="宋体" w:hAnsi="宋体" w:cs="宋体" w:eastAsia="宋体" w:hint="default"/>
          <w:sz w:val="21"/>
          <w:szCs w:val="21"/>
        </w:rPr>
        <w:sectPr>
          <w:type w:val="continuous"/>
          <w:pgSz w:w="11910" w:h="16840"/>
          <w:pgMar w:top="1580" w:bottom="280" w:left="1200" w:right="1300"/>
        </w:sectPr>
      </w:pPr>
    </w:p>
    <w:p>
      <w:pPr>
        <w:spacing w:line="240" w:lineRule="auto" w:before="5"/>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97"/>
        <w:gridCol w:w="2938"/>
        <w:gridCol w:w="2926"/>
      </w:tblGrid>
      <w:tr>
        <w:trPr>
          <w:trHeight w:val="3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37" w:right="0"/>
              <w:jc w:val="left"/>
              <w:rPr>
                <w:rFonts w:ascii="宋体" w:hAnsi="宋体" w:cs="宋体" w:eastAsia="宋体" w:hint="default"/>
                <w:sz w:val="21"/>
                <w:szCs w:val="21"/>
              </w:rPr>
            </w:pPr>
            <w:r>
              <w:rPr>
                <w:rFonts w:ascii="宋体"/>
                <w:sz w:val="21"/>
              </w:rPr>
              <w:t>2,893,246,866.76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20" w:right="0"/>
              <w:jc w:val="left"/>
              <w:rPr>
                <w:rFonts w:ascii="宋体" w:hAnsi="宋体" w:cs="宋体" w:eastAsia="宋体" w:hint="default"/>
                <w:sz w:val="21"/>
                <w:szCs w:val="21"/>
              </w:rPr>
            </w:pPr>
            <w:r>
              <w:rPr>
                <w:rFonts w:ascii="宋体"/>
                <w:sz w:val="21"/>
              </w:rPr>
              <w:t>2,038,105,166.53</w:t>
            </w:r>
          </w:p>
        </w:tc>
      </w:tr>
    </w:tbl>
    <w:p>
      <w:pPr>
        <w:spacing w:line="240" w:lineRule="auto" w:before="2"/>
        <w:rPr>
          <w:rFonts w:ascii="宋体" w:hAnsi="宋体" w:cs="宋体" w:eastAsia="宋体" w:hint="default"/>
          <w:sz w:val="20"/>
          <w:szCs w:val="20"/>
        </w:rPr>
      </w:pPr>
    </w:p>
    <w:p>
      <w:pPr>
        <w:pStyle w:val="BodyText"/>
        <w:spacing w:line="240" w:lineRule="auto" w:before="36"/>
        <w:ind w:right="2585"/>
        <w:jc w:val="left"/>
      </w:pPr>
      <w:r>
        <w:rPr/>
        <w:t>其他说明：</w:t>
      </w:r>
    </w:p>
    <w:p>
      <w:pPr>
        <w:pStyle w:val="BodyText"/>
        <w:spacing w:line="240" w:lineRule="auto" w:before="3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080" w:bottom="1160" w:left="1200" w:right="1300"/>
        </w:sectPr>
      </w:pPr>
    </w:p>
    <w:p>
      <w:pPr>
        <w:pStyle w:val="Heading2"/>
        <w:spacing w:line="240" w:lineRule="auto"/>
        <w:ind w:right="-19"/>
        <w:jc w:val="left"/>
        <w:rPr>
          <w:b w:val="0"/>
          <w:bCs w:val="0"/>
        </w:rPr>
      </w:pPr>
      <w:r>
        <w:rPr/>
        <w:t>应收票据</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437" w:space="4534"/>
            <w:col w:w="243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5"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8"/>
              <w:jc w:val="right"/>
              <w:rPr>
                <w:rFonts w:ascii="宋体" w:hAnsi="宋体" w:cs="宋体" w:eastAsia="宋体" w:hint="default"/>
                <w:sz w:val="21"/>
                <w:szCs w:val="21"/>
              </w:rPr>
            </w:pPr>
            <w:r>
              <w:rPr>
                <w:rFonts w:ascii="宋体"/>
                <w:spacing w:val="-1"/>
                <w:sz w:val="21"/>
              </w:rPr>
              <w:t>31,825,698.24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8"/>
              <w:jc w:val="right"/>
              <w:rPr>
                <w:rFonts w:ascii="宋体" w:hAnsi="宋体" w:cs="宋体" w:eastAsia="宋体" w:hint="default"/>
                <w:sz w:val="21"/>
                <w:szCs w:val="21"/>
              </w:rPr>
            </w:pPr>
            <w:r>
              <w:rPr>
                <w:rFonts w:ascii="宋体"/>
                <w:spacing w:val="-1"/>
                <w:sz w:val="21"/>
              </w:rPr>
              <w:t>34,338,829.37</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pacing w:val="-1"/>
                <w:sz w:val="21"/>
              </w:rPr>
              <w:t>14,207,594.30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pacing w:val="-1"/>
                <w:sz w:val="21"/>
              </w:rPr>
              <w:t>52,081,561.70</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46,033,292.54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86,420,391.07</w:t>
            </w:r>
          </w:p>
        </w:tc>
      </w:tr>
    </w:tbl>
    <w:p>
      <w:pPr>
        <w:spacing w:line="240" w:lineRule="auto" w:before="10"/>
        <w:rPr>
          <w:rFonts w:ascii="宋体" w:hAnsi="宋体" w:cs="宋体" w:eastAsia="宋体" w:hint="default"/>
          <w:sz w:val="21"/>
          <w:szCs w:val="21"/>
        </w:rPr>
      </w:pPr>
    </w:p>
    <w:p>
      <w:pPr>
        <w:pStyle w:val="Heading2"/>
        <w:spacing w:line="240" w:lineRule="auto"/>
        <w:ind w:right="2585"/>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9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1300"/>
        </w:sectPr>
      </w:pPr>
    </w:p>
    <w:p>
      <w:pPr>
        <w:pStyle w:val="Heading2"/>
        <w:spacing w:line="240" w:lineRule="auto"/>
        <w:ind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97"/>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6440" w:space="530"/>
            <w:col w:w="244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78"/>
        <w:gridCol w:w="3051"/>
        <w:gridCol w:w="3121"/>
      </w:tblGrid>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126,072,173.51</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27,675,558.36</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153,747,731.87</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right="258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3" w:lineRule="auto" w:before="97"/>
        <w:ind w:right="7593"/>
        <w:jc w:val="left"/>
      </w:pPr>
      <w:r>
        <w:rPr/>
        <w:t>□适用 √不适用</w:t>
      </w:r>
      <w:r>
        <w:rPr>
          <w:w w:val="100"/>
        </w:rPr>
        <w:t> </w:t>
      </w:r>
      <w:r>
        <w:rPr/>
        <w:t>其他说明</w:t>
      </w:r>
    </w:p>
    <w:p>
      <w:pPr>
        <w:pStyle w:val="BodyText"/>
        <w:spacing w:line="240" w:lineRule="auto" w:before="7"/>
        <w:ind w:right="2585"/>
        <w:jc w:val="left"/>
      </w:pPr>
      <w:r>
        <w:rPr/>
        <w:t>□适用 √不适用</w:t>
      </w:r>
    </w:p>
    <w:p>
      <w:pPr>
        <w:spacing w:after="0" w:line="240" w:lineRule="auto"/>
        <w:jc w:val="left"/>
        <w:sectPr>
          <w:type w:val="continuous"/>
          <w:pgSz w:w="11910" w:h="16840"/>
          <w:pgMar w:top="1580" w:bottom="280" w:left="1200" w:right="1300"/>
        </w:sectPr>
      </w:pPr>
    </w:p>
    <w:p>
      <w:pPr>
        <w:tabs>
          <w:tab w:pos="10011" w:val="left" w:leader="none"/>
        </w:tabs>
        <w:spacing w:before="20"/>
        <w:ind w:left="3614" w:right="0" w:firstLine="0"/>
        <w:jc w:val="left"/>
        <w:rPr>
          <w:rFonts w:ascii="宋体" w:hAnsi="宋体" w:cs="宋体" w:eastAsia="宋体" w:hint="default"/>
          <w:sz w:val="18"/>
          <w:szCs w:val="18"/>
        </w:rPr>
      </w:pPr>
      <w:r>
        <w:rPr/>
        <w:pict>
          <v:group style="position:absolute;margin-left:68.75pt;margin-top:9.6717pt;width:697.85pt;height:19.650pt;mso-position-horizontal-relative:page;mso-position-vertical-relative:paragraph;z-index:-1113424" coordorigin="1375,193" coordsize="13957,393">
            <v:group style="position:absolute;left:1411;top:312;width:13913;height:2" coordorigin="1411,312" coordsize="13913,2">
              <v:shape style="position:absolute;left:1411;top:312;width:13913;height:2" coordorigin="1411,312" coordsize="13913,0" path="m1411,312l15324,312e" filled="false" stroked="true" strokeweight=".72pt" strokecolor="#000000">
                <v:path arrowok="t"/>
              </v:shape>
              <v:shape style="position:absolute;left:1375;top:193;width:465;height:393" type="#_x0000_t75" stroked="false">
                <v:imagedata r:id="rId10" o:title=""/>
              </v:shape>
            </v:group>
            <w10:wrap type="none"/>
          </v:group>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67"/>
          <w:footerReference w:type="default" r:id="rId68"/>
          <w:pgSz w:w="16840" w:h="11910" w:orient="landscape"/>
          <w:pgMar w:header="0" w:footer="0" w:top="800" w:bottom="280" w:left="900" w:right="1380"/>
        </w:sectPr>
      </w:pPr>
    </w:p>
    <w:p>
      <w:pPr>
        <w:pStyle w:val="Heading2"/>
        <w:spacing w:line="324" w:lineRule="auto"/>
        <w:ind w:left="540"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23"/>
        <w:ind w:left="54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540" w:right="0"/>
        <w:jc w:val="left"/>
      </w:pPr>
      <w:r>
        <w:rPr/>
        <w:t>单位：元币种：人民币</w:t>
      </w:r>
    </w:p>
    <w:p>
      <w:pPr>
        <w:spacing w:after="0" w:line="240" w:lineRule="auto"/>
        <w:jc w:val="left"/>
        <w:sectPr>
          <w:type w:val="continuous"/>
          <w:pgSz w:w="16840" w:h="11910" w:orient="landscape"/>
          <w:pgMar w:top="1580" w:bottom="280" w:left="900" w:right="1380"/>
          <w:cols w:num="2" w:equalWidth="0">
            <w:col w:w="2658" w:space="9013"/>
            <w:col w:w="2889"/>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237"/>
        <w:gridCol w:w="1502"/>
        <w:gridCol w:w="833"/>
        <w:gridCol w:w="1322"/>
        <w:gridCol w:w="862"/>
        <w:gridCol w:w="1503"/>
        <w:gridCol w:w="1500"/>
        <w:gridCol w:w="865"/>
        <w:gridCol w:w="1322"/>
        <w:gridCol w:w="886"/>
        <w:gridCol w:w="1503"/>
      </w:tblGrid>
      <w:tr>
        <w:trPr>
          <w:trHeight w:val="322"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60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237" w:type="dxa"/>
            <w:vMerge/>
            <w:tcBorders>
              <w:left w:val="single" w:sz="4" w:space="0" w:color="000000"/>
              <w:right w:val="single" w:sz="4" w:space="0" w:color="000000"/>
            </w:tcBorders>
          </w:tcPr>
          <w:p>
            <w:pP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6" w:right="564"/>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6" w:right="564"/>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34" w:hRule="exact"/>
        </w:trPr>
        <w:tc>
          <w:tcPr>
            <w:tcW w:w="2237"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7" w:right="67"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503"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02" w:right="77"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503" w:type="dxa"/>
            <w:vMerge/>
            <w:tcBorders>
              <w:left w:val="single" w:sz="4" w:space="0" w:color="000000"/>
              <w:bottom w:val="single" w:sz="4" w:space="0" w:color="000000"/>
              <w:right w:val="single" w:sz="4" w:space="0" w:color="000000"/>
            </w:tcBorders>
          </w:tcPr>
          <w:p>
            <w:pPr/>
          </w:p>
        </w:tc>
      </w:tr>
      <w:tr>
        <w:trPr>
          <w:trHeight w:val="63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50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2,963,241,417.12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116,027,842.90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sz w:val="18"/>
              </w:rPr>
              <w:t>3.92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2,847,213,574.22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2,059,621,781.62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107,937,006.16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5.24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1,951,684,775.46</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1,484,831,122.28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116,027,842.90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7.81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1,368,803,279.38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1,154,412,903.28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56.05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107,937,006.16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9.35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1,046,475,897.12</w:t>
            </w: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光伏发电应收补贴组合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1,478,410,294.84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49.89</w:t>
            </w:r>
          </w:p>
        </w:tc>
        <w:tc>
          <w:tcPr>
            <w:tcW w:w="132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1,478,410,294.84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905,208,878.34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43.95</w:t>
            </w:r>
          </w:p>
        </w:tc>
        <w:tc>
          <w:tcPr>
            <w:tcW w:w="132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905,208,878.34</w:t>
            </w:r>
          </w:p>
        </w:tc>
      </w:tr>
      <w:tr>
        <w:trPr>
          <w:trHeight w:val="63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3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50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2,963,241,417.12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116,027,842.90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2,847,213,574.22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2,059,621,781.62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107,937,006.16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1,951,684,775.46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63"/>
        <w:ind w:left="7109" w:right="6716" w:firstLine="0"/>
        <w:jc w:val="center"/>
        <w:rPr>
          <w:rFonts w:ascii="Calibri" w:hAnsi="Calibri" w:cs="Calibri" w:eastAsia="Calibri" w:hint="default"/>
          <w:sz w:val="18"/>
          <w:szCs w:val="18"/>
        </w:rPr>
      </w:pPr>
      <w:r>
        <w:rPr>
          <w:rFonts w:ascii="Calibri"/>
          <w:b/>
          <w:sz w:val="18"/>
        </w:rPr>
        <w:t>123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900" w:right="1380"/>
        </w:sectPr>
      </w:pPr>
    </w:p>
    <w:p>
      <w:pPr>
        <w:spacing w:line="240" w:lineRule="auto" w:before="5"/>
        <w:rPr>
          <w:rFonts w:ascii="Calibri" w:hAnsi="Calibri" w:cs="Calibri" w:eastAsia="Calibri" w:hint="default"/>
          <w:b/>
          <w:bCs/>
          <w:sz w:val="2"/>
          <w:szCs w:val="2"/>
        </w:rPr>
      </w:pPr>
    </w:p>
    <w:p>
      <w:pPr>
        <w:spacing w:line="20" w:lineRule="exact"/>
        <w:ind w:left="200" w:right="0" w:firstLine="0"/>
        <w:rPr>
          <w:rFonts w:ascii="Calibri" w:hAnsi="Calibri" w:cs="Calibri" w:eastAsia="Calibri" w:hint="default"/>
          <w:sz w:val="2"/>
          <w:szCs w:val="2"/>
        </w:rPr>
      </w:pPr>
      <w:r>
        <w:rPr>
          <w:rFonts w:ascii="Calibri" w:hAnsi="Calibri" w:cs="Calibri" w:eastAsia="Calibri"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Calibri" w:hAnsi="Calibri" w:cs="Calibri" w:eastAsia="Calibri" w:hint="default"/>
          <w:sz w:val="2"/>
          <w:szCs w:val="2"/>
        </w:rPr>
      </w:r>
    </w:p>
    <w:p>
      <w:pPr>
        <w:spacing w:line="240" w:lineRule="auto" w:before="4"/>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headerReference w:type="default" r:id="rId69"/>
          <w:footerReference w:type="default" r:id="rId70"/>
          <w:pgSz w:w="11910" w:h="16840"/>
          <w:pgMar w:header="882" w:footer="974" w:top="1080" w:bottom="1160" w:left="1040" w:right="1560"/>
          <w:pgNumType w:start="124"/>
        </w:sectPr>
      </w:pPr>
    </w:p>
    <w:p>
      <w:pPr>
        <w:pStyle w:val="BodyText"/>
        <w:spacing w:line="240" w:lineRule="auto" w:before="36"/>
        <w:ind w:left="237" w:right="0"/>
        <w:jc w:val="left"/>
      </w:pPr>
      <w:r>
        <w:rPr>
          <w:spacing w:val="-2"/>
        </w:rPr>
        <w:t>期末单项金额重大并单项计提坏账准备的应收账款</w:t>
      </w:r>
    </w:p>
    <w:p>
      <w:pPr>
        <w:pStyle w:val="BodyText"/>
        <w:spacing w:line="273" w:lineRule="auto" w:before="37"/>
        <w:ind w:left="237"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7"/>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4863" w:space="1870"/>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322"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1,258,881,393.06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62,944,069.66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1,258,881,393.06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62,944,069.66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149,079,526.21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14,907,952.64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10.00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55,277,689.16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16,583,306.75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30.00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21,592,513.85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21,592,513.85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100.00</w:t>
            </w:r>
          </w:p>
        </w:tc>
      </w:tr>
      <w:tr>
        <w:trPr>
          <w:trHeight w:val="32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1,484,831,122.28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116,027,842.90</w:t>
            </w:r>
          </w:p>
        </w:tc>
        <w:tc>
          <w:tcPr>
            <w:tcW w:w="22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7"/>
          <w:szCs w:val="17"/>
        </w:rPr>
      </w:pPr>
    </w:p>
    <w:p>
      <w:pPr>
        <w:pStyle w:val="BodyText"/>
        <w:spacing w:line="240" w:lineRule="auto" w:before="36"/>
        <w:ind w:left="237" w:right="93"/>
        <w:jc w:val="left"/>
      </w:pPr>
      <w:r>
        <w:rPr/>
        <w:t>组合中，采用余额百分比法计提坏账准备的应收账款</w:t>
      </w:r>
    </w:p>
    <w:p>
      <w:pPr>
        <w:pStyle w:val="BodyText"/>
        <w:spacing w:line="240" w:lineRule="auto" w:before="37"/>
        <w:ind w:left="237" w:right="93"/>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237" w:right="93"/>
        <w:jc w:val="left"/>
      </w:pPr>
      <w:r>
        <w:rPr/>
        <w:t>组合中，采用其他方法计提坏账准备的应收账款</w:t>
      </w:r>
    </w:p>
    <w:p>
      <w:pPr>
        <w:pStyle w:val="BodyText"/>
        <w:spacing w:line="240" w:lineRule="auto" w:before="37"/>
        <w:ind w:left="237" w:right="9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237" w:right="93"/>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97"/>
        <w:ind w:left="237" w:right="93"/>
        <w:jc w:val="left"/>
      </w:pPr>
      <w:r>
        <w:rPr/>
        <w:t>本期计提坏账准备金额</w:t>
      </w:r>
      <w:r>
        <w:rPr>
          <w:spacing w:val="-55"/>
        </w:rPr>
        <w:t> </w:t>
      </w:r>
      <w:r>
        <w:rPr>
          <w:rFonts w:ascii="宋体" w:hAnsi="宋体" w:cs="宋体" w:eastAsia="宋体" w:hint="default"/>
        </w:rPr>
        <w:t>8,090,836.74</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9"/>
        <w:rPr>
          <w:rFonts w:ascii="宋体" w:hAnsi="宋体" w:cs="宋体" w:eastAsia="宋体" w:hint="default"/>
          <w:sz w:val="26"/>
          <w:szCs w:val="26"/>
        </w:rPr>
      </w:pPr>
    </w:p>
    <w:p>
      <w:pPr>
        <w:pStyle w:val="BodyText"/>
        <w:spacing w:line="240" w:lineRule="auto"/>
        <w:ind w:left="237" w:right="93"/>
        <w:jc w:val="left"/>
      </w:pPr>
      <w:r>
        <w:rPr/>
        <w:t>其中本期坏账准备收回或转回金额重要的：</w:t>
      </w:r>
    </w:p>
    <w:p>
      <w:pPr>
        <w:pStyle w:val="BodyText"/>
        <w:spacing w:line="240" w:lineRule="auto" w:before="37"/>
        <w:ind w:left="237" w:right="9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040" w:right="1560"/>
        </w:sectPr>
      </w:pPr>
    </w:p>
    <w:p>
      <w:pPr>
        <w:pStyle w:val="Heading2"/>
        <w:spacing w:line="240" w:lineRule="auto"/>
        <w:ind w:left="237"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97"/>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406" w:space="3327"/>
            <w:col w:w="2577"/>
          </w:cols>
        </w:sectPr>
      </w:pPr>
    </w:p>
    <w:p>
      <w:pPr>
        <w:spacing w:line="240" w:lineRule="auto" w:before="11"/>
        <w:rPr>
          <w:rFonts w:ascii="宋体" w:hAnsi="宋体" w:cs="宋体" w:eastAsia="宋体" w:hint="default"/>
          <w:sz w:val="3"/>
          <w:szCs w:val="3"/>
        </w:rPr>
      </w:pPr>
      <w:r>
        <w:rPr/>
        <w:pict>
          <v:shape style="position:absolute;margin-left:60.549999pt;margin-top:32.149982pt;width:23.25pt;height:19.650pt;mso-position-horizontal-relative:page;mso-position-vertical-relative:page;z-index:1504" type="#_x0000_t75" stroked="false">
            <v:imagedata r:id="rId10" o:title=""/>
          </v:shape>
        </w:pict>
      </w: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131,524.00</w:t>
            </w:r>
          </w:p>
        </w:tc>
      </w:tr>
    </w:tbl>
    <w:p>
      <w:pPr>
        <w:spacing w:line="240" w:lineRule="auto" w:before="2"/>
        <w:rPr>
          <w:rFonts w:ascii="宋体" w:hAnsi="宋体" w:cs="宋体" w:eastAsia="宋体" w:hint="default"/>
          <w:sz w:val="20"/>
          <w:szCs w:val="20"/>
        </w:rPr>
      </w:pPr>
    </w:p>
    <w:p>
      <w:pPr>
        <w:pStyle w:val="BodyText"/>
        <w:spacing w:line="240" w:lineRule="auto" w:before="36"/>
        <w:ind w:left="237" w:right="93"/>
        <w:jc w:val="left"/>
      </w:pPr>
      <w:r>
        <w:rPr/>
        <w:t>其中重要的应收账款核销情况</w:t>
      </w:r>
    </w:p>
    <w:p>
      <w:pPr>
        <w:pStyle w:val="BodyText"/>
        <w:spacing w:line="254" w:lineRule="auto" w:before="37"/>
        <w:ind w:left="237" w:right="7168"/>
        <w:jc w:val="left"/>
      </w:pPr>
      <w:r>
        <w:rPr/>
        <w:t>□适用</w:t>
      </w:r>
      <w:r>
        <w:rPr>
          <w:spacing w:val="-2"/>
        </w:rPr>
        <w:t> </w:t>
      </w:r>
      <w:r>
        <w:rPr/>
        <w:t>√不适用</w:t>
      </w:r>
      <w:r>
        <w:rPr>
          <w:w w:val="100"/>
        </w:rPr>
        <w:t> </w:t>
      </w:r>
      <w:r>
        <w:rPr>
          <w:spacing w:val="-1"/>
        </w:rPr>
        <w:t>应收账款核销说明：</w:t>
      </w:r>
    </w:p>
    <w:p>
      <w:pPr>
        <w:pStyle w:val="BodyText"/>
        <w:spacing w:line="259" w:lineRule="exact"/>
        <w:ind w:left="237" w:right="93"/>
        <w:jc w:val="left"/>
      </w:pPr>
      <w:r>
        <w:rPr/>
        <w:t>□适用 √不适用</w:t>
      </w:r>
    </w:p>
    <w:p>
      <w:pPr>
        <w:spacing w:line="240" w:lineRule="auto" w:before="13"/>
        <w:rPr>
          <w:rFonts w:ascii="宋体" w:hAnsi="宋体" w:cs="宋体" w:eastAsia="宋体" w:hint="default"/>
          <w:sz w:val="29"/>
          <w:szCs w:val="29"/>
        </w:rPr>
      </w:pPr>
    </w:p>
    <w:p>
      <w:pPr>
        <w:pStyle w:val="Heading2"/>
        <w:spacing w:line="240" w:lineRule="auto" w:before="0"/>
        <w:ind w:left="237" w:right="93"/>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spacing w:line="240" w:lineRule="auto" w:before="75"/>
        <w:ind w:left="237" w:right="93"/>
        <w:jc w:val="left"/>
      </w:pPr>
      <w:r>
        <w:rPr/>
        <w:pict>
          <v:group style="position:absolute;margin-left:159.979996pt;margin-top:34.153671pt;width:.5pt;height:19.350pt;mso-position-horizontal-relative:page;mso-position-vertical-relative:paragraph;z-index:-1113352" coordorigin="3200,683" coordsize="10,387">
            <v:shape style="position:absolute;left:3200;top:683;width:10;height:2" type="#_x0000_t75" stroked="false">
              <v:imagedata r:id="rId71" o:title=""/>
            </v:shape>
            <v:group style="position:absolute;left:3200;top:705;width:10;height:20" coordorigin="3200,705" coordsize="10,20">
              <v:shape style="position:absolute;left:3200;top:705;width:10;height:20" coordorigin="3200,705" coordsize="10,20" path="m3200,724l3209,724,3209,705,3200,705,3200,724xe" filled="true" fillcolor="#000000" stroked="false">
                <v:path arrowok="t"/>
                <v:fill type="solid"/>
              </v:shape>
            </v:group>
            <v:group style="position:absolute;left:3200;top:724;width:10;height:20" coordorigin="3200,724" coordsize="10,20">
              <v:shape style="position:absolute;left:3200;top:724;width:10;height:20" coordorigin="3200,724" coordsize="10,20" path="m3200,743l3209,743,3209,724,3200,724,3200,743xe" filled="true" fillcolor="#000000" stroked="false">
                <v:path arrowok="t"/>
                <v:fill type="solid"/>
              </v:shape>
            </v:group>
            <v:group style="position:absolute;left:3200;top:743;width:10;height:20" coordorigin="3200,743" coordsize="10,20">
              <v:shape style="position:absolute;left:3200;top:743;width:10;height:20" coordorigin="3200,743" coordsize="10,20" path="m3200,762l3209,762,3209,743,3200,743,3200,762xe" filled="true" fillcolor="#000000" stroked="false">
                <v:path arrowok="t"/>
                <v:fill type="solid"/>
              </v:shape>
            </v:group>
            <v:group style="position:absolute;left:3200;top:762;width:10;height:20" coordorigin="3200,762" coordsize="10,20">
              <v:shape style="position:absolute;left:3200;top:762;width:10;height:20" coordorigin="3200,762" coordsize="10,20" path="m3200,781l3209,781,3209,762,3200,762,3200,781xe" filled="true" fillcolor="#000000" stroked="false">
                <v:path arrowok="t"/>
                <v:fill type="solid"/>
              </v:shape>
            </v:group>
            <v:group style="position:absolute;left:3200;top:781;width:10;height:20" coordorigin="3200,781" coordsize="10,20">
              <v:shape style="position:absolute;left:3200;top:781;width:10;height:20" coordorigin="3200,781" coordsize="10,20" path="m3200,801l3209,801,3209,781,3200,781,3200,801xe" filled="true" fillcolor="#000000" stroked="false">
                <v:path arrowok="t"/>
                <v:fill type="solid"/>
              </v:shape>
            </v:group>
            <v:group style="position:absolute;left:3200;top:801;width:10;height:20" coordorigin="3200,801" coordsize="10,20">
              <v:shape style="position:absolute;left:3200;top:801;width:10;height:20" coordorigin="3200,801" coordsize="10,20" path="m3200,820l3209,820,3209,801,3200,801,3200,820xe" filled="true" fillcolor="#000000" stroked="false">
                <v:path arrowok="t"/>
                <v:fill type="solid"/>
              </v:shape>
            </v:group>
            <v:group style="position:absolute;left:3200;top:820;width:10;height:20" coordorigin="3200,820" coordsize="10,20">
              <v:shape style="position:absolute;left:3200;top:820;width:10;height:20" coordorigin="3200,820" coordsize="10,20" path="m3200,839l3209,839,3209,820,3200,820,3200,839xe" filled="true" fillcolor="#000000" stroked="false">
                <v:path arrowok="t"/>
                <v:fill type="solid"/>
              </v:shape>
            </v:group>
            <v:group style="position:absolute;left:3200;top:839;width:10;height:20" coordorigin="3200,839" coordsize="10,20">
              <v:shape style="position:absolute;left:3200;top:839;width:10;height:20" coordorigin="3200,839" coordsize="10,20" path="m3200,858l3209,858,3209,839,3200,839,3200,858xe" filled="true" fillcolor="#000000" stroked="false">
                <v:path arrowok="t"/>
                <v:fill type="solid"/>
              </v:shape>
            </v:group>
            <v:group style="position:absolute;left:3200;top:858;width:10;height:20" coordorigin="3200,858" coordsize="10,20">
              <v:shape style="position:absolute;left:3200;top:858;width:10;height:20" coordorigin="3200,858" coordsize="10,20" path="m3200,877l3209,877,3209,858,3200,858,3200,877xe" filled="true" fillcolor="#000000" stroked="false">
                <v:path arrowok="t"/>
                <v:fill type="solid"/>
              </v:shape>
            </v:group>
            <v:group style="position:absolute;left:3200;top:877;width:10;height:20" coordorigin="3200,877" coordsize="10,20">
              <v:shape style="position:absolute;left:3200;top:877;width:10;height:20" coordorigin="3200,877" coordsize="10,20" path="m3200,897l3209,897,3209,877,3200,877,3200,897xe" filled="true" fillcolor="#000000" stroked="false">
                <v:path arrowok="t"/>
                <v:fill type="solid"/>
              </v:shape>
            </v:group>
            <v:group style="position:absolute;left:3200;top:897;width:10;height:20" coordorigin="3200,897" coordsize="10,20">
              <v:shape style="position:absolute;left:3200;top:897;width:10;height:20" coordorigin="3200,897" coordsize="10,20" path="m3200,916l3209,916,3209,897,3200,897,3200,916xe" filled="true" fillcolor="#000000" stroked="false">
                <v:path arrowok="t"/>
                <v:fill type="solid"/>
              </v:shape>
            </v:group>
            <v:group style="position:absolute;left:3200;top:916;width:10;height:20" coordorigin="3200,916" coordsize="10,20">
              <v:shape style="position:absolute;left:3200;top:916;width:10;height:20" coordorigin="3200,916" coordsize="10,20" path="m3200,935l3209,935,3209,916,3200,916,3200,935xe" filled="true" fillcolor="#000000" stroked="false">
                <v:path arrowok="t"/>
                <v:fill type="solid"/>
              </v:shape>
            </v:group>
            <v:group style="position:absolute;left:3200;top:935;width:10;height:20" coordorigin="3200,935" coordsize="10,20">
              <v:shape style="position:absolute;left:3200;top:935;width:10;height:20" coordorigin="3200,935" coordsize="10,20" path="m3200,954l3209,954,3209,935,3200,935,3200,954xe" filled="true" fillcolor="#000000" stroked="false">
                <v:path arrowok="t"/>
                <v:fill type="solid"/>
              </v:shape>
            </v:group>
            <v:group style="position:absolute;left:3200;top:954;width:10;height:20" coordorigin="3200,954" coordsize="10,20">
              <v:shape style="position:absolute;left:3200;top:954;width:10;height:20" coordorigin="3200,954" coordsize="10,20" path="m3200,973l3209,973,3209,954,3200,954,3200,973xe" filled="true" fillcolor="#000000" stroked="false">
                <v:path arrowok="t"/>
                <v:fill type="solid"/>
              </v:shape>
            </v:group>
            <v:group style="position:absolute;left:3200;top:973;width:10;height:20" coordorigin="3200,973" coordsize="10,20">
              <v:shape style="position:absolute;left:3200;top:973;width:10;height:20" coordorigin="3200,973" coordsize="10,20" path="m3200,993l3209,993,3209,973,3200,973,3200,993xe" filled="true" fillcolor="#000000" stroked="false">
                <v:path arrowok="t"/>
                <v:fill type="solid"/>
              </v:shape>
            </v:group>
            <v:group style="position:absolute;left:3200;top:993;width:10;height:20" coordorigin="3200,993" coordsize="10,20">
              <v:shape style="position:absolute;left:3200;top:993;width:10;height:20" coordorigin="3200,993" coordsize="10,20" path="m3200,1012l3209,1012,3209,993,3200,993,3200,1012xe" filled="true" fillcolor="#000000" stroked="false">
                <v:path arrowok="t"/>
                <v:fill type="solid"/>
              </v:shape>
            </v:group>
            <v:group style="position:absolute;left:3200;top:1012;width:10;height:20" coordorigin="3200,1012" coordsize="10,20">
              <v:shape style="position:absolute;left:3200;top:1012;width:10;height:20" coordorigin="3200,1012" coordsize="10,20" path="m3200,1031l3209,1031,3209,1012,3200,1012,3200,1031xe" filled="true" fillcolor="#000000" stroked="false">
                <v:path arrowok="t"/>
                <v:fill type="solid"/>
              </v:shape>
            </v:group>
            <v:group style="position:absolute;left:3200;top:1031;width:10;height:20" coordorigin="3200,1031" coordsize="10,20">
              <v:shape style="position:absolute;left:3200;top:1031;width:10;height:20" coordorigin="3200,1031" coordsize="10,20" path="m3200,1050l3209,1050,3209,1031,3200,1031,3200,1050xe" filled="true" fillcolor="#000000" stroked="false">
                <v:path arrowok="t"/>
                <v:fill type="solid"/>
              </v:shape>
            </v:group>
            <v:group style="position:absolute;left:3200;top:1050;width:10;height:20" coordorigin="3200,1050" coordsize="10,20">
              <v:shape style="position:absolute;left:3200;top:1050;width:10;height:20" coordorigin="3200,1050" coordsize="10,20" path="m3200,1069l3209,1069,3209,1050,3200,1050,3200,1069xe" filled="true" fillcolor="#000000" stroked="false">
                <v:path arrowok="t"/>
                <v:fill type="solid"/>
              </v:shape>
            </v:group>
            <w10:wrap type="none"/>
          </v:group>
        </w:pict>
      </w:r>
      <w:r>
        <w:rPr/>
        <w:t>√适用 □不适用</w:t>
      </w:r>
    </w:p>
    <w:p>
      <w:pPr>
        <w:spacing w:line="240" w:lineRule="auto" w:before="3"/>
        <w:rPr>
          <w:rFonts w:ascii="宋体" w:hAnsi="宋体" w:cs="宋体" w:eastAsia="宋体" w:hint="default"/>
          <w:sz w:val="23"/>
          <w:szCs w:val="23"/>
        </w:rPr>
      </w:pPr>
    </w:p>
    <w:tbl>
      <w:tblPr>
        <w:tblW w:w="0" w:type="auto"/>
        <w:jc w:val="left"/>
        <w:tblInd w:w="338" w:type="dxa"/>
        <w:tblLayout w:type="fixed"/>
        <w:tblCellMar>
          <w:top w:w="0" w:type="dxa"/>
          <w:left w:w="0" w:type="dxa"/>
          <w:bottom w:w="0" w:type="dxa"/>
          <w:right w:w="0" w:type="dxa"/>
        </w:tblCellMar>
        <w:tblLook w:val="01E0"/>
      </w:tblPr>
      <w:tblGrid>
        <w:gridCol w:w="3070"/>
        <w:gridCol w:w="5562"/>
      </w:tblGrid>
      <w:tr>
        <w:trPr>
          <w:trHeight w:val="430" w:hRule="exact"/>
        </w:trPr>
        <w:tc>
          <w:tcPr>
            <w:tcW w:w="3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5"/>
              <w:ind w:left="55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55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5"/>
              <w:ind w:left="179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580" w:bottom="280" w:left="1040" w:right="1560"/>
        </w:sectPr>
      </w:pPr>
    </w:p>
    <w:p>
      <w:pPr>
        <w:spacing w:line="240" w:lineRule="auto" w:before="0"/>
        <w:rPr>
          <w:rFonts w:ascii="宋体" w:hAnsi="宋体" w:cs="宋体" w:eastAsia="宋体" w:hint="default"/>
          <w:sz w:val="24"/>
          <w:szCs w:val="24"/>
        </w:rPr>
      </w:pPr>
    </w:p>
    <w:tbl>
      <w:tblPr>
        <w:tblW w:w="0" w:type="auto"/>
        <w:jc w:val="left"/>
        <w:tblInd w:w="323" w:type="dxa"/>
        <w:tblLayout w:type="fixed"/>
        <w:tblCellMar>
          <w:top w:w="0" w:type="dxa"/>
          <w:left w:w="0" w:type="dxa"/>
          <w:bottom w:w="0" w:type="dxa"/>
          <w:right w:w="0" w:type="dxa"/>
        </w:tblCellMar>
        <w:tblLook w:val="01E0"/>
      </w:tblPr>
      <w:tblGrid>
        <w:gridCol w:w="1841"/>
        <w:gridCol w:w="2127"/>
        <w:gridCol w:w="2792"/>
        <w:gridCol w:w="1887"/>
      </w:tblGrid>
      <w:tr>
        <w:trPr>
          <w:trHeight w:val="324" w:hRule="exact"/>
        </w:trPr>
        <w:tc>
          <w:tcPr>
            <w:tcW w:w="1841"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tc>
        <w:tc>
          <w:tcPr>
            <w:tcW w:w="2127"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8"/>
              <w:ind w:left="6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vMerge w:val="restart"/>
            <w:tcBorders>
              <w:top w:val="single" w:sz="12" w:space="0" w:color="000000"/>
              <w:left w:val="single" w:sz="4" w:space="0" w:color="000000"/>
              <w:right w:val="single" w:sz="4" w:space="0" w:color="000000"/>
            </w:tcBorders>
          </w:tcPr>
          <w:p>
            <w:pPr>
              <w:pStyle w:val="TableParagraph"/>
              <w:spacing w:line="240" w:lineRule="auto" w:before="138"/>
              <w:ind w:left="263"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887" w:type="dxa"/>
            <w:vMerge w:val="restart"/>
            <w:tcBorders>
              <w:top w:val="single" w:sz="12" w:space="0" w:color="000000"/>
              <w:left w:val="single" w:sz="4" w:space="0" w:color="000000"/>
              <w:right w:val="nil" w:sz="6" w:space="0" w:color="auto"/>
            </w:tcBorders>
          </w:tcPr>
          <w:p>
            <w:pPr>
              <w:pStyle w:val="TableParagraph"/>
              <w:spacing w:line="240" w:lineRule="auto" w:before="138"/>
              <w:ind w:left="5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4" w:hRule="exact"/>
        </w:trPr>
        <w:tc>
          <w:tcPr>
            <w:tcW w:w="184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2792" w:type="dxa"/>
            <w:vMerge/>
            <w:tcBorders>
              <w:left w:val="single" w:sz="4" w:space="0" w:color="000000"/>
              <w:right w:val="single" w:sz="4" w:space="0" w:color="000000"/>
            </w:tcBorders>
          </w:tcPr>
          <w:p>
            <w:pPr/>
          </w:p>
        </w:tc>
        <w:tc>
          <w:tcPr>
            <w:tcW w:w="1887" w:type="dxa"/>
            <w:vMerge/>
            <w:tcBorders>
              <w:left w:val="single" w:sz="4" w:space="0" w:color="000000"/>
              <w:right w:val="nil" w:sz="6" w:space="0" w:color="auto"/>
            </w:tcBorders>
          </w:tcPr>
          <w:p>
            <w:pPr/>
          </w:p>
        </w:tc>
      </w:tr>
      <w:tr>
        <w:trPr>
          <w:trHeight w:val="37" w:hRule="exact"/>
        </w:trPr>
        <w:tc>
          <w:tcPr>
            <w:tcW w:w="184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2792" w:type="dxa"/>
            <w:vMerge/>
            <w:tcBorders>
              <w:left w:val="single" w:sz="4" w:space="0" w:color="000000"/>
              <w:bottom w:val="nil" w:sz="6" w:space="0" w:color="auto"/>
              <w:right w:val="single" w:sz="4" w:space="0" w:color="000000"/>
            </w:tcBorders>
          </w:tcPr>
          <w:p>
            <w:pPr/>
          </w:p>
        </w:tc>
        <w:tc>
          <w:tcPr>
            <w:tcW w:w="1887" w:type="dxa"/>
            <w:vMerge/>
            <w:tcBorders>
              <w:left w:val="single" w:sz="4" w:space="0" w:color="000000"/>
              <w:bottom w:val="nil" w:sz="6" w:space="0" w:color="auto"/>
              <w:right w:val="nil" w:sz="6" w:space="0" w:color="auto"/>
            </w:tcBorders>
          </w:tcPr>
          <w:p>
            <w:pPr/>
          </w:p>
        </w:tc>
      </w:tr>
      <w:tr>
        <w:trPr>
          <w:trHeight w:val="371" w:hRule="exact"/>
        </w:trPr>
        <w:tc>
          <w:tcPr>
            <w:tcW w:w="184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428,200,317.13</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pacing w:val="-1"/>
                <w:sz w:val="18"/>
              </w:rPr>
              <w:t>14.45</w:t>
            </w:r>
          </w:p>
        </w:tc>
        <w:tc>
          <w:tcPr>
            <w:tcW w:w="188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21,410,015.86</w:t>
            </w:r>
          </w:p>
        </w:tc>
      </w:tr>
      <w:tr>
        <w:trPr>
          <w:trHeight w:val="39" w:hRule="exact"/>
        </w:trPr>
        <w:tc>
          <w:tcPr>
            <w:tcW w:w="184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2792" w:type="dxa"/>
            <w:tcBorders>
              <w:top w:val="nil" w:sz="6" w:space="0" w:color="auto"/>
              <w:left w:val="single" w:sz="4" w:space="0" w:color="000000"/>
              <w:bottom w:val="nil" w:sz="6" w:space="0" w:color="auto"/>
              <w:right w:val="single" w:sz="4" w:space="0" w:color="000000"/>
            </w:tcBorders>
          </w:tcPr>
          <w:p>
            <w:pPr/>
          </w:p>
        </w:tc>
        <w:tc>
          <w:tcPr>
            <w:tcW w:w="188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84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212,867,818.78</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7.18</w:t>
            </w:r>
          </w:p>
        </w:tc>
        <w:tc>
          <w:tcPr>
            <w:tcW w:w="188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190,505.95</w:t>
            </w:r>
          </w:p>
        </w:tc>
      </w:tr>
      <w:tr>
        <w:trPr>
          <w:trHeight w:val="39" w:hRule="exact"/>
        </w:trPr>
        <w:tc>
          <w:tcPr>
            <w:tcW w:w="184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2792" w:type="dxa"/>
            <w:tcBorders>
              <w:top w:val="nil" w:sz="6" w:space="0" w:color="auto"/>
              <w:left w:val="single" w:sz="4" w:space="0" w:color="000000"/>
              <w:bottom w:val="nil" w:sz="6" w:space="0" w:color="auto"/>
              <w:right w:val="single" w:sz="4" w:space="0" w:color="000000"/>
            </w:tcBorders>
          </w:tcPr>
          <w:p>
            <w:pPr/>
          </w:p>
        </w:tc>
        <w:tc>
          <w:tcPr>
            <w:tcW w:w="188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84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147,329,832.03</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4.97</w:t>
            </w:r>
          </w:p>
        </w:tc>
        <w:tc>
          <w:tcPr>
            <w:tcW w:w="188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194,897.24</w:t>
            </w:r>
          </w:p>
        </w:tc>
      </w:tr>
      <w:tr>
        <w:trPr>
          <w:trHeight w:val="39" w:hRule="exact"/>
        </w:trPr>
        <w:tc>
          <w:tcPr>
            <w:tcW w:w="184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2792" w:type="dxa"/>
            <w:tcBorders>
              <w:top w:val="nil" w:sz="6" w:space="0" w:color="auto"/>
              <w:left w:val="single" w:sz="4" w:space="0" w:color="000000"/>
              <w:bottom w:val="nil" w:sz="6" w:space="0" w:color="auto"/>
              <w:right w:val="single" w:sz="4" w:space="0" w:color="000000"/>
            </w:tcBorders>
          </w:tcPr>
          <w:p>
            <w:pPr/>
          </w:p>
        </w:tc>
        <w:tc>
          <w:tcPr>
            <w:tcW w:w="188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84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122,323,868.65</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4.13</w:t>
            </w:r>
          </w:p>
        </w:tc>
        <w:tc>
          <w:tcPr>
            <w:tcW w:w="188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178,037.28</w:t>
            </w:r>
          </w:p>
        </w:tc>
      </w:tr>
      <w:tr>
        <w:trPr>
          <w:trHeight w:val="39" w:hRule="exact"/>
        </w:trPr>
        <w:tc>
          <w:tcPr>
            <w:tcW w:w="184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single" w:sz="4" w:space="0" w:color="000000"/>
            </w:tcBorders>
          </w:tcPr>
          <w:p>
            <w:pPr/>
          </w:p>
        </w:tc>
        <w:tc>
          <w:tcPr>
            <w:tcW w:w="2792" w:type="dxa"/>
            <w:tcBorders>
              <w:top w:val="nil" w:sz="6" w:space="0" w:color="auto"/>
              <w:left w:val="single" w:sz="4" w:space="0" w:color="000000"/>
              <w:bottom w:val="nil" w:sz="6" w:space="0" w:color="auto"/>
              <w:right w:val="single" w:sz="4" w:space="0" w:color="000000"/>
            </w:tcBorders>
          </w:tcPr>
          <w:p>
            <w:pPr/>
          </w:p>
        </w:tc>
        <w:tc>
          <w:tcPr>
            <w:tcW w:w="1887" w:type="dxa"/>
            <w:tcBorders>
              <w:top w:val="nil" w:sz="6" w:space="0" w:color="auto"/>
              <w:left w:val="single" w:sz="4" w:space="0" w:color="000000"/>
              <w:bottom w:val="nil" w:sz="6" w:space="0" w:color="auto"/>
              <w:right w:val="nil" w:sz="6" w:space="0" w:color="auto"/>
            </w:tcBorders>
          </w:tcPr>
          <w:p>
            <w:pPr/>
          </w:p>
        </w:tc>
      </w:tr>
      <w:tr>
        <w:trPr>
          <w:trHeight w:val="408" w:hRule="exact"/>
        </w:trPr>
        <w:tc>
          <w:tcPr>
            <w:tcW w:w="184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103,403,123.53</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3.49</w:t>
            </w:r>
          </w:p>
        </w:tc>
        <w:tc>
          <w:tcPr>
            <w:tcW w:w="188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1,204,314.16</w:t>
            </w:r>
          </w:p>
        </w:tc>
      </w:tr>
      <w:tr>
        <w:trPr>
          <w:trHeight w:val="418" w:hRule="exact"/>
        </w:trPr>
        <w:tc>
          <w:tcPr>
            <w:tcW w:w="1841" w:type="dxa"/>
            <w:tcBorders>
              <w:top w:val="nil" w:sz="6" w:space="0" w:color="auto"/>
              <w:left w:val="nil" w:sz="6" w:space="0" w:color="auto"/>
              <w:bottom w:val="single" w:sz="12" w:space="0" w:color="000000"/>
              <w:right w:val="single"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1,014,124,960.12</w:t>
            </w:r>
          </w:p>
        </w:tc>
        <w:tc>
          <w:tcPr>
            <w:tcW w:w="27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pacing w:val="-1"/>
                <w:sz w:val="18"/>
              </w:rPr>
              <w:t>34.22</w:t>
            </w:r>
          </w:p>
        </w:tc>
        <w:tc>
          <w:tcPr>
            <w:tcW w:w="1887" w:type="dxa"/>
            <w:tcBorders>
              <w:top w:val="nil" w:sz="6" w:space="0" w:color="auto"/>
              <w:left w:val="single" w:sz="4" w:space="0" w:color="000000"/>
              <w:bottom w:val="single" w:sz="12"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pacing w:val="-1"/>
                <w:sz w:val="18"/>
              </w:rPr>
              <w:t>23,177,770.49</w:t>
            </w:r>
          </w:p>
        </w:tc>
      </w:tr>
    </w:tbl>
    <w:p>
      <w:pPr>
        <w:spacing w:line="240" w:lineRule="auto" w:before="10"/>
        <w:rPr>
          <w:rFonts w:ascii="宋体" w:hAnsi="宋体" w:cs="宋体" w:eastAsia="宋体" w:hint="default"/>
          <w:sz w:val="24"/>
          <w:szCs w:val="24"/>
        </w:rPr>
      </w:pPr>
    </w:p>
    <w:p>
      <w:pPr>
        <w:pStyle w:val="Heading2"/>
        <w:spacing w:line="240" w:lineRule="auto"/>
        <w:ind w:left="237" w:right="93"/>
        <w:jc w:val="left"/>
        <w:rPr>
          <w:b w:val="0"/>
          <w:bCs w:val="0"/>
        </w:rPr>
      </w:pPr>
      <w:r>
        <w:rPr/>
        <w:pict>
          <v:group style="position:absolute;margin-left:68.903999pt;margin-top:-83.886322pt;width:431.6pt;height:5.2pt;mso-position-horizontal-relative:page;mso-position-vertical-relative:paragraph;z-index:-1112848" coordorigin="1378,-1678" coordsize="8632,104">
            <v:shape style="position:absolute;left:1378;top:-1678;width:1841;height:103" type="#_x0000_t75" stroked="false">
              <v:imagedata r:id="rId73" o:title=""/>
            </v:shape>
            <v:shape style="position:absolute;left:3195;top:-1584;width:6815;height:10" type="#_x0000_t75" stroked="false">
              <v:imagedata r:id="rId74" o:title=""/>
            </v:shape>
            <w10:wrap type="none"/>
          </v:group>
        </w:pict>
      </w:r>
      <w:r>
        <w:rPr/>
        <w:pict>
          <v:group style="position:absolute;margin-left:68.903999pt;margin-top:-63.366322pt;width:431.6pt;height:5.2pt;mso-position-horizontal-relative:page;mso-position-vertical-relative:paragraph;z-index:-1112824" coordorigin="1378,-1267" coordsize="8632,104">
            <v:shape style="position:absolute;left:1378;top:-1267;width:1841;height:103" type="#_x0000_t75" stroked="false">
              <v:imagedata r:id="rId75" o:title=""/>
            </v:shape>
            <v:shape style="position:absolute;left:3195;top:-1174;width:6815;height:10" type="#_x0000_t75" stroked="false">
              <v:imagedata r:id="rId76" o:title=""/>
            </v:shape>
            <w10:wrap type="none"/>
          </v:group>
        </w:pict>
      </w:r>
      <w:r>
        <w:rPr/>
        <w:pict>
          <v:group style="position:absolute;margin-left:68.903999pt;margin-top:-42.84626pt;width:431.6pt;height:5.05pt;mso-position-horizontal-relative:page;mso-position-vertical-relative:paragraph;z-index:-1112800" coordorigin="1378,-857" coordsize="8632,101">
            <v:shape style="position:absolute;left:1378;top:-857;width:1841;height:101" type="#_x0000_t75" stroked="false">
              <v:imagedata r:id="rId77" o:title=""/>
            </v:shape>
            <v:shape style="position:absolute;left:3195;top:-766;width:6815;height:10" type="#_x0000_t75" stroked="false">
              <v:imagedata r:id="rId74" o:title=""/>
            </v:shape>
            <w10:wrap type="none"/>
          </v:group>
        </w:pict>
      </w:r>
      <w:r>
        <w:rPr>
          <w:rFonts w:ascii="宋体" w:hAnsi="宋体" w:cs="宋体" w:eastAsia="宋体" w:hint="default"/>
        </w:rPr>
        <w:t>(5).</w:t>
      </w:r>
      <w:r>
        <w:rPr/>
        <w:t>因金融资产转移而终止确认的应收账款</w:t>
      </w:r>
      <w:r>
        <w:rPr>
          <w:b w:val="0"/>
          <w:bCs w:val="0"/>
        </w:rPr>
      </w:r>
    </w:p>
    <w:p>
      <w:pPr>
        <w:pStyle w:val="BodyText"/>
        <w:spacing w:line="240" w:lineRule="auto" w:before="75"/>
        <w:ind w:left="237" w:right="93"/>
        <w:jc w:val="left"/>
      </w:pPr>
      <w:r>
        <w:rPr/>
        <w:t>□适用 √不适用</w:t>
      </w:r>
    </w:p>
    <w:p>
      <w:pPr>
        <w:spacing w:line="240" w:lineRule="auto" w:before="9"/>
        <w:rPr>
          <w:rFonts w:ascii="宋体" w:hAnsi="宋体" w:cs="宋体" w:eastAsia="宋体" w:hint="default"/>
          <w:sz w:val="21"/>
          <w:szCs w:val="21"/>
        </w:rPr>
      </w:pPr>
    </w:p>
    <w:p>
      <w:pPr>
        <w:pStyle w:val="Heading2"/>
        <w:spacing w:line="240" w:lineRule="auto"/>
        <w:ind w:left="237" w:right="93"/>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spacing w:line="240" w:lineRule="auto" w:before="75"/>
        <w:ind w:left="237" w:right="93"/>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left="237" w:right="93"/>
        <w:jc w:val="left"/>
      </w:pPr>
      <w:r>
        <w:rPr/>
        <w:t>其他说明：</w:t>
      </w:r>
    </w:p>
    <w:p>
      <w:pPr>
        <w:pStyle w:val="BodyText"/>
        <w:spacing w:line="273" w:lineRule="exact"/>
        <w:ind w:left="237" w:right="93"/>
        <w:jc w:val="left"/>
      </w:pPr>
      <w:r>
        <w:rPr/>
        <w:t>□适用 √不适用</w:t>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72"/>
          <w:pgSz w:w="11910" w:h="16840"/>
          <w:pgMar w:header="643" w:footer="974" w:top="1120" w:bottom="1160" w:left="1040" w:right="1560"/>
        </w:sectPr>
      </w:pPr>
    </w:p>
    <w:p>
      <w:pPr>
        <w:pStyle w:val="Heading2"/>
        <w:spacing w:line="324" w:lineRule="auto"/>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spacing w:line="240" w:lineRule="auto" w:before="24"/>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2566" w:space="4167"/>
            <w:col w:w="2577"/>
          </w:cols>
        </w:sectPr>
      </w:pPr>
    </w:p>
    <w:p>
      <w:pPr>
        <w:spacing w:line="240" w:lineRule="auto" w:before="10"/>
        <w:rPr>
          <w:rFonts w:ascii="宋体" w:hAnsi="宋体" w:cs="宋体" w:eastAsia="宋体" w:hint="default"/>
          <w:sz w:val="3"/>
          <w:szCs w:val="3"/>
        </w:rPr>
      </w:pPr>
      <w:r>
        <w:rPr/>
        <w:pict>
          <v:shape style="position:absolute;margin-left:159.979996pt;margin-top:73.439980pt;width:.48001pt;height:.12pt;mso-position-horizontal-relative:page;mso-position-vertical-relative:page;z-index:-1112992" type="#_x0000_t75" stroked="false">
            <v:imagedata r:id="rId78" o:title=""/>
          </v:shape>
        </w:pict>
      </w:r>
      <w:r>
        <w:rPr/>
        <w:pict>
          <v:shape style="position:absolute;margin-left:266.329987pt;margin-top:73.439980pt;width:.48001pt;height:.12pt;mso-position-horizontal-relative:page;mso-position-vertical-relative:page;z-index:-1112968" type="#_x0000_t75" stroked="false">
            <v:imagedata r:id="rId78" o:title=""/>
          </v:shape>
        </w:pict>
      </w:r>
      <w:r>
        <w:rPr/>
        <w:pict>
          <v:shape style="position:absolute;margin-left:405.910004pt;margin-top:73.439980pt;width:.48001pt;height:.12pt;mso-position-horizontal-relative:page;mso-position-vertical-relative:page;z-index:-1112944" type="#_x0000_t75" stroked="false">
            <v:imagedata r:id="rId78" o:title=""/>
          </v:shape>
        </w:pict>
      </w:r>
      <w:r>
        <w:rPr/>
        <w:pict>
          <v:group style="position:absolute;margin-left:68.903999pt;margin-top:88.940025pt;width:431.6pt;height:5.05pt;mso-position-horizontal-relative:page;mso-position-vertical-relative:page;z-index:-1112920" coordorigin="1378,1779" coordsize="8632,101">
            <v:shape style="position:absolute;left:1378;top:1779;width:1841;height:101" type="#_x0000_t75" stroked="false">
              <v:imagedata r:id="rId79" o:title=""/>
            </v:shape>
            <v:shape style="position:absolute;left:3195;top:1870;width:6815;height:10" type="#_x0000_t75" stroked="false">
              <v:imagedata r:id="rId76" o:title=""/>
            </v:shape>
            <w10:wrap type="none"/>
          </v:group>
        </w:pict>
      </w:r>
      <w:r>
        <w:rPr/>
        <w:pict>
          <v:group style="position:absolute;margin-left:68.903999pt;margin-top:109.339966pt;width:431.6pt;height:5.2pt;mso-position-horizontal-relative:page;mso-position-vertical-relative:page;z-index:-1112896" coordorigin="1378,2187" coordsize="8632,104">
            <v:shape style="position:absolute;left:1378;top:2187;width:1841;height:103" type="#_x0000_t75" stroked="false">
              <v:imagedata r:id="rId73" o:title=""/>
            </v:shape>
            <v:shape style="position:absolute;left:3195;top:2280;width:6815;height:10" type="#_x0000_t75" stroked="false">
              <v:imagedata r:id="rId76" o:title=""/>
            </v:shape>
            <w10:wrap type="none"/>
          </v:group>
        </w:pict>
      </w:r>
      <w:r>
        <w:rPr/>
        <w:pict>
          <v:group style="position:absolute;margin-left:68.903999pt;margin-top:129.85997pt;width:431.6pt;height:5.2pt;mso-position-horizontal-relative:page;mso-position-vertical-relative:page;z-index:-1112872" coordorigin="1378,2597" coordsize="8632,104">
            <v:shape style="position:absolute;left:1378;top:2597;width:1841;height:103" type="#_x0000_t75" stroked="false">
              <v:imagedata r:id="rId73" o:title=""/>
            </v:shape>
            <v:shape style="position:absolute;left:3195;top:2691;width:6815;height:10" type="#_x0000_t75" stroked="false">
              <v:imagedata r:id="rId76" o:title=""/>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105,571,768.53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97.43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69,150,982.88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96.39</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1,511,504.46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1.39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1,839,029.74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2.56</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640,449.01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sz w:val="21"/>
              </w:rPr>
              <w:t>0.59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spacing w:val="-1"/>
                <w:sz w:val="21"/>
              </w:rPr>
              <w:t>429,750.42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
              <w:jc w:val="right"/>
              <w:rPr>
                <w:rFonts w:ascii="宋体" w:hAnsi="宋体" w:cs="宋体" w:eastAsia="宋体" w:hint="default"/>
                <w:sz w:val="21"/>
                <w:szCs w:val="21"/>
              </w:rPr>
            </w:pPr>
            <w:r>
              <w:rPr>
                <w:rFonts w:ascii="宋体"/>
                <w:sz w:val="21"/>
              </w:rPr>
              <w:t>0.60</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640,266.14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0.59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322,639.31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0.45</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108,363,988.14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71,742,402.35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100.00</w:t>
            </w:r>
          </w:p>
        </w:tc>
      </w:tr>
    </w:tbl>
    <w:p>
      <w:pPr>
        <w:pStyle w:val="BodyText"/>
        <w:spacing w:line="273" w:lineRule="auto"/>
        <w:ind w:left="237" w:right="3382"/>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本期无账龄超过一年且金额重大的预付款。</w:t>
      </w:r>
    </w:p>
    <w:p>
      <w:pPr>
        <w:spacing w:line="240" w:lineRule="auto" w:before="0"/>
        <w:rPr>
          <w:rFonts w:ascii="宋体" w:hAnsi="宋体" w:cs="宋体" w:eastAsia="宋体" w:hint="default"/>
          <w:sz w:val="29"/>
          <w:szCs w:val="29"/>
        </w:rPr>
      </w:pPr>
    </w:p>
    <w:p>
      <w:pPr>
        <w:pStyle w:val="Heading2"/>
        <w:spacing w:line="240" w:lineRule="auto" w:before="0"/>
        <w:ind w:left="237" w:right="93"/>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spacing w:line="240" w:lineRule="auto" w:before="75"/>
        <w:ind w:left="237" w:right="93"/>
        <w:jc w:val="left"/>
      </w:pPr>
      <w:r>
        <w:rPr/>
        <w:t>√适用 □不适用</w:t>
      </w:r>
    </w:p>
    <w:p>
      <w:pPr>
        <w:spacing w:line="240" w:lineRule="auto" w:before="3"/>
        <w:rPr>
          <w:rFonts w:ascii="宋体" w:hAnsi="宋体" w:cs="宋体" w:eastAsia="宋体" w:hint="default"/>
          <w:sz w:val="23"/>
          <w:szCs w:val="23"/>
        </w:rPr>
      </w:pPr>
    </w:p>
    <w:p>
      <w:pPr>
        <w:spacing w:line="2090" w:lineRule="exact"/>
        <w:ind w:left="208"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44.1pt;height:104.55pt;mso-position-horizontal-relative:char;mso-position-vertical-relative:line" coordorigin="0,0" coordsize="8882,2091">
            <v:group style="position:absolute;left:29;top:14;width:4321;height:2" coordorigin="29,14" coordsize="4321,2">
              <v:shape style="position:absolute;left:29;top:14;width:4321;height:2" coordorigin="29,14" coordsize="4321,0" path="m29,14l4350,14e" filled="false" stroked="true" strokeweight="1.44pt" strokecolor="#000000">
                <v:path arrowok="t"/>
              </v:shape>
              <v:shape style="position:absolute;left:4350;top:29;width:10;height:2" type="#_x0000_t75" stroked="false">
                <v:imagedata r:id="rId80" o:title=""/>
              </v:shape>
            </v:group>
            <v:group style="position:absolute;left:4350;top:14;width:29;height:2" coordorigin="4350,14" coordsize="29,2">
              <v:shape style="position:absolute;left:4350;top:14;width:29;height:2" coordorigin="4350,14" coordsize="29,0" path="m4350,14l4379,14e" filled="false" stroked="true" strokeweight="1.44pt" strokecolor="#000000">
                <v:path arrowok="t"/>
              </v:shape>
            </v:group>
            <v:group style="position:absolute;left:4379;top:14;width:2228;height:2" coordorigin="4379,14" coordsize="2228,2">
              <v:shape style="position:absolute;left:4379;top:14;width:2228;height:2" coordorigin="4379,14" coordsize="2228,0" path="m4379,14l6606,14e" filled="false" stroked="true" strokeweight="1.44pt" strokecolor="#000000">
                <v:path arrowok="t"/>
              </v:shape>
              <v:shape style="position:absolute;left:6606;top:29;width:10;height:2" type="#_x0000_t75" stroked="false">
                <v:imagedata r:id="rId80" o:title=""/>
              </v:shape>
            </v:group>
            <v:group style="position:absolute;left:6606;top:14;width:29;height:2" coordorigin="6606,14" coordsize="29,2">
              <v:shape style="position:absolute;left:6606;top:14;width:29;height:2" coordorigin="6606,14" coordsize="29,0" path="m6606,14l6635,14e" filled="false" stroked="true" strokeweight="1.44pt" strokecolor="#000000">
                <v:path arrowok="t"/>
              </v:shape>
            </v:group>
            <v:group style="position:absolute;left:6635;top:14;width:2233;height:2" coordorigin="6635,14" coordsize="2233,2">
              <v:shape style="position:absolute;left:6635;top:14;width:2233;height:2" coordorigin="6635,14" coordsize="2233,0" path="m6635,14l8867,14e" filled="false" stroked="true" strokeweight="1.44pt" strokecolor="#000000">
                <v:path arrowok="t"/>
              </v:shape>
            </v:group>
            <v:group style="position:absolute;left:4350;top:31;width:10;height:20" coordorigin="4350,31" coordsize="10,20">
              <v:shape style="position:absolute;left:4350;top:31;width:10;height:20" coordorigin="4350,31" coordsize="10,20" path="m4350,50l4359,50,4359,31,4350,31,4350,50xe" filled="true" fillcolor="#000000" stroked="false">
                <v:path arrowok="t"/>
                <v:fill type="solid"/>
              </v:shape>
            </v:group>
            <v:group style="position:absolute;left:4350;top:50;width:10;height:20" coordorigin="4350,50" coordsize="10,20">
              <v:shape style="position:absolute;left:4350;top:50;width:10;height:20" coordorigin="4350,50" coordsize="10,20" path="m4350,70l4359,70,4359,50,4350,50,4350,70xe" filled="true" fillcolor="#000000" stroked="false">
                <v:path arrowok="t"/>
                <v:fill type="solid"/>
              </v:shape>
            </v:group>
            <v:group style="position:absolute;left:4350;top:70;width:10;height:20" coordorigin="4350,70" coordsize="10,20">
              <v:shape style="position:absolute;left:4350;top:70;width:10;height:20" coordorigin="4350,70" coordsize="10,20" path="m4350,89l4359,89,4359,70,4350,70,4350,89xe" filled="true" fillcolor="#000000" stroked="false">
                <v:path arrowok="t"/>
                <v:fill type="solid"/>
              </v:shape>
            </v:group>
            <v:group style="position:absolute;left:4350;top:89;width:10;height:20" coordorigin="4350,89" coordsize="10,20">
              <v:shape style="position:absolute;left:4350;top:89;width:10;height:20" coordorigin="4350,89" coordsize="10,20" path="m4350,108l4359,108,4359,89,4350,89,4350,108xe" filled="true" fillcolor="#000000" stroked="false">
                <v:path arrowok="t"/>
                <v:fill type="solid"/>
              </v:shape>
            </v:group>
            <v:group style="position:absolute;left:4350;top:108;width:10;height:20" coordorigin="4350,108" coordsize="10,20">
              <v:shape style="position:absolute;left:4350;top:108;width:10;height:20" coordorigin="4350,108" coordsize="10,20" path="m4350,127l4359,127,4359,108,4350,108,4350,127xe" filled="true" fillcolor="#000000" stroked="false">
                <v:path arrowok="t"/>
                <v:fill type="solid"/>
              </v:shape>
            </v:group>
            <v:group style="position:absolute;left:4350;top:127;width:10;height:20" coordorigin="4350,127" coordsize="10,20">
              <v:shape style="position:absolute;left:4350;top:127;width:10;height:20" coordorigin="4350,127" coordsize="10,20" path="m4350,146l4359,146,4359,127,4350,127,4350,146xe" filled="true" fillcolor="#000000" stroked="false">
                <v:path arrowok="t"/>
                <v:fill type="solid"/>
              </v:shape>
            </v:group>
            <v:group style="position:absolute;left:4350;top:146;width:10;height:20" coordorigin="4350,146" coordsize="10,20">
              <v:shape style="position:absolute;left:4350;top:146;width:10;height:20" coordorigin="4350,146" coordsize="10,20" path="m4350,166l4359,166,4359,146,4350,146,4350,166xe" filled="true" fillcolor="#000000" stroked="false">
                <v:path arrowok="t"/>
                <v:fill type="solid"/>
              </v:shape>
            </v:group>
            <v:group style="position:absolute;left:4350;top:166;width:10;height:20" coordorigin="4350,166" coordsize="10,20">
              <v:shape style="position:absolute;left:4350;top:166;width:10;height:20" coordorigin="4350,166" coordsize="10,20" path="m4350,185l4359,185,4359,166,4350,166,4350,185xe" filled="true" fillcolor="#000000" stroked="false">
                <v:path arrowok="t"/>
                <v:fill type="solid"/>
              </v:shape>
            </v:group>
            <v:group style="position:absolute;left:4350;top:185;width:10;height:20" coordorigin="4350,185" coordsize="10,20">
              <v:shape style="position:absolute;left:4350;top:185;width:10;height:20" coordorigin="4350,185" coordsize="10,20" path="m4350,204l4359,204,4359,185,4350,185,4350,204xe" filled="true" fillcolor="#000000" stroked="false">
                <v:path arrowok="t"/>
                <v:fill type="solid"/>
              </v:shape>
            </v:group>
            <v:group style="position:absolute;left:4350;top:204;width:10;height:20" coordorigin="4350,204" coordsize="10,20">
              <v:shape style="position:absolute;left:4350;top:204;width:10;height:20" coordorigin="4350,204" coordsize="10,20" path="m4350,223l4359,223,4359,204,4350,204,4350,223xe" filled="true" fillcolor="#000000" stroked="false">
                <v:path arrowok="t"/>
                <v:fill type="solid"/>
              </v:shape>
            </v:group>
            <v:group style="position:absolute;left:4350;top:223;width:10;height:20" coordorigin="4350,223" coordsize="10,20">
              <v:shape style="position:absolute;left:4350;top:223;width:10;height:20" coordorigin="4350,223" coordsize="10,20" path="m4350,242l4359,242,4359,223,4350,223,4350,242xe" filled="true" fillcolor="#000000" stroked="false">
                <v:path arrowok="t"/>
                <v:fill type="solid"/>
              </v:shape>
            </v:group>
            <v:group style="position:absolute;left:4350;top:242;width:10;height:20" coordorigin="4350,242" coordsize="10,20">
              <v:shape style="position:absolute;left:4350;top:242;width:10;height:20" coordorigin="4350,242" coordsize="10,20" path="m4350,262l4359,262,4359,242,4350,242,4350,262xe" filled="true" fillcolor="#000000" stroked="false">
                <v:path arrowok="t"/>
                <v:fill type="solid"/>
              </v:shape>
            </v:group>
            <v:group style="position:absolute;left:4350;top:262;width:10;height:20" coordorigin="4350,262" coordsize="10,20">
              <v:shape style="position:absolute;left:4350;top:262;width:10;height:20" coordorigin="4350,262" coordsize="10,20" path="m4350,281l4359,281,4359,262,4350,262,4350,281xe" filled="true" fillcolor="#000000" stroked="false">
                <v:path arrowok="t"/>
                <v:fill type="solid"/>
              </v:shape>
            </v:group>
            <v:group style="position:absolute;left:4350;top:281;width:10;height:20" coordorigin="4350,281" coordsize="10,20">
              <v:shape style="position:absolute;left:4350;top:281;width:10;height:20" coordorigin="4350,281" coordsize="10,20" path="m4350,300l4359,300,4359,281,4350,281,4350,300xe" filled="true" fillcolor="#000000" stroked="false">
                <v:path arrowok="t"/>
                <v:fill type="solid"/>
              </v:shape>
            </v:group>
            <v:group style="position:absolute;left:4350;top:300;width:10;height:20" coordorigin="4350,300" coordsize="10,20">
              <v:shape style="position:absolute;left:4350;top:300;width:10;height:20" coordorigin="4350,300" coordsize="10,20" path="m4350,319l4359,319,4359,300,4350,300,4350,319xe" filled="true" fillcolor="#000000" stroked="false">
                <v:path arrowok="t"/>
                <v:fill type="solid"/>
              </v:shape>
            </v:group>
            <v:group style="position:absolute;left:4350;top:319;width:10;height:20" coordorigin="4350,319" coordsize="10,20">
              <v:shape style="position:absolute;left:4350;top:319;width:10;height:20" coordorigin="4350,319" coordsize="10,20" path="m4350,338l4359,338,4359,319,4350,319,4350,338xe" filled="true" fillcolor="#000000" stroked="false">
                <v:path arrowok="t"/>
                <v:fill type="solid"/>
              </v:shape>
            </v:group>
            <v:group style="position:absolute;left:4350;top:338;width:10;height:20" coordorigin="4350,338" coordsize="10,20">
              <v:shape style="position:absolute;left:4350;top:338;width:10;height:20" coordorigin="4350,338" coordsize="10,20" path="m4350,358l4359,358,4359,338,4350,338,4350,358xe" filled="true" fillcolor="#000000" stroked="false">
                <v:path arrowok="t"/>
                <v:fill type="solid"/>
              </v:shape>
            </v:group>
            <v:group style="position:absolute;left:4350;top:358;width:10;height:20" coordorigin="4350,358" coordsize="10,20">
              <v:shape style="position:absolute;left:4350;top:358;width:10;height:20" coordorigin="4350,358" coordsize="10,20" path="m4350,377l4359,377,4359,358,4350,358,4350,377xe" filled="true" fillcolor="#000000" stroked="false">
                <v:path arrowok="t"/>
                <v:fill type="solid"/>
              </v:shape>
            </v:group>
            <v:group style="position:absolute;left:4350;top:377;width:10;height:20" coordorigin="4350,377" coordsize="10,20">
              <v:shape style="position:absolute;left:4350;top:377;width:10;height:20" coordorigin="4350,377" coordsize="10,20" path="m4350,396l4359,396,4359,377,4350,377,4350,396xe" filled="true" fillcolor="#000000" stroked="false">
                <v:path arrowok="t"/>
                <v:fill type="solid"/>
              </v:shape>
            </v:group>
            <v:group style="position:absolute;left:4350;top:396;width:10;height:20" coordorigin="4350,396" coordsize="10,20">
              <v:shape style="position:absolute;left:4350;top:396;width:10;height:20" coordorigin="4350,396" coordsize="10,20" path="m4350,415l4359,415,4359,396,4350,396,4350,415xe" filled="true" fillcolor="#000000" stroked="false">
                <v:path arrowok="t"/>
                <v:fill type="solid"/>
              </v:shape>
            </v:group>
            <v:group style="position:absolute;left:4350;top:415;width:10;height:20" coordorigin="4350,415" coordsize="10,20">
              <v:shape style="position:absolute;left:4350;top:415;width:10;height:20" coordorigin="4350,415" coordsize="10,20" path="m4350,434l4359,434,4359,415,4350,415,4350,434xe" filled="true" fillcolor="#000000" stroked="false">
                <v:path arrowok="t"/>
                <v:fill type="solid"/>
              </v:shape>
            </v:group>
            <v:group style="position:absolute;left:4350;top:434;width:10;height:20" coordorigin="4350,434" coordsize="10,20">
              <v:shape style="position:absolute;left:4350;top:434;width:10;height:20" coordorigin="4350,434" coordsize="10,20" path="m4350,454l4359,454,4359,434,4350,434,4350,454xe" filled="true" fillcolor="#000000" stroked="false">
                <v:path arrowok="t"/>
                <v:fill type="solid"/>
              </v:shape>
            </v:group>
            <v:group style="position:absolute;left:4350;top:454;width:10;height:20" coordorigin="4350,454" coordsize="10,20">
              <v:shape style="position:absolute;left:4350;top:454;width:10;height:20" coordorigin="4350,454" coordsize="10,20" path="m4350,473l4359,473,4359,454,4350,454,4350,473xe" filled="true" fillcolor="#000000" stroked="false">
                <v:path arrowok="t"/>
                <v:fill type="solid"/>
              </v:shape>
            </v:group>
            <v:group style="position:absolute;left:4350;top:473;width:10;height:20" coordorigin="4350,473" coordsize="10,20">
              <v:shape style="position:absolute;left:4350;top:473;width:10;height:20" coordorigin="4350,473" coordsize="10,20" path="m4350,492l4359,492,4359,473,4350,473,4350,492xe" filled="true" fillcolor="#000000" stroked="false">
                <v:path arrowok="t"/>
                <v:fill type="solid"/>
              </v:shape>
            </v:group>
            <v:group style="position:absolute;left:4350;top:492;width:10;height:20" coordorigin="4350,492" coordsize="10,20">
              <v:shape style="position:absolute;left:4350;top:492;width:10;height:20" coordorigin="4350,492" coordsize="10,20" path="m4350,511l4359,511,4359,492,4350,492,4350,511xe" filled="true" fillcolor="#000000" stroked="false">
                <v:path arrowok="t"/>
                <v:fill type="solid"/>
              </v:shape>
            </v:group>
            <v:group style="position:absolute;left:4350;top:511;width:10;height:20" coordorigin="4350,511" coordsize="10,20">
              <v:shape style="position:absolute;left:4350;top:511;width:10;height:20" coordorigin="4350,511" coordsize="10,20" path="m4350,530l4359,530,4359,511,4350,511,4350,530xe" filled="true" fillcolor="#000000" stroked="false">
                <v:path arrowok="t"/>
                <v:fill type="solid"/>
              </v:shape>
            </v:group>
            <v:group style="position:absolute;left:4350;top:530;width:10;height:20" coordorigin="4350,530" coordsize="10,20">
              <v:shape style="position:absolute;left:4350;top:530;width:10;height:20" coordorigin="4350,530" coordsize="10,20" path="m4350,550l4359,550,4359,530,4350,530,4350,550xe" filled="true" fillcolor="#000000" stroked="false">
                <v:path arrowok="t"/>
                <v:fill type="solid"/>
              </v:shape>
            </v:group>
            <v:group style="position:absolute;left:4350;top:550;width:10;height:20" coordorigin="4350,550" coordsize="10,20">
              <v:shape style="position:absolute;left:4350;top:550;width:10;height:20" coordorigin="4350,550" coordsize="10,20" path="m4350,569l4359,569,4359,550,4350,550,4350,569xe" filled="true" fillcolor="#000000" stroked="false">
                <v:path arrowok="t"/>
                <v:fill type="solid"/>
              </v:shape>
            </v:group>
            <v:group style="position:absolute;left:4350;top:569;width:10;height:20" coordorigin="4350,569" coordsize="10,20">
              <v:shape style="position:absolute;left:4350;top:569;width:10;height:20" coordorigin="4350,569" coordsize="10,20" path="m4350,588l4359,588,4359,569,4350,569,4350,588xe" filled="true" fillcolor="#000000" stroked="false">
                <v:path arrowok="t"/>
                <v:fill type="solid"/>
              </v:shape>
            </v:group>
            <v:group style="position:absolute;left:4350;top:588;width:10;height:20" coordorigin="4350,588" coordsize="10,20">
              <v:shape style="position:absolute;left:4350;top:588;width:10;height:20" coordorigin="4350,588" coordsize="10,20" path="m4350,607l4359,607,4359,588,4350,588,4350,607xe" filled="true" fillcolor="#000000" stroked="false">
                <v:path arrowok="t"/>
                <v:fill type="solid"/>
              </v:shape>
            </v:group>
            <v:group style="position:absolute;left:4350;top:607;width:10;height:20" coordorigin="4350,607" coordsize="10,20">
              <v:shape style="position:absolute;left:4350;top:607;width:10;height:20" coordorigin="4350,607" coordsize="10,20" path="m4350,626l4359,626,4359,607,4350,607,4350,626xe" filled="true" fillcolor="#000000" stroked="false">
                <v:path arrowok="t"/>
                <v:fill type="solid"/>
              </v:shape>
            </v:group>
            <v:group style="position:absolute;left:4350;top:626;width:10;height:20" coordorigin="4350,626" coordsize="10,20">
              <v:shape style="position:absolute;left:4350;top:626;width:10;height:20" coordorigin="4350,626" coordsize="10,20" path="m4350,646l4359,646,4359,626,4350,626,4350,646xe" filled="true" fillcolor="#000000" stroked="false">
                <v:path arrowok="t"/>
                <v:fill type="solid"/>
              </v:shape>
            </v:group>
            <v:group style="position:absolute;left:4350;top:646;width:10;height:20" coordorigin="4350,646" coordsize="10,20">
              <v:shape style="position:absolute;left:4350;top:646;width:10;height:20" coordorigin="4350,646" coordsize="10,20" path="m4350,665l4359,665,4359,646,4350,646,4350,665xe" filled="true" fillcolor="#000000" stroked="false">
                <v:path arrowok="t"/>
                <v:fill type="solid"/>
              </v:shape>
            </v:group>
            <v:group style="position:absolute;left:4350;top:665;width:10;height:20" coordorigin="4350,665" coordsize="10,20">
              <v:shape style="position:absolute;left:4350;top:665;width:10;height:20" coordorigin="4350,665" coordsize="10,20" path="m4350,684l4359,684,4359,665,4350,665,4350,684xe" filled="true" fillcolor="#000000" stroked="false">
                <v:path arrowok="t"/>
                <v:fill type="solid"/>
              </v:shape>
            </v:group>
            <v:group style="position:absolute;left:4350;top:684;width:10;height:20" coordorigin="4350,684" coordsize="10,20">
              <v:shape style="position:absolute;left:4350;top:684;width:10;height:20" coordorigin="4350,684" coordsize="10,20" path="m4350,703l4359,703,4359,684,4350,684,4350,703xe" filled="true" fillcolor="#000000" stroked="false">
                <v:path arrowok="t"/>
                <v:fill type="solid"/>
              </v:shape>
            </v:group>
            <v:group style="position:absolute;left:4350;top:703;width:10;height:20" coordorigin="4350,703" coordsize="10,20">
              <v:shape style="position:absolute;left:4350;top:703;width:10;height:20" coordorigin="4350,703" coordsize="10,20" path="m4350,722l4359,722,4359,703,4350,703,4350,722xe" filled="true" fillcolor="#000000" stroked="false">
                <v:path arrowok="t"/>
                <v:fill type="solid"/>
              </v:shape>
            </v:group>
            <v:group style="position:absolute;left:4350;top:722;width:10;height:20" coordorigin="4350,722" coordsize="10,20">
              <v:shape style="position:absolute;left:4350;top:722;width:10;height:20" coordorigin="4350,722" coordsize="10,20" path="m4350,742l4359,742,4359,722,4350,722,4350,742xe" filled="true" fillcolor="#000000" stroked="false">
                <v:path arrowok="t"/>
                <v:fill type="solid"/>
              </v:shape>
            </v:group>
            <v:group style="position:absolute;left:4350;top:742;width:10;height:20" coordorigin="4350,742" coordsize="10,20">
              <v:shape style="position:absolute;left:4350;top:742;width:10;height:20" coordorigin="4350,742" coordsize="10,20" path="m4350,761l4359,761,4359,742,4350,742,4350,761xe" filled="true" fillcolor="#000000" stroked="false">
                <v:path arrowok="t"/>
                <v:fill type="solid"/>
              </v:shape>
            </v:group>
            <v:group style="position:absolute;left:4350;top:761;width:10;height:20" coordorigin="4350,761" coordsize="10,20">
              <v:shape style="position:absolute;left:4350;top:761;width:10;height:20" coordorigin="4350,761" coordsize="10,20" path="m4350,780l4359,780,4359,761,4350,761,4350,780xe" filled="true" fillcolor="#000000" stroked="false">
                <v:path arrowok="t"/>
                <v:fill type="solid"/>
              </v:shape>
            </v:group>
            <v:group style="position:absolute;left:4350;top:780;width:10;height:20" coordorigin="4350,780" coordsize="10,20">
              <v:shape style="position:absolute;left:4350;top:780;width:10;height:20" coordorigin="4350,780" coordsize="10,20" path="m4350,799l4359,799,4359,780,4350,780,4350,799xe" filled="true" fillcolor="#000000" stroked="false">
                <v:path arrowok="t"/>
                <v:fill type="solid"/>
              </v:shape>
            </v:group>
            <v:group style="position:absolute;left:4350;top:799;width:10;height:20" coordorigin="4350,799" coordsize="10,20">
              <v:shape style="position:absolute;left:4350;top:799;width:10;height:20" coordorigin="4350,799" coordsize="10,20" path="m4350,818l4359,818,4359,799,4350,799,4350,818xe" filled="true" fillcolor="#000000" stroked="false">
                <v:path arrowok="t"/>
                <v:fill type="solid"/>
              </v:shape>
            </v:group>
            <v:group style="position:absolute;left:4350;top:824;width:10;height:2" coordorigin="4350,824" coordsize="10,2">
              <v:shape style="position:absolute;left:4350;top:824;width:10;height:2" coordorigin="4350,824" coordsize="10,0" path="m4350,824l4359,824e" filled="false" stroked="true" strokeweight=".60004pt" strokecolor="#000000">
                <v:path arrowok="t"/>
              </v:shape>
            </v:group>
            <v:group style="position:absolute;left:6606;top:31;width:10;height:20" coordorigin="6606,31" coordsize="10,20">
              <v:shape style="position:absolute;left:6606;top:31;width:10;height:20" coordorigin="6606,31" coordsize="10,20" path="m6606,50l6616,50,6616,31,6606,31,6606,50xe" filled="true" fillcolor="#000000" stroked="false">
                <v:path arrowok="t"/>
                <v:fill type="solid"/>
              </v:shape>
            </v:group>
            <v:group style="position:absolute;left:6606;top:50;width:10;height:20" coordorigin="6606,50" coordsize="10,20">
              <v:shape style="position:absolute;left:6606;top:50;width:10;height:20" coordorigin="6606,50" coordsize="10,20" path="m6606,70l6616,70,6616,50,6606,50,6606,70xe" filled="true" fillcolor="#000000" stroked="false">
                <v:path arrowok="t"/>
                <v:fill type="solid"/>
              </v:shape>
            </v:group>
            <v:group style="position:absolute;left:6606;top:70;width:10;height:20" coordorigin="6606,70" coordsize="10,20">
              <v:shape style="position:absolute;left:6606;top:70;width:10;height:20" coordorigin="6606,70" coordsize="10,20" path="m6606,89l6616,89,6616,70,6606,70,6606,89xe" filled="true" fillcolor="#000000" stroked="false">
                <v:path arrowok="t"/>
                <v:fill type="solid"/>
              </v:shape>
            </v:group>
            <v:group style="position:absolute;left:6606;top:89;width:10;height:20" coordorigin="6606,89" coordsize="10,20">
              <v:shape style="position:absolute;left:6606;top:89;width:10;height:20" coordorigin="6606,89" coordsize="10,20" path="m6606,108l6616,108,6616,89,6606,89,6606,108xe" filled="true" fillcolor="#000000" stroked="false">
                <v:path arrowok="t"/>
                <v:fill type="solid"/>
              </v:shape>
            </v:group>
            <v:group style="position:absolute;left:6606;top:108;width:10;height:20" coordorigin="6606,108" coordsize="10,20">
              <v:shape style="position:absolute;left:6606;top:108;width:10;height:20" coordorigin="6606,108" coordsize="10,20" path="m6606,127l6616,127,6616,108,6606,108,6606,127xe" filled="true" fillcolor="#000000" stroked="false">
                <v:path arrowok="t"/>
                <v:fill type="solid"/>
              </v:shape>
            </v:group>
            <v:group style="position:absolute;left:6606;top:127;width:10;height:20" coordorigin="6606,127" coordsize="10,20">
              <v:shape style="position:absolute;left:6606;top:127;width:10;height:20" coordorigin="6606,127" coordsize="10,20" path="m6606,146l6616,146,6616,127,6606,127,6606,146xe" filled="true" fillcolor="#000000" stroked="false">
                <v:path arrowok="t"/>
                <v:fill type="solid"/>
              </v:shape>
            </v:group>
            <v:group style="position:absolute;left:6606;top:146;width:10;height:20" coordorigin="6606,146" coordsize="10,20">
              <v:shape style="position:absolute;left:6606;top:146;width:10;height:20" coordorigin="6606,146" coordsize="10,20" path="m6606,166l6616,166,6616,146,6606,146,6606,166xe" filled="true" fillcolor="#000000" stroked="false">
                <v:path arrowok="t"/>
                <v:fill type="solid"/>
              </v:shape>
            </v:group>
            <v:group style="position:absolute;left:6606;top:166;width:10;height:20" coordorigin="6606,166" coordsize="10,20">
              <v:shape style="position:absolute;left:6606;top:166;width:10;height:20" coordorigin="6606,166" coordsize="10,20" path="m6606,185l6616,185,6616,166,6606,166,6606,185xe" filled="true" fillcolor="#000000" stroked="false">
                <v:path arrowok="t"/>
                <v:fill type="solid"/>
              </v:shape>
            </v:group>
            <v:group style="position:absolute;left:6606;top:185;width:10;height:20" coordorigin="6606,185" coordsize="10,20">
              <v:shape style="position:absolute;left:6606;top:185;width:10;height:20" coordorigin="6606,185" coordsize="10,20" path="m6606,204l6616,204,6616,185,6606,185,6606,204xe" filled="true" fillcolor="#000000" stroked="false">
                <v:path arrowok="t"/>
                <v:fill type="solid"/>
              </v:shape>
            </v:group>
            <v:group style="position:absolute;left:6606;top:204;width:10;height:20" coordorigin="6606,204" coordsize="10,20">
              <v:shape style="position:absolute;left:6606;top:204;width:10;height:20" coordorigin="6606,204" coordsize="10,20" path="m6606,223l6616,223,6616,204,6606,204,6606,223xe" filled="true" fillcolor="#000000" stroked="false">
                <v:path arrowok="t"/>
                <v:fill type="solid"/>
              </v:shape>
            </v:group>
            <v:group style="position:absolute;left:6606;top:223;width:10;height:20" coordorigin="6606,223" coordsize="10,20">
              <v:shape style="position:absolute;left:6606;top:223;width:10;height:20" coordorigin="6606,223" coordsize="10,20" path="m6606,242l6616,242,6616,223,6606,223,6606,242xe" filled="true" fillcolor="#000000" stroked="false">
                <v:path arrowok="t"/>
                <v:fill type="solid"/>
              </v:shape>
            </v:group>
            <v:group style="position:absolute;left:6606;top:242;width:10;height:20" coordorigin="6606,242" coordsize="10,20">
              <v:shape style="position:absolute;left:6606;top:242;width:10;height:20" coordorigin="6606,242" coordsize="10,20" path="m6606,262l6616,262,6616,242,6606,242,6606,262xe" filled="true" fillcolor="#000000" stroked="false">
                <v:path arrowok="t"/>
                <v:fill type="solid"/>
              </v:shape>
            </v:group>
            <v:group style="position:absolute;left:6606;top:262;width:10;height:20" coordorigin="6606,262" coordsize="10,20">
              <v:shape style="position:absolute;left:6606;top:262;width:10;height:20" coordorigin="6606,262" coordsize="10,20" path="m6606,281l6616,281,6616,262,6606,262,6606,281xe" filled="true" fillcolor="#000000" stroked="false">
                <v:path arrowok="t"/>
                <v:fill type="solid"/>
              </v:shape>
            </v:group>
            <v:group style="position:absolute;left:6606;top:281;width:10;height:20" coordorigin="6606,281" coordsize="10,20">
              <v:shape style="position:absolute;left:6606;top:281;width:10;height:20" coordorigin="6606,281" coordsize="10,20" path="m6606,300l6616,300,6616,281,6606,281,6606,300xe" filled="true" fillcolor="#000000" stroked="false">
                <v:path arrowok="t"/>
                <v:fill type="solid"/>
              </v:shape>
            </v:group>
            <v:group style="position:absolute;left:6606;top:300;width:10;height:20" coordorigin="6606,300" coordsize="10,20">
              <v:shape style="position:absolute;left:6606;top:300;width:10;height:20" coordorigin="6606,300" coordsize="10,20" path="m6606,319l6616,319,6616,300,6606,300,6606,319xe" filled="true" fillcolor="#000000" stroked="false">
                <v:path arrowok="t"/>
                <v:fill type="solid"/>
              </v:shape>
            </v:group>
            <v:group style="position:absolute;left:6606;top:319;width:10;height:20" coordorigin="6606,319" coordsize="10,20">
              <v:shape style="position:absolute;left:6606;top:319;width:10;height:20" coordorigin="6606,319" coordsize="10,20" path="m6606,338l6616,338,6616,319,6606,319,6606,338xe" filled="true" fillcolor="#000000" stroked="false">
                <v:path arrowok="t"/>
                <v:fill type="solid"/>
              </v:shape>
            </v:group>
            <v:group style="position:absolute;left:6606;top:338;width:10;height:20" coordorigin="6606,338" coordsize="10,20">
              <v:shape style="position:absolute;left:6606;top:338;width:10;height:20" coordorigin="6606,338" coordsize="10,20" path="m6606,358l6616,358,6616,338,6606,338,6606,358xe" filled="true" fillcolor="#000000" stroked="false">
                <v:path arrowok="t"/>
                <v:fill type="solid"/>
              </v:shape>
            </v:group>
            <v:group style="position:absolute;left:6606;top:358;width:10;height:20" coordorigin="6606,358" coordsize="10,20">
              <v:shape style="position:absolute;left:6606;top:358;width:10;height:20" coordorigin="6606,358" coordsize="10,20" path="m6606,377l6616,377,6616,358,6606,358,6606,377xe" filled="true" fillcolor="#000000" stroked="false">
                <v:path arrowok="t"/>
                <v:fill type="solid"/>
              </v:shape>
            </v:group>
            <v:group style="position:absolute;left:6606;top:377;width:10;height:20" coordorigin="6606,377" coordsize="10,20">
              <v:shape style="position:absolute;left:6606;top:377;width:10;height:20" coordorigin="6606,377" coordsize="10,20" path="m6606,396l6616,396,6616,377,6606,377,6606,396xe" filled="true" fillcolor="#000000" stroked="false">
                <v:path arrowok="t"/>
                <v:fill type="solid"/>
              </v:shape>
            </v:group>
            <v:group style="position:absolute;left:6606;top:396;width:10;height:20" coordorigin="6606,396" coordsize="10,20">
              <v:shape style="position:absolute;left:6606;top:396;width:10;height:20" coordorigin="6606,396" coordsize="10,20" path="m6606,415l6616,415,6616,396,6606,396,6606,415xe" filled="true" fillcolor="#000000" stroked="false">
                <v:path arrowok="t"/>
                <v:fill type="solid"/>
              </v:shape>
            </v:group>
            <v:group style="position:absolute;left:6606;top:415;width:10;height:20" coordorigin="6606,415" coordsize="10,20">
              <v:shape style="position:absolute;left:6606;top:415;width:10;height:20" coordorigin="6606,415" coordsize="10,20" path="m6606,434l6616,434,6616,415,6606,415,6606,434xe" filled="true" fillcolor="#000000" stroked="false">
                <v:path arrowok="t"/>
                <v:fill type="solid"/>
              </v:shape>
            </v:group>
            <v:group style="position:absolute;left:6606;top:434;width:10;height:20" coordorigin="6606,434" coordsize="10,20">
              <v:shape style="position:absolute;left:6606;top:434;width:10;height:20" coordorigin="6606,434" coordsize="10,20" path="m6606,454l6616,454,6616,434,6606,434,6606,454xe" filled="true" fillcolor="#000000" stroked="false">
                <v:path arrowok="t"/>
                <v:fill type="solid"/>
              </v:shape>
            </v:group>
            <v:group style="position:absolute;left:6606;top:454;width:10;height:20" coordorigin="6606,454" coordsize="10,20">
              <v:shape style="position:absolute;left:6606;top:454;width:10;height:20" coordorigin="6606,454" coordsize="10,20" path="m6606,473l6616,473,6616,454,6606,454,6606,473xe" filled="true" fillcolor="#000000" stroked="false">
                <v:path arrowok="t"/>
                <v:fill type="solid"/>
              </v:shape>
            </v:group>
            <v:group style="position:absolute;left:6606;top:473;width:10;height:20" coordorigin="6606,473" coordsize="10,20">
              <v:shape style="position:absolute;left:6606;top:473;width:10;height:20" coordorigin="6606,473" coordsize="10,20" path="m6606,492l6616,492,6616,473,6606,473,6606,492xe" filled="true" fillcolor="#000000" stroked="false">
                <v:path arrowok="t"/>
                <v:fill type="solid"/>
              </v:shape>
            </v:group>
            <v:group style="position:absolute;left:6606;top:492;width:10;height:20" coordorigin="6606,492" coordsize="10,20">
              <v:shape style="position:absolute;left:6606;top:492;width:10;height:20" coordorigin="6606,492" coordsize="10,20" path="m6606,511l6616,511,6616,492,6606,492,6606,511xe" filled="true" fillcolor="#000000" stroked="false">
                <v:path arrowok="t"/>
                <v:fill type="solid"/>
              </v:shape>
            </v:group>
            <v:group style="position:absolute;left:6606;top:511;width:10;height:20" coordorigin="6606,511" coordsize="10,20">
              <v:shape style="position:absolute;left:6606;top:511;width:10;height:20" coordorigin="6606,511" coordsize="10,20" path="m6606,530l6616,530,6616,511,6606,511,6606,530xe" filled="true" fillcolor="#000000" stroked="false">
                <v:path arrowok="t"/>
                <v:fill type="solid"/>
              </v:shape>
            </v:group>
            <v:group style="position:absolute;left:6606;top:530;width:10;height:20" coordorigin="6606,530" coordsize="10,20">
              <v:shape style="position:absolute;left:6606;top:530;width:10;height:20" coordorigin="6606,530" coordsize="10,20" path="m6606,550l6616,550,6616,530,6606,530,6606,550xe" filled="true" fillcolor="#000000" stroked="false">
                <v:path arrowok="t"/>
                <v:fill type="solid"/>
              </v:shape>
            </v:group>
            <v:group style="position:absolute;left:6606;top:550;width:10;height:20" coordorigin="6606,550" coordsize="10,20">
              <v:shape style="position:absolute;left:6606;top:550;width:10;height:20" coordorigin="6606,550" coordsize="10,20" path="m6606,569l6616,569,6616,550,6606,550,6606,569xe" filled="true" fillcolor="#000000" stroked="false">
                <v:path arrowok="t"/>
                <v:fill type="solid"/>
              </v:shape>
            </v:group>
            <v:group style="position:absolute;left:6606;top:569;width:10;height:20" coordorigin="6606,569" coordsize="10,20">
              <v:shape style="position:absolute;left:6606;top:569;width:10;height:20" coordorigin="6606,569" coordsize="10,20" path="m6606,588l6616,588,6616,569,6606,569,6606,588xe" filled="true" fillcolor="#000000" stroked="false">
                <v:path arrowok="t"/>
                <v:fill type="solid"/>
              </v:shape>
            </v:group>
            <v:group style="position:absolute;left:6606;top:588;width:10;height:20" coordorigin="6606,588" coordsize="10,20">
              <v:shape style="position:absolute;left:6606;top:588;width:10;height:20" coordorigin="6606,588" coordsize="10,20" path="m6606,607l6616,607,6616,588,6606,588,6606,607xe" filled="true" fillcolor="#000000" stroked="false">
                <v:path arrowok="t"/>
                <v:fill type="solid"/>
              </v:shape>
            </v:group>
            <v:group style="position:absolute;left:6606;top:607;width:10;height:20" coordorigin="6606,607" coordsize="10,20">
              <v:shape style="position:absolute;left:6606;top:607;width:10;height:20" coordorigin="6606,607" coordsize="10,20" path="m6606,626l6616,626,6616,607,6606,607,6606,626xe" filled="true" fillcolor="#000000" stroked="false">
                <v:path arrowok="t"/>
                <v:fill type="solid"/>
              </v:shape>
            </v:group>
            <v:group style="position:absolute;left:6606;top:626;width:10;height:20" coordorigin="6606,626" coordsize="10,20">
              <v:shape style="position:absolute;left:6606;top:626;width:10;height:20" coordorigin="6606,626" coordsize="10,20" path="m6606,646l6616,646,6616,626,6606,626,6606,646xe" filled="true" fillcolor="#000000" stroked="false">
                <v:path arrowok="t"/>
                <v:fill type="solid"/>
              </v:shape>
            </v:group>
            <v:group style="position:absolute;left:6606;top:646;width:10;height:20" coordorigin="6606,646" coordsize="10,20">
              <v:shape style="position:absolute;left:6606;top:646;width:10;height:20" coordorigin="6606,646" coordsize="10,20" path="m6606,665l6616,665,6616,646,6606,646,6606,665xe" filled="true" fillcolor="#000000" stroked="false">
                <v:path arrowok="t"/>
                <v:fill type="solid"/>
              </v:shape>
            </v:group>
            <v:group style="position:absolute;left:6606;top:665;width:10;height:20" coordorigin="6606,665" coordsize="10,20">
              <v:shape style="position:absolute;left:6606;top:665;width:10;height:20" coordorigin="6606,665" coordsize="10,20" path="m6606,684l6616,684,6616,665,6606,665,6606,684xe" filled="true" fillcolor="#000000" stroked="false">
                <v:path arrowok="t"/>
                <v:fill type="solid"/>
              </v:shape>
            </v:group>
            <v:group style="position:absolute;left:6606;top:684;width:10;height:20" coordorigin="6606,684" coordsize="10,20">
              <v:shape style="position:absolute;left:6606;top:684;width:10;height:20" coordorigin="6606,684" coordsize="10,20" path="m6606,703l6616,703,6616,684,6606,684,6606,703xe" filled="true" fillcolor="#000000" stroked="false">
                <v:path arrowok="t"/>
                <v:fill type="solid"/>
              </v:shape>
            </v:group>
            <v:group style="position:absolute;left:6606;top:703;width:10;height:20" coordorigin="6606,703" coordsize="10,20">
              <v:shape style="position:absolute;left:6606;top:703;width:10;height:20" coordorigin="6606,703" coordsize="10,20" path="m6606,722l6616,722,6616,703,6606,703,6606,722xe" filled="true" fillcolor="#000000" stroked="false">
                <v:path arrowok="t"/>
                <v:fill type="solid"/>
              </v:shape>
            </v:group>
            <v:group style="position:absolute;left:6606;top:722;width:10;height:20" coordorigin="6606,722" coordsize="10,20">
              <v:shape style="position:absolute;left:6606;top:722;width:10;height:20" coordorigin="6606,722" coordsize="10,20" path="m6606,742l6616,742,6616,722,6606,722,6606,742xe" filled="true" fillcolor="#000000" stroked="false">
                <v:path arrowok="t"/>
                <v:fill type="solid"/>
              </v:shape>
            </v:group>
            <v:group style="position:absolute;left:6606;top:742;width:10;height:20" coordorigin="6606,742" coordsize="10,20">
              <v:shape style="position:absolute;left:6606;top:742;width:10;height:20" coordorigin="6606,742" coordsize="10,20" path="m6606,761l6616,761,6616,742,6606,742,6606,761xe" filled="true" fillcolor="#000000" stroked="false">
                <v:path arrowok="t"/>
                <v:fill type="solid"/>
              </v:shape>
            </v:group>
            <v:group style="position:absolute;left:6606;top:761;width:10;height:20" coordorigin="6606,761" coordsize="10,20">
              <v:shape style="position:absolute;left:6606;top:761;width:10;height:20" coordorigin="6606,761" coordsize="10,20" path="m6606,780l6616,780,6616,761,6606,761,6606,780xe" filled="true" fillcolor="#000000" stroked="false">
                <v:path arrowok="t"/>
                <v:fill type="solid"/>
              </v:shape>
            </v:group>
            <v:group style="position:absolute;left:6606;top:780;width:10;height:20" coordorigin="6606,780" coordsize="10,20">
              <v:shape style="position:absolute;left:6606;top:780;width:10;height:20" coordorigin="6606,780" coordsize="10,20" path="m6606,799l6616,799,6616,780,6606,780,6606,799xe" filled="true" fillcolor="#000000" stroked="false">
                <v:path arrowok="t"/>
                <v:fill type="solid"/>
              </v:shape>
            </v:group>
            <v:group style="position:absolute;left:6606;top:799;width:10;height:20" coordorigin="6606,799" coordsize="10,20">
              <v:shape style="position:absolute;left:6606;top:799;width:10;height:20" coordorigin="6606,799" coordsize="10,20" path="m6606,818l6616,818,6616,799,6606,799,6606,818xe" filled="true" fillcolor="#000000" stroked="false">
                <v:path arrowok="t"/>
                <v:fill type="solid"/>
              </v:shape>
            </v:group>
            <v:group style="position:absolute;left:6606;top:824;width:10;height:2" coordorigin="6606,824" coordsize="10,2">
              <v:shape style="position:absolute;left:6606;top:824;width:10;height:2" coordorigin="6606,824" coordsize="10,0" path="m6606,824l6616,824e" filled="false" stroked="true" strokeweight=".60004pt" strokecolor="#000000">
                <v:path arrowok="t"/>
              </v:shape>
            </v:group>
            <v:group style="position:absolute;left:4350;top:835;width:10;height:2" coordorigin="4350,835" coordsize="10,2">
              <v:shape style="position:absolute;left:4350;top:835;width:10;height:2" coordorigin="4350,835" coordsize="10,0" path="m4350,835l4359,835e" filled="false" stroked="true" strokeweight=".47998pt" strokecolor="#000000">
                <v:path arrowok="t"/>
              </v:shape>
            </v:group>
            <v:group style="position:absolute;left:6606;top:835;width:10;height:2" coordorigin="6606,835" coordsize="10,2">
              <v:shape style="position:absolute;left:6606;top:835;width:10;height:2" coordorigin="6606,835" coordsize="10,0" path="m6606,835l6616,835e" filled="false" stroked="true" strokeweight=".47998pt" strokecolor="#000000">
                <v:path arrowok="t"/>
              </v:shape>
              <v:shape style="position:absolute;left:29;top:830;width:8838;height:10" type="#_x0000_t75" stroked="false">
                <v:imagedata r:id="rId81" o:title=""/>
              </v:shape>
            </v:group>
            <v:group style="position:absolute;left:4350;top:840;width:10;height:20" coordorigin="4350,840" coordsize="10,20">
              <v:shape style="position:absolute;left:4350;top:840;width:10;height:20" coordorigin="4350,840" coordsize="10,20" path="m4350,859l4359,859,4359,840,4350,840,4350,859xe" filled="true" fillcolor="#000000" stroked="false">
                <v:path arrowok="t"/>
                <v:fill type="solid"/>
              </v:shape>
            </v:group>
            <v:group style="position:absolute;left:4350;top:859;width:10;height:20" coordorigin="4350,859" coordsize="10,20">
              <v:shape style="position:absolute;left:4350;top:859;width:10;height:20" coordorigin="4350,859" coordsize="10,20" path="m4350,878l4359,878,4359,859,4350,859,4350,878xe" filled="true" fillcolor="#000000" stroked="false">
                <v:path arrowok="t"/>
                <v:fill type="solid"/>
              </v:shape>
            </v:group>
            <v:group style="position:absolute;left:4350;top:878;width:10;height:20" coordorigin="4350,878" coordsize="10,20">
              <v:shape style="position:absolute;left:4350;top:878;width:10;height:20" coordorigin="4350,878" coordsize="10,20" path="m4350,898l4359,898,4359,878,4350,878,4350,898xe" filled="true" fillcolor="#000000" stroked="false">
                <v:path arrowok="t"/>
                <v:fill type="solid"/>
              </v:shape>
            </v:group>
            <v:group style="position:absolute;left:4350;top:898;width:10;height:20" coordorigin="4350,898" coordsize="10,20">
              <v:shape style="position:absolute;left:4350;top:898;width:10;height:20" coordorigin="4350,898" coordsize="10,20" path="m4350,917l4359,917,4359,898,4350,898,4350,917xe" filled="true" fillcolor="#000000" stroked="false">
                <v:path arrowok="t"/>
                <v:fill type="solid"/>
              </v:shape>
            </v:group>
            <v:group style="position:absolute;left:4350;top:917;width:10;height:20" coordorigin="4350,917" coordsize="10,20">
              <v:shape style="position:absolute;left:4350;top:917;width:10;height:20" coordorigin="4350,917" coordsize="10,20" path="m4350,936l4359,936,4359,917,4350,917,4350,936xe" filled="true" fillcolor="#000000" stroked="false">
                <v:path arrowok="t"/>
                <v:fill type="solid"/>
              </v:shape>
            </v:group>
            <v:group style="position:absolute;left:4350;top:936;width:10;height:20" coordorigin="4350,936" coordsize="10,20">
              <v:shape style="position:absolute;left:4350;top:936;width:10;height:20" coordorigin="4350,936" coordsize="10,20" path="m4350,955l4359,955,4359,936,4350,936,4350,955xe" filled="true" fillcolor="#000000" stroked="false">
                <v:path arrowok="t"/>
                <v:fill type="solid"/>
              </v:shape>
            </v:group>
            <v:group style="position:absolute;left:4350;top:955;width:10;height:20" coordorigin="4350,955" coordsize="10,20">
              <v:shape style="position:absolute;left:4350;top:955;width:10;height:20" coordorigin="4350,955" coordsize="10,20" path="m4350,974l4359,974,4359,955,4350,955,4350,974xe" filled="true" fillcolor="#000000" stroked="false">
                <v:path arrowok="t"/>
                <v:fill type="solid"/>
              </v:shape>
            </v:group>
            <v:group style="position:absolute;left:4350;top:974;width:10;height:20" coordorigin="4350,974" coordsize="10,20">
              <v:shape style="position:absolute;left:4350;top:974;width:10;height:20" coordorigin="4350,974" coordsize="10,20" path="m4350,994l4359,994,4359,974,4350,974,4350,994xe" filled="true" fillcolor="#000000" stroked="false">
                <v:path arrowok="t"/>
                <v:fill type="solid"/>
              </v:shape>
            </v:group>
            <v:group style="position:absolute;left:4350;top:994;width:10;height:20" coordorigin="4350,994" coordsize="10,20">
              <v:shape style="position:absolute;left:4350;top:994;width:10;height:20" coordorigin="4350,994" coordsize="10,20" path="m4350,1013l4359,1013,4359,994,4350,994,4350,1013xe" filled="true" fillcolor="#000000" stroked="false">
                <v:path arrowok="t"/>
                <v:fill type="solid"/>
              </v:shape>
            </v:group>
            <v:group style="position:absolute;left:4350;top:1013;width:10;height:20" coordorigin="4350,1013" coordsize="10,20">
              <v:shape style="position:absolute;left:4350;top:1013;width:10;height:20" coordorigin="4350,1013" coordsize="10,20" path="m4350,1032l4359,1032,4359,1013,4350,1013,4350,1032xe" filled="true" fillcolor="#000000" stroked="false">
                <v:path arrowok="t"/>
                <v:fill type="solid"/>
              </v:shape>
            </v:group>
            <v:group style="position:absolute;left:4350;top:1032;width:10;height:20" coordorigin="4350,1032" coordsize="10,20">
              <v:shape style="position:absolute;left:4350;top:1032;width:10;height:20" coordorigin="4350,1032" coordsize="10,20" path="m4350,1051l4359,1051,4359,1032,4350,1032,4350,1051xe" filled="true" fillcolor="#000000" stroked="false">
                <v:path arrowok="t"/>
                <v:fill type="solid"/>
              </v:shape>
            </v:group>
            <v:group style="position:absolute;left:4350;top:1051;width:10;height:20" coordorigin="4350,1051" coordsize="10,20">
              <v:shape style="position:absolute;left:4350;top:1051;width:10;height:20" coordorigin="4350,1051" coordsize="10,20" path="m4350,1070l4359,1070,4359,1051,4350,1051,4350,1070xe" filled="true" fillcolor="#000000" stroked="false">
                <v:path arrowok="t"/>
                <v:fill type="solid"/>
              </v:shape>
            </v:group>
            <v:group style="position:absolute;left:4350;top:1070;width:10;height:20" coordorigin="4350,1070" coordsize="10,20">
              <v:shape style="position:absolute;left:4350;top:1070;width:10;height:20" coordorigin="4350,1070" coordsize="10,20" path="m4350,1090l4359,1090,4359,1070,4350,1070,4350,1090xe" filled="true" fillcolor="#000000" stroked="false">
                <v:path arrowok="t"/>
                <v:fill type="solid"/>
              </v:shape>
            </v:group>
            <v:group style="position:absolute;left:4350;top:1090;width:10;height:20" coordorigin="4350,1090" coordsize="10,20">
              <v:shape style="position:absolute;left:4350;top:1090;width:10;height:20" coordorigin="4350,1090" coordsize="10,20" path="m4350,1109l4359,1109,4359,1090,4350,1090,4350,1109xe" filled="true" fillcolor="#000000" stroked="false">
                <v:path arrowok="t"/>
                <v:fill type="solid"/>
              </v:shape>
            </v:group>
            <v:group style="position:absolute;left:4350;top:1109;width:10;height:20" coordorigin="4350,1109" coordsize="10,20">
              <v:shape style="position:absolute;left:4350;top:1109;width:10;height:20" coordorigin="4350,1109" coordsize="10,20" path="m4350,1128l4359,1128,4359,1109,4350,1109,4350,1128xe" filled="true" fillcolor="#000000" stroked="false">
                <v:path arrowok="t"/>
                <v:fill type="solid"/>
              </v:shape>
            </v:group>
            <v:group style="position:absolute;left:4350;top:1128;width:10;height:20" coordorigin="4350,1128" coordsize="10,20">
              <v:shape style="position:absolute;left:4350;top:1128;width:10;height:20" coordorigin="4350,1128" coordsize="10,20" path="m4350,1147l4359,1147,4359,1128,4350,1128,4350,1147xe" filled="true" fillcolor="#000000" stroked="false">
                <v:path arrowok="t"/>
                <v:fill type="solid"/>
              </v:shape>
            </v:group>
            <v:group style="position:absolute;left:4350;top:1147;width:10;height:20" coordorigin="4350,1147" coordsize="10,20">
              <v:shape style="position:absolute;left:4350;top:1147;width:10;height:20" coordorigin="4350,1147" coordsize="10,20" path="m4350,1166l4359,1166,4359,1147,4350,1147,4350,1166xe" filled="true" fillcolor="#000000" stroked="false">
                <v:path arrowok="t"/>
                <v:fill type="solid"/>
              </v:shape>
            </v:group>
            <v:group style="position:absolute;left:4350;top:1166;width:10;height:20" coordorigin="4350,1166" coordsize="10,20">
              <v:shape style="position:absolute;left:4350;top:1166;width:10;height:20" coordorigin="4350,1166" coordsize="10,20" path="m4350,1186l4359,1186,4359,1166,4350,1166,4350,1186xe" filled="true" fillcolor="#000000" stroked="false">
                <v:path arrowok="t"/>
                <v:fill type="solid"/>
              </v:shape>
            </v:group>
            <v:group style="position:absolute;left:4350;top:1186;width:10;height:20" coordorigin="4350,1186" coordsize="10,20">
              <v:shape style="position:absolute;left:4350;top:1186;width:10;height:20" coordorigin="4350,1186" coordsize="10,20" path="m4350,1205l4359,1205,4359,1186,4350,1186,4350,1205xe" filled="true" fillcolor="#000000" stroked="false">
                <v:path arrowok="t"/>
                <v:fill type="solid"/>
              </v:shape>
            </v:group>
            <v:group style="position:absolute;left:4350;top:1205;width:10;height:20" coordorigin="4350,1205" coordsize="10,20">
              <v:shape style="position:absolute;left:4350;top:1205;width:10;height:20" coordorigin="4350,1205" coordsize="10,20" path="m4350,1224l4359,1224,4359,1205,4350,1205,4350,1224xe" filled="true" fillcolor="#000000" stroked="false">
                <v:path arrowok="t"/>
                <v:fill type="solid"/>
              </v:shape>
            </v:group>
            <v:group style="position:absolute;left:4350;top:1232;width:10;height:2" coordorigin="4350,1232" coordsize="10,2">
              <v:shape style="position:absolute;left:4350;top:1232;width:10;height:2" coordorigin="4350,1232" coordsize="10,0" path="m4350,1232l4359,1232e" filled="false" stroked="true" strokeweight=".83997pt" strokecolor="#000000">
                <v:path arrowok="t"/>
              </v:shape>
            </v:group>
            <v:group style="position:absolute;left:6606;top:840;width:10;height:20" coordorigin="6606,840" coordsize="10,20">
              <v:shape style="position:absolute;left:6606;top:840;width:10;height:20" coordorigin="6606,840" coordsize="10,20" path="m6606,859l6616,859,6616,840,6606,840,6606,859xe" filled="true" fillcolor="#000000" stroked="false">
                <v:path arrowok="t"/>
                <v:fill type="solid"/>
              </v:shape>
            </v:group>
            <v:group style="position:absolute;left:6606;top:859;width:10;height:20" coordorigin="6606,859" coordsize="10,20">
              <v:shape style="position:absolute;left:6606;top:859;width:10;height:20" coordorigin="6606,859" coordsize="10,20" path="m6606,878l6616,878,6616,859,6606,859,6606,878xe" filled="true" fillcolor="#000000" stroked="false">
                <v:path arrowok="t"/>
                <v:fill type="solid"/>
              </v:shape>
            </v:group>
            <v:group style="position:absolute;left:6606;top:878;width:10;height:20" coordorigin="6606,878" coordsize="10,20">
              <v:shape style="position:absolute;left:6606;top:878;width:10;height:20" coordorigin="6606,878" coordsize="10,20" path="m6606,898l6616,898,6616,878,6606,878,6606,898xe" filled="true" fillcolor="#000000" stroked="false">
                <v:path arrowok="t"/>
                <v:fill type="solid"/>
              </v:shape>
            </v:group>
            <v:group style="position:absolute;left:6606;top:898;width:10;height:20" coordorigin="6606,898" coordsize="10,20">
              <v:shape style="position:absolute;left:6606;top:898;width:10;height:20" coordorigin="6606,898" coordsize="10,20" path="m6606,917l6616,917,6616,898,6606,898,6606,917xe" filled="true" fillcolor="#000000" stroked="false">
                <v:path arrowok="t"/>
                <v:fill type="solid"/>
              </v:shape>
            </v:group>
            <v:group style="position:absolute;left:6606;top:917;width:10;height:20" coordorigin="6606,917" coordsize="10,20">
              <v:shape style="position:absolute;left:6606;top:917;width:10;height:20" coordorigin="6606,917" coordsize="10,20" path="m6606,936l6616,936,6616,917,6606,917,6606,936xe" filled="true" fillcolor="#000000" stroked="false">
                <v:path arrowok="t"/>
                <v:fill type="solid"/>
              </v:shape>
            </v:group>
            <v:group style="position:absolute;left:6606;top:936;width:10;height:20" coordorigin="6606,936" coordsize="10,20">
              <v:shape style="position:absolute;left:6606;top:936;width:10;height:20" coordorigin="6606,936" coordsize="10,20" path="m6606,955l6616,955,6616,936,6606,936,6606,955xe" filled="true" fillcolor="#000000" stroked="false">
                <v:path arrowok="t"/>
                <v:fill type="solid"/>
              </v:shape>
            </v:group>
            <v:group style="position:absolute;left:6606;top:955;width:10;height:20" coordorigin="6606,955" coordsize="10,20">
              <v:shape style="position:absolute;left:6606;top:955;width:10;height:20" coordorigin="6606,955" coordsize="10,20" path="m6606,974l6616,974,6616,955,6606,955,6606,974xe" filled="true" fillcolor="#000000" stroked="false">
                <v:path arrowok="t"/>
                <v:fill type="solid"/>
              </v:shape>
            </v:group>
            <v:group style="position:absolute;left:6606;top:974;width:10;height:20" coordorigin="6606,974" coordsize="10,20">
              <v:shape style="position:absolute;left:6606;top:974;width:10;height:20" coordorigin="6606,974" coordsize="10,20" path="m6606,994l6616,994,6616,974,6606,974,6606,994xe" filled="true" fillcolor="#000000" stroked="false">
                <v:path arrowok="t"/>
                <v:fill type="solid"/>
              </v:shape>
            </v:group>
            <v:group style="position:absolute;left:6606;top:994;width:10;height:20" coordorigin="6606,994" coordsize="10,20">
              <v:shape style="position:absolute;left:6606;top:994;width:10;height:20" coordorigin="6606,994" coordsize="10,20" path="m6606,1013l6616,1013,6616,994,6606,994,6606,1013xe" filled="true" fillcolor="#000000" stroked="false">
                <v:path arrowok="t"/>
                <v:fill type="solid"/>
              </v:shape>
            </v:group>
            <v:group style="position:absolute;left:6606;top:1013;width:10;height:20" coordorigin="6606,1013" coordsize="10,20">
              <v:shape style="position:absolute;left:6606;top:1013;width:10;height:20" coordorigin="6606,1013" coordsize="10,20" path="m6606,1032l6616,1032,6616,1013,6606,1013,6606,1032xe" filled="true" fillcolor="#000000" stroked="false">
                <v:path arrowok="t"/>
                <v:fill type="solid"/>
              </v:shape>
            </v:group>
            <v:group style="position:absolute;left:6606;top:1032;width:10;height:20" coordorigin="6606,1032" coordsize="10,20">
              <v:shape style="position:absolute;left:6606;top:1032;width:10;height:20" coordorigin="6606,1032" coordsize="10,20" path="m6606,1051l6616,1051,6616,1032,6606,1032,6606,1051xe" filled="true" fillcolor="#000000" stroked="false">
                <v:path arrowok="t"/>
                <v:fill type="solid"/>
              </v:shape>
            </v:group>
            <v:group style="position:absolute;left:6606;top:1051;width:10;height:20" coordorigin="6606,1051" coordsize="10,20">
              <v:shape style="position:absolute;left:6606;top:1051;width:10;height:20" coordorigin="6606,1051" coordsize="10,20" path="m6606,1070l6616,1070,6616,1051,6606,1051,6606,1070xe" filled="true" fillcolor="#000000" stroked="false">
                <v:path arrowok="t"/>
                <v:fill type="solid"/>
              </v:shape>
            </v:group>
            <v:group style="position:absolute;left:6606;top:1070;width:10;height:20" coordorigin="6606,1070" coordsize="10,20">
              <v:shape style="position:absolute;left:6606;top:1070;width:10;height:20" coordorigin="6606,1070" coordsize="10,20" path="m6606,1090l6616,1090,6616,1070,6606,1070,6606,1090xe" filled="true" fillcolor="#000000" stroked="false">
                <v:path arrowok="t"/>
                <v:fill type="solid"/>
              </v:shape>
            </v:group>
            <v:group style="position:absolute;left:6606;top:1090;width:10;height:20" coordorigin="6606,1090" coordsize="10,20">
              <v:shape style="position:absolute;left:6606;top:1090;width:10;height:20" coordorigin="6606,1090" coordsize="10,20" path="m6606,1109l6616,1109,6616,1090,6606,1090,6606,1109xe" filled="true" fillcolor="#000000" stroked="false">
                <v:path arrowok="t"/>
                <v:fill type="solid"/>
              </v:shape>
            </v:group>
            <v:group style="position:absolute;left:6606;top:1109;width:10;height:20" coordorigin="6606,1109" coordsize="10,20">
              <v:shape style="position:absolute;left:6606;top:1109;width:10;height:20" coordorigin="6606,1109" coordsize="10,20" path="m6606,1128l6616,1128,6616,1109,6606,1109,6606,1128xe" filled="true" fillcolor="#000000" stroked="false">
                <v:path arrowok="t"/>
                <v:fill type="solid"/>
              </v:shape>
            </v:group>
            <v:group style="position:absolute;left:6606;top:1128;width:10;height:20" coordorigin="6606,1128" coordsize="10,20">
              <v:shape style="position:absolute;left:6606;top:1128;width:10;height:20" coordorigin="6606,1128" coordsize="10,20" path="m6606,1147l6616,1147,6616,1128,6606,1128,6606,1147xe" filled="true" fillcolor="#000000" stroked="false">
                <v:path arrowok="t"/>
                <v:fill type="solid"/>
              </v:shape>
              <v:shape style="position:absolute;left:29;top:1147;width:8838;height:103" type="#_x0000_t75" stroked="false">
                <v:imagedata r:id="rId82" o:title=""/>
              </v:shape>
            </v:group>
            <v:group style="position:absolute;left:4350;top:1250;width:10;height:20" coordorigin="4350,1250" coordsize="10,20">
              <v:shape style="position:absolute;left:4350;top:1250;width:10;height:20" coordorigin="4350,1250" coordsize="10,20" path="m4350,1270l4359,1270,4359,1250,4350,1250,4350,1270xe" filled="true" fillcolor="#000000" stroked="false">
                <v:path arrowok="t"/>
                <v:fill type="solid"/>
              </v:shape>
            </v:group>
            <v:group style="position:absolute;left:4350;top:1270;width:10;height:20" coordorigin="4350,1270" coordsize="10,20">
              <v:shape style="position:absolute;left:4350;top:1270;width:10;height:20" coordorigin="4350,1270" coordsize="10,20" path="m4350,1289l4359,1289,4359,1270,4350,1270,4350,1289xe" filled="true" fillcolor="#000000" stroked="false">
                <v:path arrowok="t"/>
                <v:fill type="solid"/>
              </v:shape>
            </v:group>
            <v:group style="position:absolute;left:4350;top:1289;width:10;height:20" coordorigin="4350,1289" coordsize="10,20">
              <v:shape style="position:absolute;left:4350;top:1289;width:10;height:20" coordorigin="4350,1289" coordsize="10,20" path="m4350,1308l4359,1308,4359,1289,4350,1289,4350,1308xe" filled="true" fillcolor="#000000" stroked="false">
                <v:path arrowok="t"/>
                <v:fill type="solid"/>
              </v:shape>
            </v:group>
            <v:group style="position:absolute;left:4350;top:1308;width:10;height:20" coordorigin="4350,1308" coordsize="10,20">
              <v:shape style="position:absolute;left:4350;top:1308;width:10;height:20" coordorigin="4350,1308" coordsize="10,20" path="m4350,1327l4359,1327,4359,1308,4350,1308,4350,1327xe" filled="true" fillcolor="#000000" stroked="false">
                <v:path arrowok="t"/>
                <v:fill type="solid"/>
              </v:shape>
            </v:group>
            <v:group style="position:absolute;left:4350;top:1327;width:10;height:20" coordorigin="4350,1327" coordsize="10,20">
              <v:shape style="position:absolute;left:4350;top:1327;width:10;height:20" coordorigin="4350,1327" coordsize="10,20" path="m4350,1346l4359,1346,4359,1327,4350,1327,4350,1346xe" filled="true" fillcolor="#000000" stroked="false">
                <v:path arrowok="t"/>
                <v:fill type="solid"/>
              </v:shape>
            </v:group>
            <v:group style="position:absolute;left:4350;top:1346;width:10;height:20" coordorigin="4350,1346" coordsize="10,20">
              <v:shape style="position:absolute;left:4350;top:1346;width:10;height:20" coordorigin="4350,1346" coordsize="10,20" path="m4350,1366l4359,1366,4359,1346,4350,1346,4350,1366xe" filled="true" fillcolor="#000000" stroked="false">
                <v:path arrowok="t"/>
                <v:fill type="solid"/>
              </v:shape>
            </v:group>
            <v:group style="position:absolute;left:4350;top:1366;width:10;height:20" coordorigin="4350,1366" coordsize="10,20">
              <v:shape style="position:absolute;left:4350;top:1366;width:10;height:20" coordorigin="4350,1366" coordsize="10,20" path="m4350,1385l4359,1385,4359,1366,4350,1366,4350,1385xe" filled="true" fillcolor="#000000" stroked="false">
                <v:path arrowok="t"/>
                <v:fill type="solid"/>
              </v:shape>
            </v:group>
            <v:group style="position:absolute;left:4350;top:1385;width:10;height:20" coordorigin="4350,1385" coordsize="10,20">
              <v:shape style="position:absolute;left:4350;top:1385;width:10;height:20" coordorigin="4350,1385" coordsize="10,20" path="m4350,1404l4359,1404,4359,1385,4350,1385,4350,1404xe" filled="true" fillcolor="#000000" stroked="false">
                <v:path arrowok="t"/>
                <v:fill type="solid"/>
              </v:shape>
            </v:group>
            <v:group style="position:absolute;left:4350;top:1404;width:10;height:20" coordorigin="4350,1404" coordsize="10,20">
              <v:shape style="position:absolute;left:4350;top:1404;width:10;height:20" coordorigin="4350,1404" coordsize="10,20" path="m4350,1423l4359,1423,4359,1404,4350,1404,4350,1423xe" filled="true" fillcolor="#000000" stroked="false">
                <v:path arrowok="t"/>
                <v:fill type="solid"/>
              </v:shape>
            </v:group>
            <v:group style="position:absolute;left:4350;top:1423;width:10;height:20" coordorigin="4350,1423" coordsize="10,20">
              <v:shape style="position:absolute;left:4350;top:1423;width:10;height:20" coordorigin="4350,1423" coordsize="10,20" path="m4350,1442l4359,1442,4359,1423,4350,1423,4350,1442xe" filled="true" fillcolor="#000000" stroked="false">
                <v:path arrowok="t"/>
                <v:fill type="solid"/>
              </v:shape>
            </v:group>
            <v:group style="position:absolute;left:4350;top:1442;width:10;height:20" coordorigin="4350,1442" coordsize="10,20">
              <v:shape style="position:absolute;left:4350;top:1442;width:10;height:20" coordorigin="4350,1442" coordsize="10,20" path="m4350,1462l4359,1462,4359,1442,4350,1442,4350,1462xe" filled="true" fillcolor="#000000" stroked="false">
                <v:path arrowok="t"/>
                <v:fill type="solid"/>
              </v:shape>
            </v:group>
            <v:group style="position:absolute;left:4350;top:1462;width:10;height:20" coordorigin="4350,1462" coordsize="10,20">
              <v:shape style="position:absolute;left:4350;top:1462;width:10;height:20" coordorigin="4350,1462" coordsize="10,20" path="m4350,1481l4359,1481,4359,1462,4350,1462,4350,1481xe" filled="true" fillcolor="#000000" stroked="false">
                <v:path arrowok="t"/>
                <v:fill type="solid"/>
              </v:shape>
            </v:group>
            <v:group style="position:absolute;left:4350;top:1481;width:10;height:20" coordorigin="4350,1481" coordsize="10,20">
              <v:shape style="position:absolute;left:4350;top:1481;width:10;height:20" coordorigin="4350,1481" coordsize="10,20" path="m4350,1500l4359,1500,4359,1481,4350,1481,4350,1500xe" filled="true" fillcolor="#000000" stroked="false">
                <v:path arrowok="t"/>
                <v:fill type="solid"/>
              </v:shape>
            </v:group>
            <v:group style="position:absolute;left:4350;top:1500;width:10;height:20" coordorigin="4350,1500" coordsize="10,20">
              <v:shape style="position:absolute;left:4350;top:1500;width:10;height:20" coordorigin="4350,1500" coordsize="10,20" path="m4350,1519l4359,1519,4359,1500,4350,1500,4350,1519xe" filled="true" fillcolor="#000000" stroked="false">
                <v:path arrowok="t"/>
                <v:fill type="solid"/>
              </v:shape>
            </v:group>
            <v:group style="position:absolute;left:4350;top:1519;width:10;height:20" coordorigin="4350,1519" coordsize="10,20">
              <v:shape style="position:absolute;left:4350;top:1519;width:10;height:20" coordorigin="4350,1519" coordsize="10,20" path="m4350,1538l4359,1538,4359,1519,4350,1519,4350,1538xe" filled="true" fillcolor="#000000" stroked="false">
                <v:path arrowok="t"/>
                <v:fill type="solid"/>
              </v:shape>
            </v:group>
            <v:group style="position:absolute;left:4350;top:1538;width:10;height:20" coordorigin="4350,1538" coordsize="10,20">
              <v:shape style="position:absolute;left:4350;top:1538;width:10;height:20" coordorigin="4350,1538" coordsize="10,20" path="m4350,1558l4359,1558,4359,1538,4350,1538,4350,1558xe" filled="true" fillcolor="#000000" stroked="false">
                <v:path arrowok="t"/>
                <v:fill type="solid"/>
              </v:shape>
            </v:group>
            <v:group style="position:absolute;left:4350;top:1558;width:10;height:20" coordorigin="4350,1558" coordsize="10,20">
              <v:shape style="position:absolute;left:4350;top:1558;width:10;height:20" coordorigin="4350,1558" coordsize="10,20" path="m4350,1577l4359,1577,4359,1558,4350,1558,4350,1577xe" filled="true" fillcolor="#000000" stroked="false">
                <v:path arrowok="t"/>
                <v:fill type="solid"/>
              </v:shape>
            </v:group>
            <v:group style="position:absolute;left:4350;top:1577;width:10;height:20" coordorigin="4350,1577" coordsize="10,20">
              <v:shape style="position:absolute;left:4350;top:1577;width:10;height:20" coordorigin="4350,1577" coordsize="10,20" path="m4350,1596l4359,1596,4359,1577,4350,1577,4350,1596xe" filled="true" fillcolor="#000000" stroked="false">
                <v:path arrowok="t"/>
                <v:fill type="solid"/>
              </v:shape>
            </v:group>
            <v:group style="position:absolute;left:4350;top:1596;width:10;height:20" coordorigin="4350,1596" coordsize="10,20">
              <v:shape style="position:absolute;left:4350;top:1596;width:10;height:20" coordorigin="4350,1596" coordsize="10,20" path="m4350,1615l4359,1615,4359,1596,4350,1596,4350,1615xe" filled="true" fillcolor="#000000" stroked="false">
                <v:path arrowok="t"/>
                <v:fill type="solid"/>
              </v:shape>
            </v:group>
            <v:group style="position:absolute;left:4350;top:1615;width:10;height:20" coordorigin="4350,1615" coordsize="10,20">
              <v:shape style="position:absolute;left:4350;top:1615;width:10;height:20" coordorigin="4350,1615" coordsize="10,20" path="m4350,1635l4359,1635,4359,1615,4350,1615,4350,1635xe" filled="true" fillcolor="#000000" stroked="false">
                <v:path arrowok="t"/>
                <v:fill type="solid"/>
              </v:shape>
            </v:group>
            <v:group style="position:absolute;left:4350;top:1643;width:10;height:2" coordorigin="4350,1643" coordsize="10,2">
              <v:shape style="position:absolute;left:4350;top:1643;width:10;height:2" coordorigin="4350,1643" coordsize="10,0" path="m4350,1643l4359,1643e" filled="false" stroked="true" strokeweight=".83997pt" strokecolor="#000000">
                <v:path arrowok="t"/>
              </v:shape>
            </v:group>
            <v:group style="position:absolute;left:6606;top:1250;width:10;height:20" coordorigin="6606,1250" coordsize="10,20">
              <v:shape style="position:absolute;left:6606;top:1250;width:10;height:20" coordorigin="6606,1250" coordsize="10,20" path="m6606,1270l6616,1270,6616,1250,6606,1250,6606,1270xe" filled="true" fillcolor="#000000" stroked="false">
                <v:path arrowok="t"/>
                <v:fill type="solid"/>
              </v:shape>
            </v:group>
            <v:group style="position:absolute;left:6606;top:1270;width:10;height:20" coordorigin="6606,1270" coordsize="10,20">
              <v:shape style="position:absolute;left:6606;top:1270;width:10;height:20" coordorigin="6606,1270" coordsize="10,20" path="m6606,1289l6616,1289,6616,1270,6606,1270,6606,1289xe" filled="true" fillcolor="#000000" stroked="false">
                <v:path arrowok="t"/>
                <v:fill type="solid"/>
              </v:shape>
            </v:group>
            <v:group style="position:absolute;left:6606;top:1289;width:10;height:20" coordorigin="6606,1289" coordsize="10,20">
              <v:shape style="position:absolute;left:6606;top:1289;width:10;height:20" coordorigin="6606,1289" coordsize="10,20" path="m6606,1308l6616,1308,6616,1289,6606,1289,6606,1308xe" filled="true" fillcolor="#000000" stroked="false">
                <v:path arrowok="t"/>
                <v:fill type="solid"/>
              </v:shape>
            </v:group>
            <v:group style="position:absolute;left:6606;top:1308;width:10;height:20" coordorigin="6606,1308" coordsize="10,20">
              <v:shape style="position:absolute;left:6606;top:1308;width:10;height:20" coordorigin="6606,1308" coordsize="10,20" path="m6606,1327l6616,1327,6616,1308,6606,1308,6606,1327xe" filled="true" fillcolor="#000000" stroked="false">
                <v:path arrowok="t"/>
                <v:fill type="solid"/>
              </v:shape>
            </v:group>
            <v:group style="position:absolute;left:6606;top:1327;width:10;height:20" coordorigin="6606,1327" coordsize="10,20">
              <v:shape style="position:absolute;left:6606;top:1327;width:10;height:20" coordorigin="6606,1327" coordsize="10,20" path="m6606,1346l6616,1346,6616,1327,6606,1327,6606,1346xe" filled="true" fillcolor="#000000" stroked="false">
                <v:path arrowok="t"/>
                <v:fill type="solid"/>
              </v:shape>
            </v:group>
            <v:group style="position:absolute;left:6606;top:1346;width:10;height:20" coordorigin="6606,1346" coordsize="10,20">
              <v:shape style="position:absolute;left:6606;top:1346;width:10;height:20" coordorigin="6606,1346" coordsize="10,20" path="m6606,1366l6616,1366,6616,1346,6606,1346,6606,1366xe" filled="true" fillcolor="#000000" stroked="false">
                <v:path arrowok="t"/>
                <v:fill type="solid"/>
              </v:shape>
            </v:group>
            <v:group style="position:absolute;left:6606;top:1366;width:10;height:20" coordorigin="6606,1366" coordsize="10,20">
              <v:shape style="position:absolute;left:6606;top:1366;width:10;height:20" coordorigin="6606,1366" coordsize="10,20" path="m6606,1385l6616,1385,6616,1366,6606,1366,6606,1385xe" filled="true" fillcolor="#000000" stroked="false">
                <v:path arrowok="t"/>
                <v:fill type="solid"/>
              </v:shape>
            </v:group>
            <v:group style="position:absolute;left:6606;top:1385;width:10;height:20" coordorigin="6606,1385" coordsize="10,20">
              <v:shape style="position:absolute;left:6606;top:1385;width:10;height:20" coordorigin="6606,1385" coordsize="10,20" path="m6606,1404l6616,1404,6616,1385,6606,1385,6606,1404xe" filled="true" fillcolor="#000000" stroked="false">
                <v:path arrowok="t"/>
                <v:fill type="solid"/>
              </v:shape>
            </v:group>
            <v:group style="position:absolute;left:6606;top:1404;width:10;height:20" coordorigin="6606,1404" coordsize="10,20">
              <v:shape style="position:absolute;left:6606;top:1404;width:10;height:20" coordorigin="6606,1404" coordsize="10,20" path="m6606,1423l6616,1423,6616,1404,6606,1404,6606,1423xe" filled="true" fillcolor="#000000" stroked="false">
                <v:path arrowok="t"/>
                <v:fill type="solid"/>
              </v:shape>
            </v:group>
            <v:group style="position:absolute;left:6606;top:1423;width:10;height:20" coordorigin="6606,1423" coordsize="10,20">
              <v:shape style="position:absolute;left:6606;top:1423;width:10;height:20" coordorigin="6606,1423" coordsize="10,20" path="m6606,1442l6616,1442,6616,1423,6606,1423,6606,1442xe" filled="true" fillcolor="#000000" stroked="false">
                <v:path arrowok="t"/>
                <v:fill type="solid"/>
              </v:shape>
            </v:group>
            <v:group style="position:absolute;left:6606;top:1442;width:10;height:20" coordorigin="6606,1442" coordsize="10,20">
              <v:shape style="position:absolute;left:6606;top:1442;width:10;height:20" coordorigin="6606,1442" coordsize="10,20" path="m6606,1462l6616,1462,6616,1442,6606,1442,6606,1462xe" filled="true" fillcolor="#000000" stroked="false">
                <v:path arrowok="t"/>
                <v:fill type="solid"/>
              </v:shape>
            </v:group>
            <v:group style="position:absolute;left:6606;top:1462;width:10;height:20" coordorigin="6606,1462" coordsize="10,20">
              <v:shape style="position:absolute;left:6606;top:1462;width:10;height:20" coordorigin="6606,1462" coordsize="10,20" path="m6606,1481l6616,1481,6616,1462,6606,1462,6606,1481xe" filled="true" fillcolor="#000000" stroked="false">
                <v:path arrowok="t"/>
                <v:fill type="solid"/>
              </v:shape>
            </v:group>
            <v:group style="position:absolute;left:6606;top:1481;width:10;height:20" coordorigin="6606,1481" coordsize="10,20">
              <v:shape style="position:absolute;left:6606;top:1481;width:10;height:20" coordorigin="6606,1481" coordsize="10,20" path="m6606,1500l6616,1500,6616,1481,6606,1481,6606,1500xe" filled="true" fillcolor="#000000" stroked="false">
                <v:path arrowok="t"/>
                <v:fill type="solid"/>
              </v:shape>
            </v:group>
            <v:group style="position:absolute;left:6606;top:1500;width:10;height:20" coordorigin="6606,1500" coordsize="10,20">
              <v:shape style="position:absolute;left:6606;top:1500;width:10;height:20" coordorigin="6606,1500" coordsize="10,20" path="m6606,1519l6616,1519,6616,1500,6606,1500,6606,1519xe" filled="true" fillcolor="#000000" stroked="false">
                <v:path arrowok="t"/>
                <v:fill type="solid"/>
              </v:shape>
            </v:group>
            <v:group style="position:absolute;left:6606;top:1519;width:10;height:20" coordorigin="6606,1519" coordsize="10,20">
              <v:shape style="position:absolute;left:6606;top:1519;width:10;height:20" coordorigin="6606,1519" coordsize="10,20" path="m6606,1538l6616,1538,6616,1519,6606,1519,6606,1538xe" filled="true" fillcolor="#000000" stroked="false">
                <v:path arrowok="t"/>
                <v:fill type="solid"/>
              </v:shape>
            </v:group>
            <v:group style="position:absolute;left:6606;top:1538;width:10;height:20" coordorigin="6606,1538" coordsize="10,20">
              <v:shape style="position:absolute;left:6606;top:1538;width:10;height:20" coordorigin="6606,1538" coordsize="10,20" path="m6606,1558l6616,1558,6616,1538,6606,1538,6606,1558xe" filled="true" fillcolor="#000000" stroked="false">
                <v:path arrowok="t"/>
                <v:fill type="solid"/>
              </v:shape>
              <v:shape style="position:absolute;left:29;top:1558;width:8838;height:104" type="#_x0000_t75" stroked="false">
                <v:imagedata r:id="rId83" o:title=""/>
              </v:shape>
            </v:group>
            <v:group style="position:absolute;left:4350;top:1661;width:10;height:20" coordorigin="4350,1661" coordsize="10,20">
              <v:shape style="position:absolute;left:4350;top:1661;width:10;height:20" coordorigin="4350,1661" coordsize="10,20" path="m4350,1680l4359,1680,4359,1661,4350,1661,4350,1680xe" filled="true" fillcolor="#000000" stroked="false">
                <v:path arrowok="t"/>
                <v:fill type="solid"/>
              </v:shape>
            </v:group>
            <v:group style="position:absolute;left:4350;top:1680;width:10;height:20" coordorigin="4350,1680" coordsize="10,20">
              <v:shape style="position:absolute;left:4350;top:1680;width:10;height:20" coordorigin="4350,1680" coordsize="10,20" path="m4350,1700l4359,1700,4359,1680,4350,1680,4350,1700xe" filled="true" fillcolor="#000000" stroked="false">
                <v:path arrowok="t"/>
                <v:fill type="solid"/>
              </v:shape>
            </v:group>
            <v:group style="position:absolute;left:4350;top:1700;width:10;height:20" coordorigin="4350,1700" coordsize="10,20">
              <v:shape style="position:absolute;left:4350;top:1700;width:10;height:20" coordorigin="4350,1700" coordsize="10,20" path="m4350,1719l4359,1719,4359,1700,4350,1700,4350,1719xe" filled="true" fillcolor="#000000" stroked="false">
                <v:path arrowok="t"/>
                <v:fill type="solid"/>
              </v:shape>
            </v:group>
            <v:group style="position:absolute;left:4350;top:1719;width:10;height:20" coordorigin="4350,1719" coordsize="10,20">
              <v:shape style="position:absolute;left:4350;top:1719;width:10;height:20" coordorigin="4350,1719" coordsize="10,20" path="m4350,1738l4359,1738,4359,1719,4350,1719,4350,1738xe" filled="true" fillcolor="#000000" stroked="false">
                <v:path arrowok="t"/>
                <v:fill type="solid"/>
              </v:shape>
            </v:group>
            <v:group style="position:absolute;left:4350;top:1738;width:10;height:20" coordorigin="4350,1738" coordsize="10,20">
              <v:shape style="position:absolute;left:4350;top:1738;width:10;height:20" coordorigin="4350,1738" coordsize="10,20" path="m4350,1757l4359,1757,4359,1738,4350,1738,4350,1757xe" filled="true" fillcolor="#000000" stroked="false">
                <v:path arrowok="t"/>
                <v:fill type="solid"/>
              </v:shape>
            </v:group>
            <v:group style="position:absolute;left:4350;top:1757;width:10;height:20" coordorigin="4350,1757" coordsize="10,20">
              <v:shape style="position:absolute;left:4350;top:1757;width:10;height:20" coordorigin="4350,1757" coordsize="10,20" path="m4350,1776l4359,1776,4359,1757,4350,1757,4350,1776xe" filled="true" fillcolor="#000000" stroked="false">
                <v:path arrowok="t"/>
                <v:fill type="solid"/>
              </v:shape>
            </v:group>
            <v:group style="position:absolute;left:4350;top:1776;width:10;height:20" coordorigin="4350,1776" coordsize="10,20">
              <v:shape style="position:absolute;left:4350;top:1776;width:10;height:20" coordorigin="4350,1776" coordsize="10,20" path="m4350,1796l4359,1796,4359,1776,4350,1776,4350,1796xe" filled="true" fillcolor="#000000" stroked="false">
                <v:path arrowok="t"/>
                <v:fill type="solid"/>
              </v:shape>
            </v:group>
            <v:group style="position:absolute;left:4350;top:1796;width:10;height:20" coordorigin="4350,1796" coordsize="10,20">
              <v:shape style="position:absolute;left:4350;top:1796;width:10;height:20" coordorigin="4350,1796" coordsize="10,20" path="m4350,1815l4359,1815,4359,1796,4350,1796,4350,1815xe" filled="true" fillcolor="#000000" stroked="false">
                <v:path arrowok="t"/>
                <v:fill type="solid"/>
              </v:shape>
            </v:group>
            <v:group style="position:absolute;left:4350;top:1815;width:10;height:20" coordorigin="4350,1815" coordsize="10,20">
              <v:shape style="position:absolute;left:4350;top:1815;width:10;height:20" coordorigin="4350,1815" coordsize="10,20" path="m4350,1834l4359,1834,4359,1815,4350,1815,4350,1834xe" filled="true" fillcolor="#000000" stroked="false">
                <v:path arrowok="t"/>
                <v:fill type="solid"/>
              </v:shape>
            </v:group>
            <v:group style="position:absolute;left:4350;top:1834;width:10;height:20" coordorigin="4350,1834" coordsize="10,20">
              <v:shape style="position:absolute;left:4350;top:1834;width:10;height:20" coordorigin="4350,1834" coordsize="10,20" path="m4350,1853l4359,1853,4359,1834,4350,1834,4350,1853xe" filled="true" fillcolor="#000000" stroked="false">
                <v:path arrowok="t"/>
                <v:fill type="solid"/>
              </v:shape>
            </v:group>
            <v:group style="position:absolute;left:4350;top:1853;width:10;height:20" coordorigin="4350,1853" coordsize="10,20">
              <v:shape style="position:absolute;left:4350;top:1853;width:10;height:20" coordorigin="4350,1853" coordsize="10,20" path="m4350,1872l4359,1872,4359,1853,4350,1853,4350,1872xe" filled="true" fillcolor="#000000" stroked="false">
                <v:path arrowok="t"/>
                <v:fill type="solid"/>
              </v:shape>
            </v:group>
            <v:group style="position:absolute;left:4350;top:1872;width:10;height:20" coordorigin="4350,1872" coordsize="10,20">
              <v:shape style="position:absolute;left:4350;top:1872;width:10;height:20" coordorigin="4350,1872" coordsize="10,20" path="m4350,1892l4359,1892,4359,1872,4350,1872,4350,1892xe" filled="true" fillcolor="#000000" stroked="false">
                <v:path arrowok="t"/>
                <v:fill type="solid"/>
              </v:shape>
            </v:group>
            <v:group style="position:absolute;left:4350;top:1892;width:10;height:20" coordorigin="4350,1892" coordsize="10,20">
              <v:shape style="position:absolute;left:4350;top:1892;width:10;height:20" coordorigin="4350,1892" coordsize="10,20" path="m4350,1911l4359,1911,4359,1892,4350,1892,4350,1911xe" filled="true" fillcolor="#000000" stroked="false">
                <v:path arrowok="t"/>
                <v:fill type="solid"/>
              </v:shape>
            </v:group>
            <v:group style="position:absolute;left:4350;top:1911;width:10;height:20" coordorigin="4350,1911" coordsize="10,20">
              <v:shape style="position:absolute;left:4350;top:1911;width:10;height:20" coordorigin="4350,1911" coordsize="10,20" path="m4350,1930l4359,1930,4359,1911,4350,1911,4350,1930xe" filled="true" fillcolor="#000000" stroked="false">
                <v:path arrowok="t"/>
                <v:fill type="solid"/>
              </v:shape>
            </v:group>
            <v:group style="position:absolute;left:4350;top:1930;width:10;height:20" coordorigin="4350,1930" coordsize="10,20">
              <v:shape style="position:absolute;left:4350;top:1930;width:10;height:20" coordorigin="4350,1930" coordsize="10,20" path="m4350,1949l4359,1949,4359,1930,4350,1930,4350,1949xe" filled="true" fillcolor="#000000" stroked="false">
                <v:path arrowok="t"/>
                <v:fill type="solid"/>
              </v:shape>
            </v:group>
            <v:group style="position:absolute;left:4350;top:1949;width:10;height:20" coordorigin="4350,1949" coordsize="10,20">
              <v:shape style="position:absolute;left:4350;top:1949;width:10;height:20" coordorigin="4350,1949" coordsize="10,20" path="m4350,1968l4359,1968,4359,1949,4350,1949,4350,1968xe" filled="true" fillcolor="#000000" stroked="false">
                <v:path arrowok="t"/>
                <v:fill type="solid"/>
              </v:shape>
            </v:group>
            <v:group style="position:absolute;left:4350;top:1968;width:10;height:20" coordorigin="4350,1968" coordsize="10,20">
              <v:shape style="position:absolute;left:4350;top:1968;width:10;height:20" coordorigin="4350,1968" coordsize="10,20" path="m4350,1988l4359,1988,4359,1968,4350,1968,4350,1988xe" filled="true" fillcolor="#000000" stroked="false">
                <v:path arrowok="t"/>
                <v:fill type="solid"/>
              </v:shape>
            </v:group>
            <v:group style="position:absolute;left:14;top:2076;width:4336;height:2" coordorigin="14,2076" coordsize="4336,2">
              <v:shape style="position:absolute;left:14;top:2076;width:4336;height:2" coordorigin="14,2076" coordsize="4336,0" path="m14,2076l4350,2076e" filled="false" stroked="true" strokeweight="1.44pt" strokecolor="#000000">
                <v:path arrowok="t"/>
              </v:shape>
            </v:group>
            <v:group style="position:absolute;left:4350;top:1988;width:10;height:20" coordorigin="4350,1988" coordsize="10,20">
              <v:shape style="position:absolute;left:4350;top:1988;width:10;height:20" coordorigin="4350,1988" coordsize="10,20" path="m4350,2007l4359,2007,4359,1988,4350,1988,4350,2007xe" filled="true" fillcolor="#000000" stroked="false">
                <v:path arrowok="t"/>
                <v:fill type="solid"/>
              </v:shape>
            </v:group>
            <v:group style="position:absolute;left:4350;top:2007;width:10;height:20" coordorigin="4350,2007" coordsize="10,20">
              <v:shape style="position:absolute;left:4350;top:2007;width:10;height:20" coordorigin="4350,2007" coordsize="10,20" path="m4350,2026l4359,2026,4359,2007,4350,2007,4350,2026xe" filled="true" fillcolor="#000000" stroked="false">
                <v:path arrowok="t"/>
                <v:fill type="solid"/>
              </v:shape>
            </v:group>
            <v:group style="position:absolute;left:4350;top:2026;width:10;height:20" coordorigin="4350,2026" coordsize="10,20">
              <v:shape style="position:absolute;left:4350;top:2026;width:10;height:20" coordorigin="4350,2026" coordsize="10,20" path="m4350,2045l4359,2045,4359,2026,4350,2026,4350,2045xe" filled="true" fillcolor="#000000" stroked="false">
                <v:path arrowok="t"/>
                <v:fill type="solid"/>
              </v:shape>
            </v:group>
            <v:group style="position:absolute;left:4350;top:2054;width:10;height:2" coordorigin="4350,2054" coordsize="10,2">
              <v:shape style="position:absolute;left:4350;top:2054;width:10;height:2" coordorigin="4350,2054" coordsize="10,0" path="m4350,2054l4359,2054e" filled="false" stroked="true" strokeweight=".84003pt" strokecolor="#000000">
                <v:path arrowok="t"/>
              </v:shape>
            </v:group>
            <v:group style="position:absolute;left:4350;top:2076;width:29;height:2" coordorigin="4350,2076" coordsize="29,2">
              <v:shape style="position:absolute;left:4350;top:2076;width:29;height:2" coordorigin="4350,2076" coordsize="29,0" path="m4350,2076l4379,2076e" filled="false" stroked="true" strokeweight="1.44pt" strokecolor="#000000">
                <v:path arrowok="t"/>
              </v:shape>
            </v:group>
            <v:group style="position:absolute;left:4379;top:2076;width:2228;height:2" coordorigin="4379,2076" coordsize="2228,2">
              <v:shape style="position:absolute;left:4379;top:2076;width:2228;height:2" coordorigin="4379,2076" coordsize="2228,0" path="m4379,2076l6606,2076e" filled="false" stroked="true" strokeweight="1.44pt" strokecolor="#000000">
                <v:path arrowok="t"/>
              </v:shape>
            </v:group>
            <v:group style="position:absolute;left:6606;top:1661;width:10;height:20" coordorigin="6606,1661" coordsize="10,20">
              <v:shape style="position:absolute;left:6606;top:1661;width:10;height:20" coordorigin="6606,1661" coordsize="10,20" path="m6606,1680l6616,1680,6616,1661,6606,1661,6606,1680xe" filled="true" fillcolor="#000000" stroked="false">
                <v:path arrowok="t"/>
                <v:fill type="solid"/>
              </v:shape>
            </v:group>
            <v:group style="position:absolute;left:6606;top:1680;width:10;height:20" coordorigin="6606,1680" coordsize="10,20">
              <v:shape style="position:absolute;left:6606;top:1680;width:10;height:20" coordorigin="6606,1680" coordsize="10,20" path="m6606,1700l6616,1700,6616,1680,6606,1680,6606,1700xe" filled="true" fillcolor="#000000" stroked="false">
                <v:path arrowok="t"/>
                <v:fill type="solid"/>
              </v:shape>
            </v:group>
            <v:group style="position:absolute;left:6606;top:1700;width:10;height:20" coordorigin="6606,1700" coordsize="10,20">
              <v:shape style="position:absolute;left:6606;top:1700;width:10;height:20" coordorigin="6606,1700" coordsize="10,20" path="m6606,1719l6616,1719,6616,1700,6606,1700,6606,1719xe" filled="true" fillcolor="#000000" stroked="false">
                <v:path arrowok="t"/>
                <v:fill type="solid"/>
              </v:shape>
            </v:group>
            <v:group style="position:absolute;left:6606;top:1719;width:10;height:20" coordorigin="6606,1719" coordsize="10,20">
              <v:shape style="position:absolute;left:6606;top:1719;width:10;height:20" coordorigin="6606,1719" coordsize="10,20" path="m6606,1738l6616,1738,6616,1719,6606,1719,6606,1738xe" filled="true" fillcolor="#000000" stroked="false">
                <v:path arrowok="t"/>
                <v:fill type="solid"/>
              </v:shape>
            </v:group>
            <v:group style="position:absolute;left:6606;top:1738;width:10;height:20" coordorigin="6606,1738" coordsize="10,20">
              <v:shape style="position:absolute;left:6606;top:1738;width:10;height:20" coordorigin="6606,1738" coordsize="10,20" path="m6606,1757l6616,1757,6616,1738,6606,1738,6606,1757xe" filled="true" fillcolor="#000000" stroked="false">
                <v:path arrowok="t"/>
                <v:fill type="solid"/>
              </v:shape>
            </v:group>
            <v:group style="position:absolute;left:6606;top:1757;width:10;height:20" coordorigin="6606,1757" coordsize="10,20">
              <v:shape style="position:absolute;left:6606;top:1757;width:10;height:20" coordorigin="6606,1757" coordsize="10,20" path="m6606,1776l6616,1776,6616,1757,6606,1757,6606,1776xe" filled="true" fillcolor="#000000" stroked="false">
                <v:path arrowok="t"/>
                <v:fill type="solid"/>
              </v:shape>
            </v:group>
            <v:group style="position:absolute;left:6606;top:1776;width:10;height:20" coordorigin="6606,1776" coordsize="10,20">
              <v:shape style="position:absolute;left:6606;top:1776;width:10;height:20" coordorigin="6606,1776" coordsize="10,20" path="m6606,1796l6616,1796,6616,1776,6606,1776,6606,1796xe" filled="true" fillcolor="#000000" stroked="false">
                <v:path arrowok="t"/>
                <v:fill type="solid"/>
              </v:shape>
            </v:group>
            <v:group style="position:absolute;left:6606;top:1796;width:10;height:20" coordorigin="6606,1796" coordsize="10,20">
              <v:shape style="position:absolute;left:6606;top:1796;width:10;height:20" coordorigin="6606,1796" coordsize="10,20" path="m6606,1815l6616,1815,6616,1796,6606,1796,6606,1815xe" filled="true" fillcolor="#000000" stroked="false">
                <v:path arrowok="t"/>
                <v:fill type="solid"/>
              </v:shape>
            </v:group>
            <v:group style="position:absolute;left:6606;top:1815;width:10;height:20" coordorigin="6606,1815" coordsize="10,20">
              <v:shape style="position:absolute;left:6606;top:1815;width:10;height:20" coordorigin="6606,1815" coordsize="10,20" path="m6606,1834l6616,1834,6616,1815,6606,1815,6606,1834xe" filled="true" fillcolor="#000000" stroked="false">
                <v:path arrowok="t"/>
                <v:fill type="solid"/>
              </v:shape>
            </v:group>
            <v:group style="position:absolute;left:6606;top:1834;width:10;height:20" coordorigin="6606,1834" coordsize="10,20">
              <v:shape style="position:absolute;left:6606;top:1834;width:10;height:20" coordorigin="6606,1834" coordsize="10,20" path="m6606,1853l6616,1853,6616,1834,6606,1834,6606,1853xe" filled="true" fillcolor="#000000" stroked="false">
                <v:path arrowok="t"/>
                <v:fill type="solid"/>
              </v:shape>
            </v:group>
            <v:group style="position:absolute;left:6606;top:1853;width:10;height:20" coordorigin="6606,1853" coordsize="10,20">
              <v:shape style="position:absolute;left:6606;top:1853;width:10;height:20" coordorigin="6606,1853" coordsize="10,20" path="m6606,1872l6616,1872,6616,1853,6606,1853,6606,1872xe" filled="true" fillcolor="#000000" stroked="false">
                <v:path arrowok="t"/>
                <v:fill type="solid"/>
              </v:shape>
            </v:group>
            <v:group style="position:absolute;left:6606;top:1872;width:10;height:20" coordorigin="6606,1872" coordsize="10,20">
              <v:shape style="position:absolute;left:6606;top:1872;width:10;height:20" coordorigin="6606,1872" coordsize="10,20" path="m6606,1892l6616,1892,6616,1872,6606,1872,6606,1892xe" filled="true" fillcolor="#000000" stroked="false">
                <v:path arrowok="t"/>
                <v:fill type="solid"/>
              </v:shape>
            </v:group>
            <v:group style="position:absolute;left:6606;top:1892;width:10;height:20" coordorigin="6606,1892" coordsize="10,20">
              <v:shape style="position:absolute;left:6606;top:1892;width:10;height:20" coordorigin="6606,1892" coordsize="10,20" path="m6606,1911l6616,1911,6616,1892,6606,1892,6606,1911xe" filled="true" fillcolor="#000000" stroked="false">
                <v:path arrowok="t"/>
                <v:fill type="solid"/>
              </v:shape>
            </v:group>
            <v:group style="position:absolute;left:6606;top:1911;width:10;height:20" coordorigin="6606,1911" coordsize="10,20">
              <v:shape style="position:absolute;left:6606;top:1911;width:10;height:20" coordorigin="6606,1911" coordsize="10,20" path="m6606,1930l6616,1930,6616,1911,6606,1911,6606,1930xe" filled="true" fillcolor="#000000" stroked="false">
                <v:path arrowok="t"/>
                <v:fill type="solid"/>
              </v:shape>
            </v:group>
            <v:group style="position:absolute;left:6606;top:1930;width:10;height:20" coordorigin="6606,1930" coordsize="10,20">
              <v:shape style="position:absolute;left:6606;top:1930;width:10;height:20" coordorigin="6606,1930" coordsize="10,20" path="m6606,1949l6616,1949,6616,1930,6606,1930,6606,1949xe" filled="true" fillcolor="#000000" stroked="false">
                <v:path arrowok="t"/>
                <v:fill type="solid"/>
              </v:shape>
            </v:group>
            <v:group style="position:absolute;left:6606;top:1949;width:10;height:20" coordorigin="6606,1949" coordsize="10,20">
              <v:shape style="position:absolute;left:6606;top:1949;width:10;height:20" coordorigin="6606,1949" coordsize="10,20" path="m6606,1968l6616,1968,6616,1949,6606,1949,6606,1968xe" filled="true" fillcolor="#000000" stroked="false">
                <v:path arrowok="t"/>
                <v:fill type="solid"/>
              </v:shape>
            </v:group>
            <v:group style="position:absolute;left:6606;top:1968;width:10;height:20" coordorigin="6606,1968" coordsize="10,20">
              <v:shape style="position:absolute;left:6606;top:1968;width:10;height:20" coordorigin="6606,1968" coordsize="10,20" path="m6606,1988l6616,1988,6616,1968,6606,1968,6606,1988xe" filled="true" fillcolor="#000000" stroked="false">
                <v:path arrowok="t"/>
                <v:fill type="solid"/>
              </v:shape>
            </v:group>
            <v:group style="position:absolute;left:6606;top:1988;width:10;height:20" coordorigin="6606,1988" coordsize="10,20">
              <v:shape style="position:absolute;left:6606;top:1988;width:10;height:20" coordorigin="6606,1988" coordsize="10,20" path="m6606,2007l6616,2007,6616,1988,6606,1988,6606,2007xe" filled="true" fillcolor="#000000" stroked="false">
                <v:path arrowok="t"/>
                <v:fill type="solid"/>
              </v:shape>
            </v:group>
            <v:group style="position:absolute;left:6606;top:2007;width:10;height:20" coordorigin="6606,2007" coordsize="10,20">
              <v:shape style="position:absolute;left:6606;top:2007;width:10;height:20" coordorigin="6606,2007" coordsize="10,20" path="m6606,2026l6616,2026,6616,2007,6606,2007,6606,2026xe" filled="true" fillcolor="#000000" stroked="false">
                <v:path arrowok="t"/>
                <v:fill type="solid"/>
              </v:shape>
            </v:group>
            <v:group style="position:absolute;left:6606;top:2026;width:10;height:20" coordorigin="6606,2026" coordsize="10,20">
              <v:shape style="position:absolute;left:6606;top:2026;width:10;height:20" coordorigin="6606,2026" coordsize="10,20" path="m6606,2045l6616,2045,6616,2026,6606,2026,6606,2045xe" filled="true" fillcolor="#000000" stroked="false">
                <v:path arrowok="t"/>
                <v:fill type="solid"/>
              </v:shape>
            </v:group>
            <v:group style="position:absolute;left:6606;top:2054;width:10;height:2" coordorigin="6606,2054" coordsize="10,2">
              <v:shape style="position:absolute;left:6606;top:2054;width:10;height:2" coordorigin="6606,2054" coordsize="10,0" path="m6606,2054l6616,2054e" filled="false" stroked="true" strokeweight=".84003pt" strokecolor="#000000">
                <v:path arrowok="t"/>
              </v:shape>
            </v:group>
            <v:group style="position:absolute;left:6606;top:2076;width:29;height:2" coordorigin="6606,2076" coordsize="29,2">
              <v:shape style="position:absolute;left:6606;top:2076;width:29;height:2" coordorigin="6606,2076" coordsize="29,0" path="m6606,2076l6635,2076e" filled="false" stroked="true" strokeweight="1.44pt" strokecolor="#000000">
                <v:path arrowok="t"/>
              </v:shape>
            </v:group>
            <v:group style="position:absolute;left:6635;top:2076;width:2233;height:2" coordorigin="6635,2076" coordsize="2233,2">
              <v:shape style="position:absolute;left:6635;top:2076;width:2233;height:2" coordorigin="6635,2076" coordsize="2233,0" path="m6635,2076l8867,2076e" filled="false" stroked="true" strokeweight="1.44pt" strokecolor="#000000">
                <v:path arrowok="t"/>
              </v:shape>
              <v:shape style="position:absolute;left:6745;top:222;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占预付款项期末余额合计</w:t>
                      </w:r>
                    </w:p>
                  </w:txbxContent>
                </v:textbox>
                <w10:wrap type="none"/>
              </v:shape>
              <v:shape style="position:absolute;left:1832;top:4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预付对象</w:t>
                      </w:r>
                    </w:p>
                  </w:txbxContent>
                </v:textbox>
                <w10:wrap type="none"/>
              </v:shape>
              <v:shape style="position:absolute;left:5121;top:4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377;top:6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数的比例</w:t>
                      </w:r>
                    </w:p>
                  </w:txbxContent>
                </v:textbox>
                <w10:wrap type="none"/>
              </v:shape>
              <v:shape style="position:absolute;left:137;top:1031;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北京智芯微电子科技有限公司</w:t>
                      </w:r>
                    </w:p>
                  </w:txbxContent>
                </v:textbox>
                <w10:wrap type="none"/>
              </v:shape>
              <v:shape style="position:absolute;left:5329;top:1031;width:11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45,519,278.80</w:t>
                      </w:r>
                    </w:p>
                  </w:txbxContent>
                </v:textbox>
                <w10:wrap type="none"/>
              </v:shape>
              <v:shape style="position:absolute;left:8306;top:1031;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42.01</w:t>
                      </w:r>
                    </w:p>
                  </w:txbxContent>
                </v:textbox>
                <w10:wrap type="none"/>
              </v:shape>
              <v:shape style="position:absolute;left:137;top:1441;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隆基绿能科技股份有限公司</w:t>
                      </w:r>
                    </w:p>
                  </w:txbxContent>
                </v:textbox>
                <w10:wrap type="none"/>
              </v:shape>
              <v:shape style="position:absolute;left:5421;top:1441;width:10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7,735,702.40</w:t>
                      </w:r>
                    </w:p>
                  </w:txbxContent>
                </v:textbox>
                <w10:wrap type="none"/>
              </v:shape>
              <v:shape style="position:absolute;left:8397;top:1441;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7.14</w:t>
                      </w:r>
                    </w:p>
                  </w:txbxContent>
                </v:textbox>
                <w10:wrap type="none"/>
              </v:shape>
              <v:shape style="position:absolute;left:137;top:1852;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安徽乾元管业有限公司</w:t>
                      </w:r>
                    </w:p>
                  </w:txbxContent>
                </v:textbox>
                <w10:wrap type="none"/>
              </v:shape>
              <v:shape style="position:absolute;left:5421;top:1852;width:10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4,547,612.00</w:t>
                      </w:r>
                    </w:p>
                  </w:txbxContent>
                </v:textbox>
                <w10:wrap type="none"/>
              </v:shape>
              <v:shape style="position:absolute;left:8397;top:1852;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4.20</w:t>
                      </w:r>
                    </w:p>
                  </w:txbxContent>
                </v:textbox>
                <w10:wrap type="none"/>
              </v:shape>
            </v:group>
          </v:group>
        </w:pict>
      </w:r>
      <w:r>
        <w:rPr>
          <w:rFonts w:ascii="宋体" w:hAnsi="宋体" w:cs="宋体" w:eastAsia="宋体" w:hint="default"/>
          <w:position w:val="-41"/>
          <w:sz w:val="20"/>
          <w:szCs w:val="20"/>
        </w:rPr>
      </w:r>
    </w:p>
    <w:p>
      <w:pPr>
        <w:spacing w:after="0" w:line="2090" w:lineRule="exact"/>
        <w:rPr>
          <w:rFonts w:ascii="宋体" w:hAnsi="宋体" w:cs="宋体" w:eastAsia="宋体" w:hint="default"/>
          <w:sz w:val="20"/>
          <w:szCs w:val="20"/>
        </w:rPr>
        <w:sectPr>
          <w:type w:val="continuous"/>
          <w:pgSz w:w="11910" w:h="16840"/>
          <w:pgMar w:top="1580" w:bottom="280" w:left="1040" w:right="1560"/>
        </w:sectPr>
      </w:pPr>
    </w:p>
    <w:p>
      <w:pPr>
        <w:spacing w:line="240" w:lineRule="auto" w:before="0"/>
        <w:rPr>
          <w:rFonts w:ascii="宋体" w:hAnsi="宋体" w:cs="宋体" w:eastAsia="宋体" w:hint="default"/>
          <w:sz w:val="24"/>
          <w:szCs w:val="24"/>
        </w:rPr>
      </w:pPr>
    </w:p>
    <w:p>
      <w:pPr>
        <w:spacing w:line="2090" w:lineRule="exact"/>
        <w:ind w:left="208"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44.1pt;height:104.55pt;mso-position-horizontal-relative:char;mso-position-vertical-relative:line" coordorigin="0,0" coordsize="8882,2091">
            <v:group style="position:absolute;left:29;top:14;width:4321;height:2" coordorigin="29,14" coordsize="4321,2">
              <v:shape style="position:absolute;left:29;top:14;width:4321;height:2" coordorigin="29,14" coordsize="4321,0" path="m29,14l4350,14e" filled="false" stroked="true" strokeweight="1.44pt" strokecolor="#000000">
                <v:path arrowok="t"/>
              </v:shape>
              <v:shape style="position:absolute;left:4350;top:29;width:10;height:2" type="#_x0000_t75" stroked="false">
                <v:imagedata r:id="rId84" o:title=""/>
              </v:shape>
            </v:group>
            <v:group style="position:absolute;left:4350;top:14;width:29;height:2" coordorigin="4350,14" coordsize="29,2">
              <v:shape style="position:absolute;left:4350;top:14;width:29;height:2" coordorigin="4350,14" coordsize="29,0" path="m4350,14l4379,14e" filled="false" stroked="true" strokeweight="1.44pt" strokecolor="#000000">
                <v:path arrowok="t"/>
              </v:shape>
            </v:group>
            <v:group style="position:absolute;left:4379;top:14;width:2228;height:2" coordorigin="4379,14" coordsize="2228,2">
              <v:shape style="position:absolute;left:4379;top:14;width:2228;height:2" coordorigin="4379,14" coordsize="2228,0" path="m4379,14l6606,14e" filled="false" stroked="true" strokeweight="1.44pt" strokecolor="#000000">
                <v:path arrowok="t"/>
              </v:shape>
              <v:shape style="position:absolute;left:6606;top:29;width:10;height:2" type="#_x0000_t75" stroked="false">
                <v:imagedata r:id="rId84" o:title=""/>
              </v:shape>
            </v:group>
            <v:group style="position:absolute;left:6606;top:14;width:29;height:2" coordorigin="6606,14" coordsize="29,2">
              <v:shape style="position:absolute;left:6606;top:14;width:29;height:2" coordorigin="6606,14" coordsize="29,0" path="m6606,14l6635,14e" filled="false" stroked="true" strokeweight="1.44pt" strokecolor="#000000">
                <v:path arrowok="t"/>
              </v:shape>
            </v:group>
            <v:group style="position:absolute;left:6635;top:14;width:2233;height:2" coordorigin="6635,14" coordsize="2233,2">
              <v:shape style="position:absolute;left:6635;top:14;width:2233;height:2" coordorigin="6635,14" coordsize="2233,0" path="m6635,14l8867,14e" filled="false" stroked="true" strokeweight="1.44pt" strokecolor="#000000">
                <v:path arrowok="t"/>
              </v:shape>
            </v:group>
            <v:group style="position:absolute;left:4350;top:31;width:10;height:20" coordorigin="4350,31" coordsize="10,20">
              <v:shape style="position:absolute;left:4350;top:31;width:10;height:20" coordorigin="4350,31" coordsize="10,20" path="m4350,50l4359,50,4359,31,4350,31,4350,50xe" filled="true" fillcolor="#000000" stroked="false">
                <v:path arrowok="t"/>
                <v:fill type="solid"/>
              </v:shape>
            </v:group>
            <v:group style="position:absolute;left:4350;top:50;width:10;height:20" coordorigin="4350,50" coordsize="10,20">
              <v:shape style="position:absolute;left:4350;top:50;width:10;height:20" coordorigin="4350,50" coordsize="10,20" path="m4350,70l4359,70,4359,50,4350,50,4350,70xe" filled="true" fillcolor="#000000" stroked="false">
                <v:path arrowok="t"/>
                <v:fill type="solid"/>
              </v:shape>
            </v:group>
            <v:group style="position:absolute;left:4350;top:70;width:10;height:20" coordorigin="4350,70" coordsize="10,20">
              <v:shape style="position:absolute;left:4350;top:70;width:10;height:20" coordorigin="4350,70" coordsize="10,20" path="m4350,89l4359,89,4359,70,4350,70,4350,89xe" filled="true" fillcolor="#000000" stroked="false">
                <v:path arrowok="t"/>
                <v:fill type="solid"/>
              </v:shape>
            </v:group>
            <v:group style="position:absolute;left:4350;top:89;width:10;height:20" coordorigin="4350,89" coordsize="10,20">
              <v:shape style="position:absolute;left:4350;top:89;width:10;height:20" coordorigin="4350,89" coordsize="10,20" path="m4350,108l4359,108,4359,89,4350,89,4350,108xe" filled="true" fillcolor="#000000" stroked="false">
                <v:path arrowok="t"/>
                <v:fill type="solid"/>
              </v:shape>
            </v:group>
            <v:group style="position:absolute;left:4350;top:108;width:10;height:20" coordorigin="4350,108" coordsize="10,20">
              <v:shape style="position:absolute;left:4350;top:108;width:10;height:20" coordorigin="4350,108" coordsize="10,20" path="m4350,127l4359,127,4359,108,4350,108,4350,127xe" filled="true" fillcolor="#000000" stroked="false">
                <v:path arrowok="t"/>
                <v:fill type="solid"/>
              </v:shape>
            </v:group>
            <v:group style="position:absolute;left:4350;top:127;width:10;height:20" coordorigin="4350,127" coordsize="10,20">
              <v:shape style="position:absolute;left:4350;top:127;width:10;height:20" coordorigin="4350,127" coordsize="10,20" path="m4350,146l4359,146,4359,127,4350,127,4350,146xe" filled="true" fillcolor="#000000" stroked="false">
                <v:path arrowok="t"/>
                <v:fill type="solid"/>
              </v:shape>
            </v:group>
            <v:group style="position:absolute;left:4350;top:146;width:10;height:20" coordorigin="4350,146" coordsize="10,20">
              <v:shape style="position:absolute;left:4350;top:146;width:10;height:20" coordorigin="4350,146" coordsize="10,20" path="m4350,166l4359,166,4359,146,4350,146,4350,166xe" filled="true" fillcolor="#000000" stroked="false">
                <v:path arrowok="t"/>
                <v:fill type="solid"/>
              </v:shape>
            </v:group>
            <v:group style="position:absolute;left:4350;top:166;width:10;height:20" coordorigin="4350,166" coordsize="10,20">
              <v:shape style="position:absolute;left:4350;top:166;width:10;height:20" coordorigin="4350,166" coordsize="10,20" path="m4350,185l4359,185,4359,166,4350,166,4350,185xe" filled="true" fillcolor="#000000" stroked="false">
                <v:path arrowok="t"/>
                <v:fill type="solid"/>
              </v:shape>
            </v:group>
            <v:group style="position:absolute;left:4350;top:185;width:10;height:20" coordorigin="4350,185" coordsize="10,20">
              <v:shape style="position:absolute;left:4350;top:185;width:10;height:20" coordorigin="4350,185" coordsize="10,20" path="m4350,204l4359,204,4359,185,4350,185,4350,204xe" filled="true" fillcolor="#000000" stroked="false">
                <v:path arrowok="t"/>
                <v:fill type="solid"/>
              </v:shape>
            </v:group>
            <v:group style="position:absolute;left:4350;top:204;width:10;height:20" coordorigin="4350,204" coordsize="10,20">
              <v:shape style="position:absolute;left:4350;top:204;width:10;height:20" coordorigin="4350,204" coordsize="10,20" path="m4350,224l4359,224,4359,204,4350,204,4350,224xe" filled="true" fillcolor="#000000" stroked="false">
                <v:path arrowok="t"/>
                <v:fill type="solid"/>
              </v:shape>
            </v:group>
            <v:group style="position:absolute;left:4350;top:224;width:10;height:20" coordorigin="4350,224" coordsize="10,20">
              <v:shape style="position:absolute;left:4350;top:224;width:10;height:20" coordorigin="4350,224" coordsize="10,20" path="m4350,243l4359,243,4359,224,4350,224,4350,243xe" filled="true" fillcolor="#000000" stroked="false">
                <v:path arrowok="t"/>
                <v:fill type="solid"/>
              </v:shape>
            </v:group>
            <v:group style="position:absolute;left:4350;top:243;width:10;height:20" coordorigin="4350,243" coordsize="10,20">
              <v:shape style="position:absolute;left:4350;top:243;width:10;height:20" coordorigin="4350,243" coordsize="10,20" path="m4350,262l4359,262,4359,243,4350,243,4350,262xe" filled="true" fillcolor="#000000" stroked="false">
                <v:path arrowok="t"/>
                <v:fill type="solid"/>
              </v:shape>
            </v:group>
            <v:group style="position:absolute;left:4350;top:262;width:10;height:20" coordorigin="4350,262" coordsize="10,20">
              <v:shape style="position:absolute;left:4350;top:262;width:10;height:20" coordorigin="4350,262" coordsize="10,20" path="m4350,281l4359,281,4359,262,4350,262,4350,281xe" filled="true" fillcolor="#000000" stroked="false">
                <v:path arrowok="t"/>
                <v:fill type="solid"/>
              </v:shape>
            </v:group>
            <v:group style="position:absolute;left:4350;top:281;width:10;height:20" coordorigin="4350,281" coordsize="10,20">
              <v:shape style="position:absolute;left:4350;top:281;width:10;height:20" coordorigin="4350,281" coordsize="10,20" path="m4350,300l4359,300,4359,281,4350,281,4350,300xe" filled="true" fillcolor="#000000" stroked="false">
                <v:path arrowok="t"/>
                <v:fill type="solid"/>
              </v:shape>
            </v:group>
            <v:group style="position:absolute;left:4350;top:300;width:10;height:20" coordorigin="4350,300" coordsize="10,20">
              <v:shape style="position:absolute;left:4350;top:300;width:10;height:20" coordorigin="4350,300" coordsize="10,20" path="m4350,320l4359,320,4359,300,4350,300,4350,320xe" filled="true" fillcolor="#000000" stroked="false">
                <v:path arrowok="t"/>
                <v:fill type="solid"/>
              </v:shape>
            </v:group>
            <v:group style="position:absolute;left:4350;top:320;width:10;height:20" coordorigin="4350,320" coordsize="10,20">
              <v:shape style="position:absolute;left:4350;top:320;width:10;height:20" coordorigin="4350,320" coordsize="10,20" path="m4350,339l4359,339,4359,320,4350,320,4350,339xe" filled="true" fillcolor="#000000" stroked="false">
                <v:path arrowok="t"/>
                <v:fill type="solid"/>
              </v:shape>
            </v:group>
            <v:group style="position:absolute;left:4350;top:339;width:10;height:20" coordorigin="4350,339" coordsize="10,20">
              <v:shape style="position:absolute;left:4350;top:339;width:10;height:20" coordorigin="4350,339" coordsize="10,20" path="m4350,358l4359,358,4359,339,4350,339,4350,358xe" filled="true" fillcolor="#000000" stroked="false">
                <v:path arrowok="t"/>
                <v:fill type="solid"/>
              </v:shape>
            </v:group>
            <v:group style="position:absolute;left:4350;top:358;width:10;height:20" coordorigin="4350,358" coordsize="10,20">
              <v:shape style="position:absolute;left:4350;top:358;width:10;height:20" coordorigin="4350,358" coordsize="10,20" path="m4350,377l4359,377,4359,358,4350,358,4350,377xe" filled="true" fillcolor="#000000" stroked="false">
                <v:path arrowok="t"/>
                <v:fill type="solid"/>
              </v:shape>
            </v:group>
            <v:group style="position:absolute;left:4350;top:377;width:10;height:20" coordorigin="4350,377" coordsize="10,20">
              <v:shape style="position:absolute;left:4350;top:377;width:10;height:20" coordorigin="4350,377" coordsize="10,20" path="m4350,396l4359,396,4359,377,4350,377,4350,396xe" filled="true" fillcolor="#000000" stroked="false">
                <v:path arrowok="t"/>
                <v:fill type="solid"/>
              </v:shape>
            </v:group>
            <v:group style="position:absolute;left:4350;top:396;width:10;height:20" coordorigin="4350,396" coordsize="10,20">
              <v:shape style="position:absolute;left:4350;top:396;width:10;height:20" coordorigin="4350,396" coordsize="10,20" path="m4350,416l4359,416,4359,396,4350,396,4350,416xe" filled="true" fillcolor="#000000" stroked="false">
                <v:path arrowok="t"/>
                <v:fill type="solid"/>
              </v:shape>
            </v:group>
            <v:group style="position:absolute;left:4350;top:416;width:10;height:20" coordorigin="4350,416" coordsize="10,20">
              <v:shape style="position:absolute;left:4350;top:416;width:10;height:20" coordorigin="4350,416" coordsize="10,20" path="m4350,435l4359,435,4359,416,4350,416,4350,435xe" filled="true" fillcolor="#000000" stroked="false">
                <v:path arrowok="t"/>
                <v:fill type="solid"/>
              </v:shape>
            </v:group>
            <v:group style="position:absolute;left:4350;top:435;width:10;height:20" coordorigin="4350,435" coordsize="10,20">
              <v:shape style="position:absolute;left:4350;top:435;width:10;height:20" coordorigin="4350,435" coordsize="10,20" path="m4350,454l4359,454,4359,435,4350,435,4350,454xe" filled="true" fillcolor="#000000" stroked="false">
                <v:path arrowok="t"/>
                <v:fill type="solid"/>
              </v:shape>
            </v:group>
            <v:group style="position:absolute;left:4350;top:454;width:10;height:20" coordorigin="4350,454" coordsize="10,20">
              <v:shape style="position:absolute;left:4350;top:454;width:10;height:20" coordorigin="4350,454" coordsize="10,20" path="m4350,473l4359,473,4359,454,4350,454,4350,473xe" filled="true" fillcolor="#000000" stroked="false">
                <v:path arrowok="t"/>
                <v:fill type="solid"/>
              </v:shape>
            </v:group>
            <v:group style="position:absolute;left:4350;top:473;width:10;height:20" coordorigin="4350,473" coordsize="10,20">
              <v:shape style="position:absolute;left:4350;top:473;width:10;height:20" coordorigin="4350,473" coordsize="10,20" path="m4350,492l4359,492,4359,473,4350,473,4350,492xe" filled="true" fillcolor="#000000" stroked="false">
                <v:path arrowok="t"/>
                <v:fill type="solid"/>
              </v:shape>
            </v:group>
            <v:group style="position:absolute;left:4350;top:492;width:10;height:20" coordorigin="4350,492" coordsize="10,20">
              <v:shape style="position:absolute;left:4350;top:492;width:10;height:20" coordorigin="4350,492" coordsize="10,20" path="m4350,512l4359,512,4359,492,4350,492,4350,512xe" filled="true" fillcolor="#000000" stroked="false">
                <v:path arrowok="t"/>
                <v:fill type="solid"/>
              </v:shape>
            </v:group>
            <v:group style="position:absolute;left:4350;top:512;width:10;height:20" coordorigin="4350,512" coordsize="10,20">
              <v:shape style="position:absolute;left:4350;top:512;width:10;height:20" coordorigin="4350,512" coordsize="10,20" path="m4350,531l4359,531,4359,512,4350,512,4350,531xe" filled="true" fillcolor="#000000" stroked="false">
                <v:path arrowok="t"/>
                <v:fill type="solid"/>
              </v:shape>
            </v:group>
            <v:group style="position:absolute;left:4350;top:531;width:10;height:20" coordorigin="4350,531" coordsize="10,20">
              <v:shape style="position:absolute;left:4350;top:531;width:10;height:20" coordorigin="4350,531" coordsize="10,20" path="m4350,550l4359,550,4359,531,4350,531,4350,550xe" filled="true" fillcolor="#000000" stroked="false">
                <v:path arrowok="t"/>
                <v:fill type="solid"/>
              </v:shape>
            </v:group>
            <v:group style="position:absolute;left:4350;top:550;width:10;height:20" coordorigin="4350,550" coordsize="10,20">
              <v:shape style="position:absolute;left:4350;top:550;width:10;height:20" coordorigin="4350,550" coordsize="10,20" path="m4350,569l4359,569,4359,550,4350,550,4350,569xe" filled="true" fillcolor="#000000" stroked="false">
                <v:path arrowok="t"/>
                <v:fill type="solid"/>
              </v:shape>
            </v:group>
            <v:group style="position:absolute;left:4350;top:569;width:10;height:20" coordorigin="4350,569" coordsize="10,20">
              <v:shape style="position:absolute;left:4350;top:569;width:10;height:20" coordorigin="4350,569" coordsize="10,20" path="m4350,588l4359,588,4359,569,4350,569,4350,588xe" filled="true" fillcolor="#000000" stroked="false">
                <v:path arrowok="t"/>
                <v:fill type="solid"/>
              </v:shape>
            </v:group>
            <v:group style="position:absolute;left:4350;top:588;width:10;height:20" coordorigin="4350,588" coordsize="10,20">
              <v:shape style="position:absolute;left:4350;top:588;width:10;height:20" coordorigin="4350,588" coordsize="10,20" path="m4350,608l4359,608,4359,588,4350,588,4350,608xe" filled="true" fillcolor="#000000" stroked="false">
                <v:path arrowok="t"/>
                <v:fill type="solid"/>
              </v:shape>
            </v:group>
            <v:group style="position:absolute;left:4350;top:608;width:10;height:20" coordorigin="4350,608" coordsize="10,20">
              <v:shape style="position:absolute;left:4350;top:608;width:10;height:20" coordorigin="4350,608" coordsize="10,20" path="m4350,627l4359,627,4359,608,4350,608,4350,627xe" filled="true" fillcolor="#000000" stroked="false">
                <v:path arrowok="t"/>
                <v:fill type="solid"/>
              </v:shape>
            </v:group>
            <v:group style="position:absolute;left:4350;top:627;width:10;height:20" coordorigin="4350,627" coordsize="10,20">
              <v:shape style="position:absolute;left:4350;top:627;width:10;height:20" coordorigin="4350,627" coordsize="10,20" path="m4350,646l4359,646,4359,627,4350,627,4350,646xe" filled="true" fillcolor="#000000" stroked="false">
                <v:path arrowok="t"/>
                <v:fill type="solid"/>
              </v:shape>
            </v:group>
            <v:group style="position:absolute;left:4350;top:646;width:10;height:20" coordorigin="4350,646" coordsize="10,20">
              <v:shape style="position:absolute;left:4350;top:646;width:10;height:20" coordorigin="4350,646" coordsize="10,20" path="m4350,665l4359,665,4359,646,4350,646,4350,665xe" filled="true" fillcolor="#000000" stroked="false">
                <v:path arrowok="t"/>
                <v:fill type="solid"/>
              </v:shape>
            </v:group>
            <v:group style="position:absolute;left:4350;top:665;width:10;height:20" coordorigin="4350,665" coordsize="10,20">
              <v:shape style="position:absolute;left:4350;top:665;width:10;height:20" coordorigin="4350,665" coordsize="10,20" path="m4350,684l4359,684,4359,665,4350,665,4350,684xe" filled="true" fillcolor="#000000" stroked="false">
                <v:path arrowok="t"/>
                <v:fill type="solid"/>
              </v:shape>
            </v:group>
            <v:group style="position:absolute;left:4350;top:684;width:10;height:20" coordorigin="4350,684" coordsize="10,20">
              <v:shape style="position:absolute;left:4350;top:684;width:10;height:20" coordorigin="4350,684" coordsize="10,20" path="m4350,704l4359,704,4359,684,4350,684,4350,704xe" filled="true" fillcolor="#000000" stroked="false">
                <v:path arrowok="t"/>
                <v:fill type="solid"/>
              </v:shape>
            </v:group>
            <v:group style="position:absolute;left:4350;top:704;width:10;height:20" coordorigin="4350,704" coordsize="10,20">
              <v:shape style="position:absolute;left:4350;top:704;width:10;height:20" coordorigin="4350,704" coordsize="10,20" path="m4350,723l4359,723,4359,704,4350,704,4350,723xe" filled="true" fillcolor="#000000" stroked="false">
                <v:path arrowok="t"/>
                <v:fill type="solid"/>
              </v:shape>
            </v:group>
            <v:group style="position:absolute;left:4350;top:723;width:10;height:20" coordorigin="4350,723" coordsize="10,20">
              <v:shape style="position:absolute;left:4350;top:723;width:10;height:20" coordorigin="4350,723" coordsize="10,20" path="m4350,742l4359,742,4359,723,4350,723,4350,742xe" filled="true" fillcolor="#000000" stroked="false">
                <v:path arrowok="t"/>
                <v:fill type="solid"/>
              </v:shape>
            </v:group>
            <v:group style="position:absolute;left:4350;top:742;width:10;height:20" coordorigin="4350,742" coordsize="10,20">
              <v:shape style="position:absolute;left:4350;top:742;width:10;height:20" coordorigin="4350,742" coordsize="10,20" path="m4350,761l4359,761,4359,742,4350,742,4350,761xe" filled="true" fillcolor="#000000" stroked="false">
                <v:path arrowok="t"/>
                <v:fill type="solid"/>
              </v:shape>
            </v:group>
            <v:group style="position:absolute;left:4350;top:761;width:10;height:20" coordorigin="4350,761" coordsize="10,20">
              <v:shape style="position:absolute;left:4350;top:761;width:10;height:20" coordorigin="4350,761" coordsize="10,20" path="m4350,780l4359,780,4359,761,4350,761,4350,780xe" filled="true" fillcolor="#000000" stroked="false">
                <v:path arrowok="t"/>
                <v:fill type="solid"/>
              </v:shape>
            </v:group>
            <v:group style="position:absolute;left:4350;top:780;width:10;height:20" coordorigin="4350,780" coordsize="10,20">
              <v:shape style="position:absolute;left:4350;top:780;width:10;height:20" coordorigin="4350,780" coordsize="10,20" path="m4350,800l4359,800,4359,780,4350,780,4350,800xe" filled="true" fillcolor="#000000" stroked="false">
                <v:path arrowok="t"/>
                <v:fill type="solid"/>
              </v:shape>
            </v:group>
            <v:group style="position:absolute;left:4350;top:800;width:10;height:20" coordorigin="4350,800" coordsize="10,20">
              <v:shape style="position:absolute;left:4350;top:800;width:10;height:20" coordorigin="4350,800" coordsize="10,20" path="m4350,819l4359,819,4359,800,4350,800,4350,819xe" filled="true" fillcolor="#000000" stroked="false">
                <v:path arrowok="t"/>
                <v:fill type="solid"/>
              </v:shape>
            </v:group>
            <v:group style="position:absolute;left:4350;top:825;width:10;height:2" coordorigin="4350,825" coordsize="10,2">
              <v:shape style="position:absolute;left:4350;top:825;width:10;height:2" coordorigin="4350,825" coordsize="10,0" path="m4350,825l4359,825e" filled="false" stroked="true" strokeweight=".599980pt" strokecolor="#000000">
                <v:path arrowok="t"/>
              </v:shape>
            </v:group>
            <v:group style="position:absolute;left:6606;top:31;width:10;height:20" coordorigin="6606,31" coordsize="10,20">
              <v:shape style="position:absolute;left:6606;top:31;width:10;height:20" coordorigin="6606,31" coordsize="10,20" path="m6606,50l6616,50,6616,31,6606,31,6606,50xe" filled="true" fillcolor="#000000" stroked="false">
                <v:path arrowok="t"/>
                <v:fill type="solid"/>
              </v:shape>
            </v:group>
            <v:group style="position:absolute;left:6606;top:50;width:10;height:20" coordorigin="6606,50" coordsize="10,20">
              <v:shape style="position:absolute;left:6606;top:50;width:10;height:20" coordorigin="6606,50" coordsize="10,20" path="m6606,70l6616,70,6616,50,6606,50,6606,70xe" filled="true" fillcolor="#000000" stroked="false">
                <v:path arrowok="t"/>
                <v:fill type="solid"/>
              </v:shape>
            </v:group>
            <v:group style="position:absolute;left:6606;top:70;width:10;height:20" coordorigin="6606,70" coordsize="10,20">
              <v:shape style="position:absolute;left:6606;top:70;width:10;height:20" coordorigin="6606,70" coordsize="10,20" path="m6606,89l6616,89,6616,70,6606,70,6606,89xe" filled="true" fillcolor="#000000" stroked="false">
                <v:path arrowok="t"/>
                <v:fill type="solid"/>
              </v:shape>
            </v:group>
            <v:group style="position:absolute;left:6606;top:89;width:10;height:20" coordorigin="6606,89" coordsize="10,20">
              <v:shape style="position:absolute;left:6606;top:89;width:10;height:20" coordorigin="6606,89" coordsize="10,20" path="m6606,108l6616,108,6616,89,6606,89,6606,108xe" filled="true" fillcolor="#000000" stroked="false">
                <v:path arrowok="t"/>
                <v:fill type="solid"/>
              </v:shape>
            </v:group>
            <v:group style="position:absolute;left:6606;top:108;width:10;height:20" coordorigin="6606,108" coordsize="10,20">
              <v:shape style="position:absolute;left:6606;top:108;width:10;height:20" coordorigin="6606,108" coordsize="10,20" path="m6606,127l6616,127,6616,108,6606,108,6606,127xe" filled="true" fillcolor="#000000" stroked="false">
                <v:path arrowok="t"/>
                <v:fill type="solid"/>
              </v:shape>
            </v:group>
            <v:group style="position:absolute;left:6606;top:127;width:10;height:20" coordorigin="6606,127" coordsize="10,20">
              <v:shape style="position:absolute;left:6606;top:127;width:10;height:20" coordorigin="6606,127" coordsize="10,20" path="m6606,146l6616,146,6616,127,6606,127,6606,146xe" filled="true" fillcolor="#000000" stroked="false">
                <v:path arrowok="t"/>
                <v:fill type="solid"/>
              </v:shape>
            </v:group>
            <v:group style="position:absolute;left:6606;top:146;width:10;height:20" coordorigin="6606,146" coordsize="10,20">
              <v:shape style="position:absolute;left:6606;top:146;width:10;height:20" coordorigin="6606,146" coordsize="10,20" path="m6606,166l6616,166,6616,146,6606,146,6606,166xe" filled="true" fillcolor="#000000" stroked="false">
                <v:path arrowok="t"/>
                <v:fill type="solid"/>
              </v:shape>
            </v:group>
            <v:group style="position:absolute;left:6606;top:166;width:10;height:20" coordorigin="6606,166" coordsize="10,20">
              <v:shape style="position:absolute;left:6606;top:166;width:10;height:20" coordorigin="6606,166" coordsize="10,20" path="m6606,185l6616,185,6616,166,6606,166,6606,185xe" filled="true" fillcolor="#000000" stroked="false">
                <v:path arrowok="t"/>
                <v:fill type="solid"/>
              </v:shape>
            </v:group>
            <v:group style="position:absolute;left:6606;top:185;width:10;height:20" coordorigin="6606,185" coordsize="10,20">
              <v:shape style="position:absolute;left:6606;top:185;width:10;height:20" coordorigin="6606,185" coordsize="10,20" path="m6606,204l6616,204,6616,185,6606,185,6606,204xe" filled="true" fillcolor="#000000" stroked="false">
                <v:path arrowok="t"/>
                <v:fill type="solid"/>
              </v:shape>
            </v:group>
            <v:group style="position:absolute;left:6606;top:204;width:10;height:20" coordorigin="6606,204" coordsize="10,20">
              <v:shape style="position:absolute;left:6606;top:204;width:10;height:20" coordorigin="6606,204" coordsize="10,20" path="m6606,224l6616,224,6616,204,6606,204,6606,224xe" filled="true" fillcolor="#000000" stroked="false">
                <v:path arrowok="t"/>
                <v:fill type="solid"/>
              </v:shape>
            </v:group>
            <v:group style="position:absolute;left:6606;top:224;width:10;height:20" coordorigin="6606,224" coordsize="10,20">
              <v:shape style="position:absolute;left:6606;top:224;width:10;height:20" coordorigin="6606,224" coordsize="10,20" path="m6606,243l6616,243,6616,224,6606,224,6606,243xe" filled="true" fillcolor="#000000" stroked="false">
                <v:path arrowok="t"/>
                <v:fill type="solid"/>
              </v:shape>
            </v:group>
            <v:group style="position:absolute;left:6606;top:243;width:10;height:20" coordorigin="6606,243" coordsize="10,20">
              <v:shape style="position:absolute;left:6606;top:243;width:10;height:20" coordorigin="6606,243" coordsize="10,20" path="m6606,262l6616,262,6616,243,6606,243,6606,262xe" filled="true" fillcolor="#000000" stroked="false">
                <v:path arrowok="t"/>
                <v:fill type="solid"/>
              </v:shape>
            </v:group>
            <v:group style="position:absolute;left:6606;top:262;width:10;height:20" coordorigin="6606,262" coordsize="10,20">
              <v:shape style="position:absolute;left:6606;top:262;width:10;height:20" coordorigin="6606,262" coordsize="10,20" path="m6606,281l6616,281,6616,262,6606,262,6606,281xe" filled="true" fillcolor="#000000" stroked="false">
                <v:path arrowok="t"/>
                <v:fill type="solid"/>
              </v:shape>
            </v:group>
            <v:group style="position:absolute;left:6606;top:281;width:10;height:20" coordorigin="6606,281" coordsize="10,20">
              <v:shape style="position:absolute;left:6606;top:281;width:10;height:20" coordorigin="6606,281" coordsize="10,20" path="m6606,300l6616,300,6616,281,6606,281,6606,300xe" filled="true" fillcolor="#000000" stroked="false">
                <v:path arrowok="t"/>
                <v:fill type="solid"/>
              </v:shape>
            </v:group>
            <v:group style="position:absolute;left:6606;top:300;width:10;height:20" coordorigin="6606,300" coordsize="10,20">
              <v:shape style="position:absolute;left:6606;top:300;width:10;height:20" coordorigin="6606,300" coordsize="10,20" path="m6606,320l6616,320,6616,300,6606,300,6606,320xe" filled="true" fillcolor="#000000" stroked="false">
                <v:path arrowok="t"/>
                <v:fill type="solid"/>
              </v:shape>
            </v:group>
            <v:group style="position:absolute;left:6606;top:320;width:10;height:20" coordorigin="6606,320" coordsize="10,20">
              <v:shape style="position:absolute;left:6606;top:320;width:10;height:20" coordorigin="6606,320" coordsize="10,20" path="m6606,339l6616,339,6616,320,6606,320,6606,339xe" filled="true" fillcolor="#000000" stroked="false">
                <v:path arrowok="t"/>
                <v:fill type="solid"/>
              </v:shape>
            </v:group>
            <v:group style="position:absolute;left:6606;top:339;width:10;height:20" coordorigin="6606,339" coordsize="10,20">
              <v:shape style="position:absolute;left:6606;top:339;width:10;height:20" coordorigin="6606,339" coordsize="10,20" path="m6606,358l6616,358,6616,339,6606,339,6606,358xe" filled="true" fillcolor="#000000" stroked="false">
                <v:path arrowok="t"/>
                <v:fill type="solid"/>
              </v:shape>
            </v:group>
            <v:group style="position:absolute;left:6606;top:358;width:10;height:20" coordorigin="6606,358" coordsize="10,20">
              <v:shape style="position:absolute;left:6606;top:358;width:10;height:20" coordorigin="6606,358" coordsize="10,20" path="m6606,377l6616,377,6616,358,6606,358,6606,377xe" filled="true" fillcolor="#000000" stroked="false">
                <v:path arrowok="t"/>
                <v:fill type="solid"/>
              </v:shape>
            </v:group>
            <v:group style="position:absolute;left:6606;top:377;width:10;height:20" coordorigin="6606,377" coordsize="10,20">
              <v:shape style="position:absolute;left:6606;top:377;width:10;height:20" coordorigin="6606,377" coordsize="10,20" path="m6606,396l6616,396,6616,377,6606,377,6606,396xe" filled="true" fillcolor="#000000" stroked="false">
                <v:path arrowok="t"/>
                <v:fill type="solid"/>
              </v:shape>
            </v:group>
            <v:group style="position:absolute;left:6606;top:396;width:10;height:20" coordorigin="6606,396" coordsize="10,20">
              <v:shape style="position:absolute;left:6606;top:396;width:10;height:20" coordorigin="6606,396" coordsize="10,20" path="m6606,416l6616,416,6616,396,6606,396,6606,416xe" filled="true" fillcolor="#000000" stroked="false">
                <v:path arrowok="t"/>
                <v:fill type="solid"/>
              </v:shape>
            </v:group>
            <v:group style="position:absolute;left:6606;top:416;width:10;height:20" coordorigin="6606,416" coordsize="10,20">
              <v:shape style="position:absolute;left:6606;top:416;width:10;height:20" coordorigin="6606,416" coordsize="10,20" path="m6606,435l6616,435,6616,416,6606,416,6606,435xe" filled="true" fillcolor="#000000" stroked="false">
                <v:path arrowok="t"/>
                <v:fill type="solid"/>
              </v:shape>
            </v:group>
            <v:group style="position:absolute;left:6606;top:435;width:10;height:20" coordorigin="6606,435" coordsize="10,20">
              <v:shape style="position:absolute;left:6606;top:435;width:10;height:20" coordorigin="6606,435" coordsize="10,20" path="m6606,454l6616,454,6616,435,6606,435,6606,454xe" filled="true" fillcolor="#000000" stroked="false">
                <v:path arrowok="t"/>
                <v:fill type="solid"/>
              </v:shape>
            </v:group>
            <v:group style="position:absolute;left:6606;top:454;width:10;height:20" coordorigin="6606,454" coordsize="10,20">
              <v:shape style="position:absolute;left:6606;top:454;width:10;height:20" coordorigin="6606,454" coordsize="10,20" path="m6606,473l6616,473,6616,454,6606,454,6606,473xe" filled="true" fillcolor="#000000" stroked="false">
                <v:path arrowok="t"/>
                <v:fill type="solid"/>
              </v:shape>
            </v:group>
            <v:group style="position:absolute;left:6606;top:473;width:10;height:20" coordorigin="6606,473" coordsize="10,20">
              <v:shape style="position:absolute;left:6606;top:473;width:10;height:20" coordorigin="6606,473" coordsize="10,20" path="m6606,492l6616,492,6616,473,6606,473,6606,492xe" filled="true" fillcolor="#000000" stroked="false">
                <v:path arrowok="t"/>
                <v:fill type="solid"/>
              </v:shape>
            </v:group>
            <v:group style="position:absolute;left:6606;top:492;width:10;height:20" coordorigin="6606,492" coordsize="10,20">
              <v:shape style="position:absolute;left:6606;top:492;width:10;height:20" coordorigin="6606,492" coordsize="10,20" path="m6606,512l6616,512,6616,492,6606,492,6606,512xe" filled="true" fillcolor="#000000" stroked="false">
                <v:path arrowok="t"/>
                <v:fill type="solid"/>
              </v:shape>
            </v:group>
            <v:group style="position:absolute;left:6606;top:512;width:10;height:20" coordorigin="6606,512" coordsize="10,20">
              <v:shape style="position:absolute;left:6606;top:512;width:10;height:20" coordorigin="6606,512" coordsize="10,20" path="m6606,531l6616,531,6616,512,6606,512,6606,531xe" filled="true" fillcolor="#000000" stroked="false">
                <v:path arrowok="t"/>
                <v:fill type="solid"/>
              </v:shape>
            </v:group>
            <v:group style="position:absolute;left:6606;top:531;width:10;height:20" coordorigin="6606,531" coordsize="10,20">
              <v:shape style="position:absolute;left:6606;top:531;width:10;height:20" coordorigin="6606,531" coordsize="10,20" path="m6606,550l6616,550,6616,531,6606,531,6606,550xe" filled="true" fillcolor="#000000" stroked="false">
                <v:path arrowok="t"/>
                <v:fill type="solid"/>
              </v:shape>
            </v:group>
            <v:group style="position:absolute;left:6606;top:550;width:10;height:20" coordorigin="6606,550" coordsize="10,20">
              <v:shape style="position:absolute;left:6606;top:550;width:10;height:20" coordorigin="6606,550" coordsize="10,20" path="m6606,569l6616,569,6616,550,6606,550,6606,569xe" filled="true" fillcolor="#000000" stroked="false">
                <v:path arrowok="t"/>
                <v:fill type="solid"/>
              </v:shape>
            </v:group>
            <v:group style="position:absolute;left:6606;top:569;width:10;height:20" coordorigin="6606,569" coordsize="10,20">
              <v:shape style="position:absolute;left:6606;top:569;width:10;height:20" coordorigin="6606,569" coordsize="10,20" path="m6606,588l6616,588,6616,569,6606,569,6606,588xe" filled="true" fillcolor="#000000" stroked="false">
                <v:path arrowok="t"/>
                <v:fill type="solid"/>
              </v:shape>
            </v:group>
            <v:group style="position:absolute;left:6606;top:588;width:10;height:20" coordorigin="6606,588" coordsize="10,20">
              <v:shape style="position:absolute;left:6606;top:588;width:10;height:20" coordorigin="6606,588" coordsize="10,20" path="m6606,608l6616,608,6616,588,6606,588,6606,608xe" filled="true" fillcolor="#000000" stroked="false">
                <v:path arrowok="t"/>
                <v:fill type="solid"/>
              </v:shape>
            </v:group>
            <v:group style="position:absolute;left:6606;top:608;width:10;height:20" coordorigin="6606,608" coordsize="10,20">
              <v:shape style="position:absolute;left:6606;top:608;width:10;height:20" coordorigin="6606,608" coordsize="10,20" path="m6606,627l6616,627,6616,608,6606,608,6606,627xe" filled="true" fillcolor="#000000" stroked="false">
                <v:path arrowok="t"/>
                <v:fill type="solid"/>
              </v:shape>
            </v:group>
            <v:group style="position:absolute;left:6606;top:627;width:10;height:20" coordorigin="6606,627" coordsize="10,20">
              <v:shape style="position:absolute;left:6606;top:627;width:10;height:20" coordorigin="6606,627" coordsize="10,20" path="m6606,646l6616,646,6616,627,6606,627,6606,646xe" filled="true" fillcolor="#000000" stroked="false">
                <v:path arrowok="t"/>
                <v:fill type="solid"/>
              </v:shape>
            </v:group>
            <v:group style="position:absolute;left:6606;top:646;width:10;height:20" coordorigin="6606,646" coordsize="10,20">
              <v:shape style="position:absolute;left:6606;top:646;width:10;height:20" coordorigin="6606,646" coordsize="10,20" path="m6606,665l6616,665,6616,646,6606,646,6606,665xe" filled="true" fillcolor="#000000" stroked="false">
                <v:path arrowok="t"/>
                <v:fill type="solid"/>
              </v:shape>
            </v:group>
            <v:group style="position:absolute;left:6606;top:665;width:10;height:20" coordorigin="6606,665" coordsize="10,20">
              <v:shape style="position:absolute;left:6606;top:665;width:10;height:20" coordorigin="6606,665" coordsize="10,20" path="m6606,684l6616,684,6616,665,6606,665,6606,684xe" filled="true" fillcolor="#000000" stroked="false">
                <v:path arrowok="t"/>
                <v:fill type="solid"/>
              </v:shape>
            </v:group>
            <v:group style="position:absolute;left:6606;top:684;width:10;height:20" coordorigin="6606,684" coordsize="10,20">
              <v:shape style="position:absolute;left:6606;top:684;width:10;height:20" coordorigin="6606,684" coordsize="10,20" path="m6606,704l6616,704,6616,684,6606,684,6606,704xe" filled="true" fillcolor="#000000" stroked="false">
                <v:path arrowok="t"/>
                <v:fill type="solid"/>
              </v:shape>
            </v:group>
            <v:group style="position:absolute;left:6606;top:704;width:10;height:20" coordorigin="6606,704" coordsize="10,20">
              <v:shape style="position:absolute;left:6606;top:704;width:10;height:20" coordorigin="6606,704" coordsize="10,20" path="m6606,723l6616,723,6616,704,6606,704,6606,723xe" filled="true" fillcolor="#000000" stroked="false">
                <v:path arrowok="t"/>
                <v:fill type="solid"/>
              </v:shape>
            </v:group>
            <v:group style="position:absolute;left:6606;top:723;width:10;height:20" coordorigin="6606,723" coordsize="10,20">
              <v:shape style="position:absolute;left:6606;top:723;width:10;height:20" coordorigin="6606,723" coordsize="10,20" path="m6606,742l6616,742,6616,723,6606,723,6606,742xe" filled="true" fillcolor="#000000" stroked="false">
                <v:path arrowok="t"/>
                <v:fill type="solid"/>
              </v:shape>
            </v:group>
            <v:group style="position:absolute;left:6606;top:742;width:10;height:20" coordorigin="6606,742" coordsize="10,20">
              <v:shape style="position:absolute;left:6606;top:742;width:10;height:20" coordorigin="6606,742" coordsize="10,20" path="m6606,761l6616,761,6616,742,6606,742,6606,761xe" filled="true" fillcolor="#000000" stroked="false">
                <v:path arrowok="t"/>
                <v:fill type="solid"/>
              </v:shape>
            </v:group>
            <v:group style="position:absolute;left:6606;top:761;width:10;height:20" coordorigin="6606,761" coordsize="10,20">
              <v:shape style="position:absolute;left:6606;top:761;width:10;height:20" coordorigin="6606,761" coordsize="10,20" path="m6606,780l6616,780,6616,761,6606,761,6606,780xe" filled="true" fillcolor="#000000" stroked="false">
                <v:path arrowok="t"/>
                <v:fill type="solid"/>
              </v:shape>
            </v:group>
            <v:group style="position:absolute;left:6606;top:780;width:10;height:20" coordorigin="6606,780" coordsize="10,20">
              <v:shape style="position:absolute;left:6606;top:780;width:10;height:20" coordorigin="6606,780" coordsize="10,20" path="m6606,800l6616,800,6616,780,6606,780,6606,800xe" filled="true" fillcolor="#000000" stroked="false">
                <v:path arrowok="t"/>
                <v:fill type="solid"/>
              </v:shape>
            </v:group>
            <v:group style="position:absolute;left:6606;top:800;width:10;height:20" coordorigin="6606,800" coordsize="10,20">
              <v:shape style="position:absolute;left:6606;top:800;width:10;height:20" coordorigin="6606,800" coordsize="10,20" path="m6606,819l6616,819,6616,800,6606,800,6606,819xe" filled="true" fillcolor="#000000" stroked="false">
                <v:path arrowok="t"/>
                <v:fill type="solid"/>
              </v:shape>
            </v:group>
            <v:group style="position:absolute;left:6606;top:825;width:10;height:2" coordorigin="6606,825" coordsize="10,2">
              <v:shape style="position:absolute;left:6606;top:825;width:10;height:2" coordorigin="6606,825" coordsize="10,0" path="m6606,825l6616,825e" filled="false" stroked="true" strokeweight=".599980pt" strokecolor="#000000">
                <v:path arrowok="t"/>
              </v:shape>
            </v:group>
            <v:group style="position:absolute;left:4350;top:836;width:10;height:2" coordorigin="4350,836" coordsize="10,2">
              <v:shape style="position:absolute;left:4350;top:836;width:10;height:2" coordorigin="4350,836" coordsize="10,0" path="m4350,836l4359,836e" filled="false" stroked="true" strokeweight=".47998pt" strokecolor="#000000">
                <v:path arrowok="t"/>
              </v:shape>
            </v:group>
            <v:group style="position:absolute;left:6606;top:836;width:10;height:2" coordorigin="6606,836" coordsize="10,2">
              <v:shape style="position:absolute;left:6606;top:836;width:10;height:2" coordorigin="6606,836" coordsize="10,0" path="m6606,836l6616,836e" filled="false" stroked="true" strokeweight=".47998pt" strokecolor="#000000">
                <v:path arrowok="t"/>
              </v:shape>
              <v:shape style="position:absolute;left:29;top:831;width:8838;height:10" type="#_x0000_t75" stroked="false">
                <v:imagedata r:id="rId81" o:title=""/>
              </v:shape>
            </v:group>
            <v:group style="position:absolute;left:4350;top:840;width:10;height:20" coordorigin="4350,840" coordsize="10,20">
              <v:shape style="position:absolute;left:4350;top:840;width:10;height:20" coordorigin="4350,840" coordsize="10,20" path="m4350,860l4359,860,4359,840,4350,840,4350,860xe" filled="true" fillcolor="#000000" stroked="false">
                <v:path arrowok="t"/>
                <v:fill type="solid"/>
              </v:shape>
            </v:group>
            <v:group style="position:absolute;left:4350;top:860;width:10;height:20" coordorigin="4350,860" coordsize="10,20">
              <v:shape style="position:absolute;left:4350;top:860;width:10;height:20" coordorigin="4350,860" coordsize="10,20" path="m4350,879l4359,879,4359,860,4350,860,4350,879xe" filled="true" fillcolor="#000000" stroked="false">
                <v:path arrowok="t"/>
                <v:fill type="solid"/>
              </v:shape>
            </v:group>
            <v:group style="position:absolute;left:4350;top:879;width:10;height:20" coordorigin="4350,879" coordsize="10,20">
              <v:shape style="position:absolute;left:4350;top:879;width:10;height:20" coordorigin="4350,879" coordsize="10,20" path="m4350,898l4359,898,4359,879,4350,879,4350,898xe" filled="true" fillcolor="#000000" stroked="false">
                <v:path arrowok="t"/>
                <v:fill type="solid"/>
              </v:shape>
            </v:group>
            <v:group style="position:absolute;left:4350;top:898;width:10;height:20" coordorigin="4350,898" coordsize="10,20">
              <v:shape style="position:absolute;left:4350;top:898;width:10;height:20" coordorigin="4350,898" coordsize="10,20" path="m4350,917l4359,917,4359,898,4350,898,4350,917xe" filled="true" fillcolor="#000000" stroked="false">
                <v:path arrowok="t"/>
                <v:fill type="solid"/>
              </v:shape>
            </v:group>
            <v:group style="position:absolute;left:4350;top:917;width:10;height:20" coordorigin="4350,917" coordsize="10,20">
              <v:shape style="position:absolute;left:4350;top:917;width:10;height:20" coordorigin="4350,917" coordsize="10,20" path="m4350,936l4359,936,4359,917,4350,917,4350,936xe" filled="true" fillcolor="#000000" stroked="false">
                <v:path arrowok="t"/>
                <v:fill type="solid"/>
              </v:shape>
            </v:group>
            <v:group style="position:absolute;left:4350;top:936;width:10;height:20" coordorigin="4350,936" coordsize="10,20">
              <v:shape style="position:absolute;left:4350;top:936;width:10;height:20" coordorigin="4350,936" coordsize="10,20" path="m4350,956l4359,956,4359,936,4350,936,4350,956xe" filled="true" fillcolor="#000000" stroked="false">
                <v:path arrowok="t"/>
                <v:fill type="solid"/>
              </v:shape>
            </v:group>
            <v:group style="position:absolute;left:4350;top:956;width:10;height:20" coordorigin="4350,956" coordsize="10,20">
              <v:shape style="position:absolute;left:4350;top:956;width:10;height:20" coordorigin="4350,956" coordsize="10,20" path="m4350,975l4359,975,4359,956,4350,956,4350,975xe" filled="true" fillcolor="#000000" stroked="false">
                <v:path arrowok="t"/>
                <v:fill type="solid"/>
              </v:shape>
            </v:group>
            <v:group style="position:absolute;left:4350;top:975;width:10;height:20" coordorigin="4350,975" coordsize="10,20">
              <v:shape style="position:absolute;left:4350;top:975;width:10;height:20" coordorigin="4350,975" coordsize="10,20" path="m4350,994l4359,994,4359,975,4350,975,4350,994xe" filled="true" fillcolor="#000000" stroked="false">
                <v:path arrowok="t"/>
                <v:fill type="solid"/>
              </v:shape>
            </v:group>
            <v:group style="position:absolute;left:4350;top:994;width:10;height:20" coordorigin="4350,994" coordsize="10,20">
              <v:shape style="position:absolute;left:4350;top:994;width:10;height:20" coordorigin="4350,994" coordsize="10,20" path="m4350,1013l4359,1013,4359,994,4350,994,4350,1013xe" filled="true" fillcolor="#000000" stroked="false">
                <v:path arrowok="t"/>
                <v:fill type="solid"/>
              </v:shape>
            </v:group>
            <v:group style="position:absolute;left:4350;top:1013;width:10;height:20" coordorigin="4350,1013" coordsize="10,20">
              <v:shape style="position:absolute;left:4350;top:1013;width:10;height:20" coordorigin="4350,1013" coordsize="10,20" path="m4350,1032l4359,1032,4359,1013,4350,1013,4350,1032xe" filled="true" fillcolor="#000000" stroked="false">
                <v:path arrowok="t"/>
                <v:fill type="solid"/>
              </v:shape>
            </v:group>
            <v:group style="position:absolute;left:4350;top:1032;width:10;height:20" coordorigin="4350,1032" coordsize="10,20">
              <v:shape style="position:absolute;left:4350;top:1032;width:10;height:20" coordorigin="4350,1032" coordsize="10,20" path="m4350,1052l4359,1052,4359,1032,4350,1032,4350,1052xe" filled="true" fillcolor="#000000" stroked="false">
                <v:path arrowok="t"/>
                <v:fill type="solid"/>
              </v:shape>
            </v:group>
            <v:group style="position:absolute;left:4350;top:1052;width:10;height:20" coordorigin="4350,1052" coordsize="10,20">
              <v:shape style="position:absolute;left:4350;top:1052;width:10;height:20" coordorigin="4350,1052" coordsize="10,20" path="m4350,1071l4359,1071,4359,1052,4350,1052,4350,1071xe" filled="true" fillcolor="#000000" stroked="false">
                <v:path arrowok="t"/>
                <v:fill type="solid"/>
              </v:shape>
            </v:group>
            <v:group style="position:absolute;left:4350;top:1071;width:10;height:20" coordorigin="4350,1071" coordsize="10,20">
              <v:shape style="position:absolute;left:4350;top:1071;width:10;height:20" coordorigin="4350,1071" coordsize="10,20" path="m4350,1090l4359,1090,4359,1071,4350,1071,4350,1090xe" filled="true" fillcolor="#000000" stroked="false">
                <v:path arrowok="t"/>
                <v:fill type="solid"/>
              </v:shape>
            </v:group>
            <v:group style="position:absolute;left:4350;top:1090;width:10;height:20" coordorigin="4350,1090" coordsize="10,20">
              <v:shape style="position:absolute;left:4350;top:1090;width:10;height:20" coordorigin="4350,1090" coordsize="10,20" path="m4350,1109l4359,1109,4359,1090,4350,1090,4350,1109xe" filled="true" fillcolor="#000000" stroked="false">
                <v:path arrowok="t"/>
                <v:fill type="solid"/>
              </v:shape>
            </v:group>
            <v:group style="position:absolute;left:4350;top:1109;width:10;height:20" coordorigin="4350,1109" coordsize="10,20">
              <v:shape style="position:absolute;left:4350;top:1109;width:10;height:20" coordorigin="4350,1109" coordsize="10,20" path="m4350,1128l4359,1128,4359,1109,4350,1109,4350,1128xe" filled="true" fillcolor="#000000" stroked="false">
                <v:path arrowok="t"/>
                <v:fill type="solid"/>
              </v:shape>
            </v:group>
            <v:group style="position:absolute;left:4350;top:1128;width:10;height:20" coordorigin="4350,1128" coordsize="10,20">
              <v:shape style="position:absolute;left:4350;top:1128;width:10;height:20" coordorigin="4350,1128" coordsize="10,20" path="m4350,1148l4359,1148,4359,1128,4350,1128,4350,1148xe" filled="true" fillcolor="#000000" stroked="false">
                <v:path arrowok="t"/>
                <v:fill type="solid"/>
              </v:shape>
            </v:group>
            <v:group style="position:absolute;left:4350;top:1148;width:10;height:20" coordorigin="4350,1148" coordsize="10,20">
              <v:shape style="position:absolute;left:4350;top:1148;width:10;height:20" coordorigin="4350,1148" coordsize="10,20" path="m4350,1167l4359,1167,4359,1148,4350,1148,4350,1167xe" filled="true" fillcolor="#000000" stroked="false">
                <v:path arrowok="t"/>
                <v:fill type="solid"/>
              </v:shape>
            </v:group>
            <v:group style="position:absolute;left:4350;top:1167;width:10;height:20" coordorigin="4350,1167" coordsize="10,20">
              <v:shape style="position:absolute;left:4350;top:1167;width:10;height:20" coordorigin="4350,1167" coordsize="10,20" path="m4350,1186l4359,1186,4359,1167,4350,1167,4350,1186xe" filled="true" fillcolor="#000000" stroked="false">
                <v:path arrowok="t"/>
                <v:fill type="solid"/>
              </v:shape>
            </v:group>
            <v:group style="position:absolute;left:4350;top:1186;width:10;height:20" coordorigin="4350,1186" coordsize="10,20">
              <v:shape style="position:absolute;left:4350;top:1186;width:10;height:20" coordorigin="4350,1186" coordsize="10,20" path="m4350,1205l4359,1205,4359,1186,4350,1186,4350,1205xe" filled="true" fillcolor="#000000" stroked="false">
                <v:path arrowok="t"/>
                <v:fill type="solid"/>
              </v:shape>
            </v:group>
            <v:group style="position:absolute;left:4350;top:1205;width:10;height:20" coordorigin="4350,1205" coordsize="10,20">
              <v:shape style="position:absolute;left:4350;top:1205;width:10;height:20" coordorigin="4350,1205" coordsize="10,20" path="m4350,1224l4359,1224,4359,1205,4350,1205,4350,1224xe" filled="true" fillcolor="#000000" stroked="false">
                <v:path arrowok="t"/>
                <v:fill type="solid"/>
              </v:shape>
            </v:group>
            <v:group style="position:absolute;left:4350;top:1233;width:10;height:2" coordorigin="4350,1233" coordsize="10,2">
              <v:shape style="position:absolute;left:4350;top:1233;width:10;height:2" coordorigin="4350,1233" coordsize="10,0" path="m4350,1233l4359,1233e" filled="false" stroked="true" strokeweight=".84003pt" strokecolor="#000000">
                <v:path arrowok="t"/>
              </v:shape>
            </v:group>
            <v:group style="position:absolute;left:6606;top:840;width:10;height:20" coordorigin="6606,840" coordsize="10,20">
              <v:shape style="position:absolute;left:6606;top:840;width:10;height:20" coordorigin="6606,840" coordsize="10,20" path="m6606,860l6616,860,6616,840,6606,840,6606,860xe" filled="true" fillcolor="#000000" stroked="false">
                <v:path arrowok="t"/>
                <v:fill type="solid"/>
              </v:shape>
            </v:group>
            <v:group style="position:absolute;left:6606;top:860;width:10;height:20" coordorigin="6606,860" coordsize="10,20">
              <v:shape style="position:absolute;left:6606;top:860;width:10;height:20" coordorigin="6606,860" coordsize="10,20" path="m6606,879l6616,879,6616,860,6606,860,6606,879xe" filled="true" fillcolor="#000000" stroked="false">
                <v:path arrowok="t"/>
                <v:fill type="solid"/>
              </v:shape>
            </v:group>
            <v:group style="position:absolute;left:6606;top:879;width:10;height:20" coordorigin="6606,879" coordsize="10,20">
              <v:shape style="position:absolute;left:6606;top:879;width:10;height:20" coordorigin="6606,879" coordsize="10,20" path="m6606,898l6616,898,6616,879,6606,879,6606,898xe" filled="true" fillcolor="#000000" stroked="false">
                <v:path arrowok="t"/>
                <v:fill type="solid"/>
              </v:shape>
            </v:group>
            <v:group style="position:absolute;left:6606;top:898;width:10;height:20" coordorigin="6606,898" coordsize="10,20">
              <v:shape style="position:absolute;left:6606;top:898;width:10;height:20" coordorigin="6606,898" coordsize="10,20" path="m6606,917l6616,917,6616,898,6606,898,6606,917xe" filled="true" fillcolor="#000000" stroked="false">
                <v:path arrowok="t"/>
                <v:fill type="solid"/>
              </v:shape>
            </v:group>
            <v:group style="position:absolute;left:6606;top:917;width:10;height:20" coordorigin="6606,917" coordsize="10,20">
              <v:shape style="position:absolute;left:6606;top:917;width:10;height:20" coordorigin="6606,917" coordsize="10,20" path="m6606,936l6616,936,6616,917,6606,917,6606,936xe" filled="true" fillcolor="#000000" stroked="false">
                <v:path arrowok="t"/>
                <v:fill type="solid"/>
              </v:shape>
            </v:group>
            <v:group style="position:absolute;left:6606;top:936;width:10;height:20" coordorigin="6606,936" coordsize="10,20">
              <v:shape style="position:absolute;left:6606;top:936;width:10;height:20" coordorigin="6606,936" coordsize="10,20" path="m6606,956l6616,956,6616,936,6606,936,6606,956xe" filled="true" fillcolor="#000000" stroked="false">
                <v:path arrowok="t"/>
                <v:fill type="solid"/>
              </v:shape>
            </v:group>
            <v:group style="position:absolute;left:6606;top:956;width:10;height:20" coordorigin="6606,956" coordsize="10,20">
              <v:shape style="position:absolute;left:6606;top:956;width:10;height:20" coordorigin="6606,956" coordsize="10,20" path="m6606,975l6616,975,6616,956,6606,956,6606,975xe" filled="true" fillcolor="#000000" stroked="false">
                <v:path arrowok="t"/>
                <v:fill type="solid"/>
              </v:shape>
            </v:group>
            <v:group style="position:absolute;left:6606;top:975;width:10;height:20" coordorigin="6606,975" coordsize="10,20">
              <v:shape style="position:absolute;left:6606;top:975;width:10;height:20" coordorigin="6606,975" coordsize="10,20" path="m6606,994l6616,994,6616,975,6606,975,6606,994xe" filled="true" fillcolor="#000000" stroked="false">
                <v:path arrowok="t"/>
                <v:fill type="solid"/>
              </v:shape>
            </v:group>
            <v:group style="position:absolute;left:6606;top:994;width:10;height:20" coordorigin="6606,994" coordsize="10,20">
              <v:shape style="position:absolute;left:6606;top:994;width:10;height:20" coordorigin="6606,994" coordsize="10,20" path="m6606,1013l6616,1013,6616,994,6606,994,6606,1013xe" filled="true" fillcolor="#000000" stroked="false">
                <v:path arrowok="t"/>
                <v:fill type="solid"/>
              </v:shape>
            </v:group>
            <v:group style="position:absolute;left:6606;top:1013;width:10;height:20" coordorigin="6606,1013" coordsize="10,20">
              <v:shape style="position:absolute;left:6606;top:1013;width:10;height:20" coordorigin="6606,1013" coordsize="10,20" path="m6606,1032l6616,1032,6616,1013,6606,1013,6606,1032xe" filled="true" fillcolor="#000000" stroked="false">
                <v:path arrowok="t"/>
                <v:fill type="solid"/>
              </v:shape>
            </v:group>
            <v:group style="position:absolute;left:6606;top:1032;width:10;height:20" coordorigin="6606,1032" coordsize="10,20">
              <v:shape style="position:absolute;left:6606;top:1032;width:10;height:20" coordorigin="6606,1032" coordsize="10,20" path="m6606,1052l6616,1052,6616,1032,6606,1032,6606,1052xe" filled="true" fillcolor="#000000" stroked="false">
                <v:path arrowok="t"/>
                <v:fill type="solid"/>
              </v:shape>
            </v:group>
            <v:group style="position:absolute;left:6606;top:1052;width:10;height:20" coordorigin="6606,1052" coordsize="10,20">
              <v:shape style="position:absolute;left:6606;top:1052;width:10;height:20" coordorigin="6606,1052" coordsize="10,20" path="m6606,1071l6616,1071,6616,1052,6606,1052,6606,1071xe" filled="true" fillcolor="#000000" stroked="false">
                <v:path arrowok="t"/>
                <v:fill type="solid"/>
              </v:shape>
            </v:group>
            <v:group style="position:absolute;left:6606;top:1071;width:10;height:20" coordorigin="6606,1071" coordsize="10,20">
              <v:shape style="position:absolute;left:6606;top:1071;width:10;height:20" coordorigin="6606,1071" coordsize="10,20" path="m6606,1090l6616,1090,6616,1071,6606,1071,6606,1090xe" filled="true" fillcolor="#000000" stroked="false">
                <v:path arrowok="t"/>
                <v:fill type="solid"/>
              </v:shape>
            </v:group>
            <v:group style="position:absolute;left:6606;top:1090;width:10;height:20" coordorigin="6606,1090" coordsize="10,20">
              <v:shape style="position:absolute;left:6606;top:1090;width:10;height:20" coordorigin="6606,1090" coordsize="10,20" path="m6606,1109l6616,1109,6616,1090,6606,1090,6606,1109xe" filled="true" fillcolor="#000000" stroked="false">
                <v:path arrowok="t"/>
                <v:fill type="solid"/>
              </v:shape>
            </v:group>
            <v:group style="position:absolute;left:6606;top:1109;width:10;height:20" coordorigin="6606,1109" coordsize="10,20">
              <v:shape style="position:absolute;left:6606;top:1109;width:10;height:20" coordorigin="6606,1109" coordsize="10,20" path="m6606,1128l6616,1128,6616,1109,6606,1109,6606,1128xe" filled="true" fillcolor="#000000" stroked="false">
                <v:path arrowok="t"/>
                <v:fill type="solid"/>
              </v:shape>
            </v:group>
            <v:group style="position:absolute;left:6606;top:1128;width:10;height:20" coordorigin="6606,1128" coordsize="10,20">
              <v:shape style="position:absolute;left:6606;top:1128;width:10;height:20" coordorigin="6606,1128" coordsize="10,20" path="m6606,1148l6616,1148,6616,1128,6606,1128,6606,1148xe" filled="true" fillcolor="#000000" stroked="false">
                <v:path arrowok="t"/>
                <v:fill type="solid"/>
              </v:shape>
              <v:shape style="position:absolute;left:29;top:1148;width:8838;height:103" type="#_x0000_t75" stroked="false">
                <v:imagedata r:id="rId85" o:title=""/>
              </v:shape>
            </v:group>
            <v:group style="position:absolute;left:4350;top:1251;width:10;height:20" coordorigin="4350,1251" coordsize="10,20">
              <v:shape style="position:absolute;left:4350;top:1251;width:10;height:20" coordorigin="4350,1251" coordsize="10,20" path="m4350,1270l4359,1270,4359,1251,4350,1251,4350,1270xe" filled="true" fillcolor="#000000" stroked="false">
                <v:path arrowok="t"/>
                <v:fill type="solid"/>
              </v:shape>
            </v:group>
            <v:group style="position:absolute;left:4350;top:1270;width:10;height:20" coordorigin="4350,1270" coordsize="10,20">
              <v:shape style="position:absolute;left:4350;top:1270;width:10;height:20" coordorigin="4350,1270" coordsize="10,20" path="m4350,1289l4359,1289,4359,1270,4350,1270,4350,1289xe" filled="true" fillcolor="#000000" stroked="false">
                <v:path arrowok="t"/>
                <v:fill type="solid"/>
              </v:shape>
            </v:group>
            <v:group style="position:absolute;left:4350;top:1289;width:10;height:20" coordorigin="4350,1289" coordsize="10,20">
              <v:shape style="position:absolute;left:4350;top:1289;width:10;height:20" coordorigin="4350,1289" coordsize="10,20" path="m4350,1308l4359,1308,4359,1289,4350,1289,4350,1308xe" filled="true" fillcolor="#000000" stroked="false">
                <v:path arrowok="t"/>
                <v:fill type="solid"/>
              </v:shape>
            </v:group>
            <v:group style="position:absolute;left:4350;top:1308;width:10;height:20" coordorigin="4350,1308" coordsize="10,20">
              <v:shape style="position:absolute;left:4350;top:1308;width:10;height:20" coordorigin="4350,1308" coordsize="10,20" path="m4350,1328l4359,1328,4359,1308,4350,1308,4350,1328xe" filled="true" fillcolor="#000000" stroked="false">
                <v:path arrowok="t"/>
                <v:fill type="solid"/>
              </v:shape>
            </v:group>
            <v:group style="position:absolute;left:4350;top:1328;width:10;height:20" coordorigin="4350,1328" coordsize="10,20">
              <v:shape style="position:absolute;left:4350;top:1328;width:10;height:20" coordorigin="4350,1328" coordsize="10,20" path="m4350,1347l4359,1347,4359,1328,4350,1328,4350,1347xe" filled="true" fillcolor="#000000" stroked="false">
                <v:path arrowok="t"/>
                <v:fill type="solid"/>
              </v:shape>
            </v:group>
            <v:group style="position:absolute;left:4350;top:1347;width:10;height:20" coordorigin="4350,1347" coordsize="10,20">
              <v:shape style="position:absolute;left:4350;top:1347;width:10;height:20" coordorigin="4350,1347" coordsize="10,20" path="m4350,1366l4359,1366,4359,1347,4350,1347,4350,1366xe" filled="true" fillcolor="#000000" stroked="false">
                <v:path arrowok="t"/>
                <v:fill type="solid"/>
              </v:shape>
            </v:group>
            <v:group style="position:absolute;left:4350;top:1366;width:10;height:20" coordorigin="4350,1366" coordsize="10,20">
              <v:shape style="position:absolute;left:4350;top:1366;width:10;height:20" coordorigin="4350,1366" coordsize="10,20" path="m4350,1385l4359,1385,4359,1366,4350,1366,4350,1385xe" filled="true" fillcolor="#000000" stroked="false">
                <v:path arrowok="t"/>
                <v:fill type="solid"/>
              </v:shape>
            </v:group>
            <v:group style="position:absolute;left:4350;top:1385;width:10;height:20" coordorigin="4350,1385" coordsize="10,20">
              <v:shape style="position:absolute;left:4350;top:1385;width:10;height:20" coordorigin="4350,1385" coordsize="10,20" path="m4350,1404l4359,1404,4359,1385,4350,1385,4350,1404xe" filled="true" fillcolor="#000000" stroked="false">
                <v:path arrowok="t"/>
                <v:fill type="solid"/>
              </v:shape>
            </v:group>
            <v:group style="position:absolute;left:4350;top:1404;width:10;height:20" coordorigin="4350,1404" coordsize="10,20">
              <v:shape style="position:absolute;left:4350;top:1404;width:10;height:20" coordorigin="4350,1404" coordsize="10,20" path="m4350,1424l4359,1424,4359,1404,4350,1404,4350,1424xe" filled="true" fillcolor="#000000" stroked="false">
                <v:path arrowok="t"/>
                <v:fill type="solid"/>
              </v:shape>
            </v:group>
            <v:group style="position:absolute;left:4350;top:1424;width:10;height:20" coordorigin="4350,1424" coordsize="10,20">
              <v:shape style="position:absolute;left:4350;top:1424;width:10;height:20" coordorigin="4350,1424" coordsize="10,20" path="m4350,1443l4359,1443,4359,1424,4350,1424,4350,1443xe" filled="true" fillcolor="#000000" stroked="false">
                <v:path arrowok="t"/>
                <v:fill type="solid"/>
              </v:shape>
            </v:group>
            <v:group style="position:absolute;left:4350;top:1443;width:10;height:20" coordorigin="4350,1443" coordsize="10,20">
              <v:shape style="position:absolute;left:4350;top:1443;width:10;height:20" coordorigin="4350,1443" coordsize="10,20" path="m4350,1462l4359,1462,4359,1443,4350,1443,4350,1462xe" filled="true" fillcolor="#000000" stroked="false">
                <v:path arrowok="t"/>
                <v:fill type="solid"/>
              </v:shape>
            </v:group>
            <v:group style="position:absolute;left:4350;top:1462;width:10;height:20" coordorigin="4350,1462" coordsize="10,20">
              <v:shape style="position:absolute;left:4350;top:1462;width:10;height:20" coordorigin="4350,1462" coordsize="10,20" path="m4350,1481l4359,1481,4359,1462,4350,1462,4350,1481xe" filled="true" fillcolor="#000000" stroked="false">
                <v:path arrowok="t"/>
                <v:fill type="solid"/>
              </v:shape>
            </v:group>
            <v:group style="position:absolute;left:4350;top:1481;width:10;height:20" coordorigin="4350,1481" coordsize="10,20">
              <v:shape style="position:absolute;left:4350;top:1481;width:10;height:20" coordorigin="4350,1481" coordsize="10,20" path="m4350,1500l4359,1500,4359,1481,4350,1481,4350,1500xe" filled="true" fillcolor="#000000" stroked="false">
                <v:path arrowok="t"/>
                <v:fill type="solid"/>
              </v:shape>
            </v:group>
            <v:group style="position:absolute;left:4350;top:1500;width:10;height:20" coordorigin="4350,1500" coordsize="10,20">
              <v:shape style="position:absolute;left:4350;top:1500;width:10;height:20" coordorigin="4350,1500" coordsize="10,20" path="m4350,1520l4359,1520,4359,1500,4350,1500,4350,1520xe" filled="true" fillcolor="#000000" stroked="false">
                <v:path arrowok="t"/>
                <v:fill type="solid"/>
              </v:shape>
            </v:group>
            <v:group style="position:absolute;left:4350;top:1520;width:10;height:20" coordorigin="4350,1520" coordsize="10,20">
              <v:shape style="position:absolute;left:4350;top:1520;width:10;height:20" coordorigin="4350,1520" coordsize="10,20" path="m4350,1539l4359,1539,4359,1520,4350,1520,4350,1539xe" filled="true" fillcolor="#000000" stroked="false">
                <v:path arrowok="t"/>
                <v:fill type="solid"/>
              </v:shape>
            </v:group>
            <v:group style="position:absolute;left:4350;top:1539;width:10;height:20" coordorigin="4350,1539" coordsize="10,20">
              <v:shape style="position:absolute;left:4350;top:1539;width:10;height:20" coordorigin="4350,1539" coordsize="10,20" path="m4350,1558l4359,1558,4359,1539,4350,1539,4350,1558xe" filled="true" fillcolor="#000000" stroked="false">
                <v:path arrowok="t"/>
                <v:fill type="solid"/>
              </v:shape>
            </v:group>
            <v:group style="position:absolute;left:4350;top:1558;width:10;height:20" coordorigin="4350,1558" coordsize="10,20">
              <v:shape style="position:absolute;left:4350;top:1558;width:10;height:20" coordorigin="4350,1558" coordsize="10,20" path="m4350,1577l4359,1577,4359,1558,4350,1558,4350,1577xe" filled="true" fillcolor="#000000" stroked="false">
                <v:path arrowok="t"/>
                <v:fill type="solid"/>
              </v:shape>
            </v:group>
            <v:group style="position:absolute;left:4350;top:1577;width:10;height:20" coordorigin="4350,1577" coordsize="10,20">
              <v:shape style="position:absolute;left:4350;top:1577;width:10;height:20" coordorigin="4350,1577" coordsize="10,20" path="m4350,1596l4359,1596,4359,1577,4350,1577,4350,1596xe" filled="true" fillcolor="#000000" stroked="false">
                <v:path arrowok="t"/>
                <v:fill type="solid"/>
              </v:shape>
            </v:group>
            <v:group style="position:absolute;left:4350;top:1596;width:10;height:20" coordorigin="4350,1596" coordsize="10,20">
              <v:shape style="position:absolute;left:4350;top:1596;width:10;height:20" coordorigin="4350,1596" coordsize="10,20" path="m4350,1616l4359,1616,4359,1596,4350,1596,4350,1616xe" filled="true" fillcolor="#000000" stroked="false">
                <v:path arrowok="t"/>
                <v:fill type="solid"/>
              </v:shape>
            </v:group>
            <v:group style="position:absolute;left:4350;top:1616;width:10;height:20" coordorigin="4350,1616" coordsize="10,20">
              <v:shape style="position:absolute;left:4350;top:1616;width:10;height:20" coordorigin="4350,1616" coordsize="10,20" path="m4350,1635l4359,1635,4359,1616,4350,1616,4350,1635xe" filled="true" fillcolor="#000000" stroked="false">
                <v:path arrowok="t"/>
                <v:fill type="solid"/>
              </v:shape>
            </v:group>
            <v:group style="position:absolute;left:4350;top:1643;width:10;height:2" coordorigin="4350,1643" coordsize="10,2">
              <v:shape style="position:absolute;left:4350;top:1643;width:10;height:2" coordorigin="4350,1643" coordsize="10,0" path="m4350,1643l4359,1643e" filled="false" stroked="true" strokeweight=".83997pt" strokecolor="#000000">
                <v:path arrowok="t"/>
              </v:shape>
            </v:group>
            <v:group style="position:absolute;left:6606;top:1251;width:10;height:20" coordorigin="6606,1251" coordsize="10,20">
              <v:shape style="position:absolute;left:6606;top:1251;width:10;height:20" coordorigin="6606,1251" coordsize="10,20" path="m6606,1270l6616,1270,6616,1251,6606,1251,6606,1270xe" filled="true" fillcolor="#000000" stroked="false">
                <v:path arrowok="t"/>
                <v:fill type="solid"/>
              </v:shape>
            </v:group>
            <v:group style="position:absolute;left:6606;top:1270;width:10;height:20" coordorigin="6606,1270" coordsize="10,20">
              <v:shape style="position:absolute;left:6606;top:1270;width:10;height:20" coordorigin="6606,1270" coordsize="10,20" path="m6606,1289l6616,1289,6616,1270,6606,1270,6606,1289xe" filled="true" fillcolor="#000000" stroked="false">
                <v:path arrowok="t"/>
                <v:fill type="solid"/>
              </v:shape>
            </v:group>
            <v:group style="position:absolute;left:6606;top:1289;width:10;height:20" coordorigin="6606,1289" coordsize="10,20">
              <v:shape style="position:absolute;left:6606;top:1289;width:10;height:20" coordorigin="6606,1289" coordsize="10,20" path="m6606,1308l6616,1308,6616,1289,6606,1289,6606,1308xe" filled="true" fillcolor="#000000" stroked="false">
                <v:path arrowok="t"/>
                <v:fill type="solid"/>
              </v:shape>
            </v:group>
            <v:group style="position:absolute;left:6606;top:1308;width:10;height:20" coordorigin="6606,1308" coordsize="10,20">
              <v:shape style="position:absolute;left:6606;top:1308;width:10;height:20" coordorigin="6606,1308" coordsize="10,20" path="m6606,1328l6616,1328,6616,1308,6606,1308,6606,1328xe" filled="true" fillcolor="#000000" stroked="false">
                <v:path arrowok="t"/>
                <v:fill type="solid"/>
              </v:shape>
            </v:group>
            <v:group style="position:absolute;left:6606;top:1328;width:10;height:20" coordorigin="6606,1328" coordsize="10,20">
              <v:shape style="position:absolute;left:6606;top:1328;width:10;height:20" coordorigin="6606,1328" coordsize="10,20" path="m6606,1347l6616,1347,6616,1328,6606,1328,6606,1347xe" filled="true" fillcolor="#000000" stroked="false">
                <v:path arrowok="t"/>
                <v:fill type="solid"/>
              </v:shape>
            </v:group>
            <v:group style="position:absolute;left:6606;top:1347;width:10;height:20" coordorigin="6606,1347" coordsize="10,20">
              <v:shape style="position:absolute;left:6606;top:1347;width:10;height:20" coordorigin="6606,1347" coordsize="10,20" path="m6606,1366l6616,1366,6616,1347,6606,1347,6606,1366xe" filled="true" fillcolor="#000000" stroked="false">
                <v:path arrowok="t"/>
                <v:fill type="solid"/>
              </v:shape>
            </v:group>
            <v:group style="position:absolute;left:6606;top:1366;width:10;height:20" coordorigin="6606,1366" coordsize="10,20">
              <v:shape style="position:absolute;left:6606;top:1366;width:10;height:20" coordorigin="6606,1366" coordsize="10,20" path="m6606,1385l6616,1385,6616,1366,6606,1366,6606,1385xe" filled="true" fillcolor="#000000" stroked="false">
                <v:path arrowok="t"/>
                <v:fill type="solid"/>
              </v:shape>
            </v:group>
            <v:group style="position:absolute;left:6606;top:1385;width:10;height:20" coordorigin="6606,1385" coordsize="10,20">
              <v:shape style="position:absolute;left:6606;top:1385;width:10;height:20" coordorigin="6606,1385" coordsize="10,20" path="m6606,1404l6616,1404,6616,1385,6606,1385,6606,1404xe" filled="true" fillcolor="#000000" stroked="false">
                <v:path arrowok="t"/>
                <v:fill type="solid"/>
              </v:shape>
            </v:group>
            <v:group style="position:absolute;left:6606;top:1404;width:10;height:20" coordorigin="6606,1404" coordsize="10,20">
              <v:shape style="position:absolute;left:6606;top:1404;width:10;height:20" coordorigin="6606,1404" coordsize="10,20" path="m6606,1424l6616,1424,6616,1404,6606,1404,6606,1424xe" filled="true" fillcolor="#000000" stroked="false">
                <v:path arrowok="t"/>
                <v:fill type="solid"/>
              </v:shape>
            </v:group>
            <v:group style="position:absolute;left:6606;top:1424;width:10;height:20" coordorigin="6606,1424" coordsize="10,20">
              <v:shape style="position:absolute;left:6606;top:1424;width:10;height:20" coordorigin="6606,1424" coordsize="10,20" path="m6606,1443l6616,1443,6616,1424,6606,1424,6606,1443xe" filled="true" fillcolor="#000000" stroked="false">
                <v:path arrowok="t"/>
                <v:fill type="solid"/>
              </v:shape>
            </v:group>
            <v:group style="position:absolute;left:6606;top:1443;width:10;height:20" coordorigin="6606,1443" coordsize="10,20">
              <v:shape style="position:absolute;left:6606;top:1443;width:10;height:20" coordorigin="6606,1443" coordsize="10,20" path="m6606,1462l6616,1462,6616,1443,6606,1443,6606,1462xe" filled="true" fillcolor="#000000" stroked="false">
                <v:path arrowok="t"/>
                <v:fill type="solid"/>
              </v:shape>
            </v:group>
            <v:group style="position:absolute;left:6606;top:1462;width:10;height:20" coordorigin="6606,1462" coordsize="10,20">
              <v:shape style="position:absolute;left:6606;top:1462;width:10;height:20" coordorigin="6606,1462" coordsize="10,20" path="m6606,1481l6616,1481,6616,1462,6606,1462,6606,1481xe" filled="true" fillcolor="#000000" stroked="false">
                <v:path arrowok="t"/>
                <v:fill type="solid"/>
              </v:shape>
            </v:group>
            <v:group style="position:absolute;left:6606;top:1481;width:10;height:20" coordorigin="6606,1481" coordsize="10,20">
              <v:shape style="position:absolute;left:6606;top:1481;width:10;height:20" coordorigin="6606,1481" coordsize="10,20" path="m6606,1500l6616,1500,6616,1481,6606,1481,6606,1500xe" filled="true" fillcolor="#000000" stroked="false">
                <v:path arrowok="t"/>
                <v:fill type="solid"/>
              </v:shape>
            </v:group>
            <v:group style="position:absolute;left:6606;top:1500;width:10;height:20" coordorigin="6606,1500" coordsize="10,20">
              <v:shape style="position:absolute;left:6606;top:1500;width:10;height:20" coordorigin="6606,1500" coordsize="10,20" path="m6606,1520l6616,1520,6616,1500,6606,1500,6606,1520xe" filled="true" fillcolor="#000000" stroked="false">
                <v:path arrowok="t"/>
                <v:fill type="solid"/>
              </v:shape>
            </v:group>
            <v:group style="position:absolute;left:6606;top:1520;width:10;height:20" coordorigin="6606,1520" coordsize="10,20">
              <v:shape style="position:absolute;left:6606;top:1520;width:10;height:20" coordorigin="6606,1520" coordsize="10,20" path="m6606,1539l6616,1539,6616,1520,6606,1520,6606,1539xe" filled="true" fillcolor="#000000" stroked="false">
                <v:path arrowok="t"/>
                <v:fill type="solid"/>
              </v:shape>
            </v:group>
            <v:group style="position:absolute;left:6606;top:1539;width:10;height:20" coordorigin="6606,1539" coordsize="10,20">
              <v:shape style="position:absolute;left:6606;top:1539;width:10;height:20" coordorigin="6606,1539" coordsize="10,20" path="m6606,1558l6616,1558,6616,1539,6606,1539,6606,1558xe" filled="true" fillcolor="#000000" stroked="false">
                <v:path arrowok="t"/>
                <v:fill type="solid"/>
              </v:shape>
              <v:shape style="position:absolute;left:29;top:1558;width:8838;height:103" type="#_x0000_t75" stroked="false">
                <v:imagedata r:id="rId86" o:title=""/>
              </v:shape>
            </v:group>
            <v:group style="position:absolute;left:4350;top:1661;width:10;height:20" coordorigin="4350,1661" coordsize="10,20">
              <v:shape style="position:absolute;left:4350;top:1661;width:10;height:20" coordorigin="4350,1661" coordsize="10,20" path="m4350,1680l4359,1680,4359,1661,4350,1661,4350,1680xe" filled="true" fillcolor="#000000" stroked="false">
                <v:path arrowok="t"/>
                <v:fill type="solid"/>
              </v:shape>
            </v:group>
            <v:group style="position:absolute;left:4350;top:1680;width:10;height:20" coordorigin="4350,1680" coordsize="10,20">
              <v:shape style="position:absolute;left:4350;top:1680;width:10;height:20" coordorigin="4350,1680" coordsize="10,20" path="m4350,1700l4359,1700,4359,1680,4350,1680,4350,1700xe" filled="true" fillcolor="#000000" stroked="false">
                <v:path arrowok="t"/>
                <v:fill type="solid"/>
              </v:shape>
            </v:group>
            <v:group style="position:absolute;left:4350;top:1700;width:10;height:20" coordorigin="4350,1700" coordsize="10,20">
              <v:shape style="position:absolute;left:4350;top:1700;width:10;height:20" coordorigin="4350,1700" coordsize="10,20" path="m4350,1719l4359,1719,4359,1700,4350,1700,4350,1719xe" filled="true" fillcolor="#000000" stroked="false">
                <v:path arrowok="t"/>
                <v:fill type="solid"/>
              </v:shape>
            </v:group>
            <v:group style="position:absolute;left:4350;top:1719;width:10;height:20" coordorigin="4350,1719" coordsize="10,20">
              <v:shape style="position:absolute;left:4350;top:1719;width:10;height:20" coordorigin="4350,1719" coordsize="10,20" path="m4350,1738l4359,1738,4359,1719,4350,1719,4350,1738xe" filled="true" fillcolor="#000000" stroked="false">
                <v:path arrowok="t"/>
                <v:fill type="solid"/>
              </v:shape>
            </v:group>
            <v:group style="position:absolute;left:4350;top:1738;width:10;height:20" coordorigin="4350,1738" coordsize="10,20">
              <v:shape style="position:absolute;left:4350;top:1738;width:10;height:20" coordorigin="4350,1738" coordsize="10,20" path="m4350,1757l4359,1757,4359,1738,4350,1738,4350,1757xe" filled="true" fillcolor="#000000" stroked="false">
                <v:path arrowok="t"/>
                <v:fill type="solid"/>
              </v:shape>
            </v:group>
            <v:group style="position:absolute;left:4350;top:1757;width:10;height:20" coordorigin="4350,1757" coordsize="10,20">
              <v:shape style="position:absolute;left:4350;top:1757;width:10;height:20" coordorigin="4350,1757" coordsize="10,20" path="m4350,1776l4359,1776,4359,1757,4350,1757,4350,1776xe" filled="true" fillcolor="#000000" stroked="false">
                <v:path arrowok="t"/>
                <v:fill type="solid"/>
              </v:shape>
            </v:group>
            <v:group style="position:absolute;left:4350;top:1776;width:10;height:20" coordorigin="4350,1776" coordsize="10,20">
              <v:shape style="position:absolute;left:4350;top:1776;width:10;height:20" coordorigin="4350,1776" coordsize="10,20" path="m4350,1796l4359,1796,4359,1776,4350,1776,4350,1796xe" filled="true" fillcolor="#000000" stroked="false">
                <v:path arrowok="t"/>
                <v:fill type="solid"/>
              </v:shape>
            </v:group>
            <v:group style="position:absolute;left:4350;top:1796;width:10;height:20" coordorigin="4350,1796" coordsize="10,20">
              <v:shape style="position:absolute;left:4350;top:1796;width:10;height:20" coordorigin="4350,1796" coordsize="10,20" path="m4350,1815l4359,1815,4359,1796,4350,1796,4350,1815xe" filled="true" fillcolor="#000000" stroked="false">
                <v:path arrowok="t"/>
                <v:fill type="solid"/>
              </v:shape>
            </v:group>
            <v:group style="position:absolute;left:4350;top:1815;width:10;height:20" coordorigin="4350,1815" coordsize="10,20">
              <v:shape style="position:absolute;left:4350;top:1815;width:10;height:20" coordorigin="4350,1815" coordsize="10,20" path="m4350,1834l4359,1834,4359,1815,4350,1815,4350,1834xe" filled="true" fillcolor="#000000" stroked="false">
                <v:path arrowok="t"/>
                <v:fill type="solid"/>
              </v:shape>
            </v:group>
            <v:group style="position:absolute;left:4350;top:1834;width:10;height:20" coordorigin="4350,1834" coordsize="10,20">
              <v:shape style="position:absolute;left:4350;top:1834;width:10;height:20" coordorigin="4350,1834" coordsize="10,20" path="m4350,1853l4359,1853,4359,1834,4350,1834,4350,1853xe" filled="true" fillcolor="#000000" stroked="false">
                <v:path arrowok="t"/>
                <v:fill type="solid"/>
              </v:shape>
            </v:group>
            <v:group style="position:absolute;left:4350;top:1853;width:10;height:20" coordorigin="4350,1853" coordsize="10,20">
              <v:shape style="position:absolute;left:4350;top:1853;width:10;height:20" coordorigin="4350,1853" coordsize="10,20" path="m4350,1872l4359,1872,4359,1853,4350,1853,4350,1872xe" filled="true" fillcolor="#000000" stroked="false">
                <v:path arrowok="t"/>
                <v:fill type="solid"/>
              </v:shape>
            </v:group>
            <v:group style="position:absolute;left:4350;top:1872;width:10;height:20" coordorigin="4350,1872" coordsize="10,20">
              <v:shape style="position:absolute;left:4350;top:1872;width:10;height:20" coordorigin="4350,1872" coordsize="10,20" path="m4350,1892l4359,1892,4359,1872,4350,1872,4350,1892xe" filled="true" fillcolor="#000000" stroked="false">
                <v:path arrowok="t"/>
                <v:fill type="solid"/>
              </v:shape>
            </v:group>
            <v:group style="position:absolute;left:4350;top:1892;width:10;height:20" coordorigin="4350,1892" coordsize="10,20">
              <v:shape style="position:absolute;left:4350;top:1892;width:10;height:20" coordorigin="4350,1892" coordsize="10,20" path="m4350,1911l4359,1911,4359,1892,4350,1892,4350,1911xe" filled="true" fillcolor="#000000" stroked="false">
                <v:path arrowok="t"/>
                <v:fill type="solid"/>
              </v:shape>
            </v:group>
            <v:group style="position:absolute;left:4350;top:1911;width:10;height:20" coordorigin="4350,1911" coordsize="10,20">
              <v:shape style="position:absolute;left:4350;top:1911;width:10;height:20" coordorigin="4350,1911" coordsize="10,20" path="m4350,1930l4359,1930,4359,1911,4350,1911,4350,1930xe" filled="true" fillcolor="#000000" stroked="false">
                <v:path arrowok="t"/>
                <v:fill type="solid"/>
              </v:shape>
            </v:group>
            <v:group style="position:absolute;left:4350;top:1930;width:10;height:20" coordorigin="4350,1930" coordsize="10,20">
              <v:shape style="position:absolute;left:4350;top:1930;width:10;height:20" coordorigin="4350,1930" coordsize="10,20" path="m4350,1949l4359,1949,4359,1930,4350,1930,4350,1949xe" filled="true" fillcolor="#000000" stroked="false">
                <v:path arrowok="t"/>
                <v:fill type="solid"/>
              </v:shape>
            </v:group>
            <v:group style="position:absolute;left:4350;top:1949;width:10;height:20" coordorigin="4350,1949" coordsize="10,20">
              <v:shape style="position:absolute;left:4350;top:1949;width:10;height:20" coordorigin="4350,1949" coordsize="10,20" path="m4350,1968l4359,1968,4359,1949,4350,1949,4350,1968xe" filled="true" fillcolor="#000000" stroked="false">
                <v:path arrowok="t"/>
                <v:fill type="solid"/>
              </v:shape>
            </v:group>
            <v:group style="position:absolute;left:4350;top:1968;width:10;height:20" coordorigin="4350,1968" coordsize="10,20">
              <v:shape style="position:absolute;left:4350;top:1968;width:10;height:20" coordorigin="4350,1968" coordsize="10,20" path="m4350,1988l4359,1988,4359,1968,4350,1968,4350,1988xe" filled="true" fillcolor="#000000" stroked="false">
                <v:path arrowok="t"/>
                <v:fill type="solid"/>
              </v:shape>
            </v:group>
            <v:group style="position:absolute;left:14;top:2076;width:4336;height:2" coordorigin="14,2076" coordsize="4336,2">
              <v:shape style="position:absolute;left:14;top:2076;width:4336;height:2" coordorigin="14,2076" coordsize="4336,0" path="m14,2076l4350,2076e" filled="false" stroked="true" strokeweight="1.44pt" strokecolor="#000000">
                <v:path arrowok="t"/>
              </v:shape>
            </v:group>
            <v:group style="position:absolute;left:4350;top:1988;width:10;height:20" coordorigin="4350,1988" coordsize="10,20">
              <v:shape style="position:absolute;left:4350;top:1988;width:10;height:20" coordorigin="4350,1988" coordsize="10,20" path="m4350,2007l4359,2007,4359,1988,4350,1988,4350,2007xe" filled="true" fillcolor="#000000" stroked="false">
                <v:path arrowok="t"/>
                <v:fill type="solid"/>
              </v:shape>
            </v:group>
            <v:group style="position:absolute;left:4350;top:2007;width:10;height:20" coordorigin="4350,2007" coordsize="10,20">
              <v:shape style="position:absolute;left:4350;top:2007;width:10;height:20" coordorigin="4350,2007" coordsize="10,20" path="m4350,2026l4359,2026,4359,2007,4350,2007,4350,2026xe" filled="true" fillcolor="#000000" stroked="false">
                <v:path arrowok="t"/>
                <v:fill type="solid"/>
              </v:shape>
            </v:group>
            <v:group style="position:absolute;left:4350;top:2026;width:10;height:20" coordorigin="4350,2026" coordsize="10,20">
              <v:shape style="position:absolute;left:4350;top:2026;width:10;height:20" coordorigin="4350,2026" coordsize="10,20" path="m4350,2045l4359,2045,4359,2026,4350,2026,4350,2045xe" filled="true" fillcolor="#000000" stroked="false">
                <v:path arrowok="t"/>
                <v:fill type="solid"/>
              </v:shape>
            </v:group>
            <v:group style="position:absolute;left:4350;top:2054;width:10;height:2" coordorigin="4350,2054" coordsize="10,2">
              <v:shape style="position:absolute;left:4350;top:2054;width:10;height:2" coordorigin="4350,2054" coordsize="10,0" path="m4350,2054l4359,2054e" filled="false" stroked="true" strokeweight=".84003pt" strokecolor="#000000">
                <v:path arrowok="t"/>
              </v:shape>
            </v:group>
            <v:group style="position:absolute;left:4350;top:2076;width:29;height:2" coordorigin="4350,2076" coordsize="29,2">
              <v:shape style="position:absolute;left:4350;top:2076;width:29;height:2" coordorigin="4350,2076" coordsize="29,0" path="m4350,2076l4379,2076e" filled="false" stroked="true" strokeweight="1.44pt" strokecolor="#000000">
                <v:path arrowok="t"/>
              </v:shape>
            </v:group>
            <v:group style="position:absolute;left:4379;top:2076;width:2228;height:2" coordorigin="4379,2076" coordsize="2228,2">
              <v:shape style="position:absolute;left:4379;top:2076;width:2228;height:2" coordorigin="4379,2076" coordsize="2228,0" path="m4379,2076l6606,2076e" filled="false" stroked="true" strokeweight="1.44pt" strokecolor="#000000">
                <v:path arrowok="t"/>
              </v:shape>
            </v:group>
            <v:group style="position:absolute;left:6606;top:1661;width:10;height:20" coordorigin="6606,1661" coordsize="10,20">
              <v:shape style="position:absolute;left:6606;top:1661;width:10;height:20" coordorigin="6606,1661" coordsize="10,20" path="m6606,1680l6616,1680,6616,1661,6606,1661,6606,1680xe" filled="true" fillcolor="#000000" stroked="false">
                <v:path arrowok="t"/>
                <v:fill type="solid"/>
              </v:shape>
            </v:group>
            <v:group style="position:absolute;left:6606;top:1680;width:10;height:20" coordorigin="6606,1680" coordsize="10,20">
              <v:shape style="position:absolute;left:6606;top:1680;width:10;height:20" coordorigin="6606,1680" coordsize="10,20" path="m6606,1700l6616,1700,6616,1680,6606,1680,6606,1700xe" filled="true" fillcolor="#000000" stroked="false">
                <v:path arrowok="t"/>
                <v:fill type="solid"/>
              </v:shape>
            </v:group>
            <v:group style="position:absolute;left:6606;top:1700;width:10;height:20" coordorigin="6606,1700" coordsize="10,20">
              <v:shape style="position:absolute;left:6606;top:1700;width:10;height:20" coordorigin="6606,1700" coordsize="10,20" path="m6606,1719l6616,1719,6616,1700,6606,1700,6606,1719xe" filled="true" fillcolor="#000000" stroked="false">
                <v:path arrowok="t"/>
                <v:fill type="solid"/>
              </v:shape>
            </v:group>
            <v:group style="position:absolute;left:6606;top:1719;width:10;height:20" coordorigin="6606,1719" coordsize="10,20">
              <v:shape style="position:absolute;left:6606;top:1719;width:10;height:20" coordorigin="6606,1719" coordsize="10,20" path="m6606,1738l6616,1738,6616,1719,6606,1719,6606,1738xe" filled="true" fillcolor="#000000" stroked="false">
                <v:path arrowok="t"/>
                <v:fill type="solid"/>
              </v:shape>
            </v:group>
            <v:group style="position:absolute;left:6606;top:1738;width:10;height:20" coordorigin="6606,1738" coordsize="10,20">
              <v:shape style="position:absolute;left:6606;top:1738;width:10;height:20" coordorigin="6606,1738" coordsize="10,20" path="m6606,1757l6616,1757,6616,1738,6606,1738,6606,1757xe" filled="true" fillcolor="#000000" stroked="false">
                <v:path arrowok="t"/>
                <v:fill type="solid"/>
              </v:shape>
            </v:group>
            <v:group style="position:absolute;left:6606;top:1757;width:10;height:20" coordorigin="6606,1757" coordsize="10,20">
              <v:shape style="position:absolute;left:6606;top:1757;width:10;height:20" coordorigin="6606,1757" coordsize="10,20" path="m6606,1776l6616,1776,6616,1757,6606,1757,6606,1776xe" filled="true" fillcolor="#000000" stroked="false">
                <v:path arrowok="t"/>
                <v:fill type="solid"/>
              </v:shape>
            </v:group>
            <v:group style="position:absolute;left:6606;top:1776;width:10;height:20" coordorigin="6606,1776" coordsize="10,20">
              <v:shape style="position:absolute;left:6606;top:1776;width:10;height:20" coordorigin="6606,1776" coordsize="10,20" path="m6606,1796l6616,1796,6616,1776,6606,1776,6606,1796xe" filled="true" fillcolor="#000000" stroked="false">
                <v:path arrowok="t"/>
                <v:fill type="solid"/>
              </v:shape>
            </v:group>
            <v:group style="position:absolute;left:6606;top:1796;width:10;height:20" coordorigin="6606,1796" coordsize="10,20">
              <v:shape style="position:absolute;left:6606;top:1796;width:10;height:20" coordorigin="6606,1796" coordsize="10,20" path="m6606,1815l6616,1815,6616,1796,6606,1796,6606,1815xe" filled="true" fillcolor="#000000" stroked="false">
                <v:path arrowok="t"/>
                <v:fill type="solid"/>
              </v:shape>
            </v:group>
            <v:group style="position:absolute;left:6606;top:1815;width:10;height:20" coordorigin="6606,1815" coordsize="10,20">
              <v:shape style="position:absolute;left:6606;top:1815;width:10;height:20" coordorigin="6606,1815" coordsize="10,20" path="m6606,1834l6616,1834,6616,1815,6606,1815,6606,1834xe" filled="true" fillcolor="#000000" stroked="false">
                <v:path arrowok="t"/>
                <v:fill type="solid"/>
              </v:shape>
            </v:group>
            <v:group style="position:absolute;left:6606;top:1834;width:10;height:20" coordorigin="6606,1834" coordsize="10,20">
              <v:shape style="position:absolute;left:6606;top:1834;width:10;height:20" coordorigin="6606,1834" coordsize="10,20" path="m6606,1853l6616,1853,6616,1834,6606,1834,6606,1853xe" filled="true" fillcolor="#000000" stroked="false">
                <v:path arrowok="t"/>
                <v:fill type="solid"/>
              </v:shape>
            </v:group>
            <v:group style="position:absolute;left:6606;top:1853;width:10;height:20" coordorigin="6606,1853" coordsize="10,20">
              <v:shape style="position:absolute;left:6606;top:1853;width:10;height:20" coordorigin="6606,1853" coordsize="10,20" path="m6606,1872l6616,1872,6616,1853,6606,1853,6606,1872xe" filled="true" fillcolor="#000000" stroked="false">
                <v:path arrowok="t"/>
                <v:fill type="solid"/>
              </v:shape>
            </v:group>
            <v:group style="position:absolute;left:6606;top:1872;width:10;height:20" coordorigin="6606,1872" coordsize="10,20">
              <v:shape style="position:absolute;left:6606;top:1872;width:10;height:20" coordorigin="6606,1872" coordsize="10,20" path="m6606,1892l6616,1892,6616,1872,6606,1872,6606,1892xe" filled="true" fillcolor="#000000" stroked="false">
                <v:path arrowok="t"/>
                <v:fill type="solid"/>
              </v:shape>
            </v:group>
            <v:group style="position:absolute;left:6606;top:1892;width:10;height:20" coordorigin="6606,1892" coordsize="10,20">
              <v:shape style="position:absolute;left:6606;top:1892;width:10;height:20" coordorigin="6606,1892" coordsize="10,20" path="m6606,1911l6616,1911,6616,1892,6606,1892,6606,1911xe" filled="true" fillcolor="#000000" stroked="false">
                <v:path arrowok="t"/>
                <v:fill type="solid"/>
              </v:shape>
            </v:group>
            <v:group style="position:absolute;left:6606;top:1911;width:10;height:20" coordorigin="6606,1911" coordsize="10,20">
              <v:shape style="position:absolute;left:6606;top:1911;width:10;height:20" coordorigin="6606,1911" coordsize="10,20" path="m6606,1930l6616,1930,6616,1911,6606,1911,6606,1930xe" filled="true" fillcolor="#000000" stroked="false">
                <v:path arrowok="t"/>
                <v:fill type="solid"/>
              </v:shape>
            </v:group>
            <v:group style="position:absolute;left:6606;top:1930;width:10;height:20" coordorigin="6606,1930" coordsize="10,20">
              <v:shape style="position:absolute;left:6606;top:1930;width:10;height:20" coordorigin="6606,1930" coordsize="10,20" path="m6606,1949l6616,1949,6616,1930,6606,1930,6606,1949xe" filled="true" fillcolor="#000000" stroked="false">
                <v:path arrowok="t"/>
                <v:fill type="solid"/>
              </v:shape>
            </v:group>
            <v:group style="position:absolute;left:6606;top:1949;width:10;height:20" coordorigin="6606,1949" coordsize="10,20">
              <v:shape style="position:absolute;left:6606;top:1949;width:10;height:20" coordorigin="6606,1949" coordsize="10,20" path="m6606,1968l6616,1968,6616,1949,6606,1949,6606,1968xe" filled="true" fillcolor="#000000" stroked="false">
                <v:path arrowok="t"/>
                <v:fill type="solid"/>
              </v:shape>
            </v:group>
            <v:group style="position:absolute;left:6606;top:1968;width:10;height:20" coordorigin="6606,1968" coordsize="10,20">
              <v:shape style="position:absolute;left:6606;top:1968;width:10;height:20" coordorigin="6606,1968" coordsize="10,20" path="m6606,1988l6616,1988,6616,1968,6606,1968,6606,1988xe" filled="true" fillcolor="#000000" stroked="false">
                <v:path arrowok="t"/>
                <v:fill type="solid"/>
              </v:shape>
            </v:group>
            <v:group style="position:absolute;left:6606;top:1988;width:10;height:20" coordorigin="6606,1988" coordsize="10,20">
              <v:shape style="position:absolute;left:6606;top:1988;width:10;height:20" coordorigin="6606,1988" coordsize="10,20" path="m6606,2007l6616,2007,6616,1988,6606,1988,6606,2007xe" filled="true" fillcolor="#000000" stroked="false">
                <v:path arrowok="t"/>
                <v:fill type="solid"/>
              </v:shape>
            </v:group>
            <v:group style="position:absolute;left:6606;top:2007;width:10;height:20" coordorigin="6606,2007" coordsize="10,20">
              <v:shape style="position:absolute;left:6606;top:2007;width:10;height:20" coordorigin="6606,2007" coordsize="10,20" path="m6606,2026l6616,2026,6616,2007,6606,2007,6606,2026xe" filled="true" fillcolor="#000000" stroked="false">
                <v:path arrowok="t"/>
                <v:fill type="solid"/>
              </v:shape>
            </v:group>
            <v:group style="position:absolute;left:6606;top:2026;width:10;height:20" coordorigin="6606,2026" coordsize="10,20">
              <v:shape style="position:absolute;left:6606;top:2026;width:10;height:20" coordorigin="6606,2026" coordsize="10,20" path="m6606,2045l6616,2045,6616,2026,6606,2026,6606,2045xe" filled="true" fillcolor="#000000" stroked="false">
                <v:path arrowok="t"/>
                <v:fill type="solid"/>
              </v:shape>
            </v:group>
            <v:group style="position:absolute;left:6606;top:2054;width:10;height:2" coordorigin="6606,2054" coordsize="10,2">
              <v:shape style="position:absolute;left:6606;top:2054;width:10;height:2" coordorigin="6606,2054" coordsize="10,0" path="m6606,2054l6616,2054e" filled="false" stroked="true" strokeweight=".84003pt" strokecolor="#000000">
                <v:path arrowok="t"/>
              </v:shape>
            </v:group>
            <v:group style="position:absolute;left:6606;top:2076;width:29;height:2" coordorigin="6606,2076" coordsize="29,2">
              <v:shape style="position:absolute;left:6606;top:2076;width:29;height:2" coordorigin="6606,2076" coordsize="29,0" path="m6606,2076l6635,2076e" filled="false" stroked="true" strokeweight="1.44pt" strokecolor="#000000">
                <v:path arrowok="t"/>
              </v:shape>
            </v:group>
            <v:group style="position:absolute;left:6635;top:2076;width:2233;height:2" coordorigin="6635,2076" coordsize="2233,2">
              <v:shape style="position:absolute;left:6635;top:2076;width:2233;height:2" coordorigin="6635,2076" coordsize="2233,0" path="m6635,2076l8867,2076e" filled="false" stroked="true" strokeweight="1.44pt" strokecolor="#000000">
                <v:path arrowok="t"/>
              </v:shape>
              <v:shape style="position:absolute;left:6745;top:223;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占预付款项期末余额合计</w:t>
                      </w:r>
                    </w:p>
                  </w:txbxContent>
                </v:textbox>
                <w10:wrap type="none"/>
              </v:shape>
              <v:shape style="position:absolute;left:1832;top:4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预付对象</w:t>
                      </w:r>
                    </w:p>
                  </w:txbxContent>
                </v:textbox>
                <w10:wrap type="none"/>
              </v:shape>
              <v:shape style="position:absolute;left:5121;top:4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377;top:6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数的比例</w:t>
                      </w:r>
                    </w:p>
                  </w:txbxContent>
                </v:textbox>
                <w10:wrap type="none"/>
              </v:shape>
              <v:shape style="position:absolute;left:137;top:1031;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安徽省晟嘉商贸有限责任公司</w:t>
                      </w:r>
                    </w:p>
                  </w:txbxContent>
                </v:textbox>
                <w10:wrap type="none"/>
              </v:shape>
              <v:shape style="position:absolute;left:5421;top:1031;width:10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3,353,033.37</w:t>
                      </w:r>
                    </w:p>
                  </w:txbxContent>
                </v:textbox>
                <w10:wrap type="none"/>
              </v:shape>
              <v:shape style="position:absolute;left:8397;top:1031;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3.09</w:t>
                      </w:r>
                    </w:p>
                  </w:txbxContent>
                </v:textbox>
                <w10:wrap type="none"/>
              </v:shape>
              <v:shape style="position:absolute;left:137;top:1442;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江苏大力神管桩有限公司</w:t>
                      </w:r>
                    </w:p>
                  </w:txbxContent>
                </v:textbox>
                <w10:wrap type="none"/>
              </v:shape>
              <v:shape style="position:absolute;left:5421;top:1442;width:10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2,953,430.00</w:t>
                      </w:r>
                    </w:p>
                  </w:txbxContent>
                </v:textbox>
                <w10:wrap type="none"/>
              </v:shape>
              <v:shape style="position:absolute;left:8397;top:1442;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2.73</w:t>
                      </w:r>
                    </w:p>
                  </w:txbxContent>
                </v:textbox>
                <w10:wrap type="none"/>
              </v:shape>
              <v:shape style="position:absolute;left:2012;top:185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329;top:1852;width:11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64,109,056.57</w:t>
                      </w:r>
                    </w:p>
                  </w:txbxContent>
                </v:textbox>
                <w10:wrap type="none"/>
              </v:shape>
              <v:shape style="position:absolute;left:8306;top:1852;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59.17</w:t>
                      </w:r>
                    </w:p>
                  </w:txbxContent>
                </v:textbox>
                <w10:wrap type="none"/>
              </v:shape>
            </v:group>
          </v:group>
        </w:pict>
      </w:r>
      <w:r>
        <w:rPr>
          <w:rFonts w:ascii="宋体" w:hAnsi="宋体" w:cs="宋体" w:eastAsia="宋体" w:hint="default"/>
          <w:position w:val="-41"/>
          <w:sz w:val="20"/>
          <w:szCs w:val="20"/>
        </w:rPr>
      </w:r>
    </w:p>
    <w:p>
      <w:pPr>
        <w:spacing w:line="240" w:lineRule="auto" w:before="1"/>
        <w:rPr>
          <w:rFonts w:ascii="宋体" w:hAnsi="宋体" w:cs="宋体" w:eastAsia="宋体" w:hint="default"/>
          <w:sz w:val="17"/>
          <w:szCs w:val="17"/>
        </w:rPr>
      </w:pPr>
    </w:p>
    <w:p>
      <w:pPr>
        <w:pStyle w:val="BodyText"/>
        <w:spacing w:line="240" w:lineRule="auto" w:before="36"/>
        <w:ind w:left="237" w:right="93"/>
        <w:jc w:val="left"/>
      </w:pPr>
      <w:r>
        <w:rPr/>
        <w:t>其他说明</w:t>
      </w:r>
    </w:p>
    <w:p>
      <w:pPr>
        <w:pStyle w:val="BodyText"/>
        <w:spacing w:line="240" w:lineRule="auto" w:before="37"/>
        <w:ind w:left="237" w:right="9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1040" w:right="1560"/>
        </w:sectPr>
      </w:pPr>
    </w:p>
    <w:p>
      <w:pPr>
        <w:pStyle w:val="Heading2"/>
        <w:spacing w:line="324" w:lineRule="auto"/>
        <w:ind w:left="237"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2,687,513.89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1,321,298.61</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53,291,402.16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33,118,718.81</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55,978,916.05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34,440,017.42</w:t>
            </w:r>
          </w:p>
        </w:tc>
      </w:tr>
    </w:tbl>
    <w:p>
      <w:pPr>
        <w:pStyle w:val="BodyText"/>
        <w:spacing w:line="262" w:lineRule="exact"/>
        <w:ind w:left="237" w:right="93"/>
        <w:jc w:val="left"/>
      </w:pPr>
      <w:r>
        <w:rPr/>
        <w:t>其他说明：</w:t>
      </w:r>
    </w:p>
    <w:p>
      <w:pPr>
        <w:pStyle w:val="BodyText"/>
        <w:spacing w:line="240" w:lineRule="auto" w:before="37"/>
        <w:ind w:left="237" w:right="9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040" w:right="1560"/>
        </w:sectPr>
      </w:pPr>
    </w:p>
    <w:p>
      <w:pPr>
        <w:pStyle w:val="Heading2"/>
        <w:spacing w:line="240" w:lineRule="auto"/>
        <w:ind w:left="237" w:right="-18"/>
        <w:jc w:val="left"/>
        <w:rPr>
          <w:b w:val="0"/>
          <w:bCs w:val="0"/>
        </w:rPr>
      </w:pPr>
      <w:r>
        <w:rPr/>
        <w:t>应收利息</w:t>
      </w:r>
      <w:r>
        <w:rPr>
          <w:b w:val="0"/>
          <w:bCs w:val="0"/>
        </w:rPr>
      </w:r>
    </w:p>
    <w:p>
      <w:pPr>
        <w:pStyle w:val="Heading2"/>
        <w:tabs>
          <w:tab w:pos="1089" w:val="left" w:leader="none"/>
        </w:tabs>
        <w:spacing w:line="240" w:lineRule="auto" w:before="97"/>
        <w:ind w:left="237" w:right="-18"/>
        <w:jc w:val="left"/>
        <w:rPr>
          <w:b w:val="0"/>
          <w:bCs w:val="0"/>
        </w:rPr>
      </w:pPr>
      <w:r>
        <w:rPr>
          <w:rFonts w:ascii="宋体" w:hAnsi="宋体" w:cs="宋体" w:eastAsia="宋体" w:hint="default"/>
          <w:w w:val="95"/>
        </w:rPr>
        <w:t>(1).</w:t>
        <w:tab/>
      </w:r>
      <w:r>
        <w:rPr/>
        <w:t>应收利息分类</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2357" w:space="4376"/>
            <w:col w:w="2577"/>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2,687,513.89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1,321,298.61</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5"/>
              <w:jc w:val="right"/>
              <w:rPr>
                <w:rFonts w:ascii="宋体" w:hAnsi="宋体" w:cs="宋体" w:eastAsia="宋体" w:hint="default"/>
                <w:sz w:val="21"/>
                <w:szCs w:val="21"/>
              </w:rPr>
            </w:pPr>
            <w:r>
              <w:rPr>
                <w:rFonts w:ascii="宋体"/>
                <w:spacing w:val="-1"/>
                <w:sz w:val="21"/>
              </w:rPr>
              <w:t>2,687,513.89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5"/>
              <w:jc w:val="right"/>
              <w:rPr>
                <w:rFonts w:ascii="宋体" w:hAnsi="宋体" w:cs="宋体" w:eastAsia="宋体" w:hint="default"/>
                <w:sz w:val="21"/>
                <w:szCs w:val="21"/>
              </w:rPr>
            </w:pPr>
            <w:r>
              <w:rPr>
                <w:rFonts w:ascii="宋体"/>
                <w:spacing w:val="-1"/>
                <w:sz w:val="21"/>
              </w:rPr>
              <w:t>1,321,298.61</w:t>
            </w:r>
          </w:p>
        </w:tc>
      </w:tr>
    </w:tbl>
    <w:p>
      <w:pPr>
        <w:spacing w:line="240" w:lineRule="auto" w:before="9"/>
        <w:rPr>
          <w:rFonts w:ascii="宋体" w:hAnsi="宋体" w:cs="宋体" w:eastAsia="宋体" w:hint="default"/>
          <w:sz w:val="24"/>
          <w:szCs w:val="24"/>
        </w:rPr>
      </w:pPr>
    </w:p>
    <w:p>
      <w:pPr>
        <w:pStyle w:val="Heading2"/>
        <w:spacing w:line="240" w:lineRule="auto"/>
        <w:ind w:left="237" w:right="93"/>
        <w:jc w:val="left"/>
        <w:rPr>
          <w:b w:val="0"/>
          <w:bCs w:val="0"/>
        </w:rPr>
      </w:pPr>
      <w:r>
        <w:rPr>
          <w:rFonts w:ascii="宋体" w:hAnsi="宋体" w:cs="宋体" w:eastAsia="宋体" w:hint="default"/>
        </w:rPr>
        <w:t>(2).</w:t>
      </w:r>
      <w:r>
        <w:rPr/>
        <w:t>重要逾期利息</w:t>
      </w:r>
      <w:r>
        <w:rPr>
          <w:b w:val="0"/>
          <w:bCs w:val="0"/>
        </w:rPr>
      </w:r>
    </w:p>
    <w:p>
      <w:pPr>
        <w:pStyle w:val="BodyText"/>
        <w:spacing w:line="273" w:lineRule="auto" w:before="97"/>
        <w:ind w:left="237" w:right="7474"/>
        <w:jc w:val="left"/>
      </w:pPr>
      <w:r>
        <w:rPr/>
        <w:t>□适用 √不适用</w:t>
      </w:r>
      <w:r>
        <w:rPr>
          <w:w w:val="100"/>
        </w:rPr>
        <w:t> </w:t>
      </w:r>
      <w:r>
        <w:rPr/>
        <w:t>其他说明：</w:t>
      </w:r>
    </w:p>
    <w:p>
      <w:pPr>
        <w:pStyle w:val="BodyText"/>
        <w:spacing w:line="240" w:lineRule="auto" w:before="7"/>
        <w:ind w:left="237" w:right="9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93"/>
        <w:jc w:val="left"/>
        <w:rPr>
          <w:b w:val="0"/>
          <w:bCs w:val="0"/>
        </w:rPr>
      </w:pPr>
      <w:r>
        <w:rPr/>
        <w:t>应收股利</w:t>
      </w:r>
      <w:r>
        <w:rPr>
          <w:b w:val="0"/>
          <w:bCs w:val="0"/>
        </w:rPr>
      </w:r>
    </w:p>
    <w:p>
      <w:pPr>
        <w:pStyle w:val="Heading2"/>
        <w:tabs>
          <w:tab w:pos="1089" w:val="left" w:leader="none"/>
        </w:tabs>
        <w:spacing w:line="240" w:lineRule="auto" w:before="97"/>
        <w:ind w:left="237" w:right="93"/>
        <w:jc w:val="left"/>
        <w:rPr>
          <w:b w:val="0"/>
          <w:bCs w:val="0"/>
        </w:rPr>
      </w:pPr>
      <w:r>
        <w:rPr>
          <w:rFonts w:ascii="宋体" w:hAnsi="宋体" w:cs="宋体" w:eastAsia="宋体" w:hint="default"/>
          <w:w w:val="95"/>
        </w:rPr>
        <w:t>(1).</w:t>
        <w:tab/>
      </w:r>
      <w:r>
        <w:rPr/>
        <w:t>应收股利</w:t>
      </w:r>
      <w:r>
        <w:rPr>
          <w:b w:val="0"/>
          <w:bCs w:val="0"/>
        </w:rPr>
      </w:r>
    </w:p>
    <w:p>
      <w:pPr>
        <w:pStyle w:val="BodyText"/>
        <w:spacing w:line="240" w:lineRule="auto" w:before="97"/>
        <w:ind w:left="237" w:right="93"/>
        <w:jc w:val="left"/>
      </w:pPr>
      <w:r>
        <w:rPr/>
        <w:t>□适用 √不适用</w:t>
      </w:r>
    </w:p>
    <w:p>
      <w:pPr>
        <w:spacing w:after="0" w:line="240" w:lineRule="auto"/>
        <w:jc w:val="left"/>
        <w:sectPr>
          <w:type w:val="continuous"/>
          <w:pgSz w:w="11910" w:h="16840"/>
          <w:pgMar w:top="1580" w:bottom="280" w:left="1040" w:right="1560"/>
        </w:sectPr>
      </w:pPr>
    </w:p>
    <w:p>
      <w:pPr>
        <w:spacing w:line="240" w:lineRule="auto" w:before="4"/>
        <w:rPr>
          <w:rFonts w:ascii="宋体" w:hAnsi="宋体" w:cs="宋体" w:eastAsia="宋体" w:hint="default"/>
          <w:sz w:val="20"/>
          <w:szCs w:val="20"/>
        </w:rPr>
      </w:pPr>
    </w:p>
    <w:p>
      <w:pPr>
        <w:pStyle w:val="Heading2"/>
        <w:spacing w:line="240" w:lineRule="auto"/>
        <w:ind w:left="177" w:right="0"/>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pStyle w:val="BodyText"/>
        <w:spacing w:line="273" w:lineRule="auto" w:before="97"/>
        <w:ind w:left="177" w:right="7374"/>
        <w:jc w:val="left"/>
      </w:pPr>
      <w:r>
        <w:rPr/>
        <w:t>□适用 √不适用</w:t>
      </w:r>
      <w:r>
        <w:rPr>
          <w:w w:val="100"/>
        </w:rPr>
        <w:t> </w:t>
      </w:r>
      <w:r>
        <w:rPr/>
        <w:t>其他说明：</w:t>
      </w:r>
    </w:p>
    <w:p>
      <w:pPr>
        <w:pStyle w:val="BodyText"/>
        <w:spacing w:line="240" w:lineRule="auto" w:before="7"/>
        <w:ind w:left="177" w:right="0"/>
        <w:jc w:val="left"/>
      </w:pPr>
      <w:r>
        <w:rPr/>
        <w:t>□适用 √不适用</w:t>
      </w:r>
    </w:p>
    <w:p>
      <w:pPr>
        <w:spacing w:after="0" w:line="240" w:lineRule="auto"/>
        <w:jc w:val="left"/>
        <w:sectPr>
          <w:pgSz w:w="11910" w:h="16840"/>
          <w:pgMar w:header="643" w:footer="974" w:top="1120" w:bottom="1160" w:left="1100" w:right="1660"/>
        </w:sectPr>
      </w:pPr>
    </w:p>
    <w:p>
      <w:pPr>
        <w:tabs>
          <w:tab w:pos="10011" w:val="left" w:leader="none"/>
        </w:tabs>
        <w:spacing w:before="20"/>
        <w:ind w:left="3614" w:right="0" w:firstLine="0"/>
        <w:jc w:val="left"/>
        <w:rPr>
          <w:rFonts w:ascii="宋体" w:hAnsi="宋体" w:cs="宋体" w:eastAsia="宋体" w:hint="default"/>
          <w:sz w:val="18"/>
          <w:szCs w:val="18"/>
        </w:rPr>
      </w:pPr>
      <w:r>
        <w:rPr/>
        <w:pict>
          <v:group style="position:absolute;margin-left:68.75pt;margin-top:9.6717pt;width:697.85pt;height:19.650pt;mso-position-horizontal-relative:page;mso-position-vertical-relative:paragraph;z-index:-1112440" coordorigin="1375,193" coordsize="13957,393">
            <v:group style="position:absolute;left:1411;top:312;width:13913;height:2" coordorigin="1411,312" coordsize="13913,2">
              <v:shape style="position:absolute;left:1411;top:312;width:13913;height:2" coordorigin="1411,312" coordsize="13913,0" path="m1411,312l15324,312e" filled="false" stroked="true" strokeweight=".72pt" strokecolor="#000000">
                <v:path arrowok="t"/>
              </v:shape>
              <v:shape style="position:absolute;left:1375;top:193;width:465;height:393" type="#_x0000_t75" stroked="false">
                <v:imagedata r:id="rId10" o:title=""/>
              </v:shape>
            </v:group>
            <w10:wrap type="none"/>
          </v:group>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87"/>
          <w:footerReference w:type="default" r:id="rId88"/>
          <w:pgSz w:w="16840" w:h="11910" w:orient="landscape"/>
          <w:pgMar w:header="0" w:footer="0" w:top="800" w:bottom="280" w:left="900" w:right="980"/>
        </w:sectPr>
      </w:pPr>
    </w:p>
    <w:p>
      <w:pPr>
        <w:pStyle w:val="Heading2"/>
        <w:spacing w:line="240" w:lineRule="auto"/>
        <w:ind w:left="540" w:right="-17"/>
        <w:jc w:val="left"/>
        <w:rPr>
          <w:b w:val="0"/>
          <w:bCs w:val="0"/>
        </w:rPr>
      </w:pPr>
      <w:r>
        <w:rPr/>
        <w:t>其他应收款</w:t>
      </w:r>
      <w:r>
        <w:rPr>
          <w:b w:val="0"/>
          <w:bCs w:val="0"/>
        </w:rPr>
      </w:r>
    </w:p>
    <w:p>
      <w:pPr>
        <w:pStyle w:val="Heading2"/>
        <w:tabs>
          <w:tab w:pos="1392" w:val="left" w:leader="none"/>
        </w:tabs>
        <w:spacing w:line="240" w:lineRule="auto" w:before="97"/>
        <w:ind w:left="540" w:right="-17"/>
        <w:jc w:val="left"/>
        <w:rPr>
          <w:b w:val="0"/>
          <w:bCs w:val="0"/>
        </w:rPr>
      </w:pPr>
      <w:r>
        <w:rPr>
          <w:rFonts w:ascii="宋体" w:hAnsi="宋体" w:cs="宋体" w:eastAsia="宋体" w:hint="default"/>
          <w:w w:val="95"/>
        </w:rPr>
        <w:t>(1).</w:t>
        <w:tab/>
      </w:r>
      <w:r>
        <w:rPr/>
        <w:t>其他应收款分类披露</w:t>
      </w:r>
      <w:r>
        <w:rPr>
          <w:b w:val="0"/>
          <w:bCs w:val="0"/>
        </w:rPr>
      </w:r>
    </w:p>
    <w:p>
      <w:pPr>
        <w:pStyle w:val="BodyText"/>
        <w:spacing w:line="240" w:lineRule="auto" w:before="97"/>
        <w:ind w:left="54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540" w:right="0"/>
        <w:jc w:val="left"/>
      </w:pPr>
      <w:r>
        <w:rPr/>
        <w:t>单位：元币种：人民币</w:t>
      </w:r>
    </w:p>
    <w:p>
      <w:pPr>
        <w:spacing w:after="0" w:line="240" w:lineRule="auto"/>
        <w:jc w:val="left"/>
        <w:sectPr>
          <w:type w:val="continuous"/>
          <w:pgSz w:w="16840" w:h="11910" w:orient="landscape"/>
          <w:pgMar w:top="1580" w:bottom="280" w:left="900" w:right="980"/>
          <w:cols w:num="2" w:equalWidth="0">
            <w:col w:w="3294" w:space="8377"/>
            <w:col w:w="328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32"/>
        <w:gridCol w:w="1426"/>
        <w:gridCol w:w="1009"/>
        <w:gridCol w:w="1322"/>
        <w:gridCol w:w="1018"/>
        <w:gridCol w:w="1428"/>
        <w:gridCol w:w="1426"/>
        <w:gridCol w:w="965"/>
        <w:gridCol w:w="1322"/>
        <w:gridCol w:w="965"/>
        <w:gridCol w:w="1426"/>
      </w:tblGrid>
      <w:tr>
        <w:trPr>
          <w:trHeight w:val="322" w:hRule="exact"/>
        </w:trPr>
        <w:tc>
          <w:tcPr>
            <w:tcW w:w="24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432" w:type="dxa"/>
            <w:vMerge/>
            <w:tcBorders>
              <w:left w:val="single" w:sz="4" w:space="0" w:color="000000"/>
              <w:right w:val="single" w:sz="4" w:space="0" w:color="000000"/>
            </w:tcBorders>
          </w:tcPr>
          <w:p>
            <w:pP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3" w:lineRule="auto" w:before="150"/>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3" w:lineRule="auto" w:before="150"/>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634" w:hRule="exact"/>
        </w:trPr>
        <w:tc>
          <w:tcPr>
            <w:tcW w:w="2432"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79"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9" w:right="53"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63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pacing w:val="-2"/>
                <w:sz w:val="21"/>
                <w:szCs w:val="21"/>
              </w:rPr>
              <w:t>单项金额重大并单独计提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坏账准备的其他应收款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59,490,222.84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1"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6,198,820.68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5" w:right="0"/>
              <w:jc w:val="left"/>
              <w:rPr>
                <w:rFonts w:ascii="宋体" w:hAnsi="宋体" w:cs="宋体" w:eastAsia="宋体" w:hint="default"/>
                <w:sz w:val="21"/>
                <w:szCs w:val="21"/>
              </w:rPr>
            </w:pPr>
            <w:r>
              <w:rPr>
                <w:rFonts w:ascii="宋体"/>
                <w:sz w:val="21"/>
              </w:rPr>
              <w:t>10.42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sz w:val="21"/>
              </w:rPr>
              <w:t>53,291,402.16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37,208,564.01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7"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4,089,845.20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sz w:val="21"/>
              </w:rPr>
              <w:t>10.99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sz w:val="21"/>
              </w:rPr>
              <w:t>33,118,718.81</w:t>
            </w:r>
          </w:p>
        </w:tc>
      </w:tr>
      <w:tr>
        <w:trPr>
          <w:trHeight w:val="63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9"/>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单项金额不重大但单独计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提坏账准备的其他应收款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59,490,222.84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6,198,820.68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1" w:right="0"/>
              <w:jc w:val="left"/>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53,291,402.16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37,208,564.01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4,089,845.20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33,118,718.81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63"/>
        <w:ind w:left="7110" w:right="7114" w:firstLine="0"/>
        <w:jc w:val="center"/>
        <w:rPr>
          <w:rFonts w:ascii="Calibri" w:hAnsi="Calibri" w:cs="Calibri" w:eastAsia="Calibri" w:hint="default"/>
          <w:sz w:val="18"/>
          <w:szCs w:val="18"/>
        </w:rPr>
      </w:pPr>
      <w:r>
        <w:rPr>
          <w:rFonts w:ascii="Calibri"/>
          <w:b/>
          <w:sz w:val="18"/>
        </w:rPr>
        <w:t>128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900" w:right="980"/>
        </w:sectPr>
      </w:pPr>
    </w:p>
    <w:p>
      <w:pPr>
        <w:spacing w:line="240" w:lineRule="auto" w:before="5"/>
        <w:rPr>
          <w:rFonts w:ascii="Calibri" w:hAnsi="Calibri" w:cs="Calibri" w:eastAsia="Calibri" w:hint="default"/>
          <w:b/>
          <w:bCs/>
          <w:sz w:val="2"/>
          <w:szCs w:val="2"/>
        </w:rPr>
      </w:pPr>
    </w:p>
    <w:p>
      <w:pPr>
        <w:spacing w:line="20" w:lineRule="exact"/>
        <w:ind w:left="182" w:right="0" w:firstLine="0"/>
        <w:rPr>
          <w:rFonts w:ascii="Calibri" w:hAnsi="Calibri" w:cs="Calibri" w:eastAsia="Calibri" w:hint="default"/>
          <w:sz w:val="2"/>
          <w:szCs w:val="2"/>
        </w:rPr>
      </w:pPr>
      <w:r>
        <w:rPr>
          <w:rFonts w:ascii="Calibri" w:hAnsi="Calibri" w:cs="Calibri" w:eastAsia="Calibri" w:hint="default"/>
          <w:sz w:val="2"/>
          <w:szCs w:val="2"/>
        </w:rPr>
        <w:pict>
          <v:group style="width:456.1pt;height:.75pt;mso-position-horizontal-relative:char;mso-position-vertical-relative:line" coordorigin="0,0" coordsize="9122,15">
            <v:group style="position:absolute;left:7;top:7;width:9107;height:2" coordorigin="7,7" coordsize="9107,2">
              <v:shape style="position:absolute;left:7;top:7;width:9107;height:2" coordorigin="7,7" coordsize="9107,0" path="m7,7l9114,7e" filled="false" stroked="true" strokeweight=".72pt" strokecolor="#000000">
                <v:path arrowok="t"/>
              </v:shape>
            </v:group>
          </v:group>
        </w:pict>
      </w:r>
      <w:r>
        <w:rPr>
          <w:rFonts w:ascii="Calibri" w:hAnsi="Calibri" w:cs="Calibri" w:eastAsia="Calibri" w:hint="default"/>
          <w:sz w:val="2"/>
          <w:szCs w:val="2"/>
        </w:rPr>
      </w:r>
    </w:p>
    <w:p>
      <w:pPr>
        <w:spacing w:line="240" w:lineRule="auto" w:before="4"/>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headerReference w:type="default" r:id="rId89"/>
          <w:footerReference w:type="default" r:id="rId90"/>
          <w:pgSz w:w="11910" w:h="16840"/>
          <w:pgMar w:header="882" w:footer="974" w:top="1080" w:bottom="1160" w:left="1200" w:right="1180"/>
          <w:pgNumType w:start="12"/>
        </w:sectPr>
      </w:pPr>
    </w:p>
    <w:p>
      <w:pPr>
        <w:pStyle w:val="BodyText"/>
        <w:spacing w:line="240" w:lineRule="auto" w:before="36"/>
        <w:ind w:right="0"/>
        <w:jc w:val="left"/>
      </w:pPr>
      <w:r>
        <w:rPr>
          <w:spacing w:val="-2"/>
        </w:rPr>
        <w:t>期末单项金额重大并单项计提坏账准备的其他应收款</w:t>
      </w:r>
    </w:p>
    <w:p>
      <w:pPr>
        <w:pStyle w:val="BodyText"/>
        <w:spacing w:line="273" w:lineRule="auto" w:before="37"/>
        <w:ind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7"/>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180"/>
          <w:cols w:num="2" w:equalWidth="0">
            <w:col w:w="5054" w:space="1917"/>
            <w:col w:w="2559"/>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477"/>
        <w:gridCol w:w="2305"/>
        <w:gridCol w:w="2228"/>
        <w:gridCol w:w="2288"/>
      </w:tblGrid>
      <w:tr>
        <w:trPr>
          <w:trHeight w:val="322" w:hRule="exact"/>
        </w:trPr>
        <w:tc>
          <w:tcPr>
            <w:tcW w:w="2477"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477" w:type="dxa"/>
            <w:vMerge/>
            <w:tcBorders>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20"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2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42,965,598.26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2,148,269.16</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5.00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42,965,598.26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2,148,269.16</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5.00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12,893,911.12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1,289,391.12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10.00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1,242,218.67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372,665.61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30.00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2,388,494.79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2,388,494.79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100.00</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59,490,222.84</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6,198,820.68</w:t>
            </w:r>
          </w:p>
        </w:tc>
        <w:tc>
          <w:tcPr>
            <w:tcW w:w="22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26"/>
        <w:jc w:val="left"/>
      </w:pPr>
      <w:r>
        <w:rPr/>
        <w:t>组合中，采用余额百分比法计提坏账准备的其他应收款</w:t>
      </w:r>
    </w:p>
    <w:p>
      <w:pPr>
        <w:pStyle w:val="BodyText"/>
        <w:spacing w:line="273" w:lineRule="auto" w:before="37"/>
        <w:ind w:right="3179"/>
        <w:jc w:val="left"/>
      </w:pPr>
      <w:r>
        <w:rPr/>
        <w:t>□适用</w:t>
      </w:r>
      <w:r>
        <w:rPr>
          <w:spacing w:val="-2"/>
        </w:rPr>
        <w:t> </w:t>
      </w:r>
      <w:r>
        <w:rPr/>
        <w:t>√不适用</w:t>
      </w:r>
      <w:r>
        <w:rPr>
          <w:spacing w:val="-103"/>
        </w:rPr>
        <w:t> </w:t>
      </w:r>
      <w:r>
        <w:rPr>
          <w:spacing w:val="-103"/>
        </w:rPr>
      </w:r>
      <w:r>
        <w:rPr>
          <w:spacing w:val="-2"/>
        </w:rPr>
        <w:t>组合中，采用其他方法计提坏账准备的其他应收款</w:t>
      </w:r>
    </w:p>
    <w:p>
      <w:pPr>
        <w:pStyle w:val="BodyText"/>
        <w:spacing w:line="240" w:lineRule="auto" w:before="7"/>
        <w:ind w:right="226"/>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1180"/>
        </w:sectPr>
      </w:pPr>
    </w:p>
    <w:p>
      <w:pPr>
        <w:pStyle w:val="Heading2"/>
        <w:spacing w:line="240" w:lineRule="auto"/>
        <w:ind w:right="-12"/>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97"/>
        <w:ind w:right="-1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180"/>
          <w:cols w:num="2" w:equalWidth="0">
            <w:col w:w="2547" w:space="3965"/>
            <w:col w:w="3018"/>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157"/>
        <w:gridCol w:w="3060"/>
        <w:gridCol w:w="3070"/>
      </w:tblGrid>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30,496,019.12</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20,683,773.09</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8,009,739.53</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4,712,390.48</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7,278,666.36</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6,313,015.59</w:t>
            </w:r>
          </w:p>
        </w:tc>
      </w:tr>
      <w:tr>
        <w:trPr>
          <w:trHeight w:val="32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13,705,797.83</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5,499,384.85</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59,490,222.84</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37,208,564.01</w:t>
            </w:r>
          </w:p>
        </w:tc>
      </w:tr>
    </w:tbl>
    <w:p>
      <w:pPr>
        <w:spacing w:line="240" w:lineRule="auto" w:before="10"/>
        <w:rPr>
          <w:rFonts w:ascii="宋体" w:hAnsi="宋体" w:cs="宋体" w:eastAsia="宋体" w:hint="default"/>
          <w:sz w:val="24"/>
          <w:szCs w:val="24"/>
        </w:rPr>
      </w:pPr>
    </w:p>
    <w:p>
      <w:pPr>
        <w:pStyle w:val="Heading2"/>
        <w:spacing w:line="240" w:lineRule="auto"/>
        <w:ind w:right="226"/>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73" w:lineRule="auto" w:before="97"/>
        <w:ind w:right="2058"/>
        <w:jc w:val="left"/>
      </w:pPr>
      <w:r>
        <w:rPr/>
        <w:t>本期计提坏账准备金额</w:t>
      </w:r>
      <w:r>
        <w:rPr>
          <w:spacing w:val="-55"/>
        </w:rPr>
        <w:t> </w:t>
      </w:r>
      <w:r>
        <w:rPr>
          <w:rFonts w:ascii="宋体" w:hAnsi="宋体" w:cs="宋体" w:eastAsia="宋体" w:hint="default"/>
        </w:rPr>
        <w:t>2,108,975.48</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0" w:lineRule="auto" w:before="7"/>
        <w:ind w:right="22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26"/>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97"/>
        <w:ind w:right="226"/>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200" w:right="1180"/>
        </w:sectPr>
      </w:pPr>
    </w:p>
    <w:p>
      <w:pPr>
        <w:pStyle w:val="Heading2"/>
        <w:spacing w:line="240" w:lineRule="auto"/>
        <w:ind w:right="0"/>
        <w:jc w:val="left"/>
        <w:rPr>
          <w:b w:val="0"/>
          <w:bCs w:val="0"/>
        </w:rPr>
      </w:pPr>
      <w:r>
        <w:rPr/>
        <w:pict>
          <v:shape style="position:absolute;margin-left:67.650002pt;margin-top:32.149982pt;width:23.25pt;height:19.650pt;mso-position-horizontal-relative:page;mso-position-vertical-relative:page;z-index:2488" type="#_x0000_t75" stroked="false">
            <v:imagedata r:id="rId10" o:title=""/>
          </v:shape>
        </w:pict>
      </w: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180"/>
          <w:cols w:num="2" w:equalWidth="0">
            <w:col w:w="5286" w:space="1685"/>
            <w:col w:w="2559"/>
          </w:cols>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621"/>
        <w:gridCol w:w="1165"/>
        <w:gridCol w:w="1745"/>
        <w:gridCol w:w="1601"/>
        <w:gridCol w:w="1880"/>
        <w:gridCol w:w="1486"/>
      </w:tblGrid>
      <w:tr>
        <w:trPr>
          <w:trHeight w:val="94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434" w:right="190"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3" w:right="91"/>
              <w:jc w:val="center"/>
              <w:rPr>
                <w:rFonts w:ascii="宋体" w:hAnsi="宋体" w:cs="宋体" w:eastAsia="宋体" w:hint="default"/>
                <w:sz w:val="21"/>
                <w:szCs w:val="21"/>
              </w:rPr>
            </w:pPr>
            <w:r>
              <w:rPr>
                <w:rFonts w:ascii="宋体" w:hAnsi="宋体" w:cs="宋体" w:eastAsia="宋体" w:hint="default"/>
                <w:spacing w:val="-2"/>
                <w:sz w:val="21"/>
                <w:szCs w:val="21"/>
              </w:rPr>
              <w:t>占其他应收款期末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余额合计数的比例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314" w:right="31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临泉县扶贫基金会</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center"/>
              <w:rPr>
                <w:rFonts w:ascii="宋体" w:hAnsi="宋体" w:cs="宋体" w:eastAsia="宋体" w:hint="default"/>
                <w:sz w:val="21"/>
                <w:szCs w:val="21"/>
              </w:rPr>
            </w:pPr>
            <w:r>
              <w:rPr>
                <w:rFonts w:ascii="宋体" w:hAnsi="宋体" w:cs="宋体" w:eastAsia="宋体" w:hint="default"/>
                <w:sz w:val="21"/>
                <w:szCs w:val="21"/>
              </w:rPr>
              <w:t>暂付款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13.45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400,000.00</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国网国际招标有限公司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4"/>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400,000.00</w:t>
            </w:r>
          </w:p>
        </w:tc>
      </w:tr>
      <w:tr>
        <w:trPr>
          <w:trHeight w:val="63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9"/>
              <w:jc w:val="left"/>
              <w:rPr>
                <w:rFonts w:ascii="宋体" w:hAnsi="宋体" w:cs="宋体" w:eastAsia="宋体" w:hint="default"/>
                <w:sz w:val="21"/>
                <w:szCs w:val="21"/>
              </w:rPr>
            </w:pPr>
            <w:r>
              <w:rPr>
                <w:rFonts w:ascii="宋体" w:hAnsi="宋体" w:cs="宋体" w:eastAsia="宋体" w:hint="default"/>
                <w:spacing w:val="-2"/>
                <w:sz w:val="21"/>
                <w:szCs w:val="21"/>
              </w:rPr>
              <w:t>南京新城科技园建设发展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有限责任公司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4"/>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4,000,000.00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1"/>
                <w:szCs w:val="21"/>
              </w:rPr>
            </w:pPr>
            <w:r>
              <w:rPr>
                <w:rFonts w:ascii="宋体"/>
                <w:sz w:val="21"/>
              </w:rPr>
              <w:t>6.72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4"/>
              <w:jc w:val="right"/>
              <w:rPr>
                <w:rFonts w:ascii="宋体" w:hAnsi="宋体" w:cs="宋体" w:eastAsia="宋体" w:hint="default"/>
                <w:sz w:val="21"/>
                <w:szCs w:val="21"/>
              </w:rPr>
            </w:pPr>
            <w:r>
              <w:rPr>
                <w:rFonts w:ascii="宋体"/>
                <w:spacing w:val="-1"/>
                <w:sz w:val="21"/>
              </w:rPr>
              <w:t>350,000.00</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9"/>
              <w:jc w:val="left"/>
              <w:rPr>
                <w:rFonts w:ascii="宋体" w:hAnsi="宋体" w:cs="宋体" w:eastAsia="宋体" w:hint="default"/>
                <w:sz w:val="21"/>
                <w:szCs w:val="21"/>
              </w:rPr>
            </w:pPr>
            <w:r>
              <w:rPr>
                <w:rFonts w:ascii="宋体" w:hAnsi="宋体" w:cs="宋体" w:eastAsia="宋体" w:hint="default"/>
                <w:spacing w:val="-2"/>
                <w:sz w:val="21"/>
                <w:szCs w:val="21"/>
              </w:rPr>
              <w:t>泗洪县土地收购储备交易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中心</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4" w:right="190" w:hanging="315"/>
              <w:jc w:val="left"/>
              <w:rPr>
                <w:rFonts w:ascii="宋体" w:hAnsi="宋体" w:cs="宋体" w:eastAsia="宋体" w:hint="default"/>
                <w:sz w:val="21"/>
                <w:szCs w:val="21"/>
              </w:rPr>
            </w:pPr>
            <w:r>
              <w:rPr>
                <w:rFonts w:ascii="宋体" w:hAnsi="宋体" w:cs="宋体" w:eastAsia="宋体" w:hint="default"/>
                <w:sz w:val="21"/>
                <w:szCs w:val="21"/>
              </w:rPr>
              <w:t>土地保证</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2,120,100.00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3.56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spacing w:val="-1"/>
                <w:sz w:val="21"/>
              </w:rPr>
              <w:t>106,005.00</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9"/>
              <w:jc w:val="left"/>
              <w:rPr>
                <w:rFonts w:ascii="宋体" w:hAnsi="宋体" w:cs="宋体" w:eastAsia="宋体" w:hint="default"/>
                <w:sz w:val="21"/>
                <w:szCs w:val="21"/>
              </w:rPr>
            </w:pPr>
            <w:r>
              <w:rPr>
                <w:rFonts w:ascii="宋体" w:hAnsi="宋体" w:cs="宋体" w:eastAsia="宋体" w:hint="default"/>
                <w:spacing w:val="-2"/>
                <w:sz w:val="21"/>
                <w:szCs w:val="21"/>
              </w:rPr>
              <w:t>唐山紫光智能电子有限公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1,820,000.00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21"/>
                <w:szCs w:val="21"/>
              </w:rPr>
            </w:pPr>
            <w:r>
              <w:rPr>
                <w:rFonts w:ascii="宋体"/>
                <w:sz w:val="21"/>
              </w:rPr>
              <w:t>3.06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spacing w:val="-1"/>
                <w:sz w:val="21"/>
              </w:rPr>
              <w:t>91,000.00</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center"/>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19,940,100.00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center"/>
              <w:rPr>
                <w:rFonts w:ascii="宋体" w:hAnsi="宋体" w:cs="宋体" w:eastAsia="宋体" w:hint="default"/>
                <w:sz w:val="21"/>
                <w:szCs w:val="21"/>
              </w:rPr>
            </w:pPr>
            <w:r>
              <w:rPr>
                <w:rFonts w:ascii="宋体"/>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33.51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1,347,005.00</w:t>
            </w:r>
          </w:p>
        </w:tc>
      </w:tr>
    </w:tbl>
    <w:p>
      <w:pPr>
        <w:spacing w:line="240" w:lineRule="auto" w:before="10"/>
        <w:rPr>
          <w:rFonts w:ascii="宋体" w:hAnsi="宋体" w:cs="宋体" w:eastAsia="宋体" w:hint="default"/>
          <w:sz w:val="21"/>
          <w:szCs w:val="21"/>
        </w:rPr>
      </w:pPr>
    </w:p>
    <w:p>
      <w:pPr>
        <w:pStyle w:val="Heading2"/>
        <w:spacing w:line="240" w:lineRule="auto"/>
        <w:ind w:left="818" w:right="0"/>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97"/>
        <w:ind w:left="818" w:right="0"/>
        <w:jc w:val="left"/>
      </w:pPr>
      <w:r>
        <w:rPr/>
        <w:t>□适用 √不适用</w:t>
      </w:r>
    </w:p>
    <w:p>
      <w:pPr>
        <w:spacing w:line="240" w:lineRule="auto" w:before="10"/>
        <w:rPr>
          <w:rFonts w:ascii="宋体" w:hAnsi="宋体" w:cs="宋体" w:eastAsia="宋体" w:hint="default"/>
          <w:sz w:val="25"/>
          <w:szCs w:val="25"/>
        </w:rPr>
      </w:pPr>
    </w:p>
    <w:p>
      <w:pPr>
        <w:pStyle w:val="Heading2"/>
        <w:spacing w:line="240" w:lineRule="auto" w:before="0"/>
        <w:ind w:left="818" w:right="0"/>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spacing w:line="240" w:lineRule="auto" w:before="97"/>
        <w:ind w:left="8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818" w:right="0"/>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spacing w:line="240" w:lineRule="auto" w:before="97"/>
        <w:ind w:left="818"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818" w:right="0"/>
        <w:jc w:val="left"/>
      </w:pPr>
      <w:r>
        <w:rPr/>
        <w:t>其他说明：</w:t>
      </w:r>
    </w:p>
    <w:p>
      <w:pPr>
        <w:pStyle w:val="BodyText"/>
        <w:spacing w:line="240" w:lineRule="auto" w:before="37"/>
        <w:ind w:left="81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1"/>
          <w:pgSz w:w="11910" w:h="16840"/>
          <w:pgMar w:header="643" w:footer="974" w:top="1120" w:bottom="1160" w:left="600" w:right="580"/>
        </w:sectPr>
      </w:pPr>
    </w:p>
    <w:p>
      <w:pPr>
        <w:pStyle w:val="Heading2"/>
        <w:spacing w:line="324" w:lineRule="auto"/>
        <w:ind w:left="818" w:right="291"/>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23"/>
        <w:ind w:left="8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580" w:bottom="280" w:left="600" w:right="580"/>
          <w:cols w:num="2" w:equalWidth="0">
            <w:col w:w="2396" w:space="4574"/>
            <w:col w:w="3760"/>
          </w:cols>
        </w:sectPr>
      </w:pPr>
    </w:p>
    <w:p>
      <w:pPr>
        <w:spacing w:line="240" w:lineRule="auto" w:before="10"/>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12"/>
        <w:gridCol w:w="1549"/>
        <w:gridCol w:w="1327"/>
        <w:gridCol w:w="1548"/>
        <w:gridCol w:w="1548"/>
        <w:gridCol w:w="1119"/>
        <w:gridCol w:w="1543"/>
      </w:tblGrid>
      <w:tr>
        <w:trPr>
          <w:trHeight w:val="324"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812"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135,457,315.37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782,772.73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134,674,542.64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105,751,119.64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352,204.70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105,398,914.94</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16,839,146.73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16,839,146.73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21,718,002.23</w:t>
            </w:r>
          </w:p>
        </w:tc>
        <w:tc>
          <w:tcPr>
            <w:tcW w:w="111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21,718,002.23</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219,002,008.00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2,706,118.97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216,295,889.03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153,493,951.04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276,724.63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153,217,226.41</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1,056,038.17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1,056,038.17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365,445.58</w:t>
            </w:r>
          </w:p>
        </w:tc>
        <w:tc>
          <w:tcPr>
            <w:tcW w:w="111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365,445.58</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91"/>
              <w:jc w:val="left"/>
              <w:rPr>
                <w:rFonts w:ascii="宋体" w:hAnsi="宋体" w:cs="宋体" w:eastAsia="宋体" w:hint="default"/>
                <w:sz w:val="21"/>
                <w:szCs w:val="21"/>
              </w:rPr>
            </w:pPr>
            <w:r>
              <w:rPr>
                <w:rFonts w:ascii="宋体" w:hAnsi="宋体" w:cs="宋体" w:eastAsia="宋体" w:hint="default"/>
                <w:sz w:val="21"/>
                <w:szCs w:val="21"/>
              </w:rPr>
              <w:t>建造合同形成的已</w:t>
            </w:r>
            <w:r>
              <w:rPr>
                <w:rFonts w:ascii="宋体" w:hAnsi="宋体" w:cs="宋体" w:eastAsia="宋体" w:hint="default"/>
                <w:w w:val="100"/>
                <w:sz w:val="21"/>
                <w:szCs w:val="21"/>
              </w:rPr>
              <w:t> </w:t>
            </w:r>
            <w:r>
              <w:rPr>
                <w:rFonts w:ascii="宋体" w:hAnsi="宋体" w:cs="宋体" w:eastAsia="宋体" w:hint="default"/>
                <w:sz w:val="21"/>
                <w:szCs w:val="21"/>
              </w:rPr>
              <w:t>完工未结算资产</w:t>
            </w:r>
          </w:p>
        </w:tc>
        <w:tc>
          <w:tcPr>
            <w:tcW w:w="154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1,460,373.49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1,460,373.49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3,727,720.73</w:t>
            </w:r>
          </w:p>
        </w:tc>
        <w:tc>
          <w:tcPr>
            <w:tcW w:w="111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3,727,720.73</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21,915,131.69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1,618.34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21,913,513.35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23,405,500.61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24,599.11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23,380,901.50</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right"/>
              <w:rPr>
                <w:rFonts w:ascii="宋体" w:hAnsi="宋体" w:cs="宋体" w:eastAsia="宋体" w:hint="default"/>
                <w:sz w:val="21"/>
                <w:szCs w:val="21"/>
              </w:rPr>
            </w:pPr>
            <w:r>
              <w:rPr>
                <w:rFonts w:ascii="宋体"/>
                <w:spacing w:val="-1"/>
                <w:sz w:val="21"/>
              </w:rPr>
              <w:t>67,565,147.37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7"/>
              <w:jc w:val="right"/>
              <w:rPr>
                <w:rFonts w:ascii="宋体" w:hAnsi="宋体" w:cs="宋体" w:eastAsia="宋体" w:hint="default"/>
                <w:sz w:val="21"/>
                <w:szCs w:val="21"/>
              </w:rPr>
            </w:pPr>
            <w:r>
              <w:rPr>
                <w:rFonts w:ascii="宋体"/>
                <w:spacing w:val="-1"/>
                <w:sz w:val="21"/>
              </w:rPr>
              <w:t>67,565,147.37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6"/>
              <w:jc w:val="right"/>
              <w:rPr>
                <w:rFonts w:ascii="宋体" w:hAnsi="宋体" w:cs="宋体" w:eastAsia="宋体" w:hint="default"/>
                <w:sz w:val="21"/>
                <w:szCs w:val="21"/>
              </w:rPr>
            </w:pPr>
            <w:r>
              <w:rPr>
                <w:rFonts w:ascii="宋体"/>
                <w:spacing w:val="-1"/>
                <w:sz w:val="21"/>
              </w:rPr>
              <w:t>81,215,037.83</w:t>
            </w:r>
          </w:p>
        </w:tc>
        <w:tc>
          <w:tcPr>
            <w:tcW w:w="111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6"/>
              <w:jc w:val="right"/>
              <w:rPr>
                <w:rFonts w:ascii="宋体" w:hAnsi="宋体" w:cs="宋体" w:eastAsia="宋体" w:hint="default"/>
                <w:sz w:val="21"/>
                <w:szCs w:val="21"/>
              </w:rPr>
            </w:pPr>
            <w:r>
              <w:rPr>
                <w:rFonts w:ascii="宋体"/>
                <w:spacing w:val="-1"/>
                <w:sz w:val="21"/>
              </w:rPr>
              <w:t>81,215,037.83</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right"/>
              <w:rPr>
                <w:rFonts w:ascii="宋体" w:hAnsi="宋体" w:cs="宋体" w:eastAsia="宋体" w:hint="default"/>
                <w:sz w:val="21"/>
                <w:szCs w:val="21"/>
              </w:rPr>
            </w:pPr>
            <w:r>
              <w:rPr>
                <w:rFonts w:ascii="宋体"/>
                <w:spacing w:val="-1"/>
                <w:sz w:val="21"/>
              </w:rPr>
              <w:t>463,295,160.82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3,490,510.04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459,804,650.78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389,676,777.66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653,528.44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389,023,249.22</w:t>
            </w:r>
          </w:p>
        </w:tc>
      </w:tr>
    </w:tbl>
    <w:p>
      <w:pPr>
        <w:spacing w:after="0" w:line="262" w:lineRule="exact"/>
        <w:jc w:val="right"/>
        <w:rPr>
          <w:rFonts w:ascii="宋体" w:hAnsi="宋体" w:cs="宋体" w:eastAsia="宋体" w:hint="default"/>
          <w:sz w:val="21"/>
          <w:szCs w:val="21"/>
        </w:rPr>
        <w:sectPr>
          <w:type w:val="continuous"/>
          <w:pgSz w:w="11910" w:h="16840"/>
          <w:pgMar w:top="1580" w:bottom="280" w:left="600" w:right="5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92"/>
          <w:pgSz w:w="11910" w:h="16840"/>
          <w:pgMar w:footer="974" w:header="643" w:top="1120" w:bottom="1160" w:left="1200" w:right="760"/>
          <w:pgNumType w:start="131"/>
        </w:sectPr>
      </w:pPr>
    </w:p>
    <w:p>
      <w:pPr>
        <w:pStyle w:val="Heading2"/>
        <w:spacing w:line="240" w:lineRule="auto"/>
        <w:ind w:right="-13"/>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97"/>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760"/>
          <w:cols w:num="2" w:equalWidth="0">
            <w:col w:w="1914" w:space="5057"/>
            <w:col w:w="297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63"/>
        <w:gridCol w:w="1349"/>
        <w:gridCol w:w="1745"/>
        <w:gridCol w:w="722"/>
        <w:gridCol w:w="1313"/>
        <w:gridCol w:w="980"/>
        <w:gridCol w:w="1639"/>
      </w:tblGrid>
      <w:tr>
        <w:trPr>
          <w:trHeight w:val="322" w:hRule="exact"/>
        </w:trPr>
        <w:tc>
          <w:tcPr>
            <w:tcW w:w="1963"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48"/>
              <w:ind w:left="24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before="148"/>
              <w:ind w:left="39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96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转回或转销</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9" w:type="dxa"/>
            <w:vMerge/>
            <w:tcBorders>
              <w:left w:val="single" w:sz="4" w:space="0" w:color="000000"/>
              <w:bottom w:val="single" w:sz="4" w:space="0" w:color="000000"/>
              <w:right w:val="single" w:sz="4" w:space="0" w:color="000000"/>
            </w:tcBorders>
          </w:tcPr>
          <w:p>
            <w:pPr/>
          </w:p>
        </w:tc>
      </w:tr>
      <w:tr>
        <w:trPr>
          <w:trHeight w:val="32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352,204.70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690,650.40</w:t>
            </w: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260,082.37</w:t>
            </w: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782,772.73</w:t>
            </w:r>
          </w:p>
        </w:tc>
      </w:tr>
      <w:tr>
        <w:trPr>
          <w:trHeight w:val="32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4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 w:right="0"/>
              <w:jc w:val="center"/>
              <w:rPr>
                <w:rFonts w:ascii="宋体" w:hAnsi="宋体" w:cs="宋体" w:eastAsia="宋体" w:hint="default"/>
                <w:sz w:val="21"/>
                <w:szCs w:val="21"/>
              </w:rPr>
            </w:pPr>
            <w:r>
              <w:rPr>
                <w:rFonts w:ascii="宋体"/>
                <w:sz w:val="21"/>
              </w:rPr>
              <w:t>276,724.63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2,619,629.59</w:t>
            </w: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190,235.25</w:t>
            </w: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2,706,118.97</w:t>
            </w:r>
          </w:p>
        </w:tc>
      </w:tr>
      <w:tr>
        <w:trPr>
          <w:trHeight w:val="32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4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34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建造合同形成的已</w:t>
            </w:r>
            <w:r>
              <w:rPr>
                <w:rFonts w:ascii="宋体" w:hAnsi="宋体" w:cs="宋体" w:eastAsia="宋体" w:hint="default"/>
                <w:w w:val="100"/>
                <w:sz w:val="21"/>
                <w:szCs w:val="21"/>
              </w:rPr>
              <w:t> </w:t>
            </w:r>
            <w:r>
              <w:rPr>
                <w:rFonts w:ascii="宋体" w:hAnsi="宋体" w:cs="宋体" w:eastAsia="宋体" w:hint="default"/>
                <w:sz w:val="21"/>
                <w:szCs w:val="21"/>
              </w:rPr>
              <w:t>完工未结算资产</w:t>
            </w:r>
          </w:p>
        </w:tc>
        <w:tc>
          <w:tcPr>
            <w:tcW w:w="134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9" w:right="0"/>
              <w:jc w:val="center"/>
              <w:rPr>
                <w:rFonts w:ascii="宋体" w:hAnsi="宋体" w:cs="宋体" w:eastAsia="宋体" w:hint="default"/>
                <w:sz w:val="21"/>
                <w:szCs w:val="21"/>
              </w:rPr>
            </w:pPr>
            <w:r>
              <w:rPr>
                <w:rFonts w:ascii="宋体"/>
                <w:sz w:val="21"/>
              </w:rPr>
              <w:t>24,599.11</w:t>
            </w:r>
          </w:p>
        </w:tc>
        <w:tc>
          <w:tcPr>
            <w:tcW w:w="174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22,980.77</w:t>
            </w: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1,618.34</w:t>
            </w:r>
          </w:p>
        </w:tc>
      </w:tr>
      <w:tr>
        <w:trPr>
          <w:trHeight w:val="32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 w:right="0"/>
              <w:jc w:val="center"/>
              <w:rPr>
                <w:rFonts w:ascii="宋体" w:hAnsi="宋体" w:cs="宋体" w:eastAsia="宋体" w:hint="default"/>
                <w:sz w:val="21"/>
                <w:szCs w:val="21"/>
              </w:rPr>
            </w:pPr>
            <w:r>
              <w:rPr>
                <w:rFonts w:ascii="宋体"/>
                <w:sz w:val="21"/>
              </w:rPr>
              <w:t>653,528.44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3,310,279.99</w:t>
            </w:r>
          </w:p>
        </w:tc>
        <w:tc>
          <w:tcPr>
            <w:tcW w:w="72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473,298.39</w:t>
            </w:r>
          </w:p>
        </w:tc>
        <w:tc>
          <w:tcPr>
            <w:tcW w:w="9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3,490,510.04</w:t>
            </w:r>
          </w:p>
        </w:tc>
      </w:tr>
    </w:tbl>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3" w:lineRule="auto" w:before="97"/>
        <w:ind w:right="8133"/>
        <w:jc w:val="left"/>
      </w:pPr>
      <w:r>
        <w:rPr/>
        <w:t>□适用 √不适用</w:t>
      </w:r>
      <w:r>
        <w:rPr>
          <w:w w:val="100"/>
        </w:rPr>
        <w:t> </w:t>
      </w:r>
      <w:r>
        <w:rPr/>
        <w:t>其他说明</w:t>
      </w:r>
    </w:p>
    <w:p>
      <w:pPr>
        <w:pStyle w:val="BodyText"/>
        <w:spacing w:line="240" w:lineRule="auto" w:before="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97"/>
        <w:ind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760"/>
        </w:sectPr>
      </w:pPr>
    </w:p>
    <w:p>
      <w:pPr>
        <w:pStyle w:val="Heading2"/>
        <w:spacing w:line="240" w:lineRule="auto"/>
        <w:ind w:right="-18"/>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760"/>
          <w:cols w:num="2" w:equalWidth="0">
            <w:col w:w="2960" w:space="3801"/>
            <w:col w:w="318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73"/>
        <w:gridCol w:w="2974"/>
        <w:gridCol w:w="2941"/>
      </w:tblGrid>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32,624,355.07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31,458,845.75</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32,624,355.07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31,458,845.75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200" w:right="760"/>
        </w:sectPr>
      </w:pPr>
    </w:p>
    <w:p>
      <w:pPr>
        <w:pStyle w:val="Heading2"/>
        <w:spacing w:line="240" w:lineRule="auto"/>
        <w:ind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760"/>
          <w:cols w:num="2" w:equalWidth="0">
            <w:col w:w="1991" w:space="4980"/>
            <w:col w:w="297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73"/>
        <w:gridCol w:w="2996"/>
        <w:gridCol w:w="2919"/>
      </w:tblGrid>
      <w:tr>
        <w:trPr>
          <w:trHeight w:val="32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1,272,057,345.90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1,850,000,000.00</w:t>
            </w:r>
          </w:p>
        </w:tc>
      </w:tr>
      <w:tr>
        <w:trPr>
          <w:trHeight w:val="2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48,181,168.94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40,700,154.45</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23,465,917.69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11,542,683.48</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1,343,704,432.53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1,902,242,837.93</w:t>
            </w:r>
          </w:p>
        </w:tc>
      </w:tr>
    </w:tbl>
    <w:p>
      <w:pPr>
        <w:spacing w:after="0" w:line="241" w:lineRule="exact"/>
        <w:jc w:val="right"/>
        <w:rPr>
          <w:rFonts w:ascii="宋体" w:hAnsi="宋体" w:cs="宋体" w:eastAsia="宋体" w:hint="default"/>
          <w:sz w:val="21"/>
          <w:szCs w:val="21"/>
        </w:rPr>
        <w:sectPr>
          <w:type w:val="continuous"/>
          <w:pgSz w:w="11910" w:h="16840"/>
          <w:pgMar w:top="1580" w:bottom="280" w:left="1200" w:right="7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580" w:right="580"/>
        </w:sectPr>
      </w:pPr>
    </w:p>
    <w:p>
      <w:pPr>
        <w:pStyle w:val="Heading2"/>
        <w:spacing w:line="324" w:lineRule="auto"/>
        <w:ind w:left="838" w:right="-14"/>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23"/>
        <w:ind w:left="83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838" w:right="0"/>
        <w:jc w:val="left"/>
      </w:pPr>
      <w:r>
        <w:rPr/>
        <w:t>单位：元币种：人民币</w:t>
      </w:r>
    </w:p>
    <w:p>
      <w:pPr>
        <w:spacing w:after="0" w:line="240" w:lineRule="auto"/>
        <w:jc w:val="left"/>
        <w:sectPr>
          <w:type w:val="continuous"/>
          <w:pgSz w:w="11910" w:h="16840"/>
          <w:pgMar w:top="1580" w:bottom="280" w:left="580" w:right="580"/>
          <w:cols w:num="2" w:equalWidth="0">
            <w:col w:w="3376" w:space="3594"/>
            <w:col w:w="3780"/>
          </w:cols>
        </w:sectPr>
      </w:pPr>
    </w:p>
    <w:p>
      <w:pPr>
        <w:spacing w:line="240" w:lineRule="auto" w:before="10"/>
        <w:rPr>
          <w:rFonts w:ascii="宋体" w:hAnsi="宋体" w:cs="宋体" w:eastAsia="宋体" w:hint="default"/>
          <w:sz w:val="3"/>
          <w:szCs w:val="3"/>
        </w:rPr>
      </w:pPr>
    </w:p>
    <w:tbl>
      <w:tblPr>
        <w:tblW w:w="0" w:type="auto"/>
        <w:jc w:val="left"/>
        <w:tblInd w:w="721" w:type="dxa"/>
        <w:tblLayout w:type="fixed"/>
        <w:tblCellMar>
          <w:top w:w="0" w:type="dxa"/>
          <w:left w:w="0" w:type="dxa"/>
          <w:bottom w:w="0" w:type="dxa"/>
          <w:right w:w="0" w:type="dxa"/>
        </w:tblCellMar>
        <w:tblLook w:val="01E0"/>
      </w:tblPr>
      <w:tblGrid>
        <w:gridCol w:w="2112"/>
        <w:gridCol w:w="1589"/>
        <w:gridCol w:w="948"/>
        <w:gridCol w:w="1702"/>
        <w:gridCol w:w="946"/>
        <w:gridCol w:w="994"/>
        <w:gridCol w:w="1006"/>
      </w:tblGrid>
      <w:tr>
        <w:trPr>
          <w:trHeight w:val="322" w:hRule="exact"/>
        </w:trPr>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112"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2" w:right="149"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9" w:right="149" w:hanging="209"/>
              <w:jc w:val="left"/>
              <w:rPr>
                <w:rFonts w:ascii="宋体" w:hAnsi="宋体" w:cs="宋体" w:eastAsia="宋体" w:hint="default"/>
                <w:sz w:val="21"/>
                <w:szCs w:val="21"/>
              </w:rPr>
            </w:pPr>
            <w:r>
              <w:rPr>
                <w:rFonts w:ascii="宋体" w:hAnsi="宋体" w:cs="宋体" w:eastAsia="宋体" w:hint="default"/>
                <w:sz w:val="21"/>
                <w:szCs w:val="21"/>
              </w:rPr>
              <w:t>账面余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4" w:right="176" w:hanging="212"/>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1" w:right="179"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39,362,000.00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center"/>
              <w:rPr>
                <w:rFonts w:ascii="宋体" w:hAnsi="宋体" w:cs="宋体" w:eastAsia="宋体" w:hint="default"/>
                <w:sz w:val="21"/>
                <w:szCs w:val="21"/>
              </w:rPr>
            </w:pPr>
            <w:r>
              <w:rPr>
                <w:rFonts w:ascii="宋体"/>
                <w:sz w:val="21"/>
              </w:rPr>
              <w:t>39,362,000.00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589"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589"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39,362,000.00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center"/>
              <w:rPr>
                <w:rFonts w:ascii="宋体" w:hAnsi="宋体" w:cs="宋体" w:eastAsia="宋体" w:hint="default"/>
                <w:sz w:val="21"/>
                <w:szCs w:val="21"/>
              </w:rPr>
            </w:pPr>
            <w:r>
              <w:rPr>
                <w:rFonts w:ascii="宋体"/>
                <w:sz w:val="21"/>
              </w:rPr>
              <w:t>39,362,000.00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39,362,000.00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center"/>
              <w:rPr>
                <w:rFonts w:ascii="宋体" w:hAnsi="宋体" w:cs="宋体" w:eastAsia="宋体" w:hint="default"/>
                <w:sz w:val="21"/>
                <w:szCs w:val="21"/>
              </w:rPr>
            </w:pPr>
            <w:r>
              <w:rPr>
                <w:rFonts w:ascii="宋体"/>
                <w:sz w:val="21"/>
              </w:rPr>
              <w:t>39,362,000.00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left="838" w:right="0"/>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97"/>
        <w:ind w:left="83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580" w:right="580"/>
        </w:sectPr>
      </w:pPr>
    </w:p>
    <w:p>
      <w:pPr>
        <w:pStyle w:val="Heading2"/>
        <w:spacing w:line="240" w:lineRule="auto"/>
        <w:ind w:left="838" w:right="-14"/>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97"/>
        <w:ind w:left="83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838" w:right="0"/>
        <w:jc w:val="left"/>
      </w:pPr>
      <w:r>
        <w:rPr/>
        <w:t>单位：元币种：人民币</w:t>
      </w:r>
    </w:p>
    <w:p>
      <w:pPr>
        <w:spacing w:after="0" w:line="240" w:lineRule="auto"/>
        <w:jc w:val="left"/>
        <w:sectPr>
          <w:type w:val="continuous"/>
          <w:pgSz w:w="11910" w:h="16840"/>
          <w:pgMar w:top="1580" w:bottom="280" w:left="580" w:right="580"/>
          <w:cols w:num="2" w:equalWidth="0">
            <w:col w:w="4641" w:space="2329"/>
            <w:col w:w="3780"/>
          </w:cols>
        </w:sectPr>
      </w:pPr>
    </w:p>
    <w:p>
      <w:pPr>
        <w:spacing w:line="240" w:lineRule="auto" w:before="11"/>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990"/>
        <w:gridCol w:w="583"/>
        <w:gridCol w:w="1414"/>
        <w:gridCol w:w="708"/>
        <w:gridCol w:w="1419"/>
        <w:gridCol w:w="547"/>
        <w:gridCol w:w="730"/>
        <w:gridCol w:w="730"/>
        <w:gridCol w:w="509"/>
        <w:gridCol w:w="1162"/>
        <w:gridCol w:w="730"/>
      </w:tblGrid>
      <w:tr>
        <w:trPr>
          <w:trHeight w:val="718" w:hRule="exact"/>
        </w:trPr>
        <w:tc>
          <w:tcPr>
            <w:tcW w:w="1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720" w:right="717"/>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4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24" w:right="125"/>
              <w:jc w:val="center"/>
              <w:rPr>
                <w:rFonts w:ascii="宋体" w:hAnsi="宋体" w:cs="宋体" w:eastAsia="宋体" w:hint="default"/>
                <w:sz w:val="18"/>
                <w:szCs w:val="18"/>
              </w:rPr>
            </w:pPr>
            <w:r>
              <w:rPr>
                <w:rFonts w:ascii="宋体" w:hAnsi="宋体" w:cs="宋体" w:eastAsia="宋体" w:hint="default"/>
                <w:sz w:val="18"/>
                <w:szCs w:val="18"/>
              </w:rPr>
              <w:t>在被投资单 位持股比例 </w:t>
            </w:r>
            <w:r>
              <w:rPr>
                <w:rFonts w:ascii="宋体" w:hAnsi="宋体" w:cs="宋体" w:eastAsia="宋体" w:hint="default"/>
                <w:sz w:val="18"/>
                <w:szCs w:val="18"/>
              </w:rPr>
              <w:t>(%)</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77" w:right="180"/>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636" w:hRule="exact"/>
        </w:trPr>
        <w:tc>
          <w:tcPr>
            <w:tcW w:w="1990"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0" w:right="521"/>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7" w:right="16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80"/>
              <w:jc w:val="left"/>
              <w:rPr>
                <w:rFonts w:ascii="宋体" w:hAnsi="宋体" w:cs="宋体" w:eastAsia="宋体" w:hint="default"/>
                <w:sz w:val="18"/>
                <w:szCs w:val="18"/>
              </w:rPr>
            </w:pPr>
            <w:r>
              <w:rPr>
                <w:rFonts w:ascii="宋体" w:hAnsi="宋体" w:cs="宋体" w:eastAsia="宋体" w:hint="default"/>
                <w:sz w:val="18"/>
                <w:szCs w:val="18"/>
              </w:rPr>
              <w:t>期 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7" w:right="18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7" w:right="18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9" w:right="158"/>
              <w:jc w:val="left"/>
              <w:rPr>
                <w:rFonts w:ascii="宋体" w:hAnsi="宋体" w:cs="宋体" w:eastAsia="宋体" w:hint="default"/>
                <w:sz w:val="18"/>
                <w:szCs w:val="18"/>
              </w:rPr>
            </w:pPr>
            <w:r>
              <w:rPr>
                <w:rFonts w:ascii="宋体" w:hAnsi="宋体" w:cs="宋体" w:eastAsia="宋体" w:hint="default"/>
                <w:sz w:val="18"/>
                <w:szCs w:val="18"/>
              </w:rPr>
              <w:t>期 末</w:t>
            </w:r>
          </w:p>
        </w:tc>
        <w:tc>
          <w:tcPr>
            <w:tcW w:w="1162"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r>
      <w:tr>
        <w:trPr>
          <w:trHeight w:val="63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5"/>
              <w:jc w:val="left"/>
              <w:rPr>
                <w:rFonts w:ascii="宋体" w:hAnsi="宋体" w:cs="宋体" w:eastAsia="宋体" w:hint="default"/>
                <w:sz w:val="18"/>
                <w:szCs w:val="18"/>
              </w:rPr>
            </w:pPr>
            <w:r>
              <w:rPr>
                <w:rFonts w:ascii="宋体" w:hAnsi="宋体" w:cs="宋体" w:eastAsia="宋体" w:hint="default"/>
                <w:spacing w:val="-3"/>
                <w:sz w:val="18"/>
                <w:szCs w:val="18"/>
              </w:rPr>
              <w:t>英大（苏州）综合能源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投资中心（有限合伙）</w:t>
            </w:r>
          </w:p>
        </w:tc>
        <w:tc>
          <w:tcPr>
            <w:tcW w:w="58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 w:right="0"/>
              <w:jc w:val="center"/>
              <w:rPr>
                <w:rFonts w:ascii="宋体" w:hAnsi="宋体" w:cs="宋体" w:eastAsia="宋体" w:hint="default"/>
                <w:sz w:val="18"/>
                <w:szCs w:val="18"/>
              </w:rPr>
            </w:pPr>
            <w:r>
              <w:rPr>
                <w:rFonts w:ascii="宋体"/>
                <w:sz w:val="18"/>
              </w:rPr>
              <w:t>15,000,000.00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sz w:val="18"/>
              </w:rPr>
              <w:t>15,000,000.00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15.00</w:t>
            </w: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5"/>
              <w:jc w:val="left"/>
              <w:rPr>
                <w:rFonts w:ascii="宋体" w:hAnsi="宋体" w:cs="宋体" w:eastAsia="宋体" w:hint="default"/>
                <w:sz w:val="18"/>
                <w:szCs w:val="18"/>
              </w:rPr>
            </w:pPr>
            <w:r>
              <w:rPr>
                <w:rFonts w:ascii="宋体" w:hAnsi="宋体" w:cs="宋体" w:eastAsia="宋体" w:hint="default"/>
                <w:sz w:val="18"/>
                <w:szCs w:val="18"/>
              </w:rPr>
              <w:t>中广核林洋新能源泗 洪有限公司</w:t>
            </w:r>
          </w:p>
        </w:tc>
        <w:tc>
          <w:tcPr>
            <w:tcW w:w="58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 w:right="0"/>
              <w:jc w:val="center"/>
              <w:rPr>
                <w:rFonts w:ascii="宋体" w:hAnsi="宋体" w:cs="宋体" w:eastAsia="宋体" w:hint="default"/>
                <w:sz w:val="18"/>
                <w:szCs w:val="18"/>
              </w:rPr>
            </w:pPr>
            <w:r>
              <w:rPr>
                <w:rFonts w:ascii="宋体"/>
                <w:sz w:val="18"/>
              </w:rPr>
              <w:t>24,362,000.00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sz w:val="18"/>
              </w:rPr>
              <w:t>24,362,000.00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10.00</w:t>
            </w: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8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39,362,000.00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宋体" w:hAnsi="宋体" w:cs="宋体" w:eastAsia="宋体" w:hint="default"/>
                <w:sz w:val="18"/>
                <w:szCs w:val="18"/>
              </w:rPr>
            </w:pPr>
            <w:r>
              <w:rPr>
                <w:rFonts w:ascii="宋体"/>
                <w:sz w:val="18"/>
              </w:rPr>
              <w:t>39,362,000.00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pStyle w:val="Heading2"/>
        <w:spacing w:line="240" w:lineRule="auto"/>
        <w:ind w:left="838" w:right="0"/>
        <w:jc w:val="left"/>
        <w:rPr>
          <w:b w:val="0"/>
          <w:bCs w:val="0"/>
        </w:rPr>
      </w:pPr>
      <w:r>
        <w:rPr>
          <w:rFonts w:ascii="宋体" w:hAnsi="宋体" w:cs="宋体" w:eastAsia="宋体" w:hint="default"/>
        </w:rPr>
        <w:t>(4).</w:t>
      </w:r>
      <w:r>
        <w:rPr/>
        <w:t>报告期内可供出售金融资产减值的变动情况</w:t>
      </w:r>
      <w:r>
        <w:rPr>
          <w:b w:val="0"/>
          <w:bCs w:val="0"/>
        </w:rPr>
      </w:r>
    </w:p>
    <w:p>
      <w:pPr>
        <w:pStyle w:val="Heading2"/>
        <w:spacing w:line="324" w:lineRule="auto" w:before="97"/>
        <w:ind w:left="838"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3" w:lineRule="auto" w:before="23"/>
        <w:ind w:left="838" w:right="8313"/>
        <w:jc w:val="left"/>
      </w:pPr>
      <w:r>
        <w:rPr/>
        <w:t>□适用 √不适用</w:t>
      </w:r>
      <w:r>
        <w:rPr>
          <w:w w:val="100"/>
        </w:rPr>
        <w:t> </w:t>
      </w:r>
      <w:r>
        <w:rPr/>
        <w:t>其他说明</w:t>
      </w:r>
    </w:p>
    <w:p>
      <w:pPr>
        <w:pStyle w:val="BodyText"/>
        <w:spacing w:line="240" w:lineRule="auto" w:before="7"/>
        <w:ind w:left="838" w:right="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838" w:right="7567"/>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pStyle w:val="BodyText"/>
        <w:spacing w:line="240" w:lineRule="auto" w:before="24"/>
        <w:ind w:left="838" w:right="0"/>
        <w:jc w:val="left"/>
      </w:pPr>
      <w:r>
        <w:rPr/>
        <w:t>□适用 √不适用</w:t>
      </w:r>
    </w:p>
    <w:p>
      <w:pPr>
        <w:spacing w:after="0" w:line="240" w:lineRule="auto"/>
        <w:jc w:val="left"/>
        <w:sectPr>
          <w:type w:val="continuous"/>
          <w:pgSz w:w="11910" w:h="16840"/>
          <w:pgMar w:top="1580" w:bottom="280" w:left="580" w:right="580"/>
        </w:sectPr>
      </w:pPr>
    </w:p>
    <w:p>
      <w:pPr>
        <w:spacing w:line="240" w:lineRule="auto" w:before="4"/>
        <w:rPr>
          <w:rFonts w:ascii="宋体" w:hAnsi="宋体" w:cs="宋体" w:eastAsia="宋体" w:hint="default"/>
          <w:sz w:val="20"/>
          <w:szCs w:val="20"/>
        </w:rPr>
      </w:pPr>
    </w:p>
    <w:p>
      <w:pPr>
        <w:pStyle w:val="Heading2"/>
        <w:spacing w:line="240" w:lineRule="auto"/>
        <w:ind w:right="440"/>
        <w:jc w:val="left"/>
        <w:rPr>
          <w:b w:val="0"/>
          <w:bCs w:val="0"/>
        </w:rPr>
      </w:pPr>
      <w:r>
        <w:rPr>
          <w:rFonts w:ascii="宋体" w:hAnsi="宋体" w:cs="宋体" w:eastAsia="宋体" w:hint="default"/>
        </w:rPr>
        <w:t>(2).</w:t>
      </w:r>
      <w:r>
        <w:rPr/>
        <w:t>期末重要的持有至到期投资</w:t>
      </w:r>
      <w:r>
        <w:rPr>
          <w:b w:val="0"/>
          <w:bCs w:val="0"/>
        </w:rPr>
      </w:r>
    </w:p>
    <w:p>
      <w:pPr>
        <w:spacing w:line="324" w:lineRule="auto" w:before="97"/>
        <w:ind w:left="218" w:right="65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73" w:lineRule="auto" w:before="23"/>
        <w:ind w:right="8173"/>
        <w:jc w:val="left"/>
      </w:pPr>
      <w:r>
        <w:rPr/>
        <w:t>□适用 √不适用</w:t>
      </w:r>
      <w:r>
        <w:rPr>
          <w:w w:val="100"/>
        </w:rPr>
        <w:t> </w:t>
      </w:r>
      <w:r>
        <w:rPr/>
        <w:t>其他说明：</w:t>
      </w:r>
    </w:p>
    <w:p>
      <w:pPr>
        <w:pStyle w:val="BodyText"/>
        <w:spacing w:line="240" w:lineRule="auto" w:before="7"/>
        <w:ind w:right="44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1200" w:right="720"/>
        </w:sectPr>
      </w:pPr>
    </w:p>
    <w:p>
      <w:pPr>
        <w:pStyle w:val="Heading2"/>
        <w:spacing w:line="324" w:lineRule="auto"/>
        <w:ind w:right="-13"/>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23"/>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720"/>
          <w:cols w:num="2" w:equalWidth="0">
            <w:col w:w="2125" w:space="4846"/>
            <w:col w:w="301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81"/>
        <w:gridCol w:w="1323"/>
        <w:gridCol w:w="694"/>
        <w:gridCol w:w="1323"/>
        <w:gridCol w:w="1428"/>
        <w:gridCol w:w="696"/>
        <w:gridCol w:w="1426"/>
        <w:gridCol w:w="1078"/>
      </w:tblGrid>
      <w:tr>
        <w:trPr>
          <w:trHeight w:val="324" w:hRule="exact"/>
        </w:trPr>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9" w:type="dxa"/>
            <w:gridSpan w:val="3"/>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0" w:type="dxa"/>
            <w:gridSpan w:val="3"/>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078" w:type="dxa"/>
            <w:vMerge w:val="restart"/>
            <w:tcBorders>
              <w:top w:val="single" w:sz="4" w:space="0" w:color="000000"/>
              <w:left w:val="single" w:sz="4" w:space="0" w:color="000000"/>
              <w:right w:val="single" w:sz="4" w:space="0" w:color="000000"/>
            </w:tcBorders>
          </w:tcPr>
          <w:p>
            <w:pPr>
              <w:pStyle w:val="TableParagraph"/>
              <w:spacing w:line="273" w:lineRule="auto" w:before="150"/>
              <w:ind w:left="427" w:right="110" w:hanging="315"/>
              <w:jc w:val="left"/>
              <w:rPr>
                <w:rFonts w:ascii="宋体" w:hAnsi="宋体" w:cs="宋体" w:eastAsia="宋体" w:hint="default"/>
                <w:sz w:val="21"/>
                <w:szCs w:val="21"/>
              </w:rPr>
            </w:pPr>
            <w:r>
              <w:rPr>
                <w:rFonts w:ascii="宋体" w:hAnsi="宋体" w:cs="宋体" w:eastAsia="宋体" w:hint="default"/>
                <w:sz w:val="21"/>
                <w:szCs w:val="21"/>
              </w:rPr>
              <w:t>折现率区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638" w:hRule="exact"/>
        </w:trPr>
        <w:tc>
          <w:tcPr>
            <w:tcW w:w="1781" w:type="dxa"/>
            <w:vMerge/>
            <w:tcBorders>
              <w:left w:val="single" w:sz="4" w:space="0" w:color="000000"/>
              <w:bottom w:val="single" w:sz="6" w:space="0" w:color="000000"/>
              <w:right w:val="single" w:sz="4" w:space="0" w:color="000000"/>
            </w:tcBorders>
          </w:tcPr>
          <w:p>
            <w:pPr/>
          </w:p>
        </w:tc>
        <w:tc>
          <w:tcPr>
            <w:tcW w:w="13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2" w:right="19" w:hanging="209"/>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2" w:right="24"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78" w:type="dxa"/>
            <w:vMerge/>
            <w:tcBorders>
              <w:left w:val="single" w:sz="4" w:space="0" w:color="000000"/>
              <w:bottom w:val="single" w:sz="6" w:space="0" w:color="000000"/>
              <w:right w:val="single" w:sz="4" w:space="0" w:color="000000"/>
            </w:tcBorders>
          </w:tcPr>
          <w:p>
            <w:pPr/>
          </w:p>
        </w:tc>
      </w:tr>
      <w:tr>
        <w:trPr>
          <w:trHeight w:val="329"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323"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7" w:firstLine="420"/>
              <w:jc w:val="left"/>
              <w:rPr>
                <w:rFonts w:ascii="宋体" w:hAnsi="宋体" w:cs="宋体" w:eastAsia="宋体" w:hint="default"/>
                <w:sz w:val="21"/>
                <w:szCs w:val="21"/>
              </w:rPr>
            </w:pPr>
            <w:r>
              <w:rPr>
                <w:rFonts w:ascii="宋体" w:hAnsi="宋体" w:cs="宋体" w:eastAsia="宋体" w:hint="default"/>
                <w:sz w:val="21"/>
                <w:szCs w:val="21"/>
              </w:rPr>
              <w:t>其中：未实现</w:t>
            </w:r>
            <w:r>
              <w:rPr>
                <w:rFonts w:ascii="宋体" w:hAnsi="宋体" w:cs="宋体" w:eastAsia="宋体" w:hint="default"/>
                <w:w w:val="100"/>
                <w:sz w:val="21"/>
                <w:szCs w:val="21"/>
              </w:rPr>
              <w:t> </w:t>
            </w:r>
            <w:r>
              <w:rPr>
                <w:rFonts w:ascii="宋体" w:hAnsi="宋体" w:cs="宋体" w:eastAsia="宋体" w:hint="default"/>
                <w:sz w:val="21"/>
                <w:szCs w:val="21"/>
              </w:rPr>
              <w:t>融资收益</w:t>
            </w:r>
          </w:p>
        </w:tc>
        <w:tc>
          <w:tcPr>
            <w:tcW w:w="1323"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323"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6,038,763.14</w:t>
            </w:r>
          </w:p>
        </w:tc>
        <w:tc>
          <w:tcPr>
            <w:tcW w:w="6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6,038,763.14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10,476,563.20</w:t>
            </w:r>
          </w:p>
        </w:tc>
        <w:tc>
          <w:tcPr>
            <w:tcW w:w="69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10,476,563.20</w:t>
            </w:r>
          </w:p>
        </w:tc>
        <w:tc>
          <w:tcPr>
            <w:tcW w:w="1078" w:type="dxa"/>
            <w:tcBorders>
              <w:top w:val="single" w:sz="6" w:space="0" w:color="000000"/>
              <w:left w:val="single" w:sz="4" w:space="0" w:color="000000"/>
              <w:bottom w:val="single" w:sz="6" w:space="0" w:color="000000"/>
              <w:right w:val="single" w:sz="6" w:space="0" w:color="000000"/>
            </w:tcBorders>
          </w:tcPr>
          <w:p>
            <w:pPr/>
          </w:p>
        </w:tc>
      </w:tr>
      <w:tr>
        <w:trPr>
          <w:trHeight w:val="329"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6,038,763.14</w:t>
            </w:r>
          </w:p>
        </w:tc>
        <w:tc>
          <w:tcPr>
            <w:tcW w:w="6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6,038,763.14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10,476,563.20</w:t>
            </w:r>
          </w:p>
        </w:tc>
        <w:tc>
          <w:tcPr>
            <w:tcW w:w="69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10,476,563.20</w:t>
            </w:r>
          </w:p>
        </w:tc>
        <w:tc>
          <w:tcPr>
            <w:tcW w:w="107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pStyle w:val="Heading2"/>
        <w:spacing w:line="240" w:lineRule="auto"/>
        <w:ind w:right="440"/>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spacing w:line="240" w:lineRule="auto" w:before="97"/>
        <w:ind w:right="44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44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spacing w:line="273" w:lineRule="auto" w:before="97"/>
        <w:ind w:right="8173"/>
        <w:jc w:val="left"/>
      </w:pPr>
      <w:r>
        <w:rPr/>
        <w:t>□适用 √不适用</w:t>
      </w:r>
      <w:r>
        <w:rPr>
          <w:w w:val="100"/>
        </w:rPr>
        <w:t> </w:t>
      </w:r>
      <w:r>
        <w:rPr/>
        <w:t>其他说明</w:t>
      </w:r>
    </w:p>
    <w:p>
      <w:pPr>
        <w:pStyle w:val="BodyText"/>
        <w:spacing w:line="240" w:lineRule="auto" w:before="7"/>
        <w:ind w:right="440"/>
        <w:jc w:val="left"/>
      </w:pPr>
      <w:r>
        <w:rPr/>
        <w:t>□适用 √不适用</w:t>
      </w:r>
    </w:p>
    <w:p>
      <w:pPr>
        <w:spacing w:after="0" w:line="240" w:lineRule="auto"/>
        <w:jc w:val="left"/>
        <w:sectPr>
          <w:type w:val="continuous"/>
          <w:pgSz w:w="11910" w:h="16840"/>
          <w:pgMar w:top="1580" w:bottom="280" w:left="120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93"/>
          <w:footerReference w:type="default" r:id="rId94"/>
          <w:pgSz w:w="16840" w:h="11910" w:orient="landscape"/>
          <w:pgMar w:header="882" w:footer="975" w:top="1380" w:bottom="1160" w:left="800" w:right="860"/>
          <w:pgNumType w:start="134"/>
        </w:sectPr>
      </w:pPr>
    </w:p>
    <w:p>
      <w:pPr>
        <w:pStyle w:val="Heading2"/>
        <w:spacing w:line="240" w:lineRule="auto"/>
        <w:ind w:left="640"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97"/>
        <w:ind w:left="6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640" w:right="0"/>
        <w:jc w:val="left"/>
      </w:pPr>
      <w:r>
        <w:rPr/>
        <w:t>单位：元币种：人民币</w:t>
      </w:r>
    </w:p>
    <w:p>
      <w:pPr>
        <w:spacing w:after="0" w:line="240" w:lineRule="auto"/>
        <w:jc w:val="left"/>
        <w:sectPr>
          <w:type w:val="continuous"/>
          <w:pgSz w:w="16840" w:h="11910" w:orient="landscape"/>
          <w:pgMar w:top="1580" w:bottom="280" w:left="800" w:right="860"/>
          <w:cols w:num="2" w:equalWidth="0">
            <w:col w:w="2412" w:space="9362"/>
            <w:col w:w="3406"/>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812"/>
        <w:gridCol w:w="1558"/>
        <w:gridCol w:w="1561"/>
        <w:gridCol w:w="1560"/>
        <w:gridCol w:w="1556"/>
        <w:gridCol w:w="991"/>
        <w:gridCol w:w="854"/>
        <w:gridCol w:w="997"/>
        <w:gridCol w:w="991"/>
        <w:gridCol w:w="713"/>
        <w:gridCol w:w="1560"/>
        <w:gridCol w:w="792"/>
      </w:tblGrid>
      <w:tr>
        <w:trPr>
          <w:trHeight w:val="32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595" w:right="59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2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592" w:right="597"/>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17"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946" w:hRule="exact"/>
        </w:trPr>
        <w:tc>
          <w:tcPr>
            <w:tcW w:w="181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410" w:right="142"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29" w:right="1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1" w:right="15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31" w:right="134"/>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22" w:hRule="exact"/>
        </w:trPr>
        <w:tc>
          <w:tcPr>
            <w:tcW w:w="1494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7"/>
              <w:jc w:val="left"/>
              <w:rPr>
                <w:rFonts w:ascii="宋体" w:hAnsi="宋体" w:cs="宋体" w:eastAsia="宋体" w:hint="default"/>
                <w:sz w:val="18"/>
                <w:szCs w:val="18"/>
              </w:rPr>
            </w:pPr>
            <w:r>
              <w:rPr>
                <w:rFonts w:ascii="宋体" w:hAnsi="宋体" w:cs="宋体" w:eastAsia="宋体" w:hint="default"/>
                <w:sz w:val="18"/>
                <w:szCs w:val="18"/>
              </w:rPr>
              <w:t>江苏华源仪器仪表 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56,938,222.59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959,525.45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57,897,748.04</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7"/>
              <w:jc w:val="left"/>
              <w:rPr>
                <w:rFonts w:ascii="宋体" w:hAnsi="宋体" w:cs="宋体" w:eastAsia="宋体" w:hint="default"/>
                <w:sz w:val="18"/>
                <w:szCs w:val="18"/>
              </w:rPr>
            </w:pPr>
            <w:r>
              <w:rPr>
                <w:rFonts w:ascii="宋体" w:hAnsi="宋体" w:cs="宋体" w:eastAsia="宋体" w:hint="default"/>
                <w:sz w:val="18"/>
                <w:szCs w:val="18"/>
              </w:rPr>
              <w:t>四川睿能新能源有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1,407,711.14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sz w:val="18"/>
              </w:rPr>
              <w:t>1,407,711.14</w:t>
            </w:r>
          </w:p>
        </w:tc>
        <w:tc>
          <w:tcPr>
            <w:tcW w:w="155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57"/>
              <w:jc w:val="left"/>
              <w:rPr>
                <w:rFonts w:ascii="宋体" w:hAnsi="宋体" w:cs="宋体" w:eastAsia="宋体" w:hint="default"/>
                <w:sz w:val="18"/>
                <w:szCs w:val="18"/>
              </w:rPr>
            </w:pPr>
            <w:r>
              <w:rPr>
                <w:rFonts w:ascii="宋体" w:hAnsi="宋体" w:cs="宋体" w:eastAsia="宋体" w:hint="default"/>
                <w:sz w:val="18"/>
                <w:szCs w:val="18"/>
              </w:rPr>
              <w:t>江苏华电华林新能 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16,825,882.76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1,279,978.30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23,605,861.06</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法凯涞玛冷暖设备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（杭州）有限公司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24,829.44</w:t>
            </w: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3,024,829.44</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7"/>
              <w:jc w:val="left"/>
              <w:rPr>
                <w:rFonts w:ascii="宋体" w:hAnsi="宋体" w:cs="宋体" w:eastAsia="宋体" w:hint="default"/>
                <w:sz w:val="18"/>
                <w:szCs w:val="18"/>
              </w:rPr>
            </w:pPr>
            <w:r>
              <w:rPr>
                <w:rFonts w:ascii="宋体" w:hAnsi="宋体" w:cs="宋体" w:eastAsia="宋体" w:hint="default"/>
                <w:sz w:val="18"/>
                <w:szCs w:val="18"/>
              </w:rPr>
              <w:t>无锡感知金服实业 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-989,043.79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24,010,956.21</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75,171,816.49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sz w:val="18"/>
              </w:rPr>
              <w:t>1,407,711.14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1,275,289.40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108,539,394.75</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75,171,816.49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sz w:val="18"/>
              </w:rPr>
              <w:t>1,407,711.14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1,275,289.40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108,539,394.75</w:t>
            </w: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1"/>
          <w:szCs w:val="21"/>
        </w:rPr>
      </w:pPr>
    </w:p>
    <w:p>
      <w:pPr>
        <w:pStyle w:val="Heading2"/>
        <w:spacing w:line="240" w:lineRule="auto"/>
        <w:ind w:left="640" w:right="11848"/>
        <w:jc w:val="left"/>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73" w:lineRule="auto" w:before="97"/>
        <w:ind w:left="640" w:right="11848"/>
        <w:jc w:val="left"/>
      </w:pPr>
      <w:r>
        <w:rPr>
          <w:spacing w:val="-2"/>
        </w:rPr>
        <w:t>投资性房地产计量模式</w:t>
      </w:r>
      <w:r>
        <w:rPr>
          <w:spacing w:val="-85"/>
        </w:rPr>
        <w:t> </w:t>
      </w:r>
      <w:r>
        <w:rPr>
          <w:spacing w:val="-85"/>
        </w:rPr>
      </w:r>
      <w:r>
        <w:rPr/>
        <w:t>不适用</w:t>
      </w:r>
    </w:p>
    <w:p>
      <w:pPr>
        <w:spacing w:after="0" w:line="273" w:lineRule="auto"/>
        <w:jc w:val="left"/>
        <w:sectPr>
          <w:type w:val="continuous"/>
          <w:pgSz w:w="16840" w:h="11910" w:orient="landscape"/>
          <w:pgMar w:top="1580" w:bottom="280" w:left="800" w:right="860"/>
        </w:sect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975" w:top="1380" w:bottom="1160" w:left="660" w:right="740"/>
        </w:sectPr>
      </w:pPr>
    </w:p>
    <w:p>
      <w:pPr>
        <w:pStyle w:val="Heading2"/>
        <w:spacing w:line="324" w:lineRule="auto"/>
        <w:ind w:left="780"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78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780" w:right="0"/>
        <w:jc w:val="left"/>
      </w:pPr>
      <w:r>
        <w:rPr/>
        <w:t>单位：元币种：人民币</w:t>
      </w:r>
    </w:p>
    <w:p>
      <w:pPr>
        <w:spacing w:after="0" w:line="240" w:lineRule="auto"/>
        <w:jc w:val="left"/>
        <w:sectPr>
          <w:type w:val="continuous"/>
          <w:pgSz w:w="16840" w:h="11910" w:orient="landscape"/>
          <w:pgMar w:top="1580" w:bottom="280" w:left="660" w:right="740"/>
          <w:cols w:num="2" w:equalWidth="0">
            <w:col w:w="2358" w:space="9416"/>
            <w:col w:w="3666"/>
          </w:cols>
        </w:sectPr>
      </w:pPr>
    </w:p>
    <w:p>
      <w:pPr>
        <w:spacing w:line="240" w:lineRule="auto" w:before="10"/>
        <w:rPr>
          <w:rFonts w:ascii="宋体" w:hAnsi="宋体" w:cs="宋体" w:eastAsia="宋体" w:hint="default"/>
          <w:sz w:val="3"/>
          <w:szCs w:val="3"/>
        </w:rPr>
      </w:pPr>
    </w:p>
    <w:tbl>
      <w:tblPr>
        <w:tblW w:w="0" w:type="auto"/>
        <w:jc w:val="left"/>
        <w:tblInd w:w="667" w:type="dxa"/>
        <w:tblLayout w:type="fixed"/>
        <w:tblCellMar>
          <w:top w:w="0" w:type="dxa"/>
          <w:left w:w="0" w:type="dxa"/>
          <w:bottom w:w="0" w:type="dxa"/>
          <w:right w:w="0" w:type="dxa"/>
        </w:tblCellMar>
        <w:tblLook w:val="01E0"/>
      </w:tblPr>
      <w:tblGrid>
        <w:gridCol w:w="5151"/>
        <w:gridCol w:w="4460"/>
        <w:gridCol w:w="4479"/>
      </w:tblGrid>
      <w:tr>
        <w:trPr>
          <w:trHeight w:val="322"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57"/>
              <w:jc w:val="right"/>
              <w:rPr>
                <w:rFonts w:ascii="宋体" w:hAnsi="宋体" w:cs="宋体" w:eastAsia="宋体" w:hint="default"/>
                <w:sz w:val="21"/>
                <w:szCs w:val="21"/>
              </w:rPr>
            </w:pPr>
            <w:r>
              <w:rPr>
                <w:rFonts w:ascii="宋体" w:hAnsi="宋体" w:cs="宋体" w:eastAsia="宋体" w:hint="default"/>
                <w:sz w:val="21"/>
                <w:szCs w:val="21"/>
              </w:rPr>
              <w:t>项目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8,891,288,918.75</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8,024,250,866.72</w:t>
            </w:r>
          </w:p>
        </w:tc>
      </w:tr>
      <w:tr>
        <w:trPr>
          <w:trHeight w:val="281"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46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7"/>
              <w:jc w:val="right"/>
              <w:rPr>
                <w:rFonts w:ascii="宋体" w:hAnsi="宋体" w:cs="宋体" w:eastAsia="宋体" w:hint="default"/>
                <w:sz w:val="21"/>
                <w:szCs w:val="21"/>
              </w:rPr>
            </w:pPr>
            <w:r>
              <w:rPr>
                <w:rFonts w:ascii="宋体" w:hAnsi="宋体" w:cs="宋体" w:eastAsia="宋体" w:hint="default"/>
                <w:sz w:val="21"/>
                <w:szCs w:val="21"/>
              </w:rPr>
              <w:t>合计</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8,891,288,918.75</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8,024,250,866.72</w:t>
            </w:r>
          </w:p>
        </w:tc>
      </w:tr>
    </w:tbl>
    <w:p>
      <w:pPr>
        <w:pStyle w:val="BodyText"/>
        <w:spacing w:line="262" w:lineRule="exact"/>
        <w:ind w:left="780" w:right="0"/>
        <w:jc w:val="left"/>
      </w:pPr>
      <w:r>
        <w:rPr/>
        <w:t>其他说明：</w:t>
      </w:r>
    </w:p>
    <w:p>
      <w:pPr>
        <w:pStyle w:val="BodyText"/>
        <w:spacing w:line="240" w:lineRule="auto" w:before="37"/>
        <w:ind w:left="780"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6840" w:h="11910" w:orient="landscape"/>
          <w:pgMar w:top="1580" w:bottom="280" w:left="660" w:right="740"/>
        </w:sectPr>
      </w:pPr>
    </w:p>
    <w:p>
      <w:pPr>
        <w:pStyle w:val="Heading2"/>
        <w:spacing w:line="240" w:lineRule="auto"/>
        <w:ind w:left="780" w:right="-18"/>
        <w:jc w:val="left"/>
        <w:rPr>
          <w:b w:val="0"/>
          <w:bCs w:val="0"/>
        </w:rPr>
      </w:pPr>
      <w:r>
        <w:rPr/>
        <w:t>固定资产</w:t>
      </w:r>
      <w:r>
        <w:rPr>
          <w:b w:val="0"/>
          <w:bCs w:val="0"/>
        </w:rPr>
      </w:r>
    </w:p>
    <w:p>
      <w:pPr>
        <w:pStyle w:val="Heading2"/>
        <w:tabs>
          <w:tab w:pos="1632" w:val="left" w:leader="none"/>
        </w:tabs>
        <w:spacing w:line="240" w:lineRule="auto" w:before="97"/>
        <w:ind w:left="780" w:right="-18"/>
        <w:jc w:val="left"/>
        <w:rPr>
          <w:b w:val="0"/>
          <w:bCs w:val="0"/>
        </w:rPr>
      </w:pPr>
      <w:r>
        <w:rPr>
          <w:rFonts w:ascii="宋体" w:hAnsi="宋体" w:cs="宋体" w:eastAsia="宋体" w:hint="default"/>
          <w:w w:val="95"/>
        </w:rPr>
        <w:t>(1).</w:t>
        <w:tab/>
      </w:r>
      <w:r>
        <w:rPr/>
        <w:t>固定资产情况</w:t>
      </w:r>
      <w:r>
        <w:rPr>
          <w:b w:val="0"/>
          <w:bCs w:val="0"/>
        </w:rPr>
      </w:r>
    </w:p>
    <w:p>
      <w:pPr>
        <w:pStyle w:val="BodyText"/>
        <w:spacing w:line="240" w:lineRule="auto" w:before="97"/>
        <w:ind w:left="78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780" w:right="0"/>
        <w:jc w:val="left"/>
      </w:pPr>
      <w:r>
        <w:rPr/>
        <w:t>单位：元币种：人民币</w:t>
      </w:r>
    </w:p>
    <w:p>
      <w:pPr>
        <w:spacing w:after="0" w:line="240" w:lineRule="auto"/>
        <w:jc w:val="left"/>
        <w:sectPr>
          <w:type w:val="continuous"/>
          <w:pgSz w:w="16840" w:h="11910" w:orient="landscape"/>
          <w:pgMar w:top="1580" w:bottom="280" w:left="660" w:right="740"/>
          <w:cols w:num="2" w:equalWidth="0">
            <w:col w:w="2900" w:space="8874"/>
            <w:col w:w="3666"/>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753"/>
        <w:gridCol w:w="1695"/>
        <w:gridCol w:w="1697"/>
        <w:gridCol w:w="1592"/>
        <w:gridCol w:w="1697"/>
        <w:gridCol w:w="1906"/>
        <w:gridCol w:w="1858"/>
        <w:gridCol w:w="2012"/>
      </w:tblGrid>
      <w:tr>
        <w:trPr>
          <w:trHeight w:val="63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7"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18" w:right="185" w:hanging="632"/>
              <w:jc w:val="left"/>
              <w:rPr>
                <w:rFonts w:ascii="宋体" w:hAnsi="宋体" w:cs="宋体" w:eastAsia="宋体" w:hint="default"/>
                <w:sz w:val="21"/>
                <w:szCs w:val="21"/>
              </w:rPr>
            </w:pPr>
            <w:r>
              <w:rPr>
                <w:rFonts w:ascii="宋体" w:hAnsi="宋体" w:cs="宋体" w:eastAsia="宋体" w:hint="default"/>
                <w:sz w:val="21"/>
                <w:szCs w:val="21"/>
              </w:rPr>
              <w:t>融资租入固定资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686,693,987.32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306,689,560.54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20,842,315.82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143,623,604.80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7,041,032,907.63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605,641,653.73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8,804,524,029.84</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ight="0"/>
              <w:jc w:val="center"/>
              <w:rPr>
                <w:rFonts w:ascii="宋体" w:hAnsi="宋体" w:cs="宋体" w:eastAsia="宋体" w:hint="default"/>
                <w:sz w:val="21"/>
                <w:szCs w:val="21"/>
              </w:rPr>
            </w:pPr>
            <w:r>
              <w:rPr>
                <w:rFonts w:ascii="宋体"/>
                <w:sz w:val="21"/>
              </w:rPr>
              <w:t>73,448,190.56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304,501,665.80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4,148,732.74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17,820,032.91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988,464,838.43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198,465,587.57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1,586,849,048.01</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9" w:right="0"/>
              <w:jc w:val="center"/>
              <w:rPr>
                <w:rFonts w:ascii="宋体" w:hAnsi="宋体" w:cs="宋体" w:eastAsia="宋体" w:hint="default"/>
                <w:sz w:val="21"/>
                <w:szCs w:val="21"/>
              </w:rPr>
            </w:pPr>
            <w:r>
              <w:rPr>
                <w:rFonts w:ascii="宋体"/>
                <w:sz w:val="21"/>
              </w:rPr>
              <w:t>19,963,215.69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37,363,846.03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4,148,732.74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16,559,689.83</w:t>
            </w: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78,035,484.29</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9" w:right="0"/>
              <w:jc w:val="center"/>
              <w:rPr>
                <w:rFonts w:ascii="宋体" w:hAnsi="宋体" w:cs="宋体" w:eastAsia="宋体" w:hint="default"/>
                <w:sz w:val="21"/>
                <w:szCs w:val="21"/>
              </w:rPr>
            </w:pPr>
            <w:r>
              <w:rPr>
                <w:rFonts w:ascii="宋体"/>
                <w:sz w:val="21"/>
              </w:rPr>
              <w:t>53,484,974.87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267,137,819.77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1,260,343.08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879,945,054.10</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1,201,828,191.82</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18,544,969.38</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18,544,969.38</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）类别转换</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89,974,814.95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198,465,587.57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288,440,402.52</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11,828,155.66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2,077,867.28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5,184,192.03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262,814,700.35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85,372,176.72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367,277,092.04</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11,828,155.66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2,077,867.28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5,184,192.03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9,476.92</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19,099,691.89</w:t>
            </w:r>
          </w:p>
        </w:tc>
      </w:tr>
    </w:tbl>
    <w:p>
      <w:pPr>
        <w:spacing w:after="0" w:line="265" w:lineRule="exact"/>
        <w:jc w:val="right"/>
        <w:rPr>
          <w:rFonts w:ascii="宋体" w:hAnsi="宋体" w:cs="宋体" w:eastAsia="宋体" w:hint="default"/>
          <w:sz w:val="21"/>
          <w:szCs w:val="21"/>
        </w:rPr>
        <w:sectPr>
          <w:type w:val="continuous"/>
          <w:pgSz w:w="16840" w:h="11910" w:orient="landscape"/>
          <w:pgMar w:top="1580" w:bottom="280" w:left="660" w:right="7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2753"/>
        <w:gridCol w:w="1695"/>
        <w:gridCol w:w="1697"/>
        <w:gridCol w:w="1592"/>
        <w:gridCol w:w="1697"/>
        <w:gridCol w:w="1906"/>
        <w:gridCol w:w="1858"/>
        <w:gridCol w:w="2012"/>
      </w:tblGrid>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）类别转换</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262,805,223.43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85,372,176.72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348,177,400.15</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760,142,177.88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599,363,070.68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22,913,181.28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156,259,445.68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7,766,683,045.71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718,735,064.58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10,024,095,985.81</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186,808,396.41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97,889,427.66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12,797,981.15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94,358,362.69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346,370,036.41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30,659,334.53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768,883,538.85</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36,418,920.72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38,759,190.89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3,154,457.65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16,211,554.28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270,279,323.05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25,198,646.55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390,022,093.14</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36,418,920.72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38,759,190.89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3,154,457.65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16,211,554.28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267,094,665.61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25,198,646.55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386,837,435.70</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111,259.08</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111,259.08</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）类别转换</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3,073,398.36</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3,073,398.36</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5,527,338.97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1,744,975.93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4,558,100.51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22,584,375.43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3,073,398.36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37,488,189.20</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5,527,338.97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1,744,975.93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4,558,100.51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710.77</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11,831,126.18</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）类别转换</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22,583,664.66</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3,073,398.36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25,657,063.02</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223,227,317.13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131,121,279.58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14,207,462.87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106,011,816.46</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594,064,984.03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52,784,582.72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1,121,417,442.79</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9,178,802.42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2,039,785.04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171,036.81</w:t>
            </w: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11,389,624.27</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9,178,802.42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2,039,785.04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171,036.81</w:t>
            </w: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11,389,624.27</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527,736,058.33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466,202,006.06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8,705,718.41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50,076,592.41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7,172,618,061.68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665,950,481.86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8,891,288,918.75</w:t>
            </w:r>
          </w:p>
        </w:tc>
      </w:tr>
      <w:tr>
        <w:trPr>
          <w:trHeight w:val="325"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490,706,788.49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206,760,347.84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8,044,334.67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49,094,205.30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6,694,662,871.22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574,982,319.20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8,024,250,866.72</w:t>
            </w:r>
          </w:p>
        </w:tc>
      </w:tr>
    </w:tbl>
    <w:p>
      <w:pPr>
        <w:spacing w:after="0" w:line="262" w:lineRule="exact"/>
        <w:jc w:val="right"/>
        <w:rPr>
          <w:rFonts w:ascii="宋体" w:hAnsi="宋体" w:cs="宋体" w:eastAsia="宋体" w:hint="default"/>
          <w:sz w:val="21"/>
          <w:szCs w:val="21"/>
        </w:rPr>
        <w:sectPr>
          <w:pgSz w:w="16840" w:h="11910" w:orient="landscape"/>
          <w:pgMar w:header="882" w:footer="975" w:top="1380" w:bottom="1160" w:left="660" w:right="740"/>
        </w:sectPr>
      </w:pPr>
    </w:p>
    <w:p>
      <w:pPr>
        <w:spacing w:line="240" w:lineRule="auto" w:before="5"/>
        <w:rPr>
          <w:rFonts w:ascii="Times New Roman" w:hAnsi="Times New Roman" w:cs="Times New Roman" w:eastAsia="Times New Roman" w:hint="default"/>
          <w:sz w:val="19"/>
          <w:szCs w:val="19"/>
        </w:rPr>
      </w:pPr>
    </w:p>
    <w:p>
      <w:pPr>
        <w:tabs>
          <w:tab w:pos="7188" w:val="left" w:leader="none"/>
        </w:tabs>
        <w:spacing w:before="44"/>
        <w:ind w:left="791" w:right="93" w:firstLine="0"/>
        <w:jc w:val="left"/>
        <w:rPr>
          <w:rFonts w:ascii="宋体" w:hAnsi="宋体" w:cs="宋体" w:eastAsia="宋体" w:hint="default"/>
          <w:sz w:val="18"/>
          <w:szCs w:val="18"/>
        </w:rPr>
      </w:pPr>
      <w:r>
        <w:rPr/>
        <w:pict>
          <v:shape style="position:absolute;margin-left:60.549999pt;margin-top:-6.978264pt;width:23.25pt;height:19.650pt;mso-position-horizontal-relative:page;mso-position-vertical-relative:paragraph;z-index:2536" type="#_x0000_t75" stroked="false">
            <v:imagedata r:id="rId10"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95"/>
          <w:footerReference w:type="default" r:id="rId96"/>
          <w:pgSz w:w="11910" w:h="16840"/>
          <w:pgMar w:header="0" w:footer="0" w:top="540" w:bottom="280" w:left="1040" w:right="1560"/>
        </w:sectPr>
      </w:pPr>
    </w:p>
    <w:p>
      <w:pPr>
        <w:pStyle w:val="Heading2"/>
        <w:spacing w:line="240" w:lineRule="auto"/>
        <w:ind w:left="237" w:right="-15"/>
        <w:jc w:val="left"/>
        <w:rPr>
          <w:b w:val="0"/>
          <w:bCs w:val="0"/>
        </w:rPr>
      </w:pPr>
      <w:r>
        <w:rPr>
          <w:rFonts w:ascii="宋体" w:hAnsi="宋体" w:cs="宋体" w:eastAsia="宋体" w:hint="default"/>
        </w:rPr>
        <w:t>(2).</w:t>
      </w:r>
      <w:r>
        <w:rPr/>
        <w:t>暂时闲置的固定资产情况</w:t>
      </w:r>
      <w:r>
        <w:rPr>
          <w:b w:val="0"/>
          <w:bCs w:val="0"/>
        </w:rPr>
      </w:r>
    </w:p>
    <w:p>
      <w:pPr>
        <w:spacing w:line="324" w:lineRule="auto" w:before="97"/>
        <w:ind w:left="237"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pStyle w:val="BodyText"/>
        <w:spacing w:line="240" w:lineRule="auto" w:before="23"/>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37" w:right="0"/>
        <w:jc w:val="left"/>
      </w:pPr>
      <w:r>
        <w:rPr/>
        <w:t>单位：元币种：人民币</w:t>
      </w:r>
    </w:p>
    <w:p>
      <w:pPr>
        <w:spacing w:after="0" w:line="240" w:lineRule="auto"/>
        <w:jc w:val="left"/>
        <w:sectPr>
          <w:type w:val="continuous"/>
          <w:pgSz w:w="11910" w:h="16840"/>
          <w:pgMar w:top="1580" w:bottom="280" w:left="1040" w:right="1560"/>
          <w:cols w:num="2" w:equalWidth="0">
            <w:col w:w="3828" w:space="2905"/>
            <w:col w:w="257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656"/>
        <w:gridCol w:w="1841"/>
        <w:gridCol w:w="1880"/>
        <w:gridCol w:w="1870"/>
        <w:gridCol w:w="1803"/>
      </w:tblGrid>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sz w:val="21"/>
              </w:rPr>
              <w:t>718,735,064.58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0" w:right="0"/>
              <w:jc w:val="left"/>
              <w:rPr>
                <w:rFonts w:ascii="宋体" w:hAnsi="宋体" w:cs="宋体" w:eastAsia="宋体" w:hint="default"/>
                <w:sz w:val="21"/>
                <w:szCs w:val="21"/>
              </w:rPr>
            </w:pPr>
            <w:r>
              <w:rPr>
                <w:rFonts w:ascii="宋体"/>
                <w:sz w:val="21"/>
              </w:rPr>
              <w:t>52,784,582.72</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sz w:val="21"/>
              </w:rPr>
              <w:t>665,950,481.86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040" w:right="1560"/>
        </w:sectPr>
      </w:pPr>
    </w:p>
    <w:p>
      <w:pPr>
        <w:pStyle w:val="Heading2"/>
        <w:spacing w:line="240" w:lineRule="auto"/>
        <w:ind w:left="237" w:right="-16"/>
        <w:jc w:val="left"/>
        <w:rPr>
          <w:b w:val="0"/>
          <w:bCs w:val="0"/>
        </w:rPr>
      </w:pPr>
      <w:r>
        <w:rPr>
          <w:rFonts w:ascii="宋体" w:hAnsi="宋体" w:cs="宋体" w:eastAsia="宋体" w:hint="default"/>
        </w:rPr>
        <w:t>(4).</w:t>
      </w:r>
      <w:r>
        <w:rPr/>
        <w:t>通过经营租赁租出的固定资产</w:t>
      </w:r>
      <w:r>
        <w:rPr>
          <w:b w:val="0"/>
          <w:bCs w:val="0"/>
        </w:rPr>
      </w:r>
    </w:p>
    <w:p>
      <w:pPr>
        <w:spacing w:line="326" w:lineRule="auto" w:before="97"/>
        <w:ind w:left="237"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3" w:lineRule="auto" w:before="21"/>
        <w:ind w:left="237" w:right="1784"/>
        <w:jc w:val="left"/>
      </w:pPr>
      <w:r>
        <w:rPr/>
        <w:t>□适用 √不适用</w:t>
      </w:r>
      <w:r>
        <w:rPr>
          <w:w w:val="100"/>
        </w:rPr>
        <w:t> </w:t>
      </w:r>
      <w:r>
        <w:rPr/>
        <w:t>其他说明：</w:t>
      </w:r>
    </w:p>
    <w:p>
      <w:pPr>
        <w:spacing w:line="324" w:lineRule="auto" w:before="7"/>
        <w:ind w:left="237" w:right="178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324" w:lineRule="auto" w:before="23"/>
        <w:ind w:left="237" w:right="178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24"/>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3"/>
        <w:ind w:left="237" w:right="0"/>
        <w:jc w:val="left"/>
      </w:pPr>
      <w:r>
        <w:rPr/>
        <w:t>单位：元币种：人民币</w:t>
      </w:r>
    </w:p>
    <w:p>
      <w:pPr>
        <w:spacing w:after="0" w:line="240" w:lineRule="auto"/>
        <w:jc w:val="left"/>
        <w:sectPr>
          <w:type w:val="continuous"/>
          <w:pgSz w:w="11910" w:h="16840"/>
          <w:pgMar w:top="1580" w:bottom="280" w:left="1040" w:right="1560"/>
          <w:cols w:num="2" w:equalWidth="0">
            <w:col w:w="3617" w:space="3116"/>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174,069,062.53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335,187,532.62</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12,487,958.60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88,797,377.85</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186,557,021.13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423,984,910.47</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BodyText"/>
        <w:spacing w:line="262" w:lineRule="exact"/>
        <w:ind w:left="237" w:right="-18"/>
        <w:jc w:val="left"/>
      </w:pPr>
      <w:r>
        <w:rPr/>
        <w:t>其他说明：</w:t>
      </w:r>
    </w:p>
    <w:p>
      <w:pPr>
        <w:spacing w:line="324" w:lineRule="auto" w:before="37"/>
        <w:ind w:left="237" w:right="52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Heading2"/>
        <w:tabs>
          <w:tab w:pos="1089" w:val="left" w:leader="none"/>
        </w:tabs>
        <w:spacing w:line="240" w:lineRule="auto" w:before="24"/>
        <w:ind w:left="237" w:right="-18"/>
        <w:jc w:val="left"/>
        <w:rPr>
          <w:b w:val="0"/>
          <w:bCs w:val="0"/>
        </w:rPr>
      </w:pPr>
      <w:r>
        <w:rPr>
          <w:rFonts w:ascii="宋体" w:hAnsi="宋体" w:cs="宋体" w:eastAsia="宋体" w:hint="default"/>
          <w:w w:val="95"/>
        </w:rPr>
        <w:t>(1).</w:t>
        <w:tab/>
      </w:r>
      <w:r>
        <w:rPr/>
        <w:t>在建工程情况</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237" w:right="0"/>
        <w:jc w:val="left"/>
      </w:pPr>
      <w:r>
        <w:rPr/>
        <w:t>单位：元币种：人民币</w:t>
      </w:r>
    </w:p>
    <w:p>
      <w:pPr>
        <w:spacing w:after="0" w:line="240" w:lineRule="auto"/>
        <w:jc w:val="left"/>
        <w:sectPr>
          <w:type w:val="continuous"/>
          <w:pgSz w:w="11910" w:h="16840"/>
          <w:pgMar w:top="1580" w:bottom="280" w:left="1040" w:right="1560"/>
          <w:cols w:num="2" w:equalWidth="0">
            <w:col w:w="2357" w:space="4376"/>
            <w:col w:w="2577"/>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313"/>
        <w:gridCol w:w="1637"/>
        <w:gridCol w:w="638"/>
        <w:gridCol w:w="1606"/>
        <w:gridCol w:w="1531"/>
        <w:gridCol w:w="638"/>
        <w:gridCol w:w="1532"/>
      </w:tblGrid>
      <w:tr>
        <w:trPr>
          <w:trHeight w:val="322"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6" w:hRule="exact"/>
        </w:trPr>
        <w:tc>
          <w:tcPr>
            <w:tcW w:w="13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装饰工程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2,227,979.43</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2,227,979.43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180,000.00</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厂房建设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2,171,700.00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2,171,700.00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5,315,484.96</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5,315,484.96</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光伏电站</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123,198,081.12</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123,198,081.12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70,721,849.07</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70,721,849.07</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设备安装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46,471,301.98</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46,471,301.98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258,970,198.59</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258,970,198.59</w:t>
            </w:r>
          </w:p>
        </w:tc>
      </w:tr>
      <w:tr>
        <w:trPr>
          <w:trHeight w:val="32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37"/>
              <w:jc w:val="righ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5"/>
              <w:jc w:val="right"/>
              <w:rPr>
                <w:rFonts w:ascii="宋体" w:hAnsi="宋体" w:cs="宋体" w:eastAsia="宋体" w:hint="default"/>
                <w:sz w:val="21"/>
                <w:szCs w:val="21"/>
              </w:rPr>
            </w:pPr>
            <w:r>
              <w:rPr>
                <w:rFonts w:ascii="宋体"/>
                <w:spacing w:val="-1"/>
                <w:sz w:val="21"/>
              </w:rPr>
              <w:t>174,069,062.53</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174,069,062.53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335,187,532.62</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335,187,532.62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63"/>
        <w:ind w:left="4286" w:right="4287" w:firstLine="0"/>
        <w:jc w:val="center"/>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1910" w:h="16840"/>
          <w:pgMar w:top="1580" w:bottom="280" w:left="1040" w:right="1560"/>
        </w:sectPr>
      </w:pPr>
    </w:p>
    <w:p>
      <w:pPr>
        <w:tabs>
          <w:tab w:pos="10291" w:val="left" w:leader="none"/>
        </w:tabs>
        <w:spacing w:before="20"/>
        <w:ind w:left="3894" w:right="0" w:firstLine="0"/>
        <w:jc w:val="left"/>
        <w:rPr>
          <w:rFonts w:ascii="宋体" w:hAnsi="宋体" w:cs="宋体" w:eastAsia="宋体" w:hint="default"/>
          <w:sz w:val="18"/>
          <w:szCs w:val="18"/>
        </w:rPr>
      </w:pPr>
      <w:r>
        <w:rPr/>
        <w:pict>
          <v:group style="position:absolute;margin-left:68.75pt;margin-top:9.6717pt;width:697.85pt;height:19.650pt;mso-position-horizontal-relative:page;mso-position-vertical-relative:paragraph;z-index:-1112320" coordorigin="1375,193" coordsize="13957,393">
            <v:group style="position:absolute;left:1411;top:312;width:13913;height:2" coordorigin="1411,312" coordsize="13913,2">
              <v:shape style="position:absolute;left:1411;top:312;width:13913;height:2" coordorigin="1411,312" coordsize="13913,0" path="m1411,312l15324,312e" filled="false" stroked="true" strokeweight=".72pt" strokecolor="#000000">
                <v:path arrowok="t"/>
              </v:shape>
              <v:shape style="position:absolute;left:1375;top:193;width:465;height:393" type="#_x0000_t75" stroked="false">
                <v:imagedata r:id="rId10" o:title=""/>
              </v:shape>
            </v:group>
            <w10:wrap type="none"/>
          </v:group>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97"/>
          <w:footerReference w:type="default" r:id="rId98"/>
          <w:pgSz w:w="16840" w:h="11910" w:orient="landscape"/>
          <w:pgMar w:header="0" w:footer="0" w:top="800" w:bottom="280" w:left="620" w:right="1240"/>
        </w:sectPr>
      </w:pPr>
    </w:p>
    <w:p>
      <w:pPr>
        <w:pStyle w:val="Heading2"/>
        <w:spacing w:line="240" w:lineRule="auto"/>
        <w:ind w:left="820" w:right="-15"/>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97"/>
        <w:ind w:left="8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820" w:right="0"/>
        <w:jc w:val="left"/>
      </w:pPr>
      <w:r>
        <w:rPr/>
        <w:t>单位：元币种：人民币</w:t>
      </w:r>
    </w:p>
    <w:p>
      <w:pPr>
        <w:spacing w:after="0" w:line="240" w:lineRule="auto"/>
        <w:jc w:val="left"/>
        <w:sectPr>
          <w:type w:val="continuous"/>
          <w:pgSz w:w="16840" w:h="11910" w:orient="landscape"/>
          <w:pgMar w:top="1580" w:bottom="280" w:left="620" w:right="1240"/>
          <w:cols w:num="2" w:equalWidth="0">
            <w:col w:w="4200" w:space="7574"/>
            <w:col w:w="320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36"/>
        <w:gridCol w:w="1346"/>
        <w:gridCol w:w="1322"/>
        <w:gridCol w:w="1575"/>
        <w:gridCol w:w="1577"/>
        <w:gridCol w:w="1232"/>
        <w:gridCol w:w="1322"/>
        <w:gridCol w:w="847"/>
        <w:gridCol w:w="853"/>
        <w:gridCol w:w="854"/>
        <w:gridCol w:w="840"/>
        <w:gridCol w:w="869"/>
        <w:gridCol w:w="972"/>
      </w:tblGrid>
      <w:tr>
        <w:trPr>
          <w:trHeight w:val="12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22" w:right="52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66" w:right="98" w:hanging="540"/>
              <w:jc w:val="left"/>
              <w:rPr>
                <w:rFonts w:ascii="宋体" w:hAnsi="宋体" w:cs="宋体" w:eastAsia="宋体" w:hint="default"/>
                <w:sz w:val="18"/>
                <w:szCs w:val="18"/>
              </w:rPr>
            </w:pPr>
            <w:r>
              <w:rPr>
                <w:rFonts w:ascii="宋体" w:hAnsi="宋体" w:cs="宋体" w:eastAsia="宋体" w:hint="default"/>
                <w:sz w:val="18"/>
                <w:szCs w:val="18"/>
              </w:rPr>
              <w:t>本期转入固定资产 金额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93" w:right="106"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75" w:right="475"/>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7" w:right="59"/>
              <w:jc w:val="center"/>
              <w:rPr>
                <w:rFonts w:ascii="宋体" w:hAnsi="宋体" w:cs="宋体" w:eastAsia="宋体" w:hint="default"/>
                <w:sz w:val="18"/>
                <w:szCs w:val="18"/>
              </w:rPr>
            </w:pPr>
            <w:r>
              <w:rPr>
                <w:rFonts w:ascii="宋体" w:hAnsi="宋体" w:cs="宋体" w:eastAsia="宋体" w:hint="default"/>
                <w:sz w:val="18"/>
                <w:szCs w:val="18"/>
              </w:rPr>
              <w:t>工程累计 投入占预 算比例 </w:t>
            </w: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2" w:right="60"/>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5" w:right="53"/>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本期利息 资本化率 </w:t>
            </w:r>
            <w:r>
              <w:rPr>
                <w:rFonts w:ascii="宋体" w:hAnsi="宋体" w:cs="宋体" w:eastAsia="宋体" w:hint="default"/>
                <w:sz w:val="18"/>
                <w:szCs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装饰工程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2,365,979.43</w:t>
            </w:r>
          </w:p>
        </w:tc>
        <w:tc>
          <w:tcPr>
            <w:tcW w:w="157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318,000.00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2,227,979.43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84.87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84.87</w:t>
            </w:r>
          </w:p>
        </w:tc>
        <w:tc>
          <w:tcPr>
            <w:tcW w:w="8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厂房建设</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6,500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5,315,484.96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57,352,377.67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53,484,974.87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7,011,187.76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2,171,700.00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96.41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96.41</w:t>
            </w:r>
          </w:p>
        </w:tc>
        <w:tc>
          <w:tcPr>
            <w:tcW w:w="8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25"/>
              <w:jc w:val="left"/>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z w:val="18"/>
                <w:szCs w:val="18"/>
              </w:rPr>
              <w:t>\ </w:t>
            </w:r>
            <w:r>
              <w:rPr>
                <w:rFonts w:ascii="宋体" w:hAnsi="宋体" w:cs="宋体" w:eastAsia="宋体" w:hint="default"/>
                <w:sz w:val="18"/>
                <w:szCs w:val="18"/>
              </w:rPr>
              <w:t>募集资金</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131,579</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70,721,849.07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932,421,286.15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879,945,054.10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123,198,081.12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76.24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76.24</w:t>
            </w:r>
          </w:p>
        </w:tc>
        <w:tc>
          <w:tcPr>
            <w:tcW w:w="8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25"/>
              <w:jc w:val="left"/>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z w:val="18"/>
                <w:szCs w:val="18"/>
              </w:rPr>
              <w:t>\ </w:t>
            </w:r>
            <w:r>
              <w:rPr>
                <w:rFonts w:ascii="宋体" w:hAnsi="宋体" w:cs="宋体" w:eastAsia="宋体" w:hint="default"/>
                <w:sz w:val="18"/>
                <w:szCs w:val="18"/>
              </w:rPr>
              <w:t>募集资金</w:t>
            </w:r>
          </w:p>
        </w:tc>
      </w:tr>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35,000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258,970,198.59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64,305,050.09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268,398,162.85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8,405,783.85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46,471,301.98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92.36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92.36</w:t>
            </w:r>
          </w:p>
        </w:tc>
        <w:tc>
          <w:tcPr>
            <w:tcW w:w="8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25"/>
              <w:jc w:val="left"/>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z w:val="18"/>
                <w:szCs w:val="18"/>
              </w:rPr>
              <w:t>\ </w:t>
            </w:r>
            <w:r>
              <w:rPr>
                <w:rFonts w:ascii="宋体" w:hAnsi="宋体" w:cs="宋体" w:eastAsia="宋体" w:hint="default"/>
                <w:sz w:val="18"/>
                <w:szCs w:val="18"/>
              </w:rPr>
              <w:t>募集资金</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hAnsi="宋体" w:cs="宋体" w:eastAsia="宋体" w:hint="default"/>
                <w:sz w:val="18"/>
                <w:szCs w:val="18"/>
              </w:rPr>
              <w:t>173379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335,187,532.62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1,056,444,693.34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1,201,828,191.82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15,734,971.61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174,069,062.53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4"/>
              <w:jc w:val="center"/>
              <w:rPr>
                <w:rFonts w:ascii="宋体" w:hAnsi="宋体" w:cs="宋体" w:eastAsia="宋体" w:hint="default"/>
                <w:sz w:val="18"/>
                <w:szCs w:val="18"/>
              </w:rPr>
            </w:pPr>
            <w:r>
              <w:rPr>
                <w:rFonts w:ascii="宋体"/>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6"/>
              <w:jc w:val="center"/>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2"/>
              <w:jc w:val="center"/>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4"/>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63"/>
        <w:ind w:left="7389" w:right="6856" w:firstLine="0"/>
        <w:jc w:val="center"/>
        <w:rPr>
          <w:rFonts w:ascii="Calibri" w:hAnsi="Calibri" w:cs="Calibri" w:eastAsia="Calibri" w:hint="default"/>
          <w:sz w:val="18"/>
          <w:szCs w:val="18"/>
        </w:rPr>
      </w:pPr>
      <w:r>
        <w:rPr>
          <w:rFonts w:ascii="Calibri"/>
          <w:b/>
          <w:sz w:val="18"/>
        </w:rPr>
        <w:t>138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620" w:right="1240"/>
        </w:sectPr>
      </w:pPr>
    </w:p>
    <w:p>
      <w:pPr>
        <w:spacing w:line="240" w:lineRule="auto" w:before="9"/>
        <w:rPr>
          <w:rFonts w:ascii="Calibri" w:hAnsi="Calibri" w:cs="Calibri" w:eastAsia="Calibri" w:hint="default"/>
          <w:b/>
          <w:bCs/>
          <w:sz w:val="26"/>
          <w:szCs w:val="26"/>
        </w:rPr>
      </w:pPr>
    </w:p>
    <w:p>
      <w:pPr>
        <w:pStyle w:val="Heading2"/>
        <w:spacing w:line="240" w:lineRule="auto"/>
        <w:ind w:left="398" w:right="1187"/>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73" w:lineRule="auto" w:before="97"/>
        <w:ind w:left="398" w:right="7593"/>
        <w:jc w:val="left"/>
      </w:pPr>
      <w:r>
        <w:rPr/>
        <w:t>□适用 √不适用</w:t>
      </w:r>
      <w:r>
        <w:rPr>
          <w:w w:val="100"/>
        </w:rPr>
        <w:t> </w:t>
      </w:r>
      <w:r>
        <w:rPr/>
        <w:t>其他说明</w:t>
      </w:r>
    </w:p>
    <w:p>
      <w:pPr>
        <w:pStyle w:val="BodyText"/>
        <w:spacing w:line="240" w:lineRule="auto" w:before="7"/>
        <w:ind w:left="398" w:right="1187"/>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9"/>
          <w:footerReference w:type="default" r:id="rId100"/>
          <w:pgSz w:w="11910" w:h="16840"/>
          <w:pgMar w:header="643" w:footer="974" w:top="1120" w:bottom="1160" w:left="1020" w:right="1300"/>
          <w:pgNumType w:start="13"/>
        </w:sectPr>
      </w:pPr>
    </w:p>
    <w:p>
      <w:pPr>
        <w:pStyle w:val="Heading2"/>
        <w:spacing w:line="240" w:lineRule="auto"/>
        <w:ind w:left="398" w:right="-17"/>
        <w:jc w:val="left"/>
        <w:rPr>
          <w:b w:val="0"/>
          <w:bCs w:val="0"/>
        </w:rPr>
      </w:pPr>
      <w:r>
        <w:rPr/>
        <w:t>工程物资</w:t>
      </w:r>
      <w:r>
        <w:rPr>
          <w:b w:val="0"/>
          <w:bCs w:val="0"/>
        </w:rPr>
      </w:r>
    </w:p>
    <w:p>
      <w:pPr>
        <w:pStyle w:val="Heading2"/>
        <w:tabs>
          <w:tab w:pos="1250" w:val="left" w:leader="none"/>
        </w:tabs>
        <w:spacing w:line="240" w:lineRule="auto" w:before="97"/>
        <w:ind w:left="398" w:right="-17"/>
        <w:jc w:val="left"/>
        <w:rPr>
          <w:b w:val="0"/>
          <w:bCs w:val="0"/>
        </w:rPr>
      </w:pPr>
      <w:r>
        <w:rPr>
          <w:rFonts w:ascii="宋体" w:hAnsi="宋体" w:cs="宋体" w:eastAsia="宋体" w:hint="default"/>
          <w:w w:val="95"/>
        </w:rPr>
        <w:t>(1).</w:t>
        <w:tab/>
      </w:r>
      <w:r>
        <w:rPr/>
        <w:t>工程物资情况</w:t>
      </w:r>
      <w:r>
        <w:rPr>
          <w:b w:val="0"/>
          <w:bCs w:val="0"/>
        </w:rPr>
      </w:r>
    </w:p>
    <w:p>
      <w:pPr>
        <w:pStyle w:val="BodyText"/>
        <w:spacing w:line="240" w:lineRule="auto" w:before="97"/>
        <w:ind w:left="39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ind w:left="398" w:right="0"/>
        <w:jc w:val="left"/>
      </w:pPr>
      <w:r>
        <w:rPr/>
        <w:t>单位：元币种：人民币</w:t>
      </w:r>
    </w:p>
    <w:p>
      <w:pPr>
        <w:spacing w:after="0" w:line="240" w:lineRule="auto"/>
        <w:jc w:val="left"/>
        <w:sectPr>
          <w:type w:val="continuous"/>
          <w:pgSz w:w="11910" w:h="16840"/>
          <w:pgMar w:top="1580" w:bottom="280" w:left="1020" w:right="1300"/>
          <w:cols w:num="2" w:equalWidth="0">
            <w:col w:w="2519" w:space="4452"/>
            <w:col w:w="2619"/>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992"/>
        <w:gridCol w:w="1592"/>
        <w:gridCol w:w="434"/>
        <w:gridCol w:w="1592"/>
        <w:gridCol w:w="1591"/>
        <w:gridCol w:w="437"/>
        <w:gridCol w:w="1592"/>
      </w:tblGrid>
      <w:tr>
        <w:trPr>
          <w:trHeight w:val="283" w:hRule="exact"/>
        </w:trPr>
        <w:tc>
          <w:tcPr>
            <w:tcW w:w="1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1992"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05" w:right="107"/>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08" w:right="107"/>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光伏电站工程物资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12,487,958.60</w:t>
            </w:r>
          </w:p>
        </w:tc>
        <w:tc>
          <w:tcPr>
            <w:tcW w:w="43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12,487,958.60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88,797,377.85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88,797,377.85</w:t>
            </w:r>
          </w:p>
        </w:tc>
      </w:tr>
      <w:tr>
        <w:trPr>
          <w:trHeight w:val="32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12,487,958.60</w:t>
            </w:r>
          </w:p>
        </w:tc>
        <w:tc>
          <w:tcPr>
            <w:tcW w:w="43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12,487,958.60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88,797,377.85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88,797,377.85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020" w:right="1300"/>
        </w:sectPr>
      </w:pPr>
    </w:p>
    <w:p>
      <w:pPr>
        <w:pStyle w:val="Heading2"/>
        <w:spacing w:line="324" w:lineRule="auto"/>
        <w:ind w:left="398" w:right="-14"/>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pStyle w:val="BodyText"/>
        <w:spacing w:line="240" w:lineRule="auto" w:before="23"/>
        <w:ind w:left="39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398" w:right="0"/>
        <w:jc w:val="left"/>
      </w:pPr>
      <w:r>
        <w:rPr/>
        <w:t>单位：元币种：人民币</w:t>
      </w:r>
    </w:p>
    <w:p>
      <w:pPr>
        <w:spacing w:after="0" w:line="240" w:lineRule="auto"/>
        <w:jc w:val="left"/>
        <w:sectPr>
          <w:type w:val="continuous"/>
          <w:pgSz w:w="11910" w:h="16840"/>
          <w:pgMar w:top="1580" w:bottom="280" w:left="1020" w:right="1300"/>
          <w:cols w:num="2" w:equalWidth="0">
            <w:col w:w="4201" w:space="2769"/>
            <w:col w:w="2620"/>
          </w:cols>
        </w:sectPr>
      </w:pPr>
    </w:p>
    <w:p>
      <w:pPr>
        <w:spacing w:line="240" w:lineRule="auto" w:before="10"/>
        <w:rPr>
          <w:rFonts w:ascii="宋体" w:hAnsi="宋体" w:cs="宋体" w:eastAsia="宋体" w:hint="default"/>
          <w:sz w:val="3"/>
          <w:szCs w:val="3"/>
        </w:rPr>
      </w:pPr>
    </w:p>
    <w:tbl>
      <w:tblPr>
        <w:tblW w:w="0" w:type="auto"/>
        <w:jc w:val="left"/>
        <w:tblInd w:w="286" w:type="dxa"/>
        <w:tblLayout w:type="fixed"/>
        <w:tblCellMar>
          <w:top w:w="0" w:type="dxa"/>
          <w:left w:w="0" w:type="dxa"/>
          <w:bottom w:w="0" w:type="dxa"/>
          <w:right w:w="0" w:type="dxa"/>
        </w:tblCellMar>
        <w:tblLook w:val="01E0"/>
      </w:tblPr>
      <w:tblGrid>
        <w:gridCol w:w="2232"/>
        <w:gridCol w:w="1702"/>
        <w:gridCol w:w="662"/>
        <w:gridCol w:w="425"/>
        <w:gridCol w:w="490"/>
        <w:gridCol w:w="490"/>
        <w:gridCol w:w="490"/>
        <w:gridCol w:w="490"/>
        <w:gridCol w:w="487"/>
        <w:gridCol w:w="1582"/>
      </w:tblGrid>
      <w:tr>
        <w:trPr>
          <w:trHeight w:val="634" w:hRule="exact"/>
        </w:trPr>
        <w:tc>
          <w:tcPr>
            <w:tcW w:w="2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种植业</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9" w:right="135" w:hanging="106"/>
              <w:jc w:val="left"/>
              <w:rPr>
                <w:rFonts w:ascii="宋体" w:hAnsi="宋体" w:cs="宋体" w:eastAsia="宋体" w:hint="default"/>
                <w:sz w:val="21"/>
                <w:szCs w:val="21"/>
              </w:rPr>
            </w:pPr>
            <w:r>
              <w:rPr>
                <w:rFonts w:ascii="宋体" w:hAnsi="宋体" w:cs="宋体" w:eastAsia="宋体" w:hint="default"/>
                <w:sz w:val="21"/>
                <w:szCs w:val="21"/>
              </w:rPr>
              <w:t>畜牧养</w:t>
            </w:r>
            <w:r>
              <w:rPr>
                <w:rFonts w:ascii="宋体" w:hAnsi="宋体" w:cs="宋体" w:eastAsia="宋体" w:hint="default"/>
                <w:spacing w:val="-102"/>
                <w:sz w:val="21"/>
                <w:szCs w:val="21"/>
              </w:rPr>
              <w:t> </w:t>
            </w:r>
            <w:r>
              <w:rPr>
                <w:rFonts w:ascii="宋体" w:hAnsi="宋体" w:cs="宋体" w:eastAsia="宋体" w:hint="default"/>
                <w:sz w:val="21"/>
                <w:szCs w:val="21"/>
              </w:rPr>
              <w:t>殖业</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3" w:right="0"/>
              <w:jc w:val="left"/>
              <w:rPr>
                <w:rFonts w:ascii="宋体" w:hAnsi="宋体" w:cs="宋体" w:eastAsia="宋体" w:hint="default"/>
                <w:sz w:val="21"/>
                <w:szCs w:val="21"/>
              </w:rPr>
            </w:pPr>
            <w:r>
              <w:rPr>
                <w:rFonts w:ascii="宋体" w:hAnsi="宋体" w:cs="宋体" w:eastAsia="宋体" w:hint="default"/>
                <w:sz w:val="21"/>
                <w:szCs w:val="21"/>
              </w:rPr>
              <w:t>林业</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7"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23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1" w:right="0"/>
              <w:jc w:val="left"/>
              <w:rPr>
                <w:rFonts w:ascii="宋体" w:hAnsi="宋体" w:cs="宋体" w:eastAsia="宋体" w:hint="default"/>
                <w:sz w:val="21"/>
                <w:szCs w:val="21"/>
              </w:rPr>
            </w:pPr>
            <w:r>
              <w:rPr>
                <w:rFonts w:ascii="宋体" w:hAnsi="宋体" w:cs="宋体" w:eastAsia="宋体" w:hint="default"/>
                <w:sz w:val="21"/>
                <w:szCs w:val="21"/>
              </w:rPr>
              <w:t>未成熟</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13" w:hanging="104"/>
              <w:jc w:val="left"/>
              <w:rPr>
                <w:rFonts w:ascii="宋体" w:hAnsi="宋体" w:cs="宋体" w:eastAsia="宋体" w:hint="default"/>
                <w:sz w:val="21"/>
                <w:szCs w:val="21"/>
              </w:rPr>
            </w:pPr>
            <w:r>
              <w:rPr>
                <w:rFonts w:ascii="宋体" w:hAnsi="宋体" w:cs="宋体" w:eastAsia="宋体" w:hint="default"/>
                <w:sz w:val="21"/>
                <w:szCs w:val="21"/>
              </w:rPr>
              <w:t>已成</w:t>
            </w:r>
            <w:r>
              <w:rPr>
                <w:rFonts w:ascii="宋体" w:hAnsi="宋体" w:cs="宋体" w:eastAsia="宋体" w:hint="default"/>
                <w:spacing w:val="-103"/>
                <w:sz w:val="21"/>
                <w:szCs w:val="21"/>
              </w:rPr>
              <w:t> </w:t>
            </w:r>
            <w:r>
              <w:rPr>
                <w:rFonts w:ascii="宋体" w:hAnsi="宋体" w:cs="宋体" w:eastAsia="宋体" w:hint="default"/>
                <w:sz w:val="21"/>
                <w:szCs w:val="21"/>
              </w:rPr>
              <w:t>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3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1582" w:type="dxa"/>
            <w:vMerge/>
            <w:tcBorders>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52,425,171.13</w:t>
            </w: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52,425,171.13</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42,214,678.65</w:t>
            </w: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42,214,678.65</w:t>
            </w:r>
          </w:p>
        </w:tc>
      </w:tr>
      <w:tr>
        <w:trPr>
          <w:trHeight w:val="34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2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自行培育</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10,210,492.48</w:t>
            </w: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10,210,492.48</w:t>
            </w:r>
          </w:p>
        </w:tc>
      </w:tr>
      <w:tr>
        <w:trPr>
          <w:trHeight w:val="32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52,425,171.13</w:t>
            </w: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52,425,171.13</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20" w:right="1300"/>
        </w:sectPr>
      </w:pP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32"/>
        <w:gridCol w:w="1702"/>
        <w:gridCol w:w="662"/>
        <w:gridCol w:w="425"/>
        <w:gridCol w:w="490"/>
        <w:gridCol w:w="490"/>
        <w:gridCol w:w="490"/>
        <w:gridCol w:w="490"/>
        <w:gridCol w:w="487"/>
        <w:gridCol w:w="1582"/>
      </w:tblGrid>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52,425,171.13</w:t>
            </w: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52,425,171.13</w:t>
            </w:r>
          </w:p>
        </w:tc>
      </w:tr>
      <w:tr>
        <w:trPr>
          <w:trHeight w:val="351"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(2).</w:t>
      </w:r>
      <w:r>
        <w:rPr/>
        <w:t>采用公允价值计量模式的生产性生物资产</w:t>
      </w:r>
      <w:r>
        <w:rPr>
          <w:b w:val="0"/>
          <w:bCs w:val="0"/>
        </w:rPr>
      </w:r>
    </w:p>
    <w:p>
      <w:pPr>
        <w:pStyle w:val="BodyText"/>
        <w:spacing w:line="273" w:lineRule="auto" w:before="97"/>
        <w:ind w:right="8473"/>
        <w:jc w:val="left"/>
      </w:pPr>
      <w:r>
        <w:rPr/>
        <w:t>□适用 √不适用</w:t>
      </w:r>
      <w:r>
        <w:rPr>
          <w:w w:val="100"/>
        </w:rPr>
        <w:t> </w:t>
      </w:r>
      <w:r>
        <w:rPr/>
        <w:t>其他说明</w:t>
      </w:r>
    </w:p>
    <w:p>
      <w:pPr>
        <w:pStyle w:val="BodyText"/>
        <w:spacing w:line="240" w:lineRule="auto" w:before="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97"/>
        <w:ind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1200" w:right="420"/>
        </w:sectPr>
      </w:pPr>
    </w:p>
    <w:p>
      <w:pPr>
        <w:pStyle w:val="Heading2"/>
        <w:spacing w:line="324" w:lineRule="auto"/>
        <w:ind w:right="-13"/>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spacing w:line="240" w:lineRule="auto" w:before="2"/>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420"/>
          <w:cols w:num="2" w:equalWidth="0">
            <w:col w:w="1914" w:space="5057"/>
            <w:col w:w="331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573"/>
        <w:gridCol w:w="1687"/>
        <w:gridCol w:w="1580"/>
        <w:gridCol w:w="1582"/>
        <w:gridCol w:w="956"/>
        <w:gridCol w:w="1687"/>
      </w:tblGrid>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9"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125,396,191.35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10,714,319.82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11,446,218.91</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147,556,730.08</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1,113,123.16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7,481,794.25</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center"/>
              <w:rPr>
                <w:rFonts w:ascii="宋体" w:hAnsi="宋体" w:cs="宋体" w:eastAsia="宋体" w:hint="default"/>
                <w:sz w:val="21"/>
                <w:szCs w:val="21"/>
              </w:rPr>
            </w:pPr>
            <w:r>
              <w:rPr>
                <w:rFonts w:ascii="宋体"/>
                <w:sz w:val="21"/>
              </w:rPr>
              <w:t>8,594,917.41</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1,113,123.16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7,481,794.25</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center"/>
              <w:rPr>
                <w:rFonts w:ascii="宋体" w:hAnsi="宋体" w:cs="宋体" w:eastAsia="宋体" w:hint="default"/>
                <w:sz w:val="21"/>
                <w:szCs w:val="21"/>
              </w:rPr>
            </w:pPr>
            <w:r>
              <w:rPr>
                <w:rFonts w:ascii="宋体"/>
                <w:sz w:val="21"/>
              </w:rPr>
              <w:t>8,594,917.41</w:t>
            </w:r>
          </w:p>
        </w:tc>
      </w:tr>
      <w:tr>
        <w:trPr>
          <w:trHeight w:val="634"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126,509,314.51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10,714,319.82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18,928,013.16</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156,151,647.49</w:t>
            </w:r>
          </w:p>
        </w:tc>
      </w:tr>
      <w:tr>
        <w:trPr>
          <w:trHeight w:val="348"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16,523,729.92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sz w:val="21"/>
              </w:rPr>
              <w:t>2,514,255.09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7,320,580.42</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 w:right="0"/>
              <w:jc w:val="center"/>
              <w:rPr>
                <w:rFonts w:ascii="宋体" w:hAnsi="宋体" w:cs="宋体" w:eastAsia="宋体" w:hint="default"/>
                <w:sz w:val="21"/>
                <w:szCs w:val="21"/>
              </w:rPr>
            </w:pPr>
            <w:r>
              <w:rPr>
                <w:rFonts w:ascii="宋体"/>
                <w:sz w:val="21"/>
              </w:rPr>
              <w:t>26,358,565.43</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2,504,695.17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sz w:val="21"/>
              </w:rPr>
              <w:t>1,063,614.74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3,033,222.57</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center"/>
              <w:rPr>
                <w:rFonts w:ascii="宋体" w:hAnsi="宋体" w:cs="宋体" w:eastAsia="宋体" w:hint="default"/>
                <w:sz w:val="21"/>
                <w:szCs w:val="21"/>
              </w:rPr>
            </w:pPr>
            <w:r>
              <w:rPr>
                <w:rFonts w:ascii="宋体"/>
                <w:sz w:val="21"/>
              </w:rPr>
              <w:t>6,601,532.48</w:t>
            </w:r>
          </w:p>
        </w:tc>
      </w:tr>
      <w:tr>
        <w:trPr>
          <w:trHeight w:val="351"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2,504,695.17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sz w:val="21"/>
              </w:rPr>
              <w:t>1,063,614.74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3,033,222.57</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13" w:right="0"/>
              <w:jc w:val="center"/>
              <w:rPr>
                <w:rFonts w:ascii="宋体" w:hAnsi="宋体" w:cs="宋体" w:eastAsia="宋体" w:hint="default"/>
                <w:sz w:val="21"/>
                <w:szCs w:val="21"/>
              </w:rPr>
            </w:pPr>
            <w:r>
              <w:rPr>
                <w:rFonts w:ascii="宋体"/>
                <w:sz w:val="21"/>
              </w:rPr>
              <w:t>6,601,532.48</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00" w:right="420"/>
        </w:sectPr>
      </w:pP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573"/>
        <w:gridCol w:w="1687"/>
        <w:gridCol w:w="1580"/>
        <w:gridCol w:w="1582"/>
        <w:gridCol w:w="956"/>
        <w:gridCol w:w="1687"/>
      </w:tblGrid>
      <w:tr>
        <w:trPr>
          <w:trHeight w:val="351"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19,028,425.09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3,577,869.83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10,353,802.99</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32,960,097.91</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6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66"/>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107,480,889.42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7,136,449.99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8,574,210.17</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123,191,549.58</w:t>
            </w:r>
          </w:p>
        </w:tc>
      </w:tr>
      <w:tr>
        <w:trPr>
          <w:trHeight w:val="3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108,872,461.43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8,200,064.73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4,125,638.49</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121,198,164.65</w:t>
            </w:r>
          </w:p>
        </w:tc>
      </w:tr>
    </w:tbl>
    <w:p>
      <w:pPr>
        <w:pStyle w:val="BodyText"/>
        <w:spacing w:line="241" w:lineRule="exact"/>
        <w:ind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11"/>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3" w:lineRule="auto" w:before="97"/>
        <w:ind w:right="8473"/>
        <w:jc w:val="left"/>
      </w:pPr>
      <w:r>
        <w:rPr/>
        <w:t>□适用 √不适用</w:t>
      </w:r>
      <w:r>
        <w:rPr>
          <w:w w:val="100"/>
        </w:rPr>
        <w:t> </w:t>
      </w:r>
      <w:r>
        <w:rPr/>
        <w:t>其他说明：</w:t>
      </w:r>
    </w:p>
    <w:p>
      <w:pPr>
        <w:pStyle w:val="BodyText"/>
        <w:spacing w:line="240" w:lineRule="auto" w:before="7"/>
        <w:ind w:right="0"/>
        <w:jc w:val="left"/>
      </w:pPr>
      <w:r>
        <w:rPr/>
        <w:t>□适用 √不适用</w:t>
      </w:r>
    </w:p>
    <w:p>
      <w:pPr>
        <w:spacing w:line="240" w:lineRule="auto" w:before="4"/>
        <w:rPr>
          <w:rFonts w:ascii="宋体" w:hAnsi="宋体" w:cs="宋体" w:eastAsia="宋体" w:hint="default"/>
          <w:sz w:val="28"/>
          <w:szCs w:val="28"/>
        </w:rPr>
      </w:pPr>
    </w:p>
    <w:p>
      <w:pPr>
        <w:pStyle w:val="Heading2"/>
        <w:spacing w:line="240" w:lineRule="auto" w:before="0"/>
        <w:ind w:right="0"/>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97"/>
        <w:ind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1"/>
          <w:pgSz w:w="11910" w:h="16840"/>
          <w:pgMar w:footer="974" w:header="643" w:top="1120" w:bottom="1160" w:left="1200" w:right="420"/>
          <w:pgNumType w:start="141"/>
        </w:sectPr>
      </w:pPr>
    </w:p>
    <w:p>
      <w:pPr>
        <w:pStyle w:val="Heading2"/>
        <w:spacing w:line="324" w:lineRule="auto"/>
        <w:ind w:right="-13"/>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23"/>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420"/>
          <w:cols w:num="2" w:equalWidth="0">
            <w:col w:w="1914" w:space="5057"/>
            <w:col w:w="3319"/>
          </w:cols>
        </w:sectPr>
      </w:pPr>
    </w:p>
    <w:p>
      <w:pPr>
        <w:spacing w:line="240" w:lineRule="auto" w:before="10"/>
        <w:rPr>
          <w:rFonts w:ascii="宋体" w:hAnsi="宋体" w:cs="宋体" w:eastAsia="宋体" w:hint="default"/>
          <w:sz w:val="3"/>
          <w:szCs w:val="3"/>
        </w:rPr>
      </w:pPr>
    </w:p>
    <w:tbl>
      <w:tblPr>
        <w:tblW w:w="0" w:type="auto"/>
        <w:jc w:val="left"/>
        <w:tblInd w:w="223" w:type="dxa"/>
        <w:tblLayout w:type="fixed"/>
        <w:tblCellMar>
          <w:top w:w="0" w:type="dxa"/>
          <w:left w:w="0" w:type="dxa"/>
          <w:bottom w:w="0" w:type="dxa"/>
          <w:right w:w="0" w:type="dxa"/>
        </w:tblCellMar>
        <w:tblLook w:val="01E0"/>
      </w:tblPr>
      <w:tblGrid>
        <w:gridCol w:w="1939"/>
        <w:gridCol w:w="1856"/>
        <w:gridCol w:w="1280"/>
        <w:gridCol w:w="708"/>
        <w:gridCol w:w="922"/>
        <w:gridCol w:w="641"/>
        <w:gridCol w:w="1707"/>
      </w:tblGrid>
      <w:tr>
        <w:trPr>
          <w:trHeight w:val="295"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12"/>
              <w:ind w:left="227"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70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4"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641" w:type="dxa"/>
            <w:tcBorders>
              <w:top w:val="single" w:sz="4" w:space="0" w:color="000000"/>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2,630,664.50</w:t>
            </w:r>
          </w:p>
        </w:tc>
        <w:tc>
          <w:tcPr>
            <w:tcW w:w="128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2,630,664.50</w:t>
            </w:r>
          </w:p>
        </w:tc>
      </w:tr>
      <w:tr>
        <w:trPr>
          <w:trHeight w:val="30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2,630,664.50</w:t>
            </w:r>
          </w:p>
        </w:tc>
        <w:tc>
          <w:tcPr>
            <w:tcW w:w="128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2,630,664.50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200" w:right="420"/>
        </w:sectPr>
      </w:pPr>
    </w:p>
    <w:p>
      <w:pPr>
        <w:pStyle w:val="Heading2"/>
        <w:spacing w:line="240" w:lineRule="auto"/>
        <w:ind w:right="-13"/>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97"/>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420"/>
          <w:cols w:num="2" w:equalWidth="0">
            <w:col w:w="1914" w:space="5057"/>
            <w:col w:w="3319"/>
          </w:cols>
        </w:sectPr>
      </w:pPr>
    </w:p>
    <w:p>
      <w:pPr>
        <w:spacing w:line="240" w:lineRule="auto" w:before="10"/>
        <w:rPr>
          <w:rFonts w:ascii="宋体" w:hAnsi="宋体" w:cs="宋体" w:eastAsia="宋体" w:hint="default"/>
          <w:sz w:val="3"/>
          <w:szCs w:val="3"/>
        </w:rPr>
      </w:pPr>
    </w:p>
    <w:tbl>
      <w:tblPr>
        <w:tblW w:w="0" w:type="auto"/>
        <w:jc w:val="left"/>
        <w:tblInd w:w="223" w:type="dxa"/>
        <w:tblLayout w:type="fixed"/>
        <w:tblCellMar>
          <w:top w:w="0" w:type="dxa"/>
          <w:left w:w="0" w:type="dxa"/>
          <w:bottom w:w="0" w:type="dxa"/>
          <w:right w:w="0" w:type="dxa"/>
        </w:tblCellMar>
        <w:tblLook w:val="01E0"/>
      </w:tblPr>
      <w:tblGrid>
        <w:gridCol w:w="1814"/>
        <w:gridCol w:w="1477"/>
        <w:gridCol w:w="1075"/>
        <w:gridCol w:w="1044"/>
        <w:gridCol w:w="1058"/>
        <w:gridCol w:w="871"/>
        <w:gridCol w:w="1712"/>
      </w:tblGrid>
      <w:tr>
        <w:trPr>
          <w:trHeight w:val="283" w:hRule="exact"/>
        </w:trPr>
        <w:tc>
          <w:tcPr>
            <w:tcW w:w="1814" w:type="dxa"/>
            <w:vMerge w:val="restart"/>
            <w:tcBorders>
              <w:top w:val="single" w:sz="4" w:space="0" w:color="000000"/>
              <w:left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94" w:right="163"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14"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871" w:type="dxa"/>
            <w:tcBorders>
              <w:top w:val="single" w:sz="4" w:space="0" w:color="000000"/>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55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2,630,664.50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2,630,664.50</w:t>
            </w:r>
          </w:p>
        </w:tc>
      </w:tr>
      <w:tr>
        <w:trPr>
          <w:trHeight w:val="29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sz w:val="21"/>
              </w:rPr>
              <w:t>2,630,664.50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2,630,664.50</w:t>
            </w:r>
          </w:p>
        </w:tc>
      </w:tr>
    </w:tbl>
    <w:p>
      <w:pPr>
        <w:spacing w:after="0" w:line="246" w:lineRule="exact"/>
        <w:jc w:val="right"/>
        <w:rPr>
          <w:rFonts w:ascii="宋体" w:hAnsi="宋体" w:cs="宋体" w:eastAsia="宋体" w:hint="default"/>
          <w:sz w:val="21"/>
          <w:szCs w:val="21"/>
        </w:rPr>
        <w:sectPr>
          <w:type w:val="continuous"/>
          <w:pgSz w:w="11910" w:h="16840"/>
          <w:pgMar w:top="1580" w:bottom="280" w:left="120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ind w:right="2585"/>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97"/>
        <w:ind w:right="2585"/>
        <w:jc w:val="left"/>
      </w:pPr>
      <w:r>
        <w:rPr/>
        <w:t>□适用 √不适用</w:t>
      </w:r>
    </w:p>
    <w:p>
      <w:pPr>
        <w:spacing w:line="240" w:lineRule="auto" w:before="0"/>
        <w:rPr>
          <w:rFonts w:ascii="宋体" w:hAnsi="宋体" w:cs="宋体" w:eastAsia="宋体" w:hint="default"/>
          <w:sz w:val="20"/>
          <w:szCs w:val="20"/>
        </w:rPr>
      </w:pPr>
    </w:p>
    <w:p>
      <w:pPr>
        <w:pStyle w:val="Heading2"/>
        <w:spacing w:line="273" w:lineRule="auto" w:before="147"/>
        <w:ind w:left="643" w:right="101" w:hanging="425"/>
        <w:jc w:val="left"/>
        <w:rPr>
          <w:b w:val="0"/>
          <w:bCs w:val="0"/>
        </w:rPr>
      </w:pPr>
      <w:r>
        <w:rPr>
          <w:rFonts w:ascii="宋体" w:hAnsi="宋体" w:cs="宋体" w:eastAsia="宋体" w:hint="default"/>
        </w:rPr>
        <w:t>(4).</w:t>
      </w:r>
      <w:r>
        <w:rPr/>
        <w:t>说明商誉减值测试过程、关键参数（例如预计未来现金流量现值时的预测期增长率、稳定期增</w:t>
      </w:r>
      <w:r>
        <w:rPr>
          <w:spacing w:val="-99"/>
        </w:rPr>
        <w:t> </w:t>
      </w:r>
      <w:r>
        <w:rPr>
          <w:spacing w:val="-99"/>
        </w:rPr>
      </w:r>
      <w:r>
        <w:rPr/>
        <w:t>长率、利润率、折现率、预测期等，如适用）及商誉减值损失的确认方法</w:t>
      </w:r>
      <w:r>
        <w:rPr>
          <w:b w:val="0"/>
          <w:bCs w:val="0"/>
        </w:rPr>
      </w:r>
    </w:p>
    <w:p>
      <w:pPr>
        <w:pStyle w:val="BodyText"/>
        <w:spacing w:line="240" w:lineRule="auto" w:before="67"/>
        <w:ind w:right="258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rFonts w:ascii="宋体" w:hAnsi="宋体" w:cs="宋体" w:eastAsia="宋体" w:hint="default"/>
        </w:rPr>
        <w:t>(5).</w:t>
      </w:r>
      <w:r>
        <w:rPr/>
        <w:t>商誉减值测试的影响</w:t>
      </w:r>
      <w:r>
        <w:rPr>
          <w:b w:val="0"/>
          <w:bCs w:val="0"/>
        </w:rPr>
      </w:r>
    </w:p>
    <w:p>
      <w:pPr>
        <w:pStyle w:val="BodyText"/>
        <w:spacing w:line="273" w:lineRule="auto" w:before="97"/>
        <w:ind w:right="7593"/>
        <w:jc w:val="left"/>
      </w:pPr>
      <w:r>
        <w:rPr/>
        <w:t>□适用 √不适用</w:t>
      </w:r>
      <w:r>
        <w:rPr>
          <w:w w:val="100"/>
        </w:rPr>
        <w:t> </w:t>
      </w:r>
      <w:r>
        <w:rPr/>
        <w:t>其他说明</w:t>
      </w:r>
    </w:p>
    <w:p>
      <w:pPr>
        <w:pStyle w:val="BodyText"/>
        <w:spacing w:line="240" w:lineRule="auto" w:before="7"/>
        <w:ind w:right="2585"/>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43" w:footer="974" w:top="1120" w:bottom="1160" w:left="1200" w:right="1300"/>
        </w:sectPr>
      </w:pPr>
    </w:p>
    <w:p>
      <w:pPr>
        <w:pStyle w:val="Heading2"/>
        <w:spacing w:line="240" w:lineRule="auto"/>
        <w:ind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1991" w:space="4980"/>
            <w:col w:w="243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27"/>
        <w:gridCol w:w="1580"/>
        <w:gridCol w:w="1582"/>
        <w:gridCol w:w="1582"/>
        <w:gridCol w:w="1399"/>
        <w:gridCol w:w="1580"/>
      </w:tblGrid>
      <w:tr>
        <w:trPr>
          <w:trHeight w:val="636"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7" w:right="165" w:hanging="420"/>
              <w:jc w:val="left"/>
              <w:rPr>
                <w:rFonts w:ascii="宋体" w:hAnsi="宋体" w:cs="宋体" w:eastAsia="宋体" w:hint="default"/>
                <w:sz w:val="21"/>
                <w:szCs w:val="21"/>
              </w:rPr>
            </w:pPr>
            <w:r>
              <w:rPr>
                <w:rFonts w:ascii="宋体" w:hAnsi="宋体" w:cs="宋体" w:eastAsia="宋体" w:hint="default"/>
                <w:sz w:val="21"/>
                <w:szCs w:val="21"/>
              </w:rPr>
              <w:t>其他减少金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11,476,385.39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18,109,694.80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7,805,971.02</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21,780,109.17</w:t>
            </w:r>
          </w:p>
        </w:tc>
      </w:tr>
      <w:tr>
        <w:trPr>
          <w:trHeight w:val="32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4,978,777.51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25,406,627.42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4,966,258.88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25,419,146.05</w:t>
            </w:r>
          </w:p>
        </w:tc>
      </w:tr>
      <w:tr>
        <w:trPr>
          <w:trHeight w:val="32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预付租赁费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27,647,657.09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15,711,555.82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15,971,015.29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27,388,197.62</w:t>
            </w:r>
          </w:p>
        </w:tc>
      </w:tr>
      <w:tr>
        <w:trPr>
          <w:trHeight w:val="32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44,102,819.99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59,227,878.04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28,743,245.19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74,587,452.84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200" w:right="1300"/>
        </w:sectPr>
      </w:pPr>
    </w:p>
    <w:p>
      <w:pPr>
        <w:pStyle w:val="Heading2"/>
        <w:spacing w:line="324" w:lineRule="auto"/>
        <w:ind w:right="-17"/>
        <w:jc w:val="left"/>
        <w:rPr>
          <w:b w:val="0"/>
          <w:bCs w:val="0"/>
        </w:rPr>
      </w:pPr>
      <w:r>
        <w:rPr>
          <w:rFonts w:ascii="宋体" w:hAnsi="宋体" w:cs="宋体" w:eastAsia="宋体" w:hint="default"/>
        </w:rPr>
        <w:t>24</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23"/>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3781" w:space="3189"/>
            <w:col w:w="244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324"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2" w:right="98"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279"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8" w:right="276"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108,581,157.67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18,077,199.77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106,840,482.12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 w:right="0"/>
              <w:jc w:val="center"/>
              <w:rPr>
                <w:rFonts w:ascii="宋体" w:hAnsi="宋体" w:cs="宋体" w:eastAsia="宋体" w:hint="default"/>
                <w:sz w:val="21"/>
                <w:szCs w:val="21"/>
              </w:rPr>
            </w:pPr>
            <w:r>
              <w:rPr>
                <w:rFonts w:ascii="宋体"/>
                <w:sz w:val="21"/>
              </w:rPr>
              <w:t>16,546,984.77</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167,298,435.98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39,941,961.83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182,387,347.18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 w:right="0"/>
              <w:jc w:val="center"/>
              <w:rPr>
                <w:rFonts w:ascii="宋体" w:hAnsi="宋体" w:cs="宋体" w:eastAsia="宋体" w:hint="default"/>
                <w:sz w:val="21"/>
                <w:szCs w:val="21"/>
              </w:rPr>
            </w:pPr>
            <w:r>
              <w:rPr>
                <w:rFonts w:ascii="宋体"/>
                <w:sz w:val="21"/>
              </w:rPr>
              <w:t>43,389,939.36</w:t>
            </w:r>
          </w:p>
        </w:tc>
      </w:tr>
      <w:tr>
        <w:trPr>
          <w:trHeight w:val="32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275,879,593.65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58,019,161.60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289,227,829.30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 w:right="0"/>
              <w:jc w:val="center"/>
              <w:rPr>
                <w:rFonts w:ascii="宋体" w:hAnsi="宋体" w:cs="宋体" w:eastAsia="宋体" w:hint="default"/>
                <w:sz w:val="21"/>
                <w:szCs w:val="21"/>
              </w:rPr>
            </w:pPr>
            <w:r>
              <w:rPr>
                <w:rFonts w:ascii="宋体"/>
                <w:sz w:val="21"/>
              </w:rPr>
              <w:t>59,936,924.13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200" w:right="1300"/>
        </w:sectPr>
      </w:pPr>
    </w:p>
    <w:p>
      <w:pPr>
        <w:pStyle w:val="Heading2"/>
        <w:spacing w:line="240" w:lineRule="auto"/>
        <w:ind w:right="-13"/>
        <w:jc w:val="left"/>
        <w:rPr>
          <w:b w:val="0"/>
          <w:bCs w:val="0"/>
        </w:rPr>
      </w:pPr>
      <w:r>
        <w:rPr>
          <w:rFonts w:ascii="宋体" w:hAnsi="宋体" w:cs="宋体" w:eastAsia="宋体" w:hint="default"/>
        </w:rPr>
        <w:t>(2).</w:t>
      </w:r>
      <w:r>
        <w:rPr/>
        <w:t>未经抵销的递延所得税负债</w:t>
      </w:r>
      <w:r>
        <w:rPr>
          <w:b w:val="0"/>
          <w:bCs w:val="0"/>
        </w:rPr>
      </w:r>
    </w:p>
    <w:p>
      <w:pPr>
        <w:spacing w:line="324" w:lineRule="auto" w:before="97"/>
        <w:ind w:left="218" w:right="-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324" w:lineRule="auto" w:before="23"/>
        <w:ind w:left="218" w:right="1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24"/>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4655" w:space="2316"/>
            <w:col w:w="2439"/>
          </w:cols>
        </w:sectPr>
      </w:pP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890"/>
        <w:gridCol w:w="3082"/>
        <w:gridCol w:w="3077"/>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29,048,123.28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19,361,544.07</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168,792,763.57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96,884,081.63</w:t>
            </w: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197,840,886.85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116,245,625.70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643" w:footer="974" w:top="1120" w:bottom="1160" w:left="1200" w:right="1300"/>
        </w:sectPr>
      </w:pPr>
    </w:p>
    <w:p>
      <w:pPr>
        <w:pStyle w:val="Heading2"/>
        <w:spacing w:line="240" w:lineRule="auto"/>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5706" w:space="1207"/>
            <w:col w:w="2497"/>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3,908,890.06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3,908,890.06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31,970,789.75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31,970,789.75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42,566,564.93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42,643,022.41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18,515,496.73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18,361,379.41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71,831,022.10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168,792,763.57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96,884,081.63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585"/>
        <w:jc w:val="left"/>
      </w:pPr>
      <w:r>
        <w:rPr/>
        <w:t>其他说明：</w:t>
      </w:r>
    </w:p>
    <w:p>
      <w:pPr>
        <w:pStyle w:val="BodyText"/>
        <w:spacing w:line="240" w:lineRule="auto" w:before="3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1300"/>
        </w:sectPr>
      </w:pPr>
    </w:p>
    <w:p>
      <w:pPr>
        <w:pStyle w:val="Heading2"/>
        <w:spacing w:line="240" w:lineRule="auto"/>
        <w:ind w:right="-18"/>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202" w:space="4769"/>
            <w:col w:w="243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待抵扣进项税重分类</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684,597,380.68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730,098,801.39</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预付光伏电站建设款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12,246,409.50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107,551,424.22</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预付固定资产</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154,911,252.41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166,018,153.01</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1,603,790.92</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852,065,042.59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1,005,272,169.54</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200" w:right="1300"/>
        </w:sectPr>
      </w:pPr>
    </w:p>
    <w:p>
      <w:pPr>
        <w:pStyle w:val="Heading2"/>
        <w:spacing w:line="324" w:lineRule="auto"/>
        <w:ind w:right="-13"/>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23"/>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1914" w:space="5057"/>
            <w:col w:w="243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32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150,000,000.00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170,000,000.00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246,550,000.00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428,591,913.83</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396,550,000.00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598,591,913.83</w:t>
            </w:r>
          </w:p>
        </w:tc>
      </w:tr>
    </w:tbl>
    <w:p>
      <w:pPr>
        <w:spacing w:after="0" w:line="241" w:lineRule="exact"/>
        <w:jc w:val="right"/>
        <w:rPr>
          <w:rFonts w:ascii="宋体" w:hAnsi="宋体" w:cs="宋体" w:eastAsia="宋体" w:hint="default"/>
          <w:sz w:val="21"/>
          <w:szCs w:val="21"/>
        </w:rPr>
        <w:sectPr>
          <w:type w:val="continuous"/>
          <w:pgSz w:w="11910" w:h="16840"/>
          <w:pgMar w:top="1580" w:bottom="280" w:left="1200" w:right="1300"/>
        </w:sectPr>
      </w:pPr>
    </w:p>
    <w:p>
      <w:pPr>
        <w:spacing w:line="240" w:lineRule="auto" w:before="4"/>
        <w:rPr>
          <w:rFonts w:ascii="宋体" w:hAnsi="宋体" w:cs="宋体" w:eastAsia="宋体" w:hint="default"/>
          <w:sz w:val="20"/>
          <w:szCs w:val="20"/>
        </w:rPr>
      </w:pPr>
    </w:p>
    <w:p>
      <w:pPr>
        <w:pStyle w:val="Heading2"/>
        <w:spacing w:line="240" w:lineRule="auto"/>
        <w:ind w:right="258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73" w:lineRule="auto" w:before="97"/>
        <w:ind w:right="4099"/>
        <w:jc w:val="left"/>
      </w:pPr>
      <w:r>
        <w:rPr/>
        <w:t>□适用</w:t>
      </w:r>
      <w:r>
        <w:rPr>
          <w:spacing w:val="-2"/>
        </w:rPr>
        <w:t> </w:t>
      </w:r>
      <w:r>
        <w:rPr/>
        <w:t>√不适用</w:t>
      </w:r>
      <w:r>
        <w:rPr>
          <w:spacing w:val="-103"/>
        </w:rPr>
        <w:t> </w:t>
      </w:r>
      <w:r>
        <w:rPr>
          <w:spacing w:val="-103"/>
        </w:rPr>
      </w:r>
      <w:r>
        <w:rPr>
          <w:spacing w:val="-2"/>
        </w:rPr>
        <w:t>其中重要的已逾期未偿还的短期借款情况如下：</w:t>
      </w:r>
    </w:p>
    <w:p>
      <w:pPr>
        <w:pStyle w:val="BodyText"/>
        <w:spacing w:line="273" w:lineRule="auto" w:before="7"/>
        <w:ind w:right="7593"/>
        <w:jc w:val="left"/>
      </w:pPr>
      <w:r>
        <w:rPr/>
        <w:t>□适用 √不适用</w:t>
      </w:r>
      <w:r>
        <w:rPr>
          <w:w w:val="100"/>
        </w:rPr>
        <w:t> </w:t>
      </w:r>
      <w:r>
        <w:rPr/>
        <w:t>其他说明</w:t>
      </w:r>
    </w:p>
    <w:p>
      <w:pPr>
        <w:pStyle w:val="BodyText"/>
        <w:spacing w:line="240" w:lineRule="auto" w:before="7"/>
        <w:ind w:right="258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97"/>
        <w:ind w:right="2585"/>
        <w:jc w:val="left"/>
      </w:pPr>
      <w:r>
        <w:rPr/>
        <w:t>□适用 √不适用</w:t>
      </w:r>
    </w:p>
    <w:p>
      <w:pPr>
        <w:spacing w:line="240" w:lineRule="auto" w:before="3"/>
        <w:rPr>
          <w:rFonts w:ascii="宋体" w:hAnsi="宋体" w:cs="宋体" w:eastAsia="宋体" w:hint="default"/>
          <w:sz w:val="28"/>
          <w:szCs w:val="28"/>
        </w:rPr>
      </w:pPr>
    </w:p>
    <w:p>
      <w:pPr>
        <w:pStyle w:val="Heading2"/>
        <w:spacing w:line="240" w:lineRule="auto" w:before="0"/>
        <w:ind w:right="258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9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1200" w:right="1300"/>
        </w:sectPr>
      </w:pPr>
    </w:p>
    <w:p>
      <w:pPr>
        <w:pStyle w:val="Heading2"/>
        <w:spacing w:line="324" w:lineRule="auto"/>
        <w:ind w:right="-18"/>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2"/>
        <w:spacing w:line="240" w:lineRule="auto" w:before="23"/>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pPr>
      <w:r>
        <w:rPr/>
        <w:t>单位：元币种：人民币</w:t>
      </w:r>
    </w:p>
    <w:p>
      <w:pPr>
        <w:spacing w:after="0" w:line="240" w:lineRule="auto"/>
        <w:jc w:val="left"/>
        <w:sectPr>
          <w:type w:val="continuous"/>
          <w:pgSz w:w="11910" w:h="16840"/>
          <w:pgMar w:top="1580" w:bottom="280" w:left="1200" w:right="1300"/>
          <w:cols w:num="2" w:equalWidth="0">
            <w:col w:w="2624" w:space="4346"/>
            <w:col w:w="244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08"/>
        <w:gridCol w:w="2864"/>
        <w:gridCol w:w="2878"/>
      </w:tblGrid>
      <w:tr>
        <w:trPr>
          <w:trHeight w:val="32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595,703,446.86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721,890,677.01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1,016,102,249.83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1,251,162,016.70</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1,611,805,696.69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1,973,052,693.71</w:t>
            </w:r>
          </w:p>
        </w:tc>
      </w:tr>
    </w:tbl>
    <w:p>
      <w:pPr>
        <w:pStyle w:val="BodyText"/>
        <w:spacing w:line="262" w:lineRule="exact"/>
        <w:ind w:right="2585"/>
        <w:jc w:val="left"/>
      </w:pPr>
      <w:r>
        <w:rPr/>
        <w:t>其他说明：</w:t>
      </w:r>
    </w:p>
    <w:p>
      <w:pPr>
        <w:pStyle w:val="BodyText"/>
        <w:spacing w:line="240" w:lineRule="auto" w:before="3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1300"/>
        </w:sectPr>
      </w:pPr>
    </w:p>
    <w:p>
      <w:pPr>
        <w:pStyle w:val="Heading2"/>
        <w:spacing w:line="240" w:lineRule="auto"/>
        <w:ind w:right="-17"/>
        <w:jc w:val="left"/>
        <w:rPr>
          <w:b w:val="0"/>
          <w:bCs w:val="0"/>
        </w:rPr>
      </w:pPr>
      <w:r>
        <w:rPr/>
        <w:t>应付票据</w:t>
      </w:r>
      <w:r>
        <w:rPr>
          <w:b w:val="0"/>
          <w:bCs w:val="0"/>
        </w:rPr>
      </w:r>
    </w:p>
    <w:p>
      <w:pPr>
        <w:pStyle w:val="Heading2"/>
        <w:tabs>
          <w:tab w:pos="1058" w:val="left" w:leader="none"/>
        </w:tabs>
        <w:spacing w:line="240" w:lineRule="auto" w:before="97"/>
        <w:ind w:right="-17"/>
        <w:jc w:val="left"/>
        <w:rPr>
          <w:b w:val="0"/>
          <w:bCs w:val="0"/>
        </w:rPr>
      </w:pPr>
      <w:r>
        <w:rPr>
          <w:rFonts w:ascii="宋体" w:hAnsi="宋体" w:cs="宋体" w:eastAsia="宋体" w:hint="default"/>
          <w:w w:val="95"/>
        </w:rPr>
        <w:t>(1).</w:t>
        <w:tab/>
      </w:r>
      <w:r>
        <w:rPr/>
        <w:t>应付票据列示</w:t>
      </w:r>
      <w:r>
        <w:rPr>
          <w:b w:val="0"/>
          <w:bCs w:val="0"/>
        </w:rPr>
      </w:r>
    </w:p>
    <w:p>
      <w:pPr>
        <w:pStyle w:val="BodyText"/>
        <w:spacing w:line="240" w:lineRule="auto" w:before="97"/>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327" w:space="4644"/>
            <w:col w:w="2439"/>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352"/>
        <w:gridCol w:w="3402"/>
        <w:gridCol w:w="3308"/>
      </w:tblGrid>
      <w:tr>
        <w:trPr>
          <w:trHeight w:val="28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5"/>
              <w:jc w:val="right"/>
              <w:rPr>
                <w:rFonts w:ascii="宋体" w:hAnsi="宋体" w:cs="宋体" w:eastAsia="宋体" w:hint="default"/>
                <w:sz w:val="21"/>
                <w:szCs w:val="21"/>
              </w:rPr>
            </w:pPr>
            <w:r>
              <w:rPr>
                <w:rFonts w:ascii="宋体"/>
                <w:spacing w:val="-1"/>
                <w:sz w:val="21"/>
              </w:rPr>
              <w:t>595,703,446.86</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721,890,677.01</w:t>
            </w:r>
          </w:p>
        </w:tc>
      </w:tr>
      <w:tr>
        <w:trPr>
          <w:trHeight w:val="32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595,703,446.86</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721,890,677.01</w:t>
            </w:r>
          </w:p>
        </w:tc>
      </w:tr>
    </w:tbl>
    <w:p>
      <w:pPr>
        <w:pStyle w:val="BodyText"/>
        <w:spacing w:line="241" w:lineRule="exact"/>
        <w:ind w:right="2585"/>
        <w:jc w:val="left"/>
      </w:pPr>
      <w:r>
        <w:rPr/>
        <w:t>本期末已到期未支付的应付票据总额为</w:t>
      </w:r>
      <w:r>
        <w:rPr>
          <w:spacing w:val="-52"/>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200" w:right="1300"/>
        </w:sectPr>
      </w:pPr>
    </w:p>
    <w:p>
      <w:pPr>
        <w:pStyle w:val="Heading2"/>
        <w:spacing w:line="240" w:lineRule="auto"/>
        <w:ind w:right="-17"/>
        <w:jc w:val="left"/>
        <w:rPr>
          <w:b w:val="0"/>
          <w:bCs w:val="0"/>
        </w:rPr>
      </w:pPr>
      <w:r>
        <w:rPr/>
        <w:t>应付账款</w:t>
      </w:r>
      <w:r>
        <w:rPr>
          <w:b w:val="0"/>
          <w:bCs w:val="0"/>
        </w:rPr>
      </w:r>
    </w:p>
    <w:p>
      <w:pPr>
        <w:pStyle w:val="Heading2"/>
        <w:tabs>
          <w:tab w:pos="1058" w:val="left" w:leader="none"/>
        </w:tabs>
        <w:spacing w:line="240" w:lineRule="auto" w:before="97"/>
        <w:ind w:right="-17"/>
        <w:jc w:val="left"/>
        <w:rPr>
          <w:b w:val="0"/>
          <w:bCs w:val="0"/>
        </w:rPr>
      </w:pPr>
      <w:r>
        <w:rPr>
          <w:rFonts w:ascii="宋体" w:hAnsi="宋体" w:cs="宋体" w:eastAsia="宋体" w:hint="default"/>
          <w:w w:val="95"/>
        </w:rPr>
        <w:t>(1).</w:t>
        <w:tab/>
      </w:r>
      <w:r>
        <w:rPr/>
        <w:t>应付账款列示</w:t>
      </w:r>
      <w:r>
        <w:rPr>
          <w:b w:val="0"/>
          <w:bCs w:val="0"/>
        </w:rPr>
      </w:r>
    </w:p>
    <w:p>
      <w:pPr>
        <w:pStyle w:val="BodyText"/>
        <w:spacing w:line="240" w:lineRule="auto" w:before="97"/>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327" w:space="4644"/>
            <w:col w:w="243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42"/>
        <w:gridCol w:w="2866"/>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83" w:right="0"/>
              <w:jc w:val="left"/>
              <w:rPr>
                <w:rFonts w:ascii="宋体" w:hAnsi="宋体" w:cs="宋体" w:eastAsia="宋体" w:hint="default"/>
                <w:sz w:val="21"/>
                <w:szCs w:val="21"/>
              </w:rPr>
            </w:pPr>
            <w:r>
              <w:rPr>
                <w:rFonts w:ascii="宋体"/>
                <w:sz w:val="21"/>
              </w:rPr>
              <w:t>617,387,482.72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6" w:right="0"/>
              <w:jc w:val="left"/>
              <w:rPr>
                <w:rFonts w:ascii="宋体" w:hAnsi="宋体" w:cs="宋体" w:eastAsia="宋体" w:hint="default"/>
                <w:sz w:val="21"/>
                <w:szCs w:val="21"/>
              </w:rPr>
            </w:pPr>
            <w:r>
              <w:rPr>
                <w:rFonts w:ascii="宋体"/>
                <w:sz w:val="21"/>
              </w:rPr>
              <w:t>571,397,907.45</w:t>
            </w:r>
          </w:p>
        </w:tc>
      </w:tr>
    </w:tbl>
    <w:p>
      <w:pPr>
        <w:spacing w:after="0" w:line="262" w:lineRule="exact"/>
        <w:jc w:val="left"/>
        <w:rPr>
          <w:rFonts w:ascii="宋体" w:hAnsi="宋体" w:cs="宋体" w:eastAsia="宋体" w:hint="default"/>
          <w:sz w:val="21"/>
          <w:szCs w:val="21"/>
        </w:rPr>
        <w:sectPr>
          <w:type w:val="continuous"/>
          <w:pgSz w:w="11910" w:h="16840"/>
          <w:pgMar w:top="1580" w:bottom="280" w:left="1200" w:right="1300"/>
        </w:sectPr>
      </w:pPr>
    </w:p>
    <w:p>
      <w:pPr>
        <w:spacing w:line="240" w:lineRule="auto" w:before="0"/>
        <w:rPr>
          <w:rFonts w:ascii="宋体" w:hAnsi="宋体" w:cs="宋体" w:eastAsia="宋体" w:hint="default"/>
          <w:sz w:val="24"/>
          <w:szCs w:val="24"/>
        </w:rPr>
      </w:pPr>
    </w:p>
    <w:tbl>
      <w:tblPr>
        <w:tblW w:w="0" w:type="auto"/>
        <w:jc w:val="left"/>
        <w:tblInd w:w="426" w:type="dxa"/>
        <w:tblLayout w:type="fixed"/>
        <w:tblCellMar>
          <w:top w:w="0" w:type="dxa"/>
          <w:left w:w="0" w:type="dxa"/>
          <w:bottom w:w="0" w:type="dxa"/>
          <w:right w:w="0" w:type="dxa"/>
        </w:tblCellMar>
        <w:tblLook w:val="01E0"/>
      </w:tblPr>
      <w:tblGrid>
        <w:gridCol w:w="2842"/>
        <w:gridCol w:w="2866"/>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应付固定资产款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386,335,218.01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614,769,109.83</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12,379,549.10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64,994,999.42</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1,016,102,249.83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1,251,162,016.70</w:t>
            </w:r>
          </w:p>
        </w:tc>
      </w:tr>
    </w:tbl>
    <w:p>
      <w:pPr>
        <w:spacing w:line="240" w:lineRule="auto" w:before="9"/>
        <w:rPr>
          <w:rFonts w:ascii="宋体" w:hAnsi="宋体" w:cs="宋体" w:eastAsia="宋体" w:hint="default"/>
          <w:sz w:val="24"/>
          <w:szCs w:val="24"/>
        </w:rPr>
      </w:pPr>
    </w:p>
    <w:p>
      <w:pPr>
        <w:pStyle w:val="Heading2"/>
        <w:spacing w:line="240" w:lineRule="auto"/>
        <w:ind w:left="538" w:right="0"/>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3" w:lineRule="auto" w:before="97"/>
        <w:ind w:left="538" w:right="8033"/>
        <w:jc w:val="left"/>
      </w:pPr>
      <w:r>
        <w:rPr/>
        <w:t>□适用 √不适用</w:t>
      </w:r>
      <w:r>
        <w:rPr>
          <w:w w:val="100"/>
        </w:rPr>
        <w:t> </w:t>
      </w:r>
      <w:r>
        <w:rPr/>
        <w:t>其他说明</w:t>
      </w:r>
    </w:p>
    <w:p>
      <w:pPr>
        <w:pStyle w:val="BodyText"/>
        <w:spacing w:line="240" w:lineRule="auto" w:before="7"/>
        <w:ind w:left="538"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43" w:footer="974" w:top="1120" w:bottom="1160" w:left="880" w:right="860"/>
        </w:sectPr>
      </w:pPr>
    </w:p>
    <w:p>
      <w:pPr>
        <w:pStyle w:val="Heading2"/>
        <w:spacing w:line="240" w:lineRule="auto"/>
        <w:ind w:left="538" w:right="-18"/>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2"/>
        <w:spacing w:line="240" w:lineRule="auto" w:before="97"/>
        <w:ind w:left="538" w:right="-18"/>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97"/>
        <w:ind w:left="5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580" w:bottom="280" w:left="880" w:right="860"/>
          <w:cols w:num="2" w:equalWidth="0">
            <w:col w:w="2546" w:space="4425"/>
            <w:col w:w="3199"/>
          </w:cols>
        </w:sectPr>
      </w:pPr>
    </w:p>
    <w:p>
      <w:pPr>
        <w:spacing w:line="240" w:lineRule="auto" w:before="10"/>
        <w:rPr>
          <w:rFonts w:ascii="宋体" w:hAnsi="宋体" w:cs="宋体" w:eastAsia="宋体" w:hint="default"/>
          <w:sz w:val="3"/>
          <w:szCs w:val="3"/>
        </w:rPr>
      </w:pPr>
    </w:p>
    <w:tbl>
      <w:tblPr>
        <w:tblW w:w="0" w:type="auto"/>
        <w:jc w:val="left"/>
        <w:tblInd w:w="426"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14,625,634.40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28,125,759.30</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14,625,634.40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28,125,759.30</w:t>
            </w:r>
          </w:p>
        </w:tc>
      </w:tr>
    </w:tbl>
    <w:p>
      <w:pPr>
        <w:spacing w:line="240" w:lineRule="auto" w:before="9"/>
        <w:rPr>
          <w:rFonts w:ascii="宋体" w:hAnsi="宋体" w:cs="宋体" w:eastAsia="宋体" w:hint="default"/>
          <w:sz w:val="24"/>
          <w:szCs w:val="24"/>
        </w:rPr>
      </w:pPr>
    </w:p>
    <w:p>
      <w:pPr>
        <w:pStyle w:val="Heading2"/>
        <w:spacing w:line="240" w:lineRule="auto"/>
        <w:ind w:left="538"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97"/>
        <w:ind w:left="53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538" w:right="0"/>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3" w:lineRule="auto" w:before="97"/>
        <w:ind w:left="538" w:right="8033"/>
        <w:jc w:val="left"/>
      </w:pPr>
      <w:r>
        <w:rPr/>
        <w:t>□适用 √不适用</w:t>
      </w:r>
      <w:r>
        <w:rPr>
          <w:w w:val="100"/>
        </w:rPr>
        <w:t> </w:t>
      </w:r>
      <w:r>
        <w:rPr/>
        <w:t>其他说明</w:t>
      </w:r>
    </w:p>
    <w:p>
      <w:pPr>
        <w:pStyle w:val="BodyText"/>
        <w:spacing w:line="240" w:lineRule="auto" w:before="7"/>
        <w:ind w:left="53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880" w:right="860"/>
        </w:sectPr>
      </w:pPr>
    </w:p>
    <w:p>
      <w:pPr>
        <w:pStyle w:val="Heading2"/>
        <w:spacing w:line="324" w:lineRule="auto"/>
        <w:ind w:left="538" w:right="-15"/>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left="53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580" w:bottom="280" w:left="880" w:right="860"/>
          <w:cols w:num="2" w:equalWidth="0">
            <w:col w:w="2654" w:space="4317"/>
            <w:col w:w="319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22"/>
        <w:gridCol w:w="1610"/>
        <w:gridCol w:w="1851"/>
        <w:gridCol w:w="1841"/>
        <w:gridCol w:w="1702"/>
      </w:tblGrid>
      <w:tr>
        <w:trPr>
          <w:trHeight w:val="322"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95,180,821.24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443,344,234.19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439,544,870.86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98,980,184.57</w:t>
            </w:r>
          </w:p>
        </w:tc>
      </w:tr>
      <w:tr>
        <w:trPr>
          <w:trHeight w:val="634"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宋体" w:hAnsi="宋体" w:cs="宋体" w:eastAsia="宋体" w:hint="default"/>
                <w:spacing w:val="-2"/>
                <w:sz w:val="21"/>
                <w:szCs w:val="21"/>
              </w:rPr>
              <w:t>-</w:t>
            </w:r>
            <w:r>
              <w:rPr>
                <w:rFonts w:ascii="宋体" w:hAnsi="宋体" w:cs="宋体" w:eastAsia="宋体" w:hint="default"/>
                <w:spacing w:val="-2"/>
                <w:sz w:val="21"/>
                <w:szCs w:val="21"/>
              </w:rPr>
              <w:t>设定提存计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划</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211,237.64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31,455,229.21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31,259,619.44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406,847.41</w:t>
            </w:r>
          </w:p>
        </w:tc>
      </w:tr>
      <w:tr>
        <w:trPr>
          <w:trHeight w:val="322"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1,738,433.26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1,738,433.26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95,392,058.88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476,537,896.66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472,542,923.56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99,387,031.98</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880" w:right="860"/>
        </w:sectPr>
      </w:pPr>
    </w:p>
    <w:p>
      <w:pPr>
        <w:pStyle w:val="Heading2"/>
        <w:spacing w:line="240" w:lineRule="auto"/>
        <w:ind w:left="53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left="53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38"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880" w:right="860"/>
          <w:cols w:num="2" w:equalWidth="0">
            <w:col w:w="2231" w:space="4845"/>
            <w:col w:w="3094"/>
          </w:cols>
        </w:sectPr>
      </w:pPr>
    </w:p>
    <w:p>
      <w:pPr>
        <w:spacing w:line="240" w:lineRule="auto" w:before="10"/>
        <w:rPr>
          <w:rFonts w:ascii="宋体" w:hAnsi="宋体" w:cs="宋体" w:eastAsia="宋体" w:hint="default"/>
          <w:sz w:val="3"/>
          <w:szCs w:val="3"/>
        </w:rPr>
      </w:pPr>
    </w:p>
    <w:tbl>
      <w:tblPr>
        <w:tblW w:w="0" w:type="auto"/>
        <w:jc w:val="left"/>
        <w:tblInd w:w="426" w:type="dxa"/>
        <w:tblLayout w:type="fixed"/>
        <w:tblCellMar>
          <w:top w:w="0" w:type="dxa"/>
          <w:left w:w="0" w:type="dxa"/>
          <w:bottom w:w="0" w:type="dxa"/>
          <w:right w:w="0" w:type="dxa"/>
        </w:tblCellMar>
        <w:tblLook w:val="01E0"/>
      </w:tblPr>
      <w:tblGrid>
        <w:gridCol w:w="2617"/>
        <w:gridCol w:w="1613"/>
        <w:gridCol w:w="1836"/>
        <w:gridCol w:w="1841"/>
        <w:gridCol w:w="1702"/>
      </w:tblGrid>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62" w:lineRule="exact"/>
        <w:jc w:val="left"/>
        <w:rPr>
          <w:rFonts w:ascii="宋体" w:hAnsi="宋体" w:cs="宋体" w:eastAsia="宋体" w:hint="default"/>
          <w:sz w:val="21"/>
          <w:szCs w:val="21"/>
        </w:rPr>
        <w:sectPr>
          <w:type w:val="continuous"/>
          <w:pgSz w:w="11910" w:h="16840"/>
          <w:pgMar w:top="1580" w:bottom="280" w:left="880" w:right="860"/>
        </w:sectPr>
      </w:pP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617"/>
        <w:gridCol w:w="1613"/>
        <w:gridCol w:w="1836"/>
        <w:gridCol w:w="1841"/>
        <w:gridCol w:w="1702"/>
      </w:tblGrid>
      <w:tr>
        <w:trPr>
          <w:trHeight w:val="63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pacing w:val="-2"/>
                <w:sz w:val="21"/>
                <w:szCs w:val="21"/>
              </w:rPr>
              <w:t>一、工资、奖金、津贴和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94,085,437.38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396,246,934.77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392,926,429.41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97,405,942.74</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17,997,783.85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17,994,843.17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2,940.68</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137,682.03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15,760,411.56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15,665,665.08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232,428.51</w:t>
            </w:r>
          </w:p>
        </w:tc>
      </w:tr>
      <w:tr>
        <w:trPr>
          <w:trHeight w:val="32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117,383.18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12,968,785.43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12,882,694.67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203,473.94</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11,350.71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1,571,182.19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1,573,635.48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8,897.42</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8,948.14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1,220,443.94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1,209,334.93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20,057.15</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72,350.00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10,619,856.82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10,524,068.82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168,138.00</w:t>
            </w:r>
          </w:p>
        </w:tc>
      </w:tr>
      <w:tr>
        <w:trPr>
          <w:trHeight w:val="63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pacing w:val="-2"/>
                <w:sz w:val="21"/>
                <w:szCs w:val="21"/>
              </w:rPr>
              <w:t>五、工会经费和职工教育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885,351.83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2,719,247.19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2,433,864.38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1,170,734.64</w:t>
            </w: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95,180,821.24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443,344,234.19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439,544,870.86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98,980,184.57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643" w:footer="974" w:top="1120" w:bottom="1160" w:left="1200" w:right="860"/>
        </w:sectPr>
      </w:pPr>
    </w:p>
    <w:p>
      <w:pPr>
        <w:pStyle w:val="Heading2"/>
        <w:spacing w:line="240" w:lineRule="auto"/>
        <w:ind w:right="-15"/>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860"/>
          <w:cols w:num="2" w:equalWidth="0">
            <w:col w:w="2334" w:space="4637"/>
            <w:col w:w="287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88"/>
        <w:gridCol w:w="1622"/>
        <w:gridCol w:w="1608"/>
        <w:gridCol w:w="1639"/>
        <w:gridCol w:w="1592"/>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208,922.84</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30,637,460.20</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30,450,486.35</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395,896.69</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2,314.80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817,769.01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809,133.09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10,950.72</w:t>
            </w:r>
          </w:p>
        </w:tc>
      </w:tr>
      <w:tr>
        <w:trPr>
          <w:trHeight w:val="32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211,237.64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31,455,229.21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31,259,619.44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406,847.41</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其他说明：</w:t>
      </w:r>
    </w:p>
    <w:p>
      <w:pPr>
        <w:pStyle w:val="BodyText"/>
        <w:spacing w:line="240" w:lineRule="auto" w:before="37"/>
        <w:ind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860"/>
        </w:sectPr>
      </w:pPr>
    </w:p>
    <w:p>
      <w:pPr>
        <w:pStyle w:val="Heading2"/>
        <w:spacing w:line="240" w:lineRule="auto"/>
        <w:ind w:right="96"/>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860"/>
          <w:cols w:num="2" w:equalWidth="0">
            <w:col w:w="1796" w:space="5174"/>
            <w:col w:w="2880"/>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56,383,356.79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42,849,744.54</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6,999,676.52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23,915,574.48</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641,967.81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1,004,788.72</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3,611,546.30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1,647,555.66</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2,579,675.92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1,146,983.06</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72,712.30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347,182.33</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1,167,225.91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1,128,615.38</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696,251.20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691,622.57</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1,568.10</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-59,408.15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26,355.65</w:t>
            </w:r>
          </w:p>
        </w:tc>
      </w:tr>
    </w:tbl>
    <w:p>
      <w:pPr>
        <w:spacing w:after="0" w:line="265" w:lineRule="exact"/>
        <w:jc w:val="right"/>
        <w:rPr>
          <w:rFonts w:ascii="宋体" w:hAnsi="宋体" w:cs="宋体" w:eastAsia="宋体" w:hint="default"/>
          <w:sz w:val="21"/>
          <w:szCs w:val="21"/>
        </w:rPr>
        <w:sectPr>
          <w:type w:val="continuous"/>
          <w:pgSz w:w="11910" w:h="16840"/>
          <w:pgMar w:top="1580" w:bottom="280" w:left="1200" w:right="860"/>
        </w:sectPr>
      </w:pPr>
    </w:p>
    <w:p>
      <w:pPr>
        <w:spacing w:line="240" w:lineRule="auto" w:before="0"/>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78" w:right="0"/>
              <w:jc w:val="left"/>
              <w:rPr>
                <w:rFonts w:ascii="宋体" w:hAnsi="宋体" w:cs="宋体" w:eastAsia="宋体" w:hint="default"/>
                <w:sz w:val="21"/>
                <w:szCs w:val="21"/>
              </w:rPr>
            </w:pPr>
            <w:r>
              <w:rPr>
                <w:rFonts w:ascii="宋体"/>
                <w:sz w:val="21"/>
              </w:rPr>
              <w:t>72,093,004.60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58" w:right="0"/>
              <w:jc w:val="left"/>
              <w:rPr>
                <w:rFonts w:ascii="宋体" w:hAnsi="宋体" w:cs="宋体" w:eastAsia="宋体" w:hint="default"/>
                <w:sz w:val="21"/>
                <w:szCs w:val="21"/>
              </w:rPr>
            </w:pPr>
            <w:r>
              <w:rPr>
                <w:rFonts w:ascii="宋体"/>
                <w:sz w:val="21"/>
              </w:rPr>
              <w:t>72,759,990.49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643" w:footer="974" w:top="1120" w:bottom="1160" w:left="1200" w:right="1300"/>
        </w:sectPr>
      </w:pPr>
    </w:p>
    <w:p>
      <w:pPr>
        <w:pStyle w:val="Heading2"/>
        <w:spacing w:line="324" w:lineRule="auto"/>
        <w:ind w:right="-1"/>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pPr>
      <w:r>
        <w:rPr/>
        <w:t>单位：元币种：人民币</w:t>
      </w:r>
    </w:p>
    <w:p>
      <w:pPr>
        <w:spacing w:after="0" w:line="240" w:lineRule="auto"/>
        <w:jc w:val="left"/>
        <w:sectPr>
          <w:type w:val="continuous"/>
          <w:pgSz w:w="11910" w:h="16840"/>
          <w:pgMar w:top="1580" w:bottom="280" w:left="1200" w:right="1300"/>
          <w:cols w:num="2" w:equalWidth="0">
            <w:col w:w="1796" w:space="5174"/>
            <w:col w:w="244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6,310,911.70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4,446,599.88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3,343,734.20</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108,189,503.63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144,736,012.40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115,500,415.33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152,526,346.48</w:t>
            </w:r>
          </w:p>
        </w:tc>
      </w:tr>
    </w:tbl>
    <w:p>
      <w:pPr>
        <w:pStyle w:val="BodyText"/>
        <w:spacing w:line="262" w:lineRule="exact"/>
        <w:ind w:right="2585"/>
        <w:jc w:val="left"/>
      </w:pPr>
      <w:r>
        <w:rPr/>
        <w:t>其他说明：</w:t>
      </w:r>
    </w:p>
    <w:p>
      <w:pPr>
        <w:pStyle w:val="BodyText"/>
        <w:spacing w:line="240" w:lineRule="auto" w:before="3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1300"/>
        </w:sectPr>
      </w:pPr>
    </w:p>
    <w:p>
      <w:pPr>
        <w:pStyle w:val="Heading2"/>
        <w:spacing w:line="324" w:lineRule="auto"/>
        <w:ind w:right="291"/>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23"/>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1796" w:space="5174"/>
            <w:col w:w="244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1"/>
              <w:jc w:val="right"/>
              <w:rPr>
                <w:rFonts w:ascii="宋体" w:hAnsi="宋体" w:cs="宋体" w:eastAsia="宋体" w:hint="default"/>
                <w:sz w:val="21"/>
                <w:szCs w:val="21"/>
              </w:rPr>
            </w:pPr>
            <w:r>
              <w:rPr>
                <w:rFonts w:ascii="宋体"/>
                <w:spacing w:val="-1"/>
                <w:sz w:val="21"/>
              </w:rPr>
              <w:t>2,414,414.73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82,198.03</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1"/>
              <w:jc w:val="right"/>
              <w:rPr>
                <w:rFonts w:ascii="宋体" w:hAnsi="宋体" w:cs="宋体" w:eastAsia="宋体" w:hint="default"/>
                <w:sz w:val="21"/>
                <w:szCs w:val="21"/>
              </w:rPr>
            </w:pPr>
            <w:r>
              <w:rPr>
                <w:rFonts w:ascii="宋体"/>
                <w:spacing w:val="-1"/>
                <w:sz w:val="21"/>
              </w:rPr>
              <w:t>2,747,465.02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1,479,452.05</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1"/>
              <w:jc w:val="right"/>
              <w:rPr>
                <w:rFonts w:ascii="宋体" w:hAnsi="宋体" w:cs="宋体" w:eastAsia="宋体" w:hint="default"/>
                <w:sz w:val="21"/>
                <w:szCs w:val="21"/>
              </w:rPr>
            </w:pPr>
            <w:r>
              <w:rPr>
                <w:rFonts w:ascii="宋体"/>
                <w:spacing w:val="-1"/>
                <w:sz w:val="21"/>
              </w:rPr>
              <w:t>1,149,031.95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2,884,949.80</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6,310,911.70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4,446,599.88</w:t>
            </w:r>
          </w:p>
        </w:tc>
      </w:tr>
    </w:tbl>
    <w:p>
      <w:pPr>
        <w:pStyle w:val="BodyText"/>
        <w:spacing w:line="262" w:lineRule="exact"/>
        <w:ind w:right="2585"/>
        <w:jc w:val="left"/>
      </w:pPr>
      <w:r>
        <w:rPr/>
        <w:t>重要的已逾期未支付的利息情况：</w:t>
      </w:r>
    </w:p>
    <w:p>
      <w:pPr>
        <w:pStyle w:val="BodyText"/>
        <w:spacing w:line="324" w:lineRule="auto" w:before="37"/>
        <w:ind w:right="7593"/>
        <w:jc w:val="left"/>
      </w:pPr>
      <w:r>
        <w:rPr/>
        <w:t>□适用 √不适用</w:t>
      </w:r>
      <w:r>
        <w:rPr>
          <w:w w:val="100"/>
        </w:rPr>
        <w:t> </w:t>
      </w:r>
      <w:r>
        <w:rPr/>
        <w:t>其他说明：</w:t>
      </w:r>
    </w:p>
    <w:p>
      <w:pPr>
        <w:pStyle w:val="BodyText"/>
        <w:spacing w:line="240" w:lineRule="auto" w:before="23"/>
        <w:ind w:right="2585"/>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00" w:right="1300"/>
        </w:sectPr>
      </w:pPr>
    </w:p>
    <w:p>
      <w:pPr>
        <w:spacing w:line="240" w:lineRule="auto" w:before="12"/>
        <w:rPr>
          <w:rFonts w:ascii="宋体" w:hAnsi="宋体" w:cs="宋体" w:eastAsia="宋体" w:hint="default"/>
          <w:sz w:val="15"/>
          <w:szCs w:val="15"/>
        </w:rPr>
      </w:pPr>
    </w:p>
    <w:p>
      <w:pPr>
        <w:pStyle w:val="Heading2"/>
        <w:spacing w:line="324" w:lineRule="auto" w:before="0"/>
        <w:ind w:right="291"/>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23"/>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1796" w:space="5174"/>
            <w:col w:w="2440"/>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4"/>
              <w:jc w:val="left"/>
              <w:rPr>
                <w:rFonts w:ascii="宋体" w:hAnsi="宋体" w:cs="宋体" w:eastAsia="宋体" w:hint="default"/>
                <w:sz w:val="21"/>
                <w:szCs w:val="21"/>
              </w:rPr>
            </w:pPr>
            <w:r>
              <w:rPr>
                <w:rFonts w:ascii="宋体" w:hAnsi="宋体" w:cs="宋体" w:eastAsia="宋体" w:hint="default"/>
                <w:spacing w:val="-2"/>
                <w:sz w:val="21"/>
                <w:szCs w:val="21"/>
              </w:rPr>
              <w:t>划分为权益工具的优先股</w:t>
            </w:r>
            <w:r>
              <w:rPr>
                <w:rFonts w:ascii="宋体" w:hAnsi="宋体" w:cs="宋体" w:eastAsia="宋体" w:hint="default"/>
                <w:spacing w:val="-2"/>
                <w:sz w:val="21"/>
                <w:szCs w:val="21"/>
              </w:rPr>
              <w:t>\</w:t>
            </w:r>
            <w:r>
              <w:rPr>
                <w:rFonts w:ascii="宋体" w:hAnsi="宋体" w:cs="宋体" w:eastAsia="宋体" w:hint="default"/>
                <w:spacing w:val="-2"/>
                <w:sz w:val="21"/>
                <w:szCs w:val="21"/>
              </w:rPr>
              <w:t>永</w:t>
            </w:r>
            <w:r>
              <w:rPr>
                <w:rFonts w:ascii="宋体" w:hAnsi="宋体" w:cs="宋体" w:eastAsia="宋体" w:hint="default"/>
                <w:spacing w:val="-81"/>
                <w:sz w:val="21"/>
                <w:szCs w:val="21"/>
              </w:rPr>
              <w:t> </w:t>
            </w: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00" w:right="1300"/>
        </w:sectPr>
      </w:pPr>
    </w:p>
    <w:p>
      <w:pPr>
        <w:spacing w:line="240" w:lineRule="auto" w:before="0"/>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应付少数股东股利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3,343,734.20</w:t>
            </w:r>
          </w:p>
        </w:tc>
      </w:tr>
      <w:tr>
        <w:trPr>
          <w:trHeight w:val="32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3,343,734.20</w:t>
            </w:r>
          </w:p>
        </w:tc>
      </w:tr>
    </w:tbl>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43" w:footer="974" w:top="1120" w:bottom="1160" w:left="1200" w:right="1300"/>
        </w:sectPr>
      </w:pPr>
    </w:p>
    <w:p>
      <w:pPr>
        <w:pStyle w:val="Heading2"/>
        <w:spacing w:line="240" w:lineRule="auto"/>
        <w:ind w:right="-17"/>
        <w:jc w:val="left"/>
        <w:rPr>
          <w:b w:val="0"/>
          <w:bCs w:val="0"/>
        </w:rPr>
      </w:pPr>
      <w:r>
        <w:rPr/>
        <w:t>其他应付款</w:t>
      </w:r>
      <w:r>
        <w:rPr>
          <w:b w:val="0"/>
          <w:bCs w:val="0"/>
        </w:rPr>
      </w:r>
    </w:p>
    <w:p>
      <w:pPr>
        <w:pStyle w:val="Heading2"/>
        <w:spacing w:line="240" w:lineRule="auto" w:before="97"/>
        <w:ind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97"/>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3277" w:space="3693"/>
            <w:col w:w="244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18,357,745.33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34,782,295.30</w:t>
            </w:r>
          </w:p>
        </w:tc>
      </w:tr>
      <w:tr>
        <w:trPr>
          <w:trHeight w:val="32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15,930,898.30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12,933,717.10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应付股权激励款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73,900,860.00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97,020,000.00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108,189,503.63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144,736,012.40</w:t>
            </w:r>
          </w:p>
        </w:tc>
      </w:tr>
    </w:tbl>
    <w:p>
      <w:pPr>
        <w:spacing w:line="240" w:lineRule="auto" w:before="9"/>
        <w:rPr>
          <w:rFonts w:ascii="宋体" w:hAnsi="宋体" w:cs="宋体" w:eastAsia="宋体" w:hint="default"/>
          <w:sz w:val="24"/>
          <w:szCs w:val="24"/>
        </w:rPr>
      </w:pPr>
    </w:p>
    <w:p>
      <w:pPr>
        <w:pStyle w:val="Heading2"/>
        <w:spacing w:line="240" w:lineRule="auto"/>
        <w:ind w:right="258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73" w:lineRule="auto" w:before="97"/>
        <w:ind w:right="7593"/>
        <w:jc w:val="left"/>
      </w:pPr>
      <w:r>
        <w:rPr/>
        <w:t>□适用 √不适用</w:t>
      </w:r>
      <w:r>
        <w:rPr>
          <w:w w:val="100"/>
        </w:rPr>
        <w:t> </w:t>
      </w:r>
      <w:r>
        <w:rPr/>
        <w:t>其他说明：</w:t>
      </w:r>
    </w:p>
    <w:p>
      <w:pPr>
        <w:pStyle w:val="BodyText"/>
        <w:spacing w:line="240" w:lineRule="auto" w:before="7"/>
        <w:ind w:right="258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58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97"/>
        <w:ind w:right="258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200" w:right="1300"/>
        </w:sectPr>
      </w:pPr>
    </w:p>
    <w:p>
      <w:pPr>
        <w:pStyle w:val="Heading2"/>
        <w:spacing w:line="240" w:lineRule="auto"/>
        <w:ind w:right="-1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97"/>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994" w:space="3977"/>
            <w:col w:w="243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09"/>
        <w:gridCol w:w="3036"/>
        <w:gridCol w:w="3104"/>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221,100,000.00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155,250,000.00</w:t>
            </w:r>
          </w:p>
        </w:tc>
      </w:tr>
      <w:tr>
        <w:trPr>
          <w:trHeight w:val="32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221,100,000.00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155,250,000.00</w:t>
            </w:r>
          </w:p>
        </w:tc>
      </w:tr>
    </w:tbl>
    <w:p>
      <w:pPr>
        <w:spacing w:line="240" w:lineRule="auto" w:before="4"/>
        <w:rPr>
          <w:rFonts w:ascii="宋体" w:hAnsi="宋体" w:cs="宋体" w:eastAsia="宋体" w:hint="default"/>
          <w:sz w:val="29"/>
          <w:szCs w:val="29"/>
        </w:rPr>
      </w:pPr>
    </w:p>
    <w:p>
      <w:pPr>
        <w:spacing w:line="324" w:lineRule="auto" w:before="36"/>
        <w:ind w:left="218" w:right="6864"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他流动负债</w:t>
      </w:r>
      <w:r>
        <w:rPr>
          <w:rFonts w:ascii="宋体" w:hAnsi="宋体" w:cs="宋体" w:eastAsia="宋体" w:hint="default"/>
          <w:b/>
          <w:bCs/>
          <w:w w:val="100"/>
          <w:sz w:val="21"/>
          <w:szCs w:val="21"/>
        </w:rPr>
        <w:t> </w:t>
      </w:r>
      <w:r>
        <w:rPr>
          <w:rFonts w:ascii="宋体" w:hAnsi="宋体" w:cs="宋体" w:eastAsia="宋体" w:hint="default"/>
          <w:spacing w:val="-2"/>
          <w:sz w:val="21"/>
          <w:szCs w:val="21"/>
        </w:rPr>
        <w:t>其他流动负债情况</w:t>
      </w:r>
    </w:p>
    <w:p>
      <w:pPr>
        <w:pStyle w:val="BodyText"/>
        <w:spacing w:line="238" w:lineRule="exact"/>
        <w:ind w:right="2585"/>
        <w:jc w:val="left"/>
      </w:pPr>
      <w:r>
        <w:rPr/>
        <w:t>□适用 √不适用</w:t>
      </w:r>
    </w:p>
    <w:p>
      <w:pPr>
        <w:pStyle w:val="BodyText"/>
        <w:spacing w:line="240" w:lineRule="auto" w:before="37"/>
        <w:ind w:right="2585"/>
        <w:jc w:val="left"/>
      </w:pPr>
      <w:r>
        <w:rPr/>
        <w:t>短期应付债券的增减变动：</w:t>
      </w:r>
    </w:p>
    <w:p>
      <w:pPr>
        <w:pStyle w:val="BodyText"/>
        <w:spacing w:line="324" w:lineRule="auto" w:before="37"/>
        <w:ind w:right="7593"/>
        <w:jc w:val="left"/>
      </w:pPr>
      <w:r>
        <w:rPr/>
        <w:t>□适用 √不适用</w:t>
      </w:r>
      <w:r>
        <w:rPr>
          <w:w w:val="100"/>
        </w:rPr>
        <w:t> </w:t>
      </w:r>
      <w:r>
        <w:rPr/>
        <w:t>其他说明：</w:t>
      </w:r>
    </w:p>
    <w:p>
      <w:pPr>
        <w:pStyle w:val="BodyText"/>
        <w:spacing w:line="240" w:lineRule="auto" w:before="23"/>
        <w:ind w:right="2585"/>
        <w:jc w:val="left"/>
      </w:pPr>
      <w:r>
        <w:rPr/>
        <w:t>□适用 √不适用</w:t>
      </w:r>
    </w:p>
    <w:p>
      <w:pPr>
        <w:spacing w:after="0" w:line="240" w:lineRule="auto"/>
        <w:jc w:val="left"/>
        <w:sectPr>
          <w:type w:val="continuous"/>
          <w:pgSz w:w="11910" w:h="16840"/>
          <w:pgMar w:top="1580" w:bottom="280" w:left="1200" w:right="130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643" w:footer="974" w:top="1120" w:bottom="1160" w:left="1200" w:right="1300"/>
        </w:sectPr>
      </w:pPr>
    </w:p>
    <w:p>
      <w:pPr>
        <w:pStyle w:val="Heading2"/>
        <w:spacing w:line="240" w:lineRule="auto"/>
        <w:ind w:right="-18"/>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2"/>
        <w:spacing w:line="240" w:lineRule="auto" w:before="97"/>
        <w:ind w:right="-18"/>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015" w:space="4956"/>
            <w:col w:w="243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30,000,000.00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951,450,000.00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665,850,000.00</w:t>
            </w:r>
          </w:p>
        </w:tc>
      </w:tr>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1,053,050,000.00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644,750,000.00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2,034,500,000.00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1,310,600,000.00</w:t>
            </w:r>
          </w:p>
        </w:tc>
      </w:tr>
    </w:tbl>
    <w:p>
      <w:pPr>
        <w:spacing w:line="240" w:lineRule="auto" w:before="10"/>
        <w:rPr>
          <w:rFonts w:ascii="宋体" w:hAnsi="宋体" w:cs="宋体" w:eastAsia="宋体" w:hint="default"/>
          <w:sz w:val="24"/>
          <w:szCs w:val="24"/>
        </w:rPr>
      </w:pPr>
    </w:p>
    <w:p>
      <w:pPr>
        <w:pStyle w:val="BodyText"/>
        <w:spacing w:line="273" w:lineRule="exact" w:before="36"/>
        <w:ind w:right="2585"/>
        <w:jc w:val="left"/>
      </w:pPr>
      <w:r>
        <w:rPr/>
        <w:t>其他说明，包括利率区间：</w:t>
      </w:r>
    </w:p>
    <w:p>
      <w:pPr>
        <w:pStyle w:val="BodyText"/>
        <w:spacing w:line="273" w:lineRule="exact"/>
        <w:ind w:right="2585"/>
        <w:jc w:val="left"/>
      </w:pPr>
      <w:r>
        <w:rPr/>
        <w:t>□适用 √不适用</w:t>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200" w:right="1300"/>
        </w:sectPr>
      </w:pPr>
    </w:p>
    <w:p>
      <w:pPr>
        <w:pStyle w:val="Heading2"/>
        <w:spacing w:line="324" w:lineRule="auto"/>
        <w:ind w:right="210"/>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23"/>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1796" w:space="5174"/>
            <w:col w:w="2440"/>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056"/>
        <w:gridCol w:w="3077"/>
        <w:gridCol w:w="2929"/>
      </w:tblGrid>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0"/>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可转换公司债券</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2,463,263,272.02</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2,340,152,259.78</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10"/>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2,463,263,272.02</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2,340,152,259.78</w:t>
            </w:r>
          </w:p>
        </w:tc>
      </w:tr>
    </w:tbl>
    <w:p>
      <w:pPr>
        <w:spacing w:after="0" w:line="263" w:lineRule="exact"/>
        <w:jc w:val="right"/>
        <w:rPr>
          <w:rFonts w:ascii="宋体" w:hAnsi="宋体" w:cs="宋体" w:eastAsia="宋体" w:hint="default"/>
          <w:sz w:val="21"/>
          <w:szCs w:val="21"/>
        </w:rPr>
        <w:sectPr>
          <w:type w:val="continuous"/>
          <w:pgSz w:w="11910" w:h="16840"/>
          <w:pgMar w:top="1580" w:bottom="280" w:left="1200" w:right="1300"/>
        </w:sectPr>
      </w:pPr>
    </w:p>
    <w:p>
      <w:pPr>
        <w:tabs>
          <w:tab w:pos="10451" w:val="left" w:leader="none"/>
        </w:tabs>
        <w:spacing w:before="20"/>
        <w:ind w:left="4054" w:right="656" w:firstLine="0"/>
        <w:jc w:val="left"/>
        <w:rPr>
          <w:rFonts w:ascii="宋体" w:hAnsi="宋体" w:cs="宋体" w:eastAsia="宋体" w:hint="default"/>
          <w:sz w:val="18"/>
          <w:szCs w:val="18"/>
        </w:rPr>
      </w:pPr>
      <w:r>
        <w:rPr/>
        <w:pict>
          <v:group style="position:absolute;margin-left:68.75pt;margin-top:9.6717pt;width:697.85pt;height:19.650pt;mso-position-horizontal-relative:page;mso-position-vertical-relative:paragraph;z-index:-1112296" coordorigin="1375,193" coordsize="13957,393">
            <v:group style="position:absolute;left:1411;top:312;width:13913;height:2" coordorigin="1411,312" coordsize="13913,2">
              <v:shape style="position:absolute;left:1411;top:312;width:13913;height:2" coordorigin="1411,312" coordsize="13913,0" path="m1411,312l15324,312e" filled="false" stroked="true" strokeweight=".72pt" strokecolor="#000000">
                <v:path arrowok="t"/>
              </v:shape>
              <v:shape style="position:absolute;left:1375;top:193;width:465;height:393" type="#_x0000_t75" stroked="false">
                <v:imagedata r:id="rId10" o:title=""/>
              </v:shape>
            </v:group>
            <w10:wrap type="none"/>
          </v:group>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02"/>
          <w:footerReference w:type="default" r:id="rId103"/>
          <w:pgSz w:w="16840" w:h="11910" w:orient="landscape"/>
          <w:pgMar w:header="0" w:footer="0" w:top="800" w:bottom="280" w:left="460" w:right="540"/>
        </w:sectPr>
      </w:pPr>
    </w:p>
    <w:p>
      <w:pPr>
        <w:pStyle w:val="Heading2"/>
        <w:spacing w:line="240" w:lineRule="auto"/>
        <w:ind w:left="980" w:right="-16"/>
        <w:jc w:val="left"/>
        <w:rPr>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97"/>
        <w:ind w:left="98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980" w:right="0"/>
        <w:jc w:val="left"/>
      </w:pPr>
      <w:r>
        <w:rPr/>
        <w:t>单位：元币种：人民币</w:t>
      </w:r>
    </w:p>
    <w:p>
      <w:pPr>
        <w:spacing w:after="0" w:line="240" w:lineRule="auto"/>
        <w:jc w:val="left"/>
        <w:sectPr>
          <w:type w:val="continuous"/>
          <w:pgSz w:w="16840" w:h="11910" w:orient="landscape"/>
          <w:pgMar w:top="1580" w:bottom="280" w:left="460" w:right="540"/>
          <w:cols w:num="2" w:equalWidth="0">
            <w:col w:w="9103" w:space="2671"/>
            <w:col w:w="4066"/>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136"/>
        <w:gridCol w:w="994"/>
        <w:gridCol w:w="1970"/>
        <w:gridCol w:w="634"/>
        <w:gridCol w:w="2074"/>
        <w:gridCol w:w="1985"/>
        <w:gridCol w:w="708"/>
        <w:gridCol w:w="994"/>
        <w:gridCol w:w="1702"/>
        <w:gridCol w:w="1272"/>
        <w:gridCol w:w="2127"/>
      </w:tblGrid>
      <w:tr>
        <w:trPr>
          <w:trHeight w:val="12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52" w:right="348"/>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770" w:right="767"/>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820" w:right="818"/>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775" w:right="77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5" w:right="173"/>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溢折价摊销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20" w:right="41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847" w:right="84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73"/>
              <w:jc w:val="left"/>
              <w:rPr>
                <w:rFonts w:ascii="宋体" w:hAnsi="宋体" w:cs="宋体" w:eastAsia="宋体" w:hint="default"/>
                <w:sz w:val="21"/>
                <w:szCs w:val="21"/>
              </w:rPr>
            </w:pPr>
            <w:r>
              <w:rPr>
                <w:rFonts w:ascii="宋体" w:hAnsi="宋体" w:cs="宋体" w:eastAsia="宋体" w:hint="default"/>
                <w:sz w:val="21"/>
                <w:szCs w:val="21"/>
              </w:rPr>
              <w:t>可转换公</w:t>
            </w:r>
            <w:r>
              <w:rPr>
                <w:rFonts w:ascii="宋体" w:hAnsi="宋体" w:cs="宋体" w:eastAsia="宋体" w:hint="default"/>
                <w:w w:val="100"/>
                <w:sz w:val="21"/>
                <w:szCs w:val="21"/>
              </w:rPr>
              <w:t> </w:t>
            </w:r>
            <w:r>
              <w:rPr>
                <w:rFonts w:ascii="宋体" w:hAnsi="宋体" w:cs="宋体" w:eastAsia="宋体" w:hint="default"/>
                <w:sz w:val="21"/>
                <w:szCs w:val="21"/>
              </w:rPr>
              <w:t>司债券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3,000,000,000.00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2,340,152,259.78</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123,150,012.24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39,000.00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2,463,263,272.02</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3,000,000,000.00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2,340,152,259.78</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123,150,012.24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39,000.00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2,463,263,272.02</w:t>
            </w:r>
          </w:p>
        </w:tc>
      </w:tr>
    </w:tbl>
    <w:p>
      <w:pPr>
        <w:pStyle w:val="BodyText"/>
        <w:spacing w:line="331" w:lineRule="auto" w:before="93"/>
        <w:ind w:left="980" w:right="656"/>
        <w:jc w:val="left"/>
      </w:pPr>
      <w:r>
        <w:rPr>
          <w:spacing w:val="-4"/>
          <w:w w:val="100"/>
        </w:rPr>
        <w:t>应付债券说明：经中国证券监督管理委员会下发《关于核准江苏林洋能源股份有限公司公开发行可转换公司债券的批复》（证监许可</w:t>
      </w:r>
      <w:r>
        <w:rPr>
          <w:rFonts w:ascii="Times New Roman" w:hAnsi="Times New Roman" w:cs="Times New Roman" w:eastAsia="Times New Roman" w:hint="default"/>
          <w:spacing w:val="-4"/>
          <w:w w:val="100"/>
        </w:rPr>
        <w:t>[2017]1214</w:t>
      </w:r>
      <w:r>
        <w:rPr>
          <w:rFonts w:ascii="Times New Roman" w:hAnsi="Times New Roman" w:cs="Times New Roman" w:eastAsia="Times New Roman" w:hint="default"/>
          <w:w w:val="100"/>
        </w:rPr>
        <w:t> </w:t>
      </w:r>
      <w:r>
        <w:rPr>
          <w:spacing w:val="-7"/>
          <w:w w:val="100"/>
        </w:rPr>
        <w:t>号）文件</w:t>
      </w:r>
      <w:r>
        <w:rPr>
          <w:spacing w:val="-82"/>
          <w:w w:val="100"/>
        </w:rPr>
        <w:t> </w:t>
      </w:r>
      <w:r>
        <w:rPr>
          <w:spacing w:val="-82"/>
          <w:w w:val="100"/>
        </w:rPr>
      </w:r>
      <w:r>
        <w:rPr/>
        <w:t>核准，公司向社会公开发行面值总额</w:t>
      </w:r>
      <w:r>
        <w:rPr>
          <w:spacing w:val="-5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2"/>
        </w:rPr>
        <w:t> </w:t>
      </w:r>
      <w:r>
        <w:rPr/>
        <w:t>万元的可转换公司债券，每张债券面值人民币</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元，按面值发行。</w:t>
      </w:r>
      <w:r>
        <w:rPr>
          <w:w w:val="100"/>
        </w:rPr>
        <w:t> </w:t>
      </w:r>
      <w:r>
        <w:rPr/>
        <w:t>上述可转换公司债券票面利率为：第一年</w:t>
      </w:r>
      <w:r>
        <w:rPr>
          <w:spacing w:val="-54"/>
        </w:rPr>
        <w:t> </w:t>
      </w:r>
      <w:r>
        <w:rPr>
          <w:rFonts w:ascii="Times New Roman" w:hAnsi="Times New Roman" w:cs="Times New Roman" w:eastAsia="Times New Roman" w:hint="default"/>
        </w:rPr>
        <w:t>0.3%</w:t>
      </w:r>
      <w:r>
        <w:rPr/>
        <w:t>，第二年</w:t>
      </w:r>
      <w:r>
        <w:rPr>
          <w:spacing w:val="-55"/>
        </w:rPr>
        <w:t> </w:t>
      </w:r>
      <w:r>
        <w:rPr>
          <w:rFonts w:ascii="Times New Roman" w:hAnsi="Times New Roman" w:cs="Times New Roman" w:eastAsia="Times New Roman" w:hint="default"/>
        </w:rPr>
        <w:t>0.5%</w:t>
      </w:r>
      <w:r>
        <w:rPr/>
        <w:t>，第三年</w:t>
      </w:r>
      <w:r>
        <w:rPr>
          <w:spacing w:val="-55"/>
        </w:rPr>
        <w:t> </w:t>
      </w:r>
      <w:r>
        <w:rPr>
          <w:rFonts w:ascii="Times New Roman" w:hAnsi="Times New Roman" w:cs="Times New Roman" w:eastAsia="Times New Roman" w:hint="default"/>
        </w:rPr>
        <w:t>1.0%</w:t>
      </w:r>
      <w:r>
        <w:rPr/>
        <w:t>，第四年</w:t>
      </w:r>
      <w:r>
        <w:rPr>
          <w:spacing w:val="-55"/>
        </w:rPr>
        <w:t> </w:t>
      </w:r>
      <w:r>
        <w:rPr>
          <w:rFonts w:ascii="Times New Roman" w:hAnsi="Times New Roman" w:cs="Times New Roman" w:eastAsia="Times New Roman" w:hint="default"/>
        </w:rPr>
        <w:t>1.5%</w:t>
      </w:r>
      <w:r>
        <w:rPr/>
        <w:t>，第五年</w:t>
      </w:r>
      <w:r>
        <w:rPr>
          <w:spacing w:val="-57"/>
        </w:rPr>
        <w:t> </w:t>
      </w:r>
      <w:r>
        <w:rPr>
          <w:rFonts w:ascii="Times New Roman" w:hAnsi="Times New Roman" w:cs="Times New Roman" w:eastAsia="Times New Roman" w:hint="default"/>
        </w:rPr>
        <w:t>1.8%</w:t>
      </w:r>
      <w:r>
        <w:rPr/>
        <w:t>，第六年</w:t>
      </w:r>
      <w:r>
        <w:rPr>
          <w:spacing w:val="-54"/>
        </w:rPr>
        <w:t> </w:t>
      </w:r>
      <w:r>
        <w:rPr>
          <w:rFonts w:ascii="Times New Roman" w:hAnsi="Times New Roman" w:cs="Times New Roman" w:eastAsia="Times New Roman" w:hint="default"/>
        </w:rPr>
        <w:t>2.0%</w:t>
      </w:r>
      <w:r>
        <w:rPr/>
        <w:t>。每年付息一次，到期归还本金</w:t>
      </w:r>
      <w:r>
        <w:rPr>
          <w:w w:val="100"/>
        </w:rPr>
        <w:t> </w:t>
      </w:r>
      <w:r>
        <w:rPr/>
        <w:t>和最后一年利息。</w:t>
      </w:r>
    </w:p>
    <w:p>
      <w:pPr>
        <w:spacing w:line="240" w:lineRule="auto" w:before="0"/>
        <w:rPr>
          <w:rFonts w:ascii="宋体" w:hAnsi="宋体" w:cs="宋体" w:eastAsia="宋体" w:hint="default"/>
          <w:sz w:val="20"/>
          <w:szCs w:val="20"/>
        </w:rPr>
      </w:pPr>
    </w:p>
    <w:p>
      <w:pPr>
        <w:pStyle w:val="Heading2"/>
        <w:spacing w:line="240" w:lineRule="auto" w:before="139"/>
        <w:ind w:left="980" w:right="656"/>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spacing w:line="240" w:lineRule="auto" w:before="97"/>
        <w:ind w:left="980" w:right="656"/>
        <w:jc w:val="left"/>
      </w:pPr>
      <w:r>
        <w:rPr/>
        <w:t>√适用 □不适用</w:t>
      </w:r>
    </w:p>
    <w:p>
      <w:pPr>
        <w:spacing w:line="240" w:lineRule="auto" w:before="7"/>
        <w:rPr>
          <w:rFonts w:ascii="宋体" w:hAnsi="宋体" w:cs="宋体" w:eastAsia="宋体" w:hint="default"/>
          <w:sz w:val="15"/>
          <w:szCs w:val="15"/>
        </w:rPr>
      </w:pPr>
    </w:p>
    <w:p>
      <w:pPr>
        <w:pStyle w:val="BodyText"/>
        <w:spacing w:line="240" w:lineRule="auto"/>
        <w:ind w:left="980" w:right="656"/>
        <w:jc w:val="left"/>
      </w:pPr>
      <w:r>
        <w:rPr/>
        <w:t>可转换公司债券转股期限自发行结束之日起满六个月后的第一个交易日至债券到期日止。</w:t>
      </w:r>
    </w:p>
    <w:p>
      <w:pPr>
        <w:pStyle w:val="BodyText"/>
        <w:spacing w:line="240" w:lineRule="auto" w:before="78"/>
        <w:ind w:left="980" w:right="656"/>
        <w:jc w:val="left"/>
      </w:pPr>
      <w:r>
        <w:rPr/>
        <w:t>可转换公司债券初始转股价格为</w:t>
      </w:r>
      <w:r>
        <w:rPr>
          <w:spacing w:val="-54"/>
        </w:rPr>
        <w:t> </w:t>
      </w:r>
      <w:r>
        <w:rPr>
          <w:rFonts w:ascii="宋体" w:hAnsi="宋体" w:cs="宋体" w:eastAsia="宋体" w:hint="default"/>
        </w:rPr>
        <w:t>8.80</w:t>
      </w:r>
      <w:r>
        <w:rPr>
          <w:rFonts w:ascii="宋体" w:hAnsi="宋体" w:cs="宋体" w:eastAsia="宋体" w:hint="default"/>
          <w:spacing w:val="-53"/>
        </w:rPr>
        <w:t> </w:t>
      </w:r>
      <w:r>
        <w:rPr/>
        <w:t>元</w:t>
      </w:r>
      <w:r>
        <w:rPr>
          <w:rFonts w:ascii="宋体" w:hAnsi="宋体" w:cs="宋体" w:eastAsia="宋体" w:hint="default"/>
        </w:rPr>
        <w:t>/</w:t>
      </w:r>
      <w:r>
        <w:rPr/>
        <w:t>股，由于公司于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3"/>
        </w:rPr>
        <w:t> </w:t>
      </w:r>
      <w:r>
        <w:rPr/>
        <w:t>日实施了</w:t>
      </w:r>
      <w:r>
        <w:rPr>
          <w:spacing w:val="-54"/>
        </w:rPr>
        <w:t> </w:t>
      </w:r>
      <w:r>
        <w:rPr>
          <w:rFonts w:ascii="宋体" w:hAnsi="宋体" w:cs="宋体" w:eastAsia="宋体" w:hint="default"/>
        </w:rPr>
        <w:t>2017</w:t>
      </w:r>
      <w:r>
        <w:rPr>
          <w:rFonts w:ascii="宋体" w:hAnsi="宋体" w:cs="宋体" w:eastAsia="宋体" w:hint="default"/>
          <w:spacing w:val="-54"/>
        </w:rPr>
        <w:t> </w:t>
      </w:r>
      <w:r>
        <w:rPr/>
        <w:t>年度权益分派方案，根据《募集说明书》的约定，转股价格于</w:t>
      </w:r>
    </w:p>
    <w:p>
      <w:pPr>
        <w:pStyle w:val="BodyText"/>
        <w:spacing w:line="240" w:lineRule="auto" w:before="37"/>
        <w:ind w:left="980" w:right="656"/>
        <w:jc w:val="left"/>
      </w:pP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18</w:t>
      </w:r>
      <w:r>
        <w:rPr>
          <w:rFonts w:ascii="宋体" w:hAnsi="宋体" w:cs="宋体" w:eastAsia="宋体" w:hint="default"/>
          <w:spacing w:val="-54"/>
        </w:rPr>
        <w:t> </w:t>
      </w:r>
      <w:r>
        <w:rPr/>
        <w:t>日起由</w:t>
      </w:r>
      <w:r>
        <w:rPr>
          <w:spacing w:val="-52"/>
        </w:rPr>
        <w:t> </w:t>
      </w:r>
      <w:r>
        <w:rPr>
          <w:rFonts w:ascii="宋体" w:hAnsi="宋体" w:cs="宋体" w:eastAsia="宋体" w:hint="default"/>
        </w:rPr>
        <w:t>8.80</w:t>
      </w:r>
      <w:r>
        <w:rPr>
          <w:rFonts w:ascii="宋体" w:hAnsi="宋体" w:cs="宋体" w:eastAsia="宋体" w:hint="default"/>
          <w:spacing w:val="-52"/>
        </w:rPr>
        <w:t> </w:t>
      </w:r>
      <w:r>
        <w:rPr/>
        <w:t>元</w:t>
      </w:r>
      <w:r>
        <w:rPr>
          <w:rFonts w:ascii="宋体" w:hAnsi="宋体" w:cs="宋体" w:eastAsia="宋体" w:hint="default"/>
        </w:rPr>
        <w:t>/</w:t>
      </w:r>
      <w:r>
        <w:rPr/>
        <w:t>股调整为</w:t>
      </w:r>
      <w:r>
        <w:rPr>
          <w:spacing w:val="-51"/>
        </w:rPr>
        <w:t> </w:t>
      </w:r>
      <w:r>
        <w:rPr>
          <w:rFonts w:ascii="宋体" w:hAnsi="宋体" w:cs="宋体" w:eastAsia="宋体" w:hint="default"/>
        </w:rPr>
        <w:t>8.76</w:t>
      </w:r>
      <w:r>
        <w:rPr>
          <w:rFonts w:ascii="宋体" w:hAnsi="宋体" w:cs="宋体" w:eastAsia="宋体" w:hint="default"/>
          <w:spacing w:val="-54"/>
        </w:rPr>
        <w:t> </w:t>
      </w:r>
      <w:r>
        <w:rPr>
          <w:spacing w:val="-3"/>
        </w:rPr>
        <w:t>元</w:t>
      </w:r>
      <w:r>
        <w:rPr>
          <w:rFonts w:ascii="宋体" w:hAnsi="宋体" w:cs="宋体" w:eastAsia="宋体" w:hint="default"/>
          <w:spacing w:val="-3"/>
        </w:rPr>
        <w:t>/</w:t>
      </w:r>
      <w:r>
        <w:rPr>
          <w:spacing w:val="-3"/>
        </w:rPr>
        <w:t>股。</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7550" w:right="7554" w:firstLine="0"/>
        <w:jc w:val="center"/>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460" w:right="540"/>
        </w:sectPr>
      </w:pPr>
    </w:p>
    <w:p>
      <w:pPr>
        <w:spacing w:line="240" w:lineRule="auto" w:before="5"/>
        <w:rPr>
          <w:rFonts w:ascii="Calibri" w:hAnsi="Calibri" w:cs="Calibri" w:eastAsia="Calibri" w:hint="default"/>
          <w:b/>
          <w:bCs/>
          <w:sz w:val="2"/>
          <w:szCs w:val="2"/>
        </w:rPr>
      </w:pPr>
    </w:p>
    <w:p>
      <w:pPr>
        <w:spacing w:line="20" w:lineRule="exact"/>
        <w:ind w:left="200" w:right="0" w:firstLine="0"/>
        <w:rPr>
          <w:rFonts w:ascii="Calibri" w:hAnsi="Calibri" w:cs="Calibri" w:eastAsia="Calibri" w:hint="default"/>
          <w:sz w:val="2"/>
          <w:szCs w:val="2"/>
        </w:rPr>
      </w:pPr>
      <w:r>
        <w:rPr>
          <w:rFonts w:ascii="Calibri" w:hAnsi="Calibri" w:cs="Calibri" w:eastAsia="Calibri"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spacing w:line="324" w:lineRule="auto" w:before="0"/>
        <w:ind w:left="237" w:right="9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38" w:lineRule="exact"/>
        <w:ind w:left="237" w:right="93"/>
        <w:jc w:val="left"/>
      </w:pPr>
      <w:r>
        <w:rPr/>
        <w:t>□适用 √不适用</w:t>
      </w:r>
    </w:p>
    <w:p>
      <w:pPr>
        <w:pStyle w:val="BodyText"/>
        <w:spacing w:line="240" w:lineRule="auto" w:before="37"/>
        <w:ind w:left="237" w:right="93"/>
        <w:jc w:val="left"/>
      </w:pPr>
      <w:r>
        <w:rPr/>
        <w:t>期末发行在外的优先股、永续债等金融工具变动情况表</w:t>
      </w:r>
    </w:p>
    <w:p>
      <w:pPr>
        <w:pStyle w:val="BodyText"/>
        <w:spacing w:line="324" w:lineRule="auto" w:before="37"/>
        <w:ind w:left="237" w:right="3564"/>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324" w:lineRule="auto" w:before="23"/>
        <w:ind w:left="237" w:right="7474"/>
        <w:jc w:val="left"/>
      </w:pPr>
      <w:r>
        <w:rPr/>
        <w:t>□适用 √不适用</w:t>
      </w:r>
      <w:r>
        <w:rPr>
          <w:w w:val="100"/>
        </w:rPr>
        <w:t> </w:t>
      </w:r>
      <w:r>
        <w:rPr/>
        <w:t>其他说明：</w:t>
      </w:r>
    </w:p>
    <w:p>
      <w:pPr>
        <w:pStyle w:val="BodyText"/>
        <w:spacing w:line="240" w:lineRule="auto" w:before="23"/>
        <w:ind w:left="237" w:right="93"/>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4"/>
          <w:footerReference w:type="default" r:id="rId105"/>
          <w:pgSz w:w="11910" w:h="16840"/>
          <w:pgMar w:header="882" w:footer="974" w:top="1080" w:bottom="1160" w:left="1040" w:right="1560"/>
          <w:pgNumType w:start="151"/>
        </w:sectPr>
      </w:pPr>
    </w:p>
    <w:p>
      <w:pPr>
        <w:spacing w:line="240" w:lineRule="auto" w:before="12"/>
        <w:rPr>
          <w:rFonts w:ascii="宋体" w:hAnsi="宋体" w:cs="宋体" w:eastAsia="宋体" w:hint="default"/>
          <w:sz w:val="15"/>
          <w:szCs w:val="15"/>
        </w:rPr>
      </w:pPr>
    </w:p>
    <w:p>
      <w:pPr>
        <w:pStyle w:val="Heading2"/>
        <w:spacing w:line="324" w:lineRule="auto" w:before="0"/>
        <w:ind w:left="237"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475,458,961.86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540,556,982.34</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475,458,961.86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540,556,982.34</w:t>
            </w:r>
          </w:p>
        </w:tc>
      </w:tr>
    </w:tbl>
    <w:p>
      <w:pPr>
        <w:pStyle w:val="BodyText"/>
        <w:spacing w:line="262" w:lineRule="exact"/>
        <w:ind w:left="237" w:right="93"/>
        <w:jc w:val="left"/>
      </w:pPr>
      <w:r>
        <w:rPr/>
        <w:t>其他说明：</w:t>
      </w:r>
    </w:p>
    <w:p>
      <w:pPr>
        <w:pStyle w:val="BodyText"/>
        <w:spacing w:line="240" w:lineRule="auto" w:before="37"/>
        <w:ind w:left="237" w:right="93"/>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040" w:right="1560"/>
        </w:sectPr>
      </w:pPr>
    </w:p>
    <w:p>
      <w:pPr>
        <w:pStyle w:val="Heading2"/>
        <w:spacing w:line="240" w:lineRule="auto"/>
        <w:ind w:left="237" w:right="-8"/>
        <w:jc w:val="left"/>
        <w:rPr>
          <w:b w:val="0"/>
          <w:bCs w:val="0"/>
        </w:rPr>
      </w:pPr>
      <w:r>
        <w:rPr/>
        <w:t>长期应付款</w:t>
      </w:r>
      <w:r>
        <w:rPr>
          <w:b w:val="0"/>
          <w:bCs w:val="0"/>
        </w:rPr>
      </w:r>
    </w:p>
    <w:p>
      <w:pPr>
        <w:pStyle w:val="Heading2"/>
        <w:tabs>
          <w:tab w:pos="1077" w:val="left" w:leader="none"/>
        </w:tabs>
        <w:spacing w:line="240" w:lineRule="auto" w:before="97"/>
        <w:ind w:left="237" w:right="-8"/>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pStyle w:val="BodyText"/>
        <w:spacing w:line="240" w:lineRule="auto" w:before="97"/>
        <w:ind w:left="237"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607" w:space="3125"/>
            <w:col w:w="2578"/>
          </w:cols>
        </w:sectPr>
      </w:pPr>
    </w:p>
    <w:p>
      <w:pPr>
        <w:spacing w:line="240" w:lineRule="auto" w:before="10"/>
        <w:rPr>
          <w:rFonts w:ascii="宋体" w:hAnsi="宋体" w:cs="宋体" w:eastAsia="宋体" w:hint="default"/>
          <w:sz w:val="3"/>
          <w:szCs w:val="3"/>
        </w:rPr>
      </w:pPr>
      <w:r>
        <w:rPr/>
        <w:pict>
          <v:shape style="position:absolute;margin-left:60.549999pt;margin-top:32.149982pt;width:23.25pt;height:19.650pt;mso-position-horizontal-relative:page;mso-position-vertical-relative:page;z-index:2632" type="#_x0000_t75" stroked="false">
            <v:imagedata r:id="rId10" o:title=""/>
          </v:shape>
        </w:pict>
      </w: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36" w:right="0"/>
              <w:jc w:val="left"/>
              <w:rPr>
                <w:rFonts w:ascii="宋体" w:hAnsi="宋体" w:cs="宋体" w:eastAsia="宋体" w:hint="default"/>
                <w:sz w:val="21"/>
                <w:szCs w:val="21"/>
              </w:rPr>
            </w:pPr>
            <w:r>
              <w:rPr>
                <w:rFonts w:ascii="宋体"/>
                <w:sz w:val="21"/>
              </w:rPr>
              <w:t>540,556,982.34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34" w:right="0"/>
              <w:jc w:val="left"/>
              <w:rPr>
                <w:rFonts w:ascii="宋体" w:hAnsi="宋体" w:cs="宋体" w:eastAsia="宋体" w:hint="default"/>
                <w:sz w:val="21"/>
                <w:szCs w:val="21"/>
              </w:rPr>
            </w:pPr>
            <w:r>
              <w:rPr>
                <w:rFonts w:ascii="宋体"/>
                <w:sz w:val="21"/>
              </w:rPr>
              <w:t>475,458,961.86</w:t>
            </w:r>
          </w:p>
        </w:tc>
      </w:tr>
    </w:tbl>
    <w:p>
      <w:pPr>
        <w:spacing w:line="240" w:lineRule="auto" w:before="11"/>
        <w:rPr>
          <w:rFonts w:ascii="宋体" w:hAnsi="宋体" w:cs="宋体" w:eastAsia="宋体" w:hint="default"/>
          <w:sz w:val="21"/>
          <w:szCs w:val="21"/>
        </w:rPr>
      </w:pPr>
    </w:p>
    <w:p>
      <w:pPr>
        <w:pStyle w:val="Heading2"/>
        <w:spacing w:line="240" w:lineRule="auto"/>
        <w:ind w:left="237" w:right="93"/>
        <w:jc w:val="left"/>
        <w:rPr>
          <w:b w:val="0"/>
          <w:bCs w:val="0"/>
        </w:rPr>
      </w:pPr>
      <w:r>
        <w:rPr/>
        <w:t>专项应付款</w:t>
      </w:r>
      <w:r>
        <w:rPr>
          <w:b w:val="0"/>
          <w:bCs w:val="0"/>
        </w:rPr>
      </w:r>
    </w:p>
    <w:p>
      <w:pPr>
        <w:pStyle w:val="Heading2"/>
        <w:tabs>
          <w:tab w:pos="1077" w:val="left" w:leader="none"/>
        </w:tabs>
        <w:spacing w:line="240" w:lineRule="auto" w:before="97"/>
        <w:ind w:left="237" w:right="93"/>
        <w:jc w:val="left"/>
        <w:rPr>
          <w:b w:val="0"/>
          <w:bCs w:val="0"/>
        </w:rPr>
      </w:pPr>
      <w:r>
        <w:rPr>
          <w:rFonts w:ascii="宋体" w:hAnsi="宋体" w:cs="宋体" w:eastAsia="宋体" w:hint="default"/>
          <w:w w:val="95"/>
        </w:rPr>
        <w:t>(1).</w:t>
        <w:tab/>
      </w:r>
      <w:r>
        <w:rPr/>
        <w:t>按款项性质列示专项应付款</w:t>
      </w:r>
      <w:r>
        <w:rPr>
          <w:b w:val="0"/>
          <w:bCs w:val="0"/>
        </w:rPr>
      </w:r>
    </w:p>
    <w:p>
      <w:pPr>
        <w:pStyle w:val="BodyText"/>
        <w:spacing w:line="240" w:lineRule="auto" w:before="97"/>
        <w:ind w:left="237" w:right="93"/>
        <w:jc w:val="left"/>
      </w:pPr>
      <w:r>
        <w:rPr/>
        <w:t>□适用 √不适用</w:t>
      </w:r>
    </w:p>
    <w:p>
      <w:pPr>
        <w:spacing w:line="240" w:lineRule="auto" w:before="2"/>
        <w:rPr>
          <w:rFonts w:ascii="宋体" w:hAnsi="宋体" w:cs="宋体" w:eastAsia="宋体" w:hint="default"/>
          <w:sz w:val="28"/>
          <w:szCs w:val="28"/>
        </w:rPr>
      </w:pPr>
    </w:p>
    <w:p>
      <w:pPr>
        <w:pStyle w:val="Heading2"/>
        <w:spacing w:line="240" w:lineRule="auto" w:before="0"/>
        <w:ind w:left="237" w:right="93"/>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97"/>
        <w:ind w:left="237" w:right="9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93"/>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97"/>
        <w:ind w:left="237" w:right="93"/>
        <w:jc w:val="left"/>
      </w:pPr>
      <w:r>
        <w:rPr/>
        <w:t>□适用 √不适用</w:t>
      </w:r>
    </w:p>
    <w:p>
      <w:pPr>
        <w:spacing w:after="0" w:line="240" w:lineRule="auto"/>
        <w:jc w:val="left"/>
        <w:sectPr>
          <w:type w:val="continuous"/>
          <w:pgSz w:w="11910" w:h="16840"/>
          <w:pgMar w:top="1580" w:bottom="280" w:left="1040" w:right="1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6"/>
          <w:pgSz w:w="11910" w:h="16840"/>
          <w:pgMar w:header="643" w:footer="974" w:top="1120" w:bottom="1160" w:left="480" w:right="980"/>
        </w:sectPr>
      </w:pPr>
    </w:p>
    <w:p>
      <w:pPr>
        <w:spacing w:line="324" w:lineRule="auto" w:before="36"/>
        <w:ind w:left="797" w:right="209"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38" w:lineRule="exact"/>
        <w:ind w:left="7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797" w:right="0"/>
        <w:jc w:val="left"/>
      </w:pPr>
      <w:r>
        <w:rPr/>
        <w:t>单位：元币种：人民币</w:t>
      </w:r>
    </w:p>
    <w:p>
      <w:pPr>
        <w:spacing w:after="0" w:line="240" w:lineRule="auto"/>
        <w:jc w:val="left"/>
        <w:sectPr>
          <w:type w:val="continuous"/>
          <w:pgSz w:w="11910" w:h="16840"/>
          <w:pgMar w:top="1580" w:bottom="280" w:left="480" w:right="980"/>
          <w:cols w:num="2" w:equalWidth="0">
            <w:col w:w="2375" w:space="4358"/>
            <w:col w:w="3717"/>
          </w:cols>
        </w:sectPr>
      </w:pPr>
    </w:p>
    <w:p>
      <w:pPr>
        <w:spacing w:line="240" w:lineRule="auto" w:before="10"/>
        <w:rPr>
          <w:rFonts w:ascii="宋体" w:hAnsi="宋体" w:cs="宋体" w:eastAsia="宋体" w:hint="default"/>
          <w:sz w:val="3"/>
          <w:szCs w:val="3"/>
        </w:rPr>
      </w:pPr>
    </w:p>
    <w:tbl>
      <w:tblPr>
        <w:tblW w:w="0" w:type="auto"/>
        <w:jc w:val="left"/>
        <w:tblInd w:w="679" w:type="dxa"/>
        <w:tblLayout w:type="fixed"/>
        <w:tblCellMar>
          <w:top w:w="0" w:type="dxa"/>
          <w:left w:w="0" w:type="dxa"/>
          <w:bottom w:w="0" w:type="dxa"/>
          <w:right w:w="0" w:type="dxa"/>
        </w:tblCellMar>
        <w:tblLook w:val="01E0"/>
      </w:tblPr>
      <w:tblGrid>
        <w:gridCol w:w="1210"/>
        <w:gridCol w:w="1592"/>
        <w:gridCol w:w="1694"/>
        <w:gridCol w:w="1592"/>
        <w:gridCol w:w="1697"/>
        <w:gridCol w:w="1277"/>
      </w:tblGrid>
      <w:tr>
        <w:trPr>
          <w:trHeight w:val="34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2"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20,024,625.31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2,053,500.00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2,016,064.61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20,062,060.70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47"/>
              <w:jc w:val="left"/>
              <w:rPr>
                <w:rFonts w:ascii="宋体" w:hAnsi="宋体" w:cs="宋体" w:eastAsia="宋体" w:hint="default"/>
                <w:sz w:val="21"/>
                <w:szCs w:val="21"/>
              </w:rPr>
            </w:pPr>
            <w:r>
              <w:rPr>
                <w:rFonts w:ascii="宋体" w:hAnsi="宋体" w:cs="宋体" w:eastAsia="宋体" w:hint="default"/>
                <w:sz w:val="21"/>
                <w:szCs w:val="21"/>
              </w:rPr>
              <w:t>售后回租</w:t>
            </w:r>
            <w:r>
              <w:rPr>
                <w:rFonts w:ascii="宋体" w:hAnsi="宋体" w:cs="宋体" w:eastAsia="宋体" w:hint="default"/>
                <w:w w:val="100"/>
                <w:sz w:val="21"/>
                <w:szCs w:val="21"/>
              </w:rPr>
              <w:t> </w:t>
            </w:r>
            <w:r>
              <w:rPr>
                <w:rFonts w:ascii="宋体" w:hAnsi="宋体" w:cs="宋体" w:eastAsia="宋体" w:hint="default"/>
                <w:sz w:val="21"/>
                <w:szCs w:val="21"/>
              </w:rPr>
              <w:t>融资租赁</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22,134,402.55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-40,221,558.77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-6,982,343.50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-11,104,812.72</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42,159,027.86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-38,168,058.77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-4,966,278.89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8,957,247.98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480" w:right="980"/>
        </w:sectPr>
      </w:pPr>
    </w:p>
    <w:p>
      <w:pPr>
        <w:pStyle w:val="BodyText"/>
        <w:spacing w:line="240" w:lineRule="auto" w:before="36"/>
        <w:ind w:left="797" w:right="0"/>
        <w:jc w:val="left"/>
      </w:pPr>
      <w:r>
        <w:rPr>
          <w:spacing w:val="-2"/>
        </w:rPr>
        <w:t>涉及政府补助的项目：</w:t>
      </w:r>
    </w:p>
    <w:p>
      <w:pPr>
        <w:pStyle w:val="BodyText"/>
        <w:spacing w:line="240" w:lineRule="auto" w:before="97"/>
        <w:ind w:left="79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797" w:right="0"/>
        <w:jc w:val="left"/>
      </w:pPr>
      <w:r>
        <w:rPr/>
        <w:t>单位：元币种：人民币</w:t>
      </w:r>
    </w:p>
    <w:p>
      <w:pPr>
        <w:spacing w:after="0" w:line="240" w:lineRule="auto"/>
        <w:jc w:val="left"/>
        <w:sectPr>
          <w:type w:val="continuous"/>
          <w:pgSz w:w="11910" w:h="16840"/>
          <w:pgMar w:top="1580" w:bottom="280" w:left="480" w:right="980"/>
          <w:cols w:num="2" w:equalWidth="0">
            <w:col w:w="2900" w:space="3832"/>
            <w:col w:w="3718"/>
          </w:cols>
        </w:sectPr>
      </w:pPr>
    </w:p>
    <w:p>
      <w:pPr>
        <w:spacing w:line="240" w:lineRule="auto" w:before="5"/>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846"/>
        <w:gridCol w:w="1609"/>
        <w:gridCol w:w="1486"/>
        <w:gridCol w:w="910"/>
        <w:gridCol w:w="1277"/>
        <w:gridCol w:w="521"/>
        <w:gridCol w:w="1486"/>
        <w:gridCol w:w="1080"/>
      </w:tblGrid>
      <w:tr>
        <w:trPr>
          <w:trHeight w:val="126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525" w:right="105"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0"/>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7" w:right="103"/>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51"/>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65" w:right="113" w:hanging="53"/>
              <w:jc w:val="both"/>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w:t>
            </w:r>
            <w:r>
              <w:rPr>
                <w:rFonts w:ascii="宋体" w:hAnsi="宋体" w:cs="宋体" w:eastAsia="宋体" w:hint="default"/>
                <w:spacing w:val="-3"/>
                <w:w w:val="100"/>
                <w:sz w:val="21"/>
                <w:szCs w:val="21"/>
              </w:rPr>
              <w:t> </w:t>
            </w:r>
            <w:r>
              <w:rPr>
                <w:rFonts w:ascii="宋体" w:hAnsi="宋体" w:cs="宋体" w:eastAsia="宋体" w:hint="default"/>
                <w:sz w:val="21"/>
                <w:szCs w:val="21"/>
              </w:rPr>
              <w:t>益相关</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02"/>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4"/>
                <w:sz w:val="21"/>
                <w:szCs w:val="21"/>
              </w:rPr>
              <w:t> </w:t>
            </w:r>
            <w:r>
              <w:rPr>
                <w:rFonts w:ascii="宋体" w:hAnsi="宋体" w:cs="宋体" w:eastAsia="宋体" w:hint="default"/>
                <w:sz w:val="21"/>
                <w:szCs w:val="21"/>
              </w:rPr>
              <w:t>屋顶光伏发</w:t>
            </w:r>
            <w:r>
              <w:rPr>
                <w:rFonts w:ascii="宋体" w:hAnsi="宋体" w:cs="宋体" w:eastAsia="宋体" w:hint="default"/>
                <w:w w:val="100"/>
                <w:sz w:val="21"/>
                <w:szCs w:val="21"/>
              </w:rPr>
              <w:t> </w:t>
            </w:r>
            <w:r>
              <w:rPr>
                <w:rFonts w:ascii="宋体" w:hAnsi="宋体" w:cs="宋体" w:eastAsia="宋体" w:hint="default"/>
                <w:sz w:val="21"/>
                <w:szCs w:val="21"/>
              </w:rPr>
              <w:t>电项目拨款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8,290,415.34</w:t>
            </w:r>
          </w:p>
        </w:tc>
        <w:tc>
          <w:tcPr>
            <w:tcW w:w="14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404,531.88</w:t>
            </w:r>
          </w:p>
        </w:tc>
        <w:tc>
          <w:tcPr>
            <w:tcW w:w="52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7,885,883.46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13"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52"/>
              <w:jc w:val="left"/>
              <w:rPr>
                <w:rFonts w:ascii="宋体" w:hAnsi="宋体" w:cs="宋体" w:eastAsia="宋体" w:hint="default"/>
                <w:sz w:val="21"/>
                <w:szCs w:val="21"/>
              </w:rPr>
            </w:pPr>
            <w:r>
              <w:rPr>
                <w:rFonts w:ascii="宋体" w:hAnsi="宋体" w:cs="宋体" w:eastAsia="宋体" w:hint="default"/>
                <w:sz w:val="21"/>
                <w:szCs w:val="21"/>
              </w:rPr>
              <w:t>公共租赁住房项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目拨款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宋体" w:hAnsi="宋体" w:cs="宋体" w:eastAsia="宋体" w:hint="default"/>
                <w:sz w:val="21"/>
                <w:szCs w:val="21"/>
              </w:rPr>
            </w:pPr>
            <w:r>
              <w:rPr>
                <w:rFonts w:ascii="宋体"/>
                <w:spacing w:val="-1"/>
                <w:sz w:val="21"/>
              </w:rPr>
              <w:t>2,692,644.01</w:t>
            </w:r>
          </w:p>
        </w:tc>
        <w:tc>
          <w:tcPr>
            <w:tcW w:w="14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宋体" w:hAnsi="宋体" w:cs="宋体" w:eastAsia="宋体" w:hint="default"/>
                <w:sz w:val="21"/>
                <w:szCs w:val="21"/>
              </w:rPr>
            </w:pPr>
            <w:r>
              <w:rPr>
                <w:rFonts w:ascii="宋体"/>
                <w:spacing w:val="-1"/>
                <w:sz w:val="21"/>
              </w:rPr>
              <w:t>172,790.04</w:t>
            </w:r>
          </w:p>
        </w:tc>
        <w:tc>
          <w:tcPr>
            <w:tcW w:w="52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宋体" w:hAnsi="宋体" w:cs="宋体" w:eastAsia="宋体" w:hint="default"/>
                <w:sz w:val="21"/>
                <w:szCs w:val="21"/>
              </w:rPr>
            </w:pPr>
            <w:r>
              <w:rPr>
                <w:rFonts w:ascii="宋体"/>
                <w:spacing w:val="-1"/>
                <w:sz w:val="21"/>
              </w:rPr>
              <w:t>2,519,853.97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13"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52"/>
              <w:jc w:val="left"/>
              <w:rPr>
                <w:rFonts w:ascii="宋体" w:hAnsi="宋体" w:cs="宋体" w:eastAsia="宋体" w:hint="default"/>
                <w:sz w:val="21"/>
                <w:szCs w:val="21"/>
              </w:rPr>
            </w:pPr>
            <w:r>
              <w:rPr>
                <w:rFonts w:ascii="宋体" w:hAnsi="宋体" w:cs="宋体" w:eastAsia="宋体" w:hint="default"/>
                <w:sz w:val="21"/>
                <w:szCs w:val="21"/>
              </w:rPr>
              <w:t>智能表生产线项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目补贴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1,499,999.92</w:t>
            </w:r>
          </w:p>
        </w:tc>
        <w:tc>
          <w:tcPr>
            <w:tcW w:w="14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500,000.04</w:t>
            </w:r>
          </w:p>
        </w:tc>
        <w:tc>
          <w:tcPr>
            <w:tcW w:w="52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999,999.88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13"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52"/>
              <w:jc w:val="left"/>
              <w:rPr>
                <w:rFonts w:ascii="宋体" w:hAnsi="宋体" w:cs="宋体" w:eastAsia="宋体" w:hint="default"/>
                <w:sz w:val="21"/>
                <w:szCs w:val="21"/>
              </w:rPr>
            </w:pPr>
            <w:r>
              <w:rPr>
                <w:rFonts w:ascii="宋体" w:hAnsi="宋体" w:cs="宋体" w:eastAsia="宋体" w:hint="default"/>
                <w:sz w:val="21"/>
                <w:szCs w:val="21"/>
              </w:rPr>
              <w:t>发展和改革局转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型升级资金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4,000,000.00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4,000,000.00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13"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z w:val="21"/>
                <w:szCs w:val="21"/>
              </w:rPr>
              <w:t>立陶宛政府补助</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2,172,566.04</w:t>
            </w:r>
          </w:p>
        </w:tc>
        <w:tc>
          <w:tcPr>
            <w:tcW w:w="14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938,742.65</w:t>
            </w:r>
          </w:p>
        </w:tc>
        <w:tc>
          <w:tcPr>
            <w:tcW w:w="52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1,233,823.39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13"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252"/>
              <w:jc w:val="left"/>
              <w:rPr>
                <w:rFonts w:ascii="宋体" w:hAnsi="宋体" w:cs="宋体" w:eastAsia="宋体" w:hint="default"/>
                <w:sz w:val="21"/>
                <w:szCs w:val="21"/>
              </w:rPr>
            </w:pPr>
            <w:r>
              <w:rPr>
                <w:rFonts w:ascii="宋体" w:hAnsi="宋体" w:cs="宋体" w:eastAsia="宋体" w:hint="default"/>
                <w:sz w:val="21"/>
                <w:szCs w:val="21"/>
              </w:rPr>
              <w:t>清洗行业含氢氯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氟烃淘汰项目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6"/>
              <w:jc w:val="right"/>
              <w:rPr>
                <w:rFonts w:ascii="宋体" w:hAnsi="宋体" w:cs="宋体" w:eastAsia="宋体" w:hint="default"/>
                <w:sz w:val="21"/>
                <w:szCs w:val="21"/>
              </w:rPr>
            </w:pPr>
            <w:r>
              <w:rPr>
                <w:rFonts w:ascii="宋体"/>
                <w:spacing w:val="-1"/>
                <w:sz w:val="21"/>
              </w:rPr>
              <w:t>1,369,000.00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sz w:val="21"/>
              </w:rPr>
              <w:t>2,053,500.00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4"/>
              <w:jc w:val="right"/>
              <w:rPr>
                <w:rFonts w:ascii="宋体" w:hAnsi="宋体" w:cs="宋体" w:eastAsia="宋体" w:hint="default"/>
                <w:sz w:val="21"/>
                <w:szCs w:val="21"/>
              </w:rPr>
            </w:pPr>
            <w:r>
              <w:rPr>
                <w:rFonts w:ascii="宋体"/>
                <w:spacing w:val="-1"/>
                <w:sz w:val="21"/>
              </w:rPr>
              <w:t>3,422,500.00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13" w:hanging="315"/>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pStyle w:val="BodyText"/>
        <w:spacing w:line="240" w:lineRule="auto" w:before="47"/>
        <w:ind w:left="797" w:right="436"/>
        <w:jc w:val="left"/>
      </w:pPr>
      <w:r>
        <w:rPr/>
        <w:t>其他说明：</w:t>
      </w:r>
    </w:p>
    <w:p>
      <w:pPr>
        <w:pStyle w:val="BodyText"/>
        <w:spacing w:line="240" w:lineRule="auto" w:before="97"/>
        <w:ind w:left="797" w:right="43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66"/>
        <w:ind w:left="797" w:right="436"/>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97"/>
        <w:ind w:left="797" w:right="436"/>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480" w:right="980"/>
        </w:sectPr>
      </w:pPr>
    </w:p>
    <w:p>
      <w:pPr>
        <w:pStyle w:val="Heading2"/>
        <w:spacing w:line="240" w:lineRule="auto"/>
        <w:ind w:left="797" w:right="209"/>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97"/>
        <w:ind w:left="7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797" w:right="0"/>
        <w:jc w:val="left"/>
      </w:pPr>
      <w:r>
        <w:rPr/>
        <w:t>单位：元币种：人民币</w:t>
      </w:r>
    </w:p>
    <w:p>
      <w:pPr>
        <w:spacing w:after="0" w:line="240" w:lineRule="auto"/>
        <w:jc w:val="left"/>
        <w:sectPr>
          <w:type w:val="continuous"/>
          <w:pgSz w:w="11910" w:h="16840"/>
          <w:pgMar w:top="1580" w:bottom="280" w:left="480" w:right="980"/>
          <w:cols w:num="2" w:equalWidth="0">
            <w:col w:w="2375" w:space="4358"/>
            <w:col w:w="3717"/>
          </w:cols>
        </w:sectPr>
      </w:pPr>
    </w:p>
    <w:p>
      <w:pPr>
        <w:spacing w:line="240" w:lineRule="auto" w:before="10"/>
        <w:rPr>
          <w:rFonts w:ascii="宋体" w:hAnsi="宋体" w:cs="宋体" w:eastAsia="宋体" w:hint="default"/>
          <w:sz w:val="3"/>
          <w:szCs w:val="3"/>
        </w:rPr>
      </w:pPr>
    </w:p>
    <w:tbl>
      <w:tblPr>
        <w:tblW w:w="0" w:type="auto"/>
        <w:jc w:val="left"/>
        <w:tblInd w:w="523" w:type="dxa"/>
        <w:tblLayout w:type="fixed"/>
        <w:tblCellMar>
          <w:top w:w="0" w:type="dxa"/>
          <w:left w:w="0" w:type="dxa"/>
          <w:bottom w:w="0" w:type="dxa"/>
          <w:right w:w="0" w:type="dxa"/>
        </w:tblCellMar>
        <w:tblLook w:val="01E0"/>
      </w:tblPr>
      <w:tblGrid>
        <w:gridCol w:w="1133"/>
        <w:gridCol w:w="1656"/>
        <w:gridCol w:w="1297"/>
        <w:gridCol w:w="451"/>
        <w:gridCol w:w="941"/>
        <w:gridCol w:w="938"/>
        <w:gridCol w:w="1298"/>
        <w:gridCol w:w="1657"/>
      </w:tblGrid>
      <w:tr>
        <w:trPr>
          <w:trHeight w:val="322" w:hRule="exact"/>
        </w:trPr>
        <w:tc>
          <w:tcPr>
            <w:tcW w:w="1133" w:type="dxa"/>
            <w:vMerge w:val="restart"/>
            <w:tcBorders>
              <w:top w:val="single" w:sz="4" w:space="0" w:color="000000"/>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6" w:hRule="exact"/>
        </w:trPr>
        <w:tc>
          <w:tcPr>
            <w:tcW w:w="1133"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63" w:right="461"/>
              <w:jc w:val="center"/>
              <w:rPr>
                <w:rFonts w:ascii="宋体" w:hAnsi="宋体" w:cs="宋体" w:eastAsia="宋体" w:hint="default"/>
                <w:sz w:val="18"/>
                <w:szCs w:val="18"/>
              </w:rPr>
            </w:pPr>
            <w:r>
              <w:rPr>
                <w:rFonts w:ascii="宋体" w:hAnsi="宋体" w:cs="宋体" w:eastAsia="宋体" w:hint="default"/>
                <w:sz w:val="18"/>
                <w:szCs w:val="18"/>
              </w:rPr>
              <w:t>发行 新股</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29" w:right="131"/>
              <w:jc w:val="left"/>
              <w:rPr>
                <w:rFonts w:ascii="宋体" w:hAnsi="宋体" w:cs="宋体" w:eastAsia="宋体" w:hint="default"/>
                <w:sz w:val="18"/>
                <w:szCs w:val="18"/>
              </w:rPr>
            </w:pPr>
            <w:r>
              <w:rPr>
                <w:rFonts w:ascii="宋体" w:hAnsi="宋体" w:cs="宋体" w:eastAsia="宋体" w:hint="default"/>
                <w:sz w:val="18"/>
                <w:szCs w:val="18"/>
              </w:rPr>
              <w:t>送 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85" w:right="19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5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480" w:right="980"/>
        </w:sectPr>
      </w:pPr>
    </w:p>
    <w:p>
      <w:pPr>
        <w:spacing w:line="240" w:lineRule="auto" w:before="0"/>
        <w:rPr>
          <w:rFonts w:ascii="宋体" w:hAnsi="宋体" w:cs="宋体" w:eastAsia="宋体" w:hint="default"/>
          <w:sz w:val="24"/>
          <w:szCs w:val="24"/>
        </w:rPr>
      </w:pPr>
    </w:p>
    <w:tbl>
      <w:tblPr>
        <w:tblW w:w="0" w:type="auto"/>
        <w:jc w:val="left"/>
        <w:tblInd w:w="583" w:type="dxa"/>
        <w:tblLayout w:type="fixed"/>
        <w:tblCellMar>
          <w:top w:w="0" w:type="dxa"/>
          <w:left w:w="0" w:type="dxa"/>
          <w:bottom w:w="0" w:type="dxa"/>
          <w:right w:w="0" w:type="dxa"/>
        </w:tblCellMar>
        <w:tblLook w:val="01E0"/>
      </w:tblPr>
      <w:tblGrid>
        <w:gridCol w:w="1133"/>
        <w:gridCol w:w="1656"/>
        <w:gridCol w:w="1297"/>
        <w:gridCol w:w="451"/>
        <w:gridCol w:w="941"/>
        <w:gridCol w:w="938"/>
        <w:gridCol w:w="1298"/>
        <w:gridCol w:w="1657"/>
      </w:tblGrid>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1,764,091,819.00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1,314,600.00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4,424.00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1,319,024.00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1,765,410,843.00</w:t>
            </w:r>
          </w:p>
        </w:tc>
      </w:tr>
    </w:tbl>
    <w:p>
      <w:pPr>
        <w:spacing w:line="240" w:lineRule="auto" w:before="4"/>
        <w:rPr>
          <w:rFonts w:ascii="宋体" w:hAnsi="宋体" w:cs="宋体" w:eastAsia="宋体" w:hint="default"/>
          <w:sz w:val="29"/>
          <w:szCs w:val="29"/>
        </w:rPr>
      </w:pPr>
    </w:p>
    <w:p>
      <w:pPr>
        <w:pStyle w:val="Heading2"/>
        <w:spacing w:line="324" w:lineRule="auto"/>
        <w:ind w:left="857" w:right="2296"/>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23"/>
        <w:ind w:left="857" w:right="229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857" w:right="2296"/>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97"/>
        <w:ind w:left="857" w:right="2296"/>
        <w:jc w:val="left"/>
      </w:pPr>
      <w:r>
        <w:rPr/>
        <w:t>√适用 □不适用</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265"/>
        <w:gridCol w:w="1274"/>
        <w:gridCol w:w="1697"/>
        <w:gridCol w:w="434"/>
        <w:gridCol w:w="720"/>
        <w:gridCol w:w="567"/>
        <w:gridCol w:w="1116"/>
        <w:gridCol w:w="1405"/>
        <w:gridCol w:w="1841"/>
      </w:tblGrid>
      <w:tr>
        <w:trPr>
          <w:trHeight w:val="350" w:hRule="exact"/>
        </w:trPr>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9" w:lineRule="auto"/>
              <w:ind w:left="266" w:right="176"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34" w:hRule="exact"/>
        </w:trPr>
        <w:tc>
          <w:tcPr>
            <w:tcW w:w="126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数 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7" w:right="189"/>
              <w:jc w:val="center"/>
              <w:rPr>
                <w:rFonts w:ascii="宋体" w:hAnsi="宋体" w:cs="宋体" w:eastAsia="宋体" w:hint="default"/>
                <w:sz w:val="18"/>
                <w:szCs w:val="18"/>
              </w:rPr>
            </w:pPr>
            <w:r>
              <w:rPr>
                <w:rFonts w:ascii="宋体" w:hAnsi="宋体" w:cs="宋体" w:eastAsia="宋体" w:hint="default"/>
                <w:sz w:val="18"/>
                <w:szCs w:val="18"/>
              </w:rPr>
              <w:t>数 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7" w:right="245"/>
              <w:jc w:val="left"/>
              <w:rPr>
                <w:rFonts w:ascii="宋体" w:hAnsi="宋体" w:cs="宋体" w:eastAsia="宋体" w:hint="default"/>
                <w:sz w:val="18"/>
                <w:szCs w:val="18"/>
              </w:rPr>
            </w:pPr>
            <w:r>
              <w:rPr>
                <w:rFonts w:ascii="宋体" w:hAnsi="宋体" w:cs="宋体" w:eastAsia="宋体" w:hint="default"/>
                <w:sz w:val="18"/>
                <w:szCs w:val="18"/>
              </w:rPr>
              <w:t>可转换公司 债券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648,695,328.93</w:t>
            </w:r>
          </w:p>
        </w:tc>
        <w:tc>
          <w:tcPr>
            <w:tcW w:w="43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8,433.05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29,999,610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648,686,895.88</w:t>
            </w:r>
          </w:p>
        </w:tc>
      </w:tr>
      <w:tr>
        <w:trPr>
          <w:trHeight w:val="35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648,695,328.93</w:t>
            </w:r>
          </w:p>
        </w:tc>
        <w:tc>
          <w:tcPr>
            <w:tcW w:w="43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390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8,433.05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29,999,610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宋体" w:hAnsi="宋体" w:cs="宋体" w:eastAsia="宋体" w:hint="default"/>
                <w:sz w:val="18"/>
                <w:szCs w:val="18"/>
              </w:rPr>
            </w:pPr>
            <w:r>
              <w:rPr>
                <w:rFonts w:ascii="宋体"/>
                <w:spacing w:val="-1"/>
                <w:sz w:val="18"/>
              </w:rPr>
              <w:t>648,686,895.88</w:t>
            </w:r>
          </w:p>
        </w:tc>
      </w:tr>
    </w:tbl>
    <w:p>
      <w:pPr>
        <w:spacing w:line="240" w:lineRule="auto" w:before="12"/>
        <w:rPr>
          <w:rFonts w:ascii="宋体" w:hAnsi="宋体" w:cs="宋体" w:eastAsia="宋体" w:hint="default"/>
          <w:sz w:val="22"/>
          <w:szCs w:val="22"/>
        </w:rPr>
      </w:pPr>
    </w:p>
    <w:p>
      <w:pPr>
        <w:pStyle w:val="BodyText"/>
        <w:spacing w:line="240" w:lineRule="auto"/>
        <w:ind w:left="857" w:right="2296"/>
        <w:jc w:val="left"/>
      </w:pPr>
      <w:r>
        <w:rPr/>
        <w:t>其他权益工具本期增减变动情况、变动原因说明，以及相关会计处理的依据：</w:t>
      </w:r>
    </w:p>
    <w:p>
      <w:pPr>
        <w:pStyle w:val="BodyText"/>
        <w:spacing w:line="240" w:lineRule="auto" w:before="37"/>
        <w:ind w:left="857" w:right="2296"/>
        <w:jc w:val="left"/>
      </w:pPr>
      <w:r>
        <w:rPr/>
        <w:t>√适用 □不适用</w:t>
      </w:r>
    </w:p>
    <w:p>
      <w:pPr>
        <w:pStyle w:val="BodyText"/>
        <w:spacing w:line="240" w:lineRule="auto" w:before="142"/>
        <w:ind w:left="1277" w:right="764"/>
        <w:jc w:val="left"/>
      </w:pPr>
      <w:r>
        <w:rPr/>
        <w:t>截止</w:t>
      </w:r>
      <w:r>
        <w:rPr>
          <w:spacing w:val="-53"/>
        </w:rPr>
        <w:t> </w:t>
      </w:r>
      <w:r>
        <w:rPr>
          <w:rFonts w:ascii="Arial" w:hAnsi="Arial" w:cs="Arial" w:eastAsia="Arial" w:hint="default"/>
        </w:rPr>
        <w:t>2018</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8"/>
        </w:rPr>
        <w:t> </w:t>
      </w:r>
      <w:r>
        <w:rPr>
          <w:spacing w:val="-7"/>
        </w:rPr>
        <w:t>日，累计共有</w:t>
      </w:r>
      <w:r>
        <w:rPr>
          <w:spacing w:val="-55"/>
        </w:rPr>
        <w:t> </w:t>
      </w:r>
      <w:r>
        <w:rPr>
          <w:rFonts w:ascii="Arial" w:hAnsi="Arial" w:cs="Arial" w:eastAsia="Arial" w:hint="default"/>
        </w:rPr>
        <w:t>39</w:t>
      </w:r>
      <w:r>
        <w:rPr>
          <w:rFonts w:ascii="宋体" w:hAnsi="宋体" w:cs="宋体" w:eastAsia="宋体" w:hint="default"/>
        </w:rPr>
        <w:t>,</w:t>
      </w:r>
      <w:r>
        <w:rPr>
          <w:rFonts w:ascii="Arial" w:hAnsi="Arial" w:cs="Arial" w:eastAsia="Arial" w:hint="default"/>
        </w:rPr>
        <w:t>000</w:t>
      </w:r>
      <w:r>
        <w:rPr>
          <w:rFonts w:ascii="Arial" w:hAnsi="Arial" w:cs="Arial" w:eastAsia="Arial" w:hint="default"/>
          <w:spacing w:val="-8"/>
        </w:rPr>
        <w:t> </w:t>
      </w:r>
      <w:r>
        <w:rPr/>
        <w:t>元债券转为公司股票</w:t>
      </w:r>
      <w:r>
        <w:rPr>
          <w:rFonts w:ascii="宋体" w:hAnsi="宋体" w:cs="宋体" w:eastAsia="宋体" w:hint="default"/>
        </w:rPr>
        <w:t>,</w:t>
      </w:r>
      <w:r>
        <w:rPr/>
        <w:t>因转股形成的股份数量为</w:t>
      </w:r>
    </w:p>
    <w:p>
      <w:pPr>
        <w:pStyle w:val="BodyText"/>
        <w:spacing w:line="240" w:lineRule="auto" w:before="111"/>
        <w:ind w:left="857" w:right="2296"/>
        <w:jc w:val="left"/>
      </w:pPr>
      <w:r>
        <w:rPr>
          <w:rFonts w:ascii="Arial" w:hAnsi="Arial" w:cs="Arial" w:eastAsia="Arial" w:hint="default"/>
        </w:rPr>
        <w:t>4,424</w:t>
      </w:r>
      <w:r>
        <w:rPr>
          <w:rFonts w:ascii="Arial" w:hAnsi="Arial" w:cs="Arial" w:eastAsia="Arial" w:hint="default"/>
          <w:spacing w:val="-4"/>
        </w:rPr>
        <w:t> </w:t>
      </w:r>
      <w:r>
        <w:rPr/>
        <w:t>股。</w:t>
      </w:r>
    </w:p>
    <w:p>
      <w:pPr>
        <w:spacing w:line="240" w:lineRule="auto" w:before="1"/>
        <w:rPr>
          <w:rFonts w:ascii="宋体" w:hAnsi="宋体" w:cs="宋体" w:eastAsia="宋体" w:hint="default"/>
          <w:sz w:val="24"/>
          <w:szCs w:val="24"/>
        </w:rPr>
      </w:pPr>
    </w:p>
    <w:p>
      <w:pPr>
        <w:pStyle w:val="BodyText"/>
        <w:spacing w:line="240" w:lineRule="auto"/>
        <w:ind w:left="857" w:right="2296"/>
        <w:jc w:val="left"/>
        <w:rPr>
          <w:rFonts w:ascii="宋体" w:hAnsi="宋体" w:cs="宋体" w:eastAsia="宋体" w:hint="default"/>
        </w:rPr>
      </w:pPr>
      <w:r>
        <w:rPr/>
        <w:t>其他说明</w:t>
      </w:r>
      <w:r>
        <w:rPr>
          <w:rFonts w:ascii="宋体" w:hAnsi="宋体" w:cs="宋体" w:eastAsia="宋体" w:hint="default"/>
        </w:rPr>
        <w:t>:</w:t>
      </w:r>
    </w:p>
    <w:p>
      <w:pPr>
        <w:pStyle w:val="BodyText"/>
        <w:spacing w:line="240" w:lineRule="auto" w:before="37"/>
        <w:ind w:left="857" w:right="2296"/>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420" w:right="920"/>
        </w:sectPr>
      </w:pPr>
    </w:p>
    <w:p>
      <w:pPr>
        <w:pStyle w:val="Heading2"/>
        <w:spacing w:line="240" w:lineRule="auto"/>
        <w:ind w:left="857" w:right="-18"/>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97"/>
        <w:ind w:left="8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857" w:right="0"/>
        <w:jc w:val="left"/>
      </w:pPr>
      <w:r>
        <w:rPr/>
        <w:t>单位：元币种：人民币</w:t>
      </w:r>
    </w:p>
    <w:p>
      <w:pPr>
        <w:spacing w:after="0" w:line="240" w:lineRule="auto"/>
        <w:jc w:val="left"/>
        <w:sectPr>
          <w:type w:val="continuous"/>
          <w:pgSz w:w="11910" w:h="16840"/>
          <w:pgMar w:top="1580" w:bottom="280" w:left="420" w:right="920"/>
          <w:cols w:num="2" w:equalWidth="0">
            <w:col w:w="2435" w:space="4298"/>
            <w:col w:w="3837"/>
          </w:cols>
        </w:sectPr>
      </w:pPr>
    </w:p>
    <w:p>
      <w:pPr>
        <w:spacing w:line="240" w:lineRule="auto" w:before="10"/>
        <w:rPr>
          <w:rFonts w:ascii="宋体" w:hAnsi="宋体" w:cs="宋体" w:eastAsia="宋体" w:hint="default"/>
          <w:sz w:val="3"/>
          <w:szCs w:val="3"/>
        </w:rPr>
      </w:pPr>
    </w:p>
    <w:tbl>
      <w:tblPr>
        <w:tblW w:w="0" w:type="auto"/>
        <w:jc w:val="left"/>
        <w:tblInd w:w="739" w:type="dxa"/>
        <w:tblLayout w:type="fixed"/>
        <w:tblCellMar>
          <w:top w:w="0" w:type="dxa"/>
          <w:left w:w="0" w:type="dxa"/>
          <w:bottom w:w="0" w:type="dxa"/>
          <w:right w:w="0" w:type="dxa"/>
        </w:tblCellMar>
        <w:tblLook w:val="01E0"/>
      </w:tblPr>
      <w:tblGrid>
        <w:gridCol w:w="1654"/>
        <w:gridCol w:w="1906"/>
        <w:gridCol w:w="1805"/>
        <w:gridCol w:w="1788"/>
        <w:gridCol w:w="1909"/>
      </w:tblGrid>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4,582,838,765.92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39,246,518.36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14,838,991.92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4,607,246,292.36</w:t>
            </w:r>
          </w:p>
        </w:tc>
      </w:tr>
      <w:tr>
        <w:trPr>
          <w:trHeight w:val="28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35,159,623.11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32,274,666.67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2,884,956.44</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71"/>
              <w:jc w:val="left"/>
              <w:rPr>
                <w:rFonts w:ascii="宋体" w:hAnsi="宋体" w:cs="宋体" w:eastAsia="宋体" w:hint="default"/>
                <w:sz w:val="21"/>
                <w:szCs w:val="21"/>
              </w:rPr>
            </w:pPr>
            <w:r>
              <w:rPr>
                <w:rFonts w:ascii="宋体" w:hAnsi="宋体" w:cs="宋体" w:eastAsia="宋体" w:hint="default"/>
                <w:sz w:val="21"/>
                <w:szCs w:val="21"/>
              </w:rPr>
              <w:t>同一控制下企</w:t>
            </w:r>
            <w:r>
              <w:rPr>
                <w:rFonts w:ascii="宋体" w:hAnsi="宋体" w:cs="宋体" w:eastAsia="宋体" w:hint="default"/>
                <w:w w:val="100"/>
                <w:sz w:val="21"/>
                <w:szCs w:val="21"/>
              </w:rPr>
              <w:t> </w:t>
            </w:r>
            <w:r>
              <w:rPr>
                <w:rFonts w:ascii="宋体" w:hAnsi="宋体" w:cs="宋体" w:eastAsia="宋体" w:hint="default"/>
                <w:sz w:val="21"/>
                <w:szCs w:val="21"/>
              </w:rPr>
              <w:t>业合并</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150,000,000.00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150,000,000.00</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4,767,998,389.03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39,246,518.36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47,113,658.59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4,760,131,248.80</w:t>
            </w:r>
          </w:p>
        </w:tc>
      </w:tr>
    </w:tbl>
    <w:p>
      <w:pPr>
        <w:pStyle w:val="BodyText"/>
        <w:spacing w:line="262" w:lineRule="exact"/>
        <w:ind w:left="857" w:right="2296"/>
        <w:jc w:val="left"/>
      </w:pPr>
      <w:r>
        <w:rPr/>
        <w:t>其他说明，包括本期增减变动情况、变动原因说明：</w:t>
      </w:r>
    </w:p>
    <w:p>
      <w:pPr>
        <w:pStyle w:val="BodyText"/>
        <w:spacing w:line="328" w:lineRule="auto" w:before="142"/>
        <w:ind w:left="857" w:right="865" w:firstLine="420"/>
        <w:jc w:val="left"/>
      </w:pPr>
      <w:r>
        <w:rPr/>
        <w:t>注</w:t>
      </w:r>
      <w:r>
        <w:rPr>
          <w:spacing w:val="4"/>
        </w:rPr>
        <w:t> </w:t>
      </w:r>
      <w:r>
        <w:rPr>
          <w:rFonts w:ascii="Times New Roman" w:hAnsi="Times New Roman" w:cs="Times New Roman" w:eastAsia="Times New Roman" w:hint="default"/>
        </w:rPr>
        <w:t>1</w:t>
      </w:r>
      <w:r>
        <w:rPr/>
        <w:t>：本期第二期限制性股票激励计划符合解锁条件的限制性股票解锁，由其他资本公积转</w:t>
      </w:r>
      <w:r>
        <w:rPr>
          <w:w w:val="100"/>
        </w:rPr>
        <w:t> </w:t>
      </w:r>
      <w:r>
        <w:rPr/>
        <w:t>入股本溢价</w:t>
      </w:r>
      <w:r>
        <w:rPr>
          <w:spacing w:val="-42"/>
        </w:rPr>
        <w:t> </w:t>
      </w:r>
      <w:r>
        <w:rPr>
          <w:rFonts w:ascii="Times New Roman" w:hAnsi="Times New Roman" w:cs="Times New Roman" w:eastAsia="Times New Roman" w:hint="default"/>
        </w:rPr>
        <w:t>32,274,666.67</w:t>
      </w:r>
      <w:r>
        <w:rPr>
          <w:rFonts w:ascii="Times New Roman" w:hAnsi="Times New Roman" w:cs="Times New Roman" w:eastAsia="Times New Roman" w:hint="default"/>
          <w:spacing w:val="10"/>
        </w:rPr>
        <w:t> </w:t>
      </w:r>
      <w:r>
        <w:rPr/>
        <w:t>元；本期向</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名激励对象授予第二期股权激励计划</w:t>
      </w:r>
      <w:r>
        <w:rPr>
          <w:spacing w:val="-45"/>
        </w:rPr>
        <w:t> </w:t>
      </w:r>
      <w:r>
        <w:rPr>
          <w:rFonts w:ascii="Times New Roman" w:hAnsi="Times New Roman" w:cs="Times New Roman" w:eastAsia="Times New Roman" w:hint="default"/>
        </w:rPr>
        <w:t>160</w:t>
      </w:r>
      <w:r>
        <w:rPr>
          <w:rFonts w:ascii="Times New Roman" w:hAnsi="Times New Roman" w:cs="Times New Roman" w:eastAsia="Times New Roman" w:hint="default"/>
          <w:spacing w:val="10"/>
        </w:rPr>
        <w:t> </w:t>
      </w:r>
      <w:r>
        <w:rPr/>
        <w:t>万股预留限制</w:t>
      </w:r>
    </w:p>
    <w:p>
      <w:pPr>
        <w:pStyle w:val="BodyText"/>
        <w:spacing w:line="240" w:lineRule="auto" w:before="24"/>
        <w:ind w:left="857" w:right="764"/>
        <w:jc w:val="left"/>
      </w:pPr>
      <w:r>
        <w:rPr>
          <w:spacing w:val="-4"/>
        </w:rPr>
        <w:t>性股票，超出股本溢价部分 </w:t>
      </w:r>
      <w:r>
        <w:rPr>
          <w:rFonts w:ascii="Times New Roman" w:hAnsi="Times New Roman" w:cs="Times New Roman" w:eastAsia="Times New Roman" w:hint="default"/>
        </w:rPr>
        <w:t>5,728,000.00</w:t>
      </w:r>
      <w:r>
        <w:rPr>
          <w:rFonts w:ascii="Times New Roman" w:hAnsi="Times New Roman" w:cs="Times New Roman" w:eastAsia="Times New Roman" w:hint="default"/>
          <w:spacing w:val="23"/>
        </w:rPr>
        <w:t> </w:t>
      </w:r>
      <w:r>
        <w:rPr>
          <w:spacing w:val="-3"/>
        </w:rPr>
        <w:t>元计入资本公积；本期可转换公司债券转为公司股票</w:t>
      </w:r>
      <w:r>
        <w:rPr>
          <w:rFonts w:ascii="宋体" w:hAnsi="宋体" w:cs="宋体" w:eastAsia="宋体" w:hint="default"/>
          <w:spacing w:val="-3"/>
        </w:rPr>
        <w:t>,</w:t>
      </w:r>
      <w:r>
        <w:rPr>
          <w:spacing w:val="-3"/>
        </w:rPr>
        <w:t>超</w:t>
      </w:r>
    </w:p>
    <w:p>
      <w:pPr>
        <w:pStyle w:val="BodyText"/>
        <w:spacing w:line="328" w:lineRule="auto" w:before="110"/>
        <w:ind w:left="1277" w:right="764" w:hanging="420"/>
        <w:jc w:val="left"/>
      </w:pPr>
      <w:r>
        <w:rPr/>
        <w:t>出股本溢价部分</w:t>
      </w:r>
      <w:r>
        <w:rPr>
          <w:spacing w:val="-41"/>
        </w:rPr>
        <w:t> </w:t>
      </w:r>
      <w:r>
        <w:rPr>
          <w:rFonts w:ascii="Times New Roman" w:hAnsi="Times New Roman" w:cs="Times New Roman" w:eastAsia="Times New Roman" w:hint="default"/>
        </w:rPr>
        <w:t>34,416.20</w:t>
      </w:r>
      <w:r>
        <w:rPr>
          <w:rFonts w:ascii="Times New Roman" w:hAnsi="Times New Roman" w:cs="Times New Roman" w:eastAsia="Times New Roman" w:hint="default"/>
          <w:spacing w:val="8"/>
        </w:rPr>
        <w:t> </w:t>
      </w:r>
      <w:r>
        <w:rPr/>
        <w:t>元计入资本公积；本期处置子公司股权增加股本溢价</w:t>
      </w:r>
      <w:r>
        <w:rPr>
          <w:spacing w:val="-35"/>
        </w:rPr>
        <w:t> </w:t>
      </w:r>
      <w:r>
        <w:rPr>
          <w:rFonts w:ascii="Times New Roman" w:hAnsi="Times New Roman" w:cs="Times New Roman" w:eastAsia="Times New Roman" w:hint="default"/>
        </w:rPr>
        <w:t>1,209,435.49</w:t>
      </w:r>
      <w:r>
        <w:rPr>
          <w:rFonts w:ascii="Times New Roman" w:hAnsi="Times New Roman" w:cs="Times New Roman" w:eastAsia="Times New Roman" w:hint="default"/>
          <w:spacing w:val="15"/>
        </w:rPr>
        <w:t> </w:t>
      </w:r>
      <w:r>
        <w:rPr/>
        <w:t>元。</w:t>
      </w:r>
      <w:r>
        <w:rPr>
          <w:spacing w:val="-101"/>
        </w:rPr>
        <w:t> </w:t>
      </w:r>
      <w:r>
        <w:rPr/>
        <w:t>注</w:t>
      </w:r>
      <w:r>
        <w:rPr>
          <w:spacing w:val="-56"/>
        </w:rPr>
        <w:t> </w:t>
      </w:r>
      <w:r>
        <w:rPr>
          <w:rFonts w:ascii="宋体" w:hAnsi="宋体" w:cs="宋体" w:eastAsia="宋体" w:hint="default"/>
        </w:rPr>
        <w:t>2</w:t>
      </w:r>
      <w:r>
        <w:rPr/>
        <w:t>：本期收购子公司少数股东股权</w:t>
      </w:r>
      <w:r>
        <w:rPr>
          <w:spacing w:val="-56"/>
        </w:rPr>
        <w:t> </w:t>
      </w:r>
      <w:r>
        <w:rPr>
          <w:rFonts w:ascii="宋体" w:hAnsi="宋体" w:cs="宋体" w:eastAsia="宋体" w:hint="default"/>
        </w:rPr>
        <w:t>13,862,923.92</w:t>
      </w:r>
      <w:r>
        <w:rPr>
          <w:rFonts w:ascii="宋体" w:hAnsi="宋体" w:cs="宋体" w:eastAsia="宋体" w:hint="default"/>
          <w:spacing w:val="-56"/>
        </w:rPr>
        <w:t> </w:t>
      </w:r>
      <w:r>
        <w:rPr/>
        <w:t>元计入资本公积；本期回购注销部分激</w:t>
      </w:r>
    </w:p>
    <w:p>
      <w:pPr>
        <w:pStyle w:val="BodyText"/>
        <w:spacing w:line="240" w:lineRule="auto" w:before="48"/>
        <w:ind w:left="857" w:right="2296"/>
        <w:jc w:val="left"/>
      </w:pPr>
      <w:r>
        <w:rPr/>
        <w:t>励对象已获授但尚未解锁的第二期限制性股票减少资本公积</w:t>
      </w:r>
      <w:r>
        <w:rPr>
          <w:spacing w:val="-55"/>
        </w:rPr>
        <w:t> </w:t>
      </w:r>
      <w:r>
        <w:rPr>
          <w:rFonts w:ascii="宋体" w:hAnsi="宋体" w:cs="宋体" w:eastAsia="宋体" w:hint="default"/>
        </w:rPr>
        <w:t>976,068.00</w:t>
      </w:r>
      <w:r>
        <w:rPr>
          <w:rFonts w:ascii="宋体" w:hAnsi="宋体" w:cs="宋体" w:eastAsia="宋体" w:hint="default"/>
          <w:spacing w:val="-55"/>
        </w:rPr>
        <w:t> </w:t>
      </w:r>
      <w:r>
        <w:rPr>
          <w:spacing w:val="-3"/>
        </w:rPr>
        <w:t>元。</w:t>
      </w:r>
      <w:r>
        <w:rPr/>
      </w:r>
    </w:p>
    <w:p>
      <w:pPr>
        <w:spacing w:after="0" w:line="240" w:lineRule="auto"/>
        <w:jc w:val="left"/>
        <w:sectPr>
          <w:type w:val="continuous"/>
          <w:pgSz w:w="11910" w:h="16840"/>
          <w:pgMar w:top="1580" w:bottom="280" w:left="42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643" w:footer="974" w:top="1120" w:bottom="1160" w:left="1040" w:right="1560"/>
        </w:sectPr>
      </w:pPr>
    </w:p>
    <w:p>
      <w:pPr>
        <w:pStyle w:val="Heading2"/>
        <w:spacing w:line="240" w:lineRule="auto"/>
        <w:ind w:left="237" w:right="81"/>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97,020,000.00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23,119,140.00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73,900,860.00</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回购股票</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99,614,760.20</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99,614,760.20</w:t>
            </w:r>
          </w:p>
        </w:tc>
      </w:tr>
      <w:tr>
        <w:trPr>
          <w:trHeight w:val="32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97,020,000.00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99,614,760.20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23,119,140.00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173,515,620.20</w:t>
            </w:r>
          </w:p>
        </w:tc>
      </w:tr>
    </w:tbl>
    <w:p>
      <w:pPr>
        <w:pStyle w:val="BodyText"/>
        <w:spacing w:line="262" w:lineRule="exact"/>
        <w:ind w:left="237" w:right="93"/>
        <w:jc w:val="left"/>
      </w:pPr>
      <w:r>
        <w:rPr/>
        <w:t>其他说明，包括本期增减变动情况、变动原因说明：</w:t>
      </w:r>
    </w:p>
    <w:p>
      <w:pPr>
        <w:pStyle w:val="BodyText"/>
        <w:spacing w:line="240" w:lineRule="auto" w:before="142"/>
        <w:ind w:left="237" w:right="93"/>
        <w:jc w:val="left"/>
        <w:rPr>
          <w:rFonts w:ascii="Times New Roman" w:hAnsi="Times New Roman" w:cs="Times New Roman" w:eastAsia="Times New Roman" w:hint="default"/>
        </w:rPr>
      </w:pPr>
      <w:r>
        <w:rPr>
          <w:w w:val="100"/>
        </w:rPr>
        <w:t>注</w:t>
      </w:r>
      <w:r>
        <w:rPr>
          <w:spacing w:val="-106"/>
          <w:w w:val="100"/>
        </w:rPr>
        <w:t>：</w:t>
      </w:r>
      <w:r>
        <w:rPr>
          <w:rFonts w:ascii="Times New Roman" w:hAnsi="Times New Roman" w:cs="Times New Roman" w:eastAsia="Times New Roman" w:hint="default"/>
          <w:w w:val="100"/>
        </w:rPr>
        <w:t>1</w:t>
      </w:r>
      <w:r>
        <w:rPr>
          <w:spacing w:val="-108"/>
          <w:w w:val="100"/>
        </w:rPr>
        <w:t>、</w:t>
      </w:r>
      <w:r>
        <w:rPr>
          <w:w w:val="100"/>
        </w:rPr>
        <w:t>本</w:t>
      </w:r>
      <w:r>
        <w:rPr>
          <w:spacing w:val="-3"/>
          <w:w w:val="100"/>
        </w:rPr>
        <w:t>期</w:t>
      </w:r>
      <w:r>
        <w:rPr>
          <w:w w:val="100"/>
        </w:rPr>
        <w:t>回</w:t>
      </w:r>
      <w:r>
        <w:rPr>
          <w:spacing w:val="-3"/>
          <w:w w:val="100"/>
        </w:rPr>
        <w:t>购</w:t>
      </w:r>
      <w:r>
        <w:rPr>
          <w:w w:val="100"/>
        </w:rPr>
        <w:t>股</w:t>
      </w:r>
      <w:r>
        <w:rPr>
          <w:spacing w:val="-3"/>
          <w:w w:val="100"/>
        </w:rPr>
        <w:t>票</w:t>
      </w:r>
      <w:r>
        <w:rPr>
          <w:w w:val="100"/>
        </w:rPr>
        <w:t>增</w:t>
      </w:r>
      <w:r>
        <w:rPr>
          <w:spacing w:val="-3"/>
          <w:w w:val="100"/>
        </w:rPr>
        <w:t>加库</w:t>
      </w:r>
      <w:r>
        <w:rPr>
          <w:w w:val="100"/>
        </w:rPr>
        <w:t>存股</w:t>
      </w:r>
      <w:r>
        <w:rPr>
          <w:spacing w:val="-65"/>
        </w:rPr>
        <w:t> </w:t>
      </w:r>
      <w:r>
        <w:rPr>
          <w:rFonts w:ascii="Times New Roman" w:hAnsi="Times New Roman" w:cs="Times New Roman" w:eastAsia="Times New Roman" w:hint="default"/>
          <w:w w:val="100"/>
        </w:rPr>
        <w:t>99,</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14,7</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0.20</w:t>
      </w:r>
      <w:r>
        <w:rPr>
          <w:rFonts w:ascii="Times New Roman" w:hAnsi="Times New Roman" w:cs="Times New Roman" w:eastAsia="Times New Roman" w:hint="default"/>
          <w:spacing w:val="-12"/>
        </w:rPr>
        <w:t> </w:t>
      </w:r>
      <w:r>
        <w:rPr>
          <w:spacing w:val="-3"/>
          <w:w w:val="100"/>
        </w:rPr>
        <w:t>元</w:t>
      </w:r>
      <w:r>
        <w:rPr>
          <w:spacing w:val="-106"/>
          <w:w w:val="100"/>
        </w:rPr>
        <w:t>；</w:t>
      </w:r>
      <w:r>
        <w:rPr>
          <w:rFonts w:ascii="Times New Roman" w:hAnsi="Times New Roman" w:cs="Times New Roman" w:eastAsia="Times New Roman" w:hint="default"/>
          <w:w w:val="100"/>
        </w:rPr>
        <w:t>2</w:t>
      </w:r>
      <w:r>
        <w:rPr>
          <w:spacing w:val="-108"/>
          <w:w w:val="100"/>
        </w:rPr>
        <w:t>、</w:t>
      </w:r>
      <w:r>
        <w:rPr>
          <w:spacing w:val="-3"/>
          <w:w w:val="100"/>
        </w:rPr>
        <w:t>授</w:t>
      </w:r>
      <w:r>
        <w:rPr>
          <w:w w:val="100"/>
        </w:rPr>
        <w:t>予员</w:t>
      </w:r>
      <w:r>
        <w:rPr>
          <w:spacing w:val="-3"/>
          <w:w w:val="100"/>
        </w:rPr>
        <w:t>工</w:t>
      </w:r>
      <w:r>
        <w:rPr>
          <w:w w:val="100"/>
        </w:rPr>
        <w:t>限</w:t>
      </w:r>
      <w:r>
        <w:rPr>
          <w:spacing w:val="-3"/>
          <w:w w:val="100"/>
        </w:rPr>
        <w:t>制</w:t>
      </w:r>
      <w:r>
        <w:rPr>
          <w:w w:val="100"/>
        </w:rPr>
        <w:t>性</w:t>
      </w:r>
      <w:r>
        <w:rPr>
          <w:spacing w:val="-3"/>
          <w:w w:val="100"/>
        </w:rPr>
        <w:t>股</w:t>
      </w:r>
      <w:r>
        <w:rPr>
          <w:w w:val="100"/>
        </w:rPr>
        <w:t>票</w:t>
      </w:r>
      <w:r>
        <w:rPr>
          <w:spacing w:val="-3"/>
          <w:w w:val="100"/>
        </w:rPr>
        <w:t>减</w:t>
      </w:r>
      <w:r>
        <w:rPr>
          <w:w w:val="100"/>
        </w:rPr>
        <w:t>少</w:t>
      </w:r>
      <w:r>
        <w:rPr>
          <w:spacing w:val="-3"/>
          <w:w w:val="100"/>
        </w:rPr>
        <w:t>库</w:t>
      </w:r>
      <w:r>
        <w:rPr>
          <w:w w:val="100"/>
        </w:rPr>
        <w:t>存股</w:t>
      </w:r>
      <w:r>
        <w:rPr>
          <w:spacing w:val="-64"/>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pStyle w:val="BodyText"/>
        <w:spacing w:line="240" w:lineRule="auto" w:before="108"/>
        <w:ind w:left="237" w:right="93"/>
        <w:jc w:val="left"/>
      </w:pPr>
      <w:r>
        <w:rPr/>
        <w:t>元。</w:t>
      </w:r>
    </w:p>
    <w:p>
      <w:pPr>
        <w:spacing w:after="0" w:line="240" w:lineRule="auto"/>
        <w:jc w:val="left"/>
        <w:sectPr>
          <w:type w:val="continuous"/>
          <w:pgSz w:w="11910" w:h="16840"/>
          <w:pgMar w:top="1580" w:bottom="280" w:left="1040" w:right="1560"/>
        </w:sectPr>
      </w:pPr>
    </w:p>
    <w:p>
      <w:pPr>
        <w:tabs>
          <w:tab w:pos="9871" w:val="left" w:leader="none"/>
        </w:tabs>
        <w:spacing w:before="20"/>
        <w:ind w:left="3474" w:right="0" w:firstLine="0"/>
        <w:jc w:val="left"/>
        <w:rPr>
          <w:rFonts w:ascii="宋体" w:hAnsi="宋体" w:cs="宋体" w:eastAsia="宋体" w:hint="default"/>
          <w:sz w:val="18"/>
          <w:szCs w:val="18"/>
        </w:rPr>
      </w:pPr>
      <w:r>
        <w:rPr/>
        <w:pict>
          <v:group style="position:absolute;margin-left:68.75pt;margin-top:9.6717pt;width:697.85pt;height:19.650pt;mso-position-horizontal-relative:page;mso-position-vertical-relative:paragraph;z-index:-1112224" coordorigin="1375,193" coordsize="13957,393">
            <v:group style="position:absolute;left:1411;top:312;width:13913;height:2" coordorigin="1411,312" coordsize="13913,2">
              <v:shape style="position:absolute;left:1411;top:312;width:13913;height:2" coordorigin="1411,312" coordsize="13913,0" path="m1411,312l15324,312e" filled="false" stroked="true" strokeweight=".72pt" strokecolor="#000000">
                <v:path arrowok="t"/>
              </v:shape>
              <v:shape style="position:absolute;left:1375;top:193;width:465;height:393" type="#_x0000_t75" stroked="false">
                <v:imagedata r:id="rId10" o:title=""/>
              </v:shape>
            </v:group>
            <w10:wrap type="none"/>
          </v:group>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07"/>
          <w:footerReference w:type="default" r:id="rId108"/>
          <w:pgSz w:w="16840" w:h="11910" w:orient="landscape"/>
          <w:pgMar w:header="0" w:footer="0" w:top="800" w:bottom="280" w:left="1040" w:right="1400"/>
        </w:sectPr>
      </w:pPr>
    </w:p>
    <w:p>
      <w:pPr>
        <w:pStyle w:val="Heading2"/>
        <w:spacing w:line="240" w:lineRule="auto"/>
        <w:ind w:left="400"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97"/>
        <w:ind w:left="40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400" w:right="0"/>
        <w:jc w:val="left"/>
      </w:pPr>
      <w:r>
        <w:rPr/>
        <w:t>单位：元币种：人民币</w:t>
      </w:r>
    </w:p>
    <w:p>
      <w:pPr>
        <w:spacing w:after="0" w:line="240" w:lineRule="auto"/>
        <w:jc w:val="left"/>
        <w:sectPr>
          <w:type w:val="continuous"/>
          <w:pgSz w:w="16840" w:h="11910" w:orient="landscape"/>
          <w:pgMar w:top="1580" w:bottom="280" w:left="1040" w:right="1400"/>
          <w:cols w:num="2" w:equalWidth="0">
            <w:col w:w="2172" w:space="9602"/>
            <w:col w:w="2626"/>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251"/>
        <w:gridCol w:w="1416"/>
        <w:gridCol w:w="1704"/>
        <w:gridCol w:w="1418"/>
        <w:gridCol w:w="991"/>
        <w:gridCol w:w="1844"/>
        <w:gridCol w:w="974"/>
        <w:gridCol w:w="1476"/>
      </w:tblGrid>
      <w:tr>
        <w:trPr>
          <w:trHeight w:val="322" w:hRule="exact"/>
        </w:trPr>
        <w:tc>
          <w:tcPr>
            <w:tcW w:w="4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3" w:lineRule="auto"/>
              <w:ind w:left="491" w:right="49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9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3" w:lineRule="auto"/>
              <w:ind w:left="523" w:right="51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258" w:hRule="exact"/>
        </w:trPr>
        <w:tc>
          <w:tcPr>
            <w:tcW w:w="425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36" w:right="108" w:hanging="526"/>
              <w:jc w:val="left"/>
              <w:rPr>
                <w:rFonts w:ascii="宋体" w:hAnsi="宋体" w:cs="宋体" w:eastAsia="宋体" w:hint="default"/>
                <w:sz w:val="21"/>
                <w:szCs w:val="21"/>
              </w:rPr>
            </w:pPr>
            <w:r>
              <w:rPr>
                <w:rFonts w:ascii="宋体" w:hAnsi="宋体" w:cs="宋体" w:eastAsia="宋体" w:hint="default"/>
                <w:sz w:val="21"/>
                <w:szCs w:val="21"/>
              </w:rPr>
              <w:t>本期所得税前发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pacing w:val="-11"/>
                <w:sz w:val="21"/>
                <w:szCs w:val="21"/>
              </w:rPr>
              <w:t>减：前期计入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其他综合收</w:t>
            </w:r>
            <w:r>
              <w:rPr>
                <w:rFonts w:ascii="宋体" w:hAnsi="宋体" w:cs="宋体" w:eastAsia="宋体" w:hint="default"/>
                <w:w w:val="100"/>
                <w:sz w:val="21"/>
                <w:szCs w:val="21"/>
              </w:rPr>
              <w:t> </w:t>
            </w:r>
            <w:r>
              <w:rPr>
                <w:rFonts w:ascii="宋体" w:hAnsi="宋体" w:cs="宋体" w:eastAsia="宋体" w:hint="default"/>
                <w:sz w:val="21"/>
                <w:szCs w:val="21"/>
              </w:rPr>
              <w:t>益当期转入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5" w:right="98" w:hanging="72"/>
              <w:jc w:val="left"/>
              <w:rPr>
                <w:rFonts w:ascii="宋体" w:hAnsi="宋体" w:cs="宋体" w:eastAsia="宋体" w:hint="default"/>
                <w:sz w:val="21"/>
                <w:szCs w:val="21"/>
              </w:rPr>
            </w:pPr>
            <w:r>
              <w:rPr>
                <w:rFonts w:ascii="宋体" w:hAnsi="宋体" w:cs="宋体" w:eastAsia="宋体" w:hint="default"/>
                <w:spacing w:val="-17"/>
                <w:sz w:val="21"/>
                <w:szCs w:val="21"/>
              </w:rPr>
              <w:t>减：所得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811" w:right="178" w:hanging="632"/>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65" w:right="163"/>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1476" w:type="dxa"/>
            <w:vMerge/>
            <w:tcBorders>
              <w:left w:val="single" w:sz="4" w:space="0" w:color="000000"/>
              <w:bottom w:val="single" w:sz="4" w:space="0" w:color="000000"/>
              <w:right w:val="single" w:sz="4" w:space="0" w:color="000000"/>
            </w:tcBorders>
          </w:tcPr>
          <w:p>
            <w:pP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权益法下不能转损益的其他综合收益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-25,436.18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1,467,193.73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1,467,193.73</w:t>
            </w: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1,441,757.55</w:t>
            </w: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持有至到期投资重分类为可供出售金融资产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-25,436.18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1,467,193.73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1,467,193.73</w:t>
            </w: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1,441,757.55</w:t>
            </w:r>
          </w:p>
        </w:tc>
      </w:tr>
      <w:tr>
        <w:trPr>
          <w:trHeight w:val="322"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-25,436.18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1,467,193.73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1,467,193.73</w:t>
            </w:r>
          </w:p>
        </w:tc>
        <w:tc>
          <w:tcPr>
            <w:tcW w:w="97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1,441,757.55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63"/>
        <w:ind w:left="6969" w:right="6696" w:firstLine="0"/>
        <w:jc w:val="center"/>
        <w:rPr>
          <w:rFonts w:ascii="Calibri" w:hAnsi="Calibri" w:cs="Calibri" w:eastAsia="Calibri" w:hint="default"/>
          <w:sz w:val="18"/>
          <w:szCs w:val="18"/>
        </w:rPr>
      </w:pPr>
      <w:r>
        <w:rPr>
          <w:rFonts w:ascii="Calibri"/>
          <w:b/>
          <w:sz w:val="18"/>
        </w:rPr>
        <w:t>155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040" w:right="1400"/>
        </w:sectPr>
      </w:pPr>
    </w:p>
    <w:p>
      <w:pPr>
        <w:spacing w:line="240" w:lineRule="auto" w:before="12"/>
        <w:rPr>
          <w:rFonts w:ascii="Calibri" w:hAnsi="Calibri" w:cs="Calibri" w:eastAsia="Calibri" w:hint="default"/>
          <w:b/>
          <w:bCs/>
          <w:sz w:val="24"/>
          <w:szCs w:val="24"/>
        </w:rPr>
      </w:pPr>
    </w:p>
    <w:p>
      <w:pPr>
        <w:pStyle w:val="Heading2"/>
        <w:spacing w:line="240" w:lineRule="auto"/>
        <w:ind w:left="237" w:right="93"/>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6"/>
        <w:ind w:left="237" w:right="9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9"/>
          <w:pgSz w:w="11910" w:h="16840"/>
          <w:pgMar w:footer="974" w:header="0" w:top="1120" w:bottom="1160" w:left="1040" w:right="1560"/>
          <w:pgNumType w:start="156"/>
        </w:sectPr>
      </w:pPr>
    </w:p>
    <w:p>
      <w:pPr>
        <w:pStyle w:val="Heading2"/>
        <w:spacing w:line="240" w:lineRule="auto"/>
        <w:ind w:left="237" w:right="81"/>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218,953,605.18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6,784,715.19</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225,738,320.37</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218,953,605.18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6,784,715.19</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225,738,320.37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40" w:right="1560"/>
        </w:sectPr>
      </w:pPr>
    </w:p>
    <w:p>
      <w:pPr>
        <w:pStyle w:val="Heading2"/>
        <w:spacing w:line="240" w:lineRule="auto"/>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2,019,472,567.33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1,497,051,019.66</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2,019,472,567.33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1,497,051,019.66</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1"/>
              <w:jc w:val="right"/>
              <w:rPr>
                <w:rFonts w:ascii="宋体" w:hAnsi="宋体" w:cs="宋体" w:eastAsia="宋体" w:hint="default"/>
                <w:sz w:val="21"/>
                <w:szCs w:val="21"/>
              </w:rPr>
            </w:pPr>
            <w:r>
              <w:rPr>
                <w:rFonts w:ascii="宋体"/>
                <w:spacing w:val="-1"/>
                <w:sz w:val="21"/>
              </w:rPr>
              <w:t>760,512,374.73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1"/>
              <w:jc w:val="right"/>
              <w:rPr>
                <w:rFonts w:ascii="宋体" w:hAnsi="宋体" w:cs="宋体" w:eastAsia="宋体" w:hint="default"/>
                <w:sz w:val="21"/>
                <w:szCs w:val="21"/>
              </w:rPr>
            </w:pPr>
            <w:r>
              <w:rPr>
                <w:rFonts w:ascii="宋体"/>
                <w:spacing w:val="-1"/>
                <w:sz w:val="21"/>
              </w:rPr>
              <w:t>686,022,146.29</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6,784,715.19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22,473,253.10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70,616,406.36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141,127,345.52</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2,702,583,820.51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2,019,472,567.33</w:t>
            </w:r>
          </w:p>
        </w:tc>
      </w:tr>
    </w:tbl>
    <w:p>
      <w:pPr>
        <w:spacing w:line="240" w:lineRule="auto" w:before="12"/>
        <w:rPr>
          <w:rFonts w:ascii="宋体" w:hAnsi="宋体" w:cs="宋体" w:eastAsia="宋体" w:hint="default"/>
          <w:sz w:val="19"/>
          <w:szCs w:val="19"/>
        </w:rPr>
      </w:pPr>
    </w:p>
    <w:p>
      <w:pPr>
        <w:pStyle w:val="BodyText"/>
        <w:spacing w:line="290" w:lineRule="auto" w:before="36"/>
        <w:ind w:left="237" w:right="1185"/>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pStyle w:val="BodyText"/>
        <w:spacing w:line="227" w:lineRule="exact"/>
        <w:ind w:left="237" w:right="93"/>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3" w:lineRule="exact"/>
        <w:ind w:left="237" w:right="93"/>
        <w:jc w:val="left"/>
      </w:pPr>
      <w:r>
        <w:rPr>
          <w:rFonts w:ascii="宋体" w:hAnsi="宋体" w:cs="宋体" w:eastAsia="宋体" w:hint="default"/>
        </w:rPr>
        <w:t>3</w:t>
      </w:r>
      <w:r>
        <w:rPr/>
        <w:t>、由于重大会计差错更正，影响期初未分配利润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1" w:lineRule="exact"/>
        <w:ind w:left="237" w:right="93"/>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3" w:lineRule="exact"/>
        <w:ind w:left="237" w:right="93"/>
        <w:jc w:val="left"/>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1560"/>
        </w:sectPr>
      </w:pPr>
    </w:p>
    <w:p>
      <w:pPr>
        <w:pStyle w:val="Heading2"/>
        <w:spacing w:line="290" w:lineRule="auto"/>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2986" w:space="3747"/>
            <w:col w:w="2577"/>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3,972,612,739.64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2,458,630,531.69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3,514,481,922.83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2,200,536,008.49</w:t>
            </w:r>
          </w:p>
        </w:tc>
      </w:tr>
      <w:tr>
        <w:trPr>
          <w:trHeight w:val="28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44,126,820.21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38,895,388.22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73,716,278.85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63,708,675.36</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4,016,739,559.85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2,497,525,919.91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3,588,198,201.68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2,264,244,683.85</w:t>
            </w:r>
          </w:p>
        </w:tc>
      </w:tr>
    </w:tbl>
    <w:p>
      <w:pPr>
        <w:spacing w:after="0" w:line="241" w:lineRule="exact"/>
        <w:jc w:val="right"/>
        <w:rPr>
          <w:rFonts w:ascii="宋体" w:hAnsi="宋体" w:cs="宋体" w:eastAsia="宋体" w:hint="default"/>
          <w:sz w:val="21"/>
          <w:szCs w:val="21"/>
        </w:rPr>
        <w:sectPr>
          <w:type w:val="continuous"/>
          <w:pgSz w:w="11910" w:h="16840"/>
          <w:pgMar w:top="1580" w:bottom="280" w:left="104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74" w:top="1120" w:bottom="1160" w:left="1040" w:right="1560"/>
        </w:sectPr>
      </w:pPr>
    </w:p>
    <w:p>
      <w:pPr>
        <w:pStyle w:val="Heading2"/>
        <w:spacing w:line="240" w:lineRule="auto"/>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8,425,505.02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7,736,071.39</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6,386,766.66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5,663,610.80</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5,634,164.17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4,766,508.49</w:t>
            </w: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3,071,889.22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5,278,916.85</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42,968.85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70,149.04</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2,295,770.63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3,047,100.92</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480,725.12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584,632.59</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26,337,789.67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27,146,990.08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40" w:right="1560"/>
        </w:sectPr>
      </w:pPr>
    </w:p>
    <w:p>
      <w:pPr>
        <w:pStyle w:val="Heading2"/>
        <w:spacing w:line="240" w:lineRule="auto"/>
        <w:ind w:left="237" w:right="81"/>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58,229,078.99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41,119,461.37</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21,124,871.80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19,532,374.36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8,694,125.58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11,916,755.15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咨询中标费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10,551,156.42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5,618,621.80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1,785,156.28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13,372,284.99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5,970,196.29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4,687,786.66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148,134.22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1,021,331.30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10,565,166.96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7,201,468.12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1,147,800.29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1,319,839.91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2,040,901.21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1,797,278.73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11,279,617.75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11,639,816.97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131,536,205.79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119,227,019.36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040" w:right="1560"/>
        </w:sectPr>
      </w:pPr>
    </w:p>
    <w:p>
      <w:pPr>
        <w:pStyle w:val="Heading2"/>
        <w:spacing w:line="240" w:lineRule="auto"/>
        <w:ind w:left="237" w:right="81"/>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117,870,960.97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88,659,339.21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31,381,869.66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29,316,146.20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10,933,338.15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9,312,033.67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10,367,580.24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6,628,938.64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13,790,960.21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16,158,571.35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6,141,419.98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3,795,748.56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2,532,677.50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1,457,706.89</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8,037,617.15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3,677,661.18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32,274,666.67</w:t>
            </w:r>
          </w:p>
        </w:tc>
      </w:tr>
    </w:tbl>
    <w:p>
      <w:pPr>
        <w:spacing w:after="0" w:line="241" w:lineRule="exact"/>
        <w:jc w:val="right"/>
        <w:rPr>
          <w:rFonts w:ascii="宋体" w:hAnsi="宋体" w:cs="宋体" w:eastAsia="宋体" w:hint="default"/>
          <w:sz w:val="21"/>
          <w:szCs w:val="21"/>
        </w:rPr>
        <w:sectPr>
          <w:type w:val="continuous"/>
          <w:pgSz w:w="11910" w:h="16840"/>
          <w:pgMar w:top="1580" w:bottom="2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17,707,355.41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31,737,109.38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218,763,779.27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223,017,921.75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060" w:right="1560"/>
        </w:sectPr>
      </w:pPr>
    </w:p>
    <w:p>
      <w:pPr>
        <w:pStyle w:val="Heading2"/>
        <w:spacing w:line="240" w:lineRule="auto"/>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90,485,969.49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64,868,639.06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原材料消耗费用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24,099,660.79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16,748,831.18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10,710,453.23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9,654,875.89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9,351,468.60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8,080,745.20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7,978,119.08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5,314,868.54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966,960.63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1,020,899.87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燃料及动力费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624,702.94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715,135.48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3,345,986.11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1,168,250.61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147,563,320.87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107,572,245.83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60" w:right="1560"/>
        </w:sectPr>
      </w:pPr>
    </w:p>
    <w:p>
      <w:pPr>
        <w:pStyle w:val="Heading2"/>
        <w:spacing w:line="240" w:lineRule="auto"/>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290,973,711.51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128,413,138.26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-22,180,211.74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-22,282,971.09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-17,018,905.34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7,059,044.81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2,244,673.47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2,275,527.11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254,019,267.90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115,464,739.09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60" w:right="1560"/>
        </w:sectPr>
      </w:pPr>
    </w:p>
    <w:p>
      <w:pPr>
        <w:pStyle w:val="Heading2"/>
        <w:spacing w:line="240" w:lineRule="auto"/>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1989" w:space="4744"/>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10,313,347.84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8,452,935.73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3,310,279.99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276,724.63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2,630,664.50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13,623,627.83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11,360,324.86</w:t>
            </w:r>
          </w:p>
        </w:tc>
      </w:tr>
    </w:tbl>
    <w:p>
      <w:pPr>
        <w:spacing w:after="0" w:line="243"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60" w:right="1560"/>
        </w:sectPr>
      </w:pPr>
    </w:p>
    <w:p>
      <w:pPr>
        <w:pStyle w:val="Heading2"/>
        <w:spacing w:line="240" w:lineRule="auto"/>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45"/>
        <w:gridCol w:w="2127"/>
        <w:gridCol w:w="2278"/>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4,158,791.15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3,717,693.13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商务发展奖金进口贴息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1,901,200.00</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年外经贸转型升级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450,000.00</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877,000.00</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光伏电站节能项目</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智慧云平台项目</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江苏省工业和信息产业转型升级专项资金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1,700,000.00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年度工业经济相关考核奖励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1,600,000.00</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江苏省“双创计划”资助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土地使用税奖励资金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644,700.00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智能表生产线项目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年省创新能力建设专项资金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15"/>
                <w:sz w:val="21"/>
                <w:szCs w:val="21"/>
              </w:rPr>
              <w:t> </w:t>
            </w:r>
            <w:r>
              <w:rPr>
                <w:rFonts w:ascii="宋体" w:hAnsi="宋体" w:cs="宋体" w:eastAsia="宋体" w:hint="default"/>
                <w:spacing w:val="-4"/>
                <w:sz w:val="21"/>
                <w:szCs w:val="21"/>
              </w:rPr>
              <w:t>年省电力需求侧管理专项资金（第一批）支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持项目补助资金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444,000.00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金太阳示范工程摊销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404,531.88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404,531.88</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“东疆英才计划”资助奖励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年度启东科技项目经费奖励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210,000.00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启东市科学技术局</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205,050.00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产学研合作项目补助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180,000.00</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公共租赁房补贴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172,790.04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172,790.04</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938,742.65</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年度汇龙镇经济转型升级奖励</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866,100.00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531,635.32</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11,939,155.76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17,979,400.41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60" w:right="1560"/>
        </w:sectPr>
      </w:pPr>
    </w:p>
    <w:p>
      <w:pPr>
        <w:pStyle w:val="Heading2"/>
        <w:spacing w:line="240" w:lineRule="auto"/>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45"/>
        <w:gridCol w:w="2268"/>
        <w:gridCol w:w="2137"/>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1,275,289.40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1,000,190.76</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-1,209,435.49</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55,121,182.37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19,724,802.61</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55,187,036.28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20,724,993.37</w:t>
            </w:r>
          </w:p>
        </w:tc>
      </w:tr>
    </w:tbl>
    <w:p>
      <w:pPr>
        <w:spacing w:after="0" w:line="241"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9"/>
        <w:rPr>
          <w:rFonts w:ascii="宋体" w:hAnsi="宋体" w:cs="宋体" w:eastAsia="宋体" w:hint="default"/>
          <w:sz w:val="18"/>
          <w:szCs w:val="18"/>
        </w:rPr>
      </w:pPr>
    </w:p>
    <w:p>
      <w:pPr>
        <w:pStyle w:val="Heading2"/>
        <w:spacing w:line="240" w:lineRule="auto"/>
        <w:ind w:left="237" w:right="93"/>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6"/>
        <w:ind w:left="237" w:right="9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10"/>
          <w:pgSz w:w="11910" w:h="16840"/>
          <w:pgMar w:footer="974" w:header="0" w:top="1120" w:bottom="1160" w:left="1040" w:right="1560"/>
        </w:sectPr>
      </w:pPr>
    </w:p>
    <w:p>
      <w:pPr>
        <w:pStyle w:val="Heading2"/>
        <w:spacing w:line="240" w:lineRule="auto"/>
        <w:ind w:left="23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2009" w:space="4724"/>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-651,082.13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-684,988.98</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-651,082.13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-684,988.98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040" w:right="1560"/>
        </w:sectPr>
      </w:pPr>
    </w:p>
    <w:p>
      <w:pPr>
        <w:spacing w:line="292" w:lineRule="auto" w:before="36"/>
        <w:ind w:left="237" w:right="-2"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5" w:lineRule="exact"/>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71"/>
        <w:gridCol w:w="1844"/>
        <w:gridCol w:w="1843"/>
        <w:gridCol w:w="1993"/>
      </w:tblGrid>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20,394,252.73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2,929,827.85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20,394,252.73</w:t>
            </w:r>
          </w:p>
        </w:tc>
      </w:tr>
      <w:tr>
        <w:trPr>
          <w:trHeight w:val="28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5,586,338.31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1,471,143.17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5,586,338.31</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25,980,591.04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4,400,971.02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25,980,591.04</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040" w:right="1560"/>
        </w:sectPr>
      </w:pPr>
    </w:p>
    <w:p>
      <w:pPr>
        <w:pStyle w:val="BodyText"/>
        <w:spacing w:line="273" w:lineRule="exact" w:before="36"/>
        <w:ind w:left="237" w:right="0"/>
        <w:jc w:val="left"/>
      </w:pPr>
      <w:r>
        <w:rPr>
          <w:spacing w:val="-2"/>
        </w:rPr>
        <w:t>计入当期损益的政府补助</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2551" w:space="4181"/>
            <w:col w:w="257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65"/>
        <w:gridCol w:w="2126"/>
        <w:gridCol w:w="1947"/>
        <w:gridCol w:w="2324"/>
      </w:tblGrid>
      <w:tr>
        <w:trPr>
          <w:trHeight w:val="566"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7"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8"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工业经济奖励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15,600,000.00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980,000.00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工业发展政策补助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298,500.00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省级商务发展专项资金</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300,000.00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高新奖励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750,000.00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鼓励企业争创“两化融</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合”示范试点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240,000.00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优化企业供应链管理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240,000.00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3,265,752.73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1,649,827.85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1"/>
        <w:rPr>
          <w:rFonts w:ascii="宋体" w:hAnsi="宋体" w:cs="宋体" w:eastAsia="宋体" w:hint="default"/>
          <w:sz w:val="5"/>
          <w:szCs w:val="5"/>
        </w:rPr>
      </w:pPr>
    </w:p>
    <w:p>
      <w:pPr>
        <w:pStyle w:val="BodyText"/>
        <w:spacing w:line="240" w:lineRule="auto" w:before="36"/>
        <w:ind w:left="237" w:right="93"/>
        <w:jc w:val="left"/>
      </w:pPr>
      <w:r>
        <w:rPr/>
        <w:t>其他说明：</w:t>
      </w:r>
    </w:p>
    <w:p>
      <w:pPr>
        <w:pStyle w:val="BodyText"/>
        <w:spacing w:line="240" w:lineRule="auto" w:before="145"/>
        <w:ind w:left="237" w:right="93"/>
        <w:jc w:val="left"/>
      </w:pPr>
      <w:r>
        <w:rPr/>
        <w:t>□适用 √不适用</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040" w:right="1560"/>
        </w:sectPr>
      </w:pPr>
    </w:p>
    <w:p>
      <w:pPr>
        <w:pStyle w:val="Heading2"/>
        <w:spacing w:line="240" w:lineRule="auto"/>
        <w:ind w:left="237" w:right="-2"/>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512"/>
        <w:gridCol w:w="1844"/>
        <w:gridCol w:w="1841"/>
        <w:gridCol w:w="1853"/>
      </w:tblGrid>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bl>
    <w:p>
      <w:pPr>
        <w:spacing w:after="0" w:line="274" w:lineRule="exact"/>
        <w:jc w:val="center"/>
        <w:rPr>
          <w:rFonts w:ascii="宋体" w:hAnsi="宋体" w:cs="宋体" w:eastAsia="宋体" w:hint="default"/>
          <w:sz w:val="21"/>
          <w:szCs w:val="21"/>
        </w:rPr>
        <w:sectPr>
          <w:type w:val="continuous"/>
          <w:pgSz w:w="11910" w:h="16840"/>
          <w:pgMar w:top="1580" w:bottom="2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512"/>
        <w:gridCol w:w="1844"/>
        <w:gridCol w:w="1841"/>
        <w:gridCol w:w="1853"/>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10,855,207.66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12,172,534.92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10,855,207.66</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3,891,983.81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3,412,388.19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3,891,983.81</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14,747,191.47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15,584,923.11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14,747,191.47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11"/>
          <w:pgSz w:w="11910" w:h="16840"/>
          <w:pgMar w:footer="974" w:header="0" w:top="1120" w:bottom="1160" w:left="1040" w:right="1560"/>
          <w:pgNumType w:start="161"/>
        </w:sectPr>
      </w:pPr>
    </w:p>
    <w:p>
      <w:pPr>
        <w:pStyle w:val="Heading2"/>
        <w:spacing w:line="290" w:lineRule="auto"/>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5"/>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1932" w:space="4801"/>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38,059,393.81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42,511,062.66</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1,937,861.17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-9,906,736.58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39,997,254.98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32,604,326.08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040" w:right="1560"/>
        </w:sectPr>
      </w:pPr>
    </w:p>
    <w:p>
      <w:pPr>
        <w:pStyle w:val="Heading2"/>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617" w:space="3116"/>
            <w:col w:w="257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805,078,158.09</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120,761,723.71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-116,156,924.51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131,416.03</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-4,605,168.35</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19,263,182.54</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-375,165.74</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34,846,188.17</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研发费用加计扣除的影响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-13,867,996.87</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39,997,254.98</w:t>
            </w:r>
          </w:p>
        </w:tc>
      </w:tr>
    </w:tbl>
    <w:p>
      <w:pPr>
        <w:pStyle w:val="BodyText"/>
        <w:spacing w:line="240" w:lineRule="auto" w:before="26"/>
        <w:ind w:left="237" w:right="93"/>
        <w:jc w:val="left"/>
      </w:pPr>
      <w:r>
        <w:rPr/>
        <w:t>其他说明：</w:t>
      </w:r>
    </w:p>
    <w:p>
      <w:pPr>
        <w:pStyle w:val="BodyText"/>
        <w:spacing w:line="240" w:lineRule="auto" w:before="58"/>
        <w:ind w:left="237" w:right="93"/>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left="237" w:right="93"/>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40" w:lineRule="auto" w:before="56"/>
        <w:ind w:left="237" w:right="7378"/>
        <w:jc w:val="left"/>
        <w:rPr>
          <w:rFonts w:ascii="宋体" w:hAnsi="宋体" w:cs="宋体" w:eastAsia="宋体" w:hint="default"/>
        </w:rPr>
      </w:pPr>
      <w:r>
        <w:rPr/>
        <w:t>√适用</w:t>
      </w:r>
      <w:r>
        <w:rPr>
          <w:spacing w:val="-1"/>
        </w:rPr>
        <w:t> </w:t>
      </w:r>
      <w:r>
        <w:rPr/>
        <w:t>□不适用</w:t>
      </w:r>
      <w:r>
        <w:rPr>
          <w:w w:val="100"/>
        </w:rPr>
        <w:t> </w:t>
      </w:r>
      <w:r>
        <w:rPr>
          <w:spacing w:val="-1"/>
        </w:rPr>
        <w:t>详见本附注七、</w:t>
      </w:r>
      <w:r>
        <w:rPr>
          <w:rFonts w:ascii="宋体" w:hAnsi="宋体" w:cs="宋体" w:eastAsia="宋体" w:hint="default"/>
          <w:spacing w:val="-1"/>
        </w:rPr>
        <w:t>48</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1560"/>
        </w:sectPr>
      </w:pPr>
    </w:p>
    <w:p>
      <w:pPr>
        <w:pStyle w:val="Heading2"/>
        <w:spacing w:line="290" w:lineRule="auto"/>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828" w:space="290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3" w:lineRule="exact"/>
        <w:jc w:val="left"/>
        <w:rPr>
          <w:rFonts w:ascii="宋体" w:hAnsi="宋体" w:cs="宋体" w:eastAsia="宋体" w:hint="default"/>
          <w:sz w:val="21"/>
          <w:szCs w:val="21"/>
        </w:rPr>
        <w:sectPr>
          <w:type w:val="continuous"/>
          <w:pgSz w:w="11910" w:h="16840"/>
          <w:pgMar w:top="1580" w:bottom="2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3,211,286.30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21,587,235.35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27,273,310.08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12,195,457.47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1,117,400.00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283,524.53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20,813,996.46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20,914,171.18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2,689,368.58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1,850,947.98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受限货币资金减少</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153,008,703.46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55,105,361.42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209,840,039.97</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4" w:top="1120" w:bottom="1160" w:left="1040" w:right="1560"/>
        </w:sectPr>
      </w:pPr>
    </w:p>
    <w:p>
      <w:pPr>
        <w:pStyle w:val="Heading2"/>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828" w:space="2905"/>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7,759,637.64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9,748,671.32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65,474,057.37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76,507,450.40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80,583,342.06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44,666,017.19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支付研发费用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39,461,216.33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35,009,644.25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10,656,332.95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12,071,903.83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支付投标保证金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7,746,082.47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1,067,703.72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受限货币资金增加</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226,196,128.02</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437,876,796.84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179,071,390.71</w:t>
            </w:r>
          </w:p>
        </w:tc>
      </w:tr>
    </w:tbl>
    <w:p>
      <w:pPr>
        <w:spacing w:line="240" w:lineRule="auto" w:before="7"/>
        <w:rPr>
          <w:rFonts w:ascii="宋体" w:hAnsi="宋体" w:cs="宋体" w:eastAsia="宋体" w:hint="default"/>
          <w:sz w:val="24"/>
          <w:szCs w:val="24"/>
        </w:rPr>
      </w:pPr>
    </w:p>
    <w:p>
      <w:pPr>
        <w:pStyle w:val="Heading2"/>
        <w:spacing w:line="240" w:lineRule="auto"/>
        <w:ind w:left="237" w:right="93"/>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9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37" w:right="93"/>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37" w:right="9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1560"/>
        </w:sectPr>
      </w:pPr>
    </w:p>
    <w:p>
      <w:pPr>
        <w:pStyle w:val="Heading2"/>
        <w:spacing w:line="240" w:lineRule="auto"/>
        <w:ind w:left="237"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828" w:space="290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200,000,000.00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040" w:right="1560"/>
        </w:sectPr>
      </w:pPr>
    </w:p>
    <w:p>
      <w:pPr>
        <w:pStyle w:val="Heading2"/>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1560"/>
          <w:cols w:num="2" w:equalWidth="0">
            <w:col w:w="3828" w:space="2905"/>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319,333,737.23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248,925,085.16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99,614,760.20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定期存单质押</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可转债发行费用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2,150,000.00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418,948,497.43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286,075,085.16</w:t>
            </w:r>
          </w:p>
        </w:tc>
      </w:tr>
    </w:tbl>
    <w:p>
      <w:pPr>
        <w:spacing w:after="0" w:line="241" w:lineRule="exact"/>
        <w:jc w:val="right"/>
        <w:rPr>
          <w:rFonts w:ascii="宋体" w:hAnsi="宋体" w:cs="宋体" w:eastAsia="宋体" w:hint="default"/>
          <w:sz w:val="21"/>
          <w:szCs w:val="21"/>
        </w:rPr>
        <w:sectPr>
          <w:type w:val="continuous"/>
          <w:pgSz w:w="11910" w:h="16840"/>
          <w:pgMar w:top="1580" w:bottom="2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1060" w:right="1560"/>
        </w:sectPr>
      </w:pPr>
    </w:p>
    <w:p>
      <w:pPr>
        <w:pStyle w:val="Heading2"/>
        <w:spacing w:line="290" w:lineRule="auto"/>
        <w:ind w:left="21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2623" w:space="411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87"/>
        <w:gridCol w:w="2127"/>
        <w:gridCol w:w="2137"/>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27"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37"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27" w:type="dxa"/>
            <w:tcBorders>
              <w:top w:val="single" w:sz="4" w:space="0" w:color="000000"/>
              <w:left w:val="single" w:sz="4" w:space="0" w:color="000000"/>
              <w:bottom w:val="single" w:sz="6" w:space="0" w:color="000000"/>
              <w:right w:val="single" w:sz="6" w:space="0" w:color="000000"/>
            </w:tcBorders>
          </w:tcPr>
          <w:p>
            <w:pPr/>
          </w:p>
        </w:tc>
        <w:tc>
          <w:tcPr>
            <w:tcW w:w="2137"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765,080,903.11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714,395,403.49</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13,623,627.83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11,360,324.86</w:t>
            </w:r>
          </w:p>
        </w:tc>
      </w:tr>
      <w:tr>
        <w:trPr>
          <w:trHeight w:val="55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386,837,435.70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290,992,648.38</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6,601,532.48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5,887,009.76</w:t>
            </w: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28,743,245.19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20,630,484.43</w:t>
            </w:r>
          </w:p>
        </w:tc>
      </w:tr>
      <w:tr>
        <w:trPr>
          <w:trHeight w:val="56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651,082.13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684,988.98</w:t>
            </w: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275,574,402.75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133,376,843.22</w:t>
            </w: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-55,187,036.28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-20,724,993.37</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1,917,762.53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-9,906,736.58</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-74,091,681.55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-89,330,750.44</w:t>
            </w: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-1,140,528,959.26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-283,927,797.12</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243,016,726.59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-1,416,865.22</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34,203,077.53</w:t>
            </w: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452,239,041.22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806,223,637.92</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1,879,627,119.81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2,029,048,896.26</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2,029,048,896.26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2,065,135,479.62</w:t>
            </w:r>
          </w:p>
        </w:tc>
      </w:tr>
      <w:tr>
        <w:trPr>
          <w:trHeight w:val="28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27"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-149,421,776.45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-36,086,583.36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060" w:right="1560"/>
        </w:sectPr>
      </w:pPr>
    </w:p>
    <w:p>
      <w:pPr>
        <w:pStyle w:val="Heading2"/>
        <w:spacing w:line="240" w:lineRule="auto"/>
        <w:ind w:left="217" w:right="-1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580" w:bottom="280" w:left="1060" w:right="1560"/>
          <w:cols w:num="2" w:equalWidth="0">
            <w:col w:w="3808" w:space="2925"/>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合肥盛康电力有限责任公司</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肥东金润新能源有限公司</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7,589,580.23</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合肥盛康电力有限责任公司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3,297,105.99</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肥东金润新能源有限公司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4,292,474.24</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其中：江苏飞展能源科技有限公司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7,600,000.00</w:t>
            </w:r>
          </w:p>
        </w:tc>
      </w:tr>
    </w:tbl>
    <w:p>
      <w:pPr>
        <w:spacing w:after="0" w:line="241"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5917"/>
        <w:gridCol w:w="3133"/>
      </w:tblGrid>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74" w:right="0"/>
              <w:jc w:val="left"/>
              <w:rPr>
                <w:rFonts w:ascii="宋体" w:hAnsi="宋体" w:cs="宋体" w:eastAsia="宋体" w:hint="default"/>
                <w:sz w:val="21"/>
                <w:szCs w:val="21"/>
              </w:rPr>
            </w:pPr>
            <w:r>
              <w:rPr>
                <w:rFonts w:ascii="宋体"/>
                <w:sz w:val="21"/>
              </w:rPr>
              <w:t>10,419.77</w:t>
            </w:r>
          </w:p>
        </w:tc>
      </w:tr>
    </w:tbl>
    <w:p>
      <w:pPr>
        <w:spacing w:line="240" w:lineRule="auto" w:before="12"/>
        <w:rPr>
          <w:rFonts w:ascii="宋体" w:hAnsi="宋体" w:cs="宋体" w:eastAsia="宋体" w:hint="default"/>
          <w:sz w:val="19"/>
          <w:szCs w:val="19"/>
        </w:rPr>
      </w:pPr>
    </w:p>
    <w:p>
      <w:pPr>
        <w:pStyle w:val="Heading2"/>
        <w:spacing w:line="240" w:lineRule="auto"/>
        <w:ind w:left="237" w:right="309"/>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37" w:right="30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040" w:right="860"/>
        </w:sectPr>
      </w:pPr>
    </w:p>
    <w:p>
      <w:pPr>
        <w:pStyle w:val="Heading2"/>
        <w:spacing w:line="240" w:lineRule="auto"/>
        <w:ind w:left="23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860"/>
          <w:cols w:num="2" w:equalWidth="0">
            <w:col w:w="2986" w:space="3747"/>
            <w:col w:w="32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937"/>
        <w:gridCol w:w="2693"/>
        <w:gridCol w:w="2420"/>
      </w:tblGrid>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1,879,627,119.81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2,029,048,896.26</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24,591.91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43,882.97</w:t>
            </w:r>
          </w:p>
        </w:tc>
      </w:tr>
      <w:tr>
        <w:trPr>
          <w:trHeight w:val="29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1,635,357,127.68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1,664,388,906.42</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56"/>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244,245,400.22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364,616,106.87</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56"/>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1,879,627,119.81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2,029,048,896.26</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37" w:right="309"/>
        <w:jc w:val="left"/>
      </w:pPr>
      <w:r>
        <w:rPr/>
        <w:t>其他说明：</w:t>
      </w:r>
    </w:p>
    <w:p>
      <w:pPr>
        <w:pStyle w:val="BodyText"/>
        <w:spacing w:line="240" w:lineRule="auto" w:before="56"/>
        <w:ind w:left="237" w:right="309"/>
        <w:jc w:val="left"/>
      </w:pPr>
      <w:r>
        <w:rPr/>
        <w:t>□适用 √不适用</w:t>
      </w:r>
    </w:p>
    <w:p>
      <w:pPr>
        <w:spacing w:line="240" w:lineRule="auto" w:before="11"/>
        <w:rPr>
          <w:rFonts w:ascii="宋体" w:hAnsi="宋体" w:cs="宋体" w:eastAsia="宋体" w:hint="default"/>
          <w:sz w:val="29"/>
          <w:szCs w:val="29"/>
        </w:rPr>
      </w:pPr>
    </w:p>
    <w:p>
      <w:pPr>
        <w:spacing w:line="290" w:lineRule="auto" w:before="0"/>
        <w:ind w:left="237" w:right="309"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237" w:right="30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40" w:right="860"/>
        </w:sectPr>
      </w:pPr>
    </w:p>
    <w:p>
      <w:pPr>
        <w:pStyle w:val="Heading2"/>
        <w:spacing w:line="240" w:lineRule="auto"/>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580" w:bottom="280" w:left="1040" w:right="860"/>
          <w:cols w:num="2" w:equalWidth="0">
            <w:col w:w="3694" w:space="3039"/>
            <w:col w:w="327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2429"/>
        <w:gridCol w:w="4109"/>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303,139,687.92</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详见本附注“七、</w:t>
            </w:r>
            <w:r>
              <w:rPr>
                <w:rFonts w:ascii="宋体" w:hAnsi="宋体" w:cs="宋体" w:eastAsia="宋体" w:hint="default"/>
                <w:sz w:val="21"/>
                <w:szCs w:val="21"/>
              </w:rPr>
              <w:t>1</w:t>
            </w:r>
            <w:r>
              <w:rPr>
                <w:rFonts w:ascii="宋体" w:hAnsi="宋体" w:cs="宋体" w:eastAsia="宋体" w:hint="default"/>
                <w:sz w:val="21"/>
                <w:szCs w:val="21"/>
              </w:rPr>
              <w:t>、货币资金”</w:t>
            </w:r>
          </w:p>
        </w:tc>
      </w:tr>
      <w:tr>
        <w:trPr>
          <w:trHeight w:val="283"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2429" w:type="dxa"/>
            <w:tcBorders>
              <w:top w:val="single" w:sz="4" w:space="0" w:color="000000"/>
              <w:left w:val="single" w:sz="4" w:space="0" w:color="000000"/>
              <w:bottom w:val="single" w:sz="6" w:space="0" w:color="000000"/>
              <w:right w:val="single" w:sz="4" w:space="0" w:color="000000"/>
            </w:tcBorders>
          </w:tcPr>
          <w:p>
            <w:pPr/>
          </w:p>
        </w:tc>
        <w:tc>
          <w:tcPr>
            <w:tcW w:w="4109" w:type="dxa"/>
            <w:tcBorders>
              <w:top w:val="single" w:sz="4" w:space="0" w:color="000000"/>
              <w:left w:val="single" w:sz="4" w:space="0" w:color="000000"/>
              <w:bottom w:val="single" w:sz="6" w:space="0" w:color="000000"/>
              <w:right w:val="single" w:sz="4" w:space="0" w:color="000000"/>
            </w:tcBorders>
          </w:tcPr>
          <w:p>
            <w:pPr/>
          </w:p>
        </w:tc>
      </w:tr>
      <w:tr>
        <w:trPr>
          <w:trHeight w:val="559"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7,908,583.97</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UABELGAMAELEKTRONIKA</w:t>
            </w:r>
            <w:r>
              <w:rPr>
                <w:rFonts w:ascii="宋体" w:hAnsi="宋体" w:cs="宋体" w:eastAsia="宋体" w:hint="default"/>
                <w:spacing w:val="-55"/>
                <w:sz w:val="21"/>
                <w:szCs w:val="21"/>
              </w:rPr>
              <w:t> </w:t>
            </w:r>
            <w:r>
              <w:rPr>
                <w:rFonts w:ascii="宋体" w:hAnsi="宋体" w:cs="宋体" w:eastAsia="宋体" w:hint="default"/>
                <w:sz w:val="21"/>
                <w:szCs w:val="21"/>
              </w:rPr>
              <w:t>抵押给当地银行取</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得银行保函；到期日</w:t>
            </w:r>
            <w:r>
              <w:rPr>
                <w:rFonts w:ascii="宋体" w:hAnsi="宋体" w:cs="宋体" w:eastAsia="宋体" w:hint="default"/>
                <w:spacing w:val="-53"/>
                <w:sz w:val="21"/>
                <w:szCs w:val="21"/>
              </w:rPr>
              <w:t> </w:t>
            </w:r>
            <w:r>
              <w:rPr>
                <w:rFonts w:ascii="宋体" w:hAnsi="宋体" w:cs="宋体" w:eastAsia="宋体" w:hint="default"/>
                <w:sz w:val="21"/>
                <w:szCs w:val="21"/>
              </w:rPr>
              <w:t>2022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559"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42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14,448,900.81</w:t>
            </w:r>
          </w:p>
        </w:tc>
        <w:tc>
          <w:tcPr>
            <w:tcW w:w="410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UABELGAMAELEKTRONIKA</w:t>
            </w:r>
            <w:r>
              <w:rPr>
                <w:rFonts w:ascii="宋体" w:hAnsi="宋体" w:cs="宋体" w:eastAsia="宋体" w:hint="default"/>
                <w:spacing w:val="-55"/>
                <w:sz w:val="21"/>
                <w:szCs w:val="21"/>
              </w:rPr>
              <w:t> </w:t>
            </w:r>
            <w:r>
              <w:rPr>
                <w:rFonts w:ascii="宋体" w:hAnsi="宋体" w:cs="宋体" w:eastAsia="宋体" w:hint="default"/>
                <w:sz w:val="21"/>
                <w:szCs w:val="21"/>
              </w:rPr>
              <w:t>抵押给当地银行取</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得银行保函；到期日</w:t>
            </w:r>
            <w:r>
              <w:rPr>
                <w:rFonts w:ascii="宋体" w:hAnsi="宋体" w:cs="宋体" w:eastAsia="宋体" w:hint="default"/>
                <w:spacing w:val="-53"/>
                <w:sz w:val="21"/>
                <w:szCs w:val="21"/>
              </w:rPr>
              <w:t> </w:t>
            </w:r>
            <w:r>
              <w:rPr>
                <w:rFonts w:ascii="宋体" w:hAnsi="宋体" w:cs="宋体" w:eastAsia="宋体" w:hint="default"/>
                <w:sz w:val="21"/>
                <w:szCs w:val="21"/>
              </w:rPr>
              <w:t>2022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170,169,950.20</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详见本附注“十四（一）重要承诺事项”</w:t>
            </w: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429"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8,970,767.26</w:t>
            </w:r>
          </w:p>
        </w:tc>
        <w:tc>
          <w:tcPr>
            <w:tcW w:w="4109"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详见本附注“十四（一）重要承诺事项”</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504,637,890.16</w:t>
            </w:r>
          </w:p>
        </w:tc>
        <w:tc>
          <w:tcPr>
            <w:tcW w:w="4109"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040" w:right="860"/>
        </w:sectPr>
      </w:pPr>
    </w:p>
    <w:p>
      <w:pPr>
        <w:pStyle w:val="Heading2"/>
        <w:spacing w:line="290" w:lineRule="auto"/>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7" w:right="0"/>
        <w:jc w:val="left"/>
      </w:pPr>
      <w:r>
        <w:rPr/>
        <w:t>单位：元</w:t>
      </w:r>
    </w:p>
    <w:p>
      <w:pPr>
        <w:spacing w:after="0" w:line="240" w:lineRule="auto"/>
        <w:jc w:val="left"/>
        <w:sectPr>
          <w:type w:val="continuous"/>
          <w:pgSz w:w="11910" w:h="16840"/>
          <w:pgMar w:top="1580" w:bottom="280" w:left="1040" w:right="860"/>
          <w:cols w:num="2" w:equalWidth="0">
            <w:col w:w="2220" w:space="5773"/>
            <w:col w:w="201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55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394,693,652.42</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56,255,410.93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386,094,613.77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671,208.33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7.8481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5,267,709.31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379,247.96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1,829,871.41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269,652.53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1,349,934.50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320,000.48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0.4735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151,523.43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91,571,156.22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12,011,607.40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82,438,063.88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1,060,717.00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8,324,825.23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167,516.50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808,267.11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1,166,982.63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97,114.28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63,654.12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7.8484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499,585.43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47,367.00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237,128.68</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47,940.00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6.9494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333,154.24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600,378.27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71,563.00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561,647.89</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2,895.00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7,158.20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35,835.38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9,082,296.39</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261,405.40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1,794,077.55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689,308.49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7.8481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5,409,732.57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389,323.58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1,878,486.27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4,101,953.61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244,656.15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1,679,122.71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308,735.71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2,422,830.90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1,015,934.11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118,192.00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927,606.27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3,329.19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16,063.34</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14,435.00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72,264.50</w:t>
            </w:r>
          </w:p>
        </w:tc>
      </w:tr>
    </w:tbl>
    <w:p>
      <w:pPr>
        <w:spacing w:line="240" w:lineRule="auto" w:before="9"/>
        <w:rPr>
          <w:rFonts w:ascii="宋体" w:hAnsi="宋体" w:cs="宋体" w:eastAsia="宋体" w:hint="default"/>
          <w:sz w:val="24"/>
          <w:szCs w:val="24"/>
        </w:rPr>
      </w:pPr>
    </w:p>
    <w:p>
      <w:pPr>
        <w:pStyle w:val="Heading2"/>
        <w:spacing w:line="272" w:lineRule="exact" w:before="64"/>
        <w:ind w:left="644" w:right="117"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73" w:lineRule="exact" w:before="34"/>
        <w:ind w:left="217" w:right="241"/>
        <w:jc w:val="left"/>
      </w:pPr>
      <w:r>
        <w:rPr/>
        <w:t>√适用 □不适用</w:t>
      </w:r>
    </w:p>
    <w:p>
      <w:pPr>
        <w:pStyle w:val="BodyText"/>
        <w:spacing w:line="237" w:lineRule="auto"/>
        <w:ind w:left="217" w:right="117" w:firstLine="420"/>
        <w:jc w:val="left"/>
      </w:pPr>
      <w:r>
        <w:rPr/>
        <w:t>本公司子公司</w:t>
      </w:r>
      <w:r>
        <w:rPr>
          <w:spacing w:val="-55"/>
        </w:rPr>
        <w:t> </w:t>
      </w:r>
      <w:r>
        <w:rPr>
          <w:rFonts w:ascii="宋体" w:hAnsi="宋体" w:cs="宋体" w:eastAsia="宋体" w:hint="default"/>
        </w:rPr>
        <w:t>UAB</w:t>
      </w:r>
      <w:r>
        <w:rPr>
          <w:rFonts w:ascii="宋体" w:hAnsi="宋体" w:cs="宋体" w:eastAsia="宋体" w:hint="default"/>
          <w:spacing w:val="-47"/>
        </w:rPr>
        <w:t> </w:t>
      </w:r>
      <w:r>
        <w:rPr>
          <w:rFonts w:ascii="宋体" w:hAnsi="宋体" w:cs="宋体" w:eastAsia="宋体" w:hint="default"/>
        </w:rPr>
        <w:t>ELGAMA</w:t>
      </w:r>
      <w:r>
        <w:rPr>
          <w:rFonts w:ascii="宋体" w:hAnsi="宋体" w:cs="宋体" w:eastAsia="宋体" w:hint="default"/>
          <w:spacing w:val="-50"/>
        </w:rPr>
        <w:t> </w:t>
      </w:r>
      <w:r>
        <w:rPr>
          <w:rFonts w:ascii="宋体" w:hAnsi="宋体" w:cs="宋体" w:eastAsia="宋体" w:hint="default"/>
        </w:rPr>
        <w:t>ELEKTRONIKA</w:t>
      </w:r>
      <w:r>
        <w:rPr>
          <w:rFonts w:ascii="宋体" w:hAnsi="宋体" w:cs="宋体" w:eastAsia="宋体" w:hint="default"/>
          <w:spacing w:val="-55"/>
        </w:rPr>
        <w:t> </w:t>
      </w:r>
      <w:r>
        <w:rPr/>
        <w:t>主要经营地在立陶宛，以欧元为记账本位币，选择依</w:t>
      </w:r>
      <w:r>
        <w:rPr>
          <w:w w:val="100"/>
        </w:rPr>
        <w:t> </w:t>
      </w:r>
      <w:r>
        <w:rPr>
          <w:spacing w:val="-4"/>
          <w:w w:val="100"/>
        </w:rPr>
        <w:t>据基于经营地适用货币为欧元；本公司子公司新加坡林洋能源科技有限公司主要经营地在新加坡，</w:t>
      </w:r>
      <w:r>
        <w:rPr>
          <w:spacing w:val="-86"/>
          <w:w w:val="100"/>
        </w:rPr>
        <w:t> </w:t>
      </w:r>
      <w:r>
        <w:rPr>
          <w:spacing w:val="-86"/>
          <w:w w:val="100"/>
        </w:rPr>
      </w:r>
      <w:r>
        <w:rPr/>
        <w:t>以美元为记账本位币。</w:t>
      </w:r>
    </w:p>
    <w:p>
      <w:pPr>
        <w:spacing w:line="240" w:lineRule="auto" w:before="3"/>
        <w:rPr>
          <w:rFonts w:ascii="宋体" w:hAnsi="宋体" w:cs="宋体" w:eastAsia="宋体" w:hint="default"/>
          <w:sz w:val="25"/>
          <w:szCs w:val="25"/>
        </w:rPr>
      </w:pPr>
    </w:p>
    <w:p>
      <w:pPr>
        <w:pStyle w:val="Heading2"/>
        <w:spacing w:line="240" w:lineRule="auto" w:before="0"/>
        <w:ind w:left="217" w:right="241"/>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6"/>
        <w:ind w:left="217" w:right="241"/>
        <w:jc w:val="left"/>
      </w:pPr>
      <w:r>
        <w:rPr/>
        <w:t>□适用 √不适用</w:t>
      </w:r>
    </w:p>
    <w:p>
      <w:pPr>
        <w:spacing w:after="0" w:line="240" w:lineRule="auto"/>
        <w:jc w:val="left"/>
        <w:sectPr>
          <w:pgSz w:w="11910" w:h="16840"/>
          <w:pgMar w:header="0" w:footer="974" w:top="1120" w:bottom="116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600" w:right="1100"/>
        </w:sectPr>
      </w:pPr>
    </w:p>
    <w:p>
      <w:pPr>
        <w:pStyle w:val="Heading2"/>
        <w:spacing w:line="290" w:lineRule="auto"/>
        <w:ind w:left="67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spacing w:line="240" w:lineRule="auto" w:before="14"/>
        <w:ind w:left="67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580" w:bottom="280" w:left="600" w:right="1100"/>
          <w:cols w:num="2" w:equalWidth="0">
            <w:col w:w="2795" w:space="3938"/>
            <w:col w:w="3477"/>
          </w:cols>
        </w:sectPr>
      </w:pPr>
    </w:p>
    <w:p>
      <w:pPr>
        <w:spacing w:line="240" w:lineRule="auto" w:before="7"/>
        <w:rPr>
          <w:rFonts w:ascii="宋体" w:hAnsi="宋体" w:cs="宋体" w:eastAsia="宋体" w:hint="default"/>
          <w:sz w:val="2"/>
          <w:szCs w:val="2"/>
        </w:rPr>
      </w:pPr>
    </w:p>
    <w:tbl>
      <w:tblPr>
        <w:tblW w:w="0" w:type="auto"/>
        <w:jc w:val="left"/>
        <w:tblInd w:w="333" w:type="dxa"/>
        <w:tblLayout w:type="fixed"/>
        <w:tblCellMar>
          <w:top w:w="0" w:type="dxa"/>
          <w:left w:w="0" w:type="dxa"/>
          <w:bottom w:w="0" w:type="dxa"/>
          <w:right w:w="0" w:type="dxa"/>
        </w:tblCellMar>
        <w:tblLook w:val="01E0"/>
      </w:tblPr>
      <w:tblGrid>
        <w:gridCol w:w="3829"/>
        <w:gridCol w:w="1985"/>
        <w:gridCol w:w="1435"/>
        <w:gridCol w:w="2261"/>
      </w:tblGrid>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6"/>
                <w:sz w:val="21"/>
                <w:szCs w:val="21"/>
              </w:rPr>
              <w:t> </w:t>
            </w:r>
            <w:r>
              <w:rPr>
                <w:rFonts w:ascii="宋体" w:hAnsi="宋体" w:cs="宋体" w:eastAsia="宋体" w:hint="default"/>
                <w:sz w:val="21"/>
                <w:szCs w:val="21"/>
              </w:rPr>
              <w:t>屋顶光伏发电项目拨款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7,885,883.46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404,531.88</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公共租赁住房项目拨款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2,519,853.97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172,790.04</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智能表生产线项目补贴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999,999.88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500,000.04</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发展和改革局转型升级资金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1,233,823.39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938,742.65</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清洗行业含氢氯氟烃淘汰项目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3,422,500.00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工业经济奖励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15,600,000.00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工业发展政策补助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298,500.00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298,500.00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750,000.00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鼓励企业争创“两化融合”示范试点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240,000.00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优化企业供应链管理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3,265,752.73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3,265,752.73</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4,158,791.15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4,158,791.15</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商务发展奖金进口贴息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1,901,200.00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1,901,200.00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年外经贸转型升级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877,000.00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877,000.00</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年江苏省“双创计划”资助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1,550,000.00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年度产学研合作项目补助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120,000.00</w:t>
            </w:r>
          </w:p>
        </w:tc>
      </w:tr>
      <w:tr>
        <w:trPr>
          <w:trHeight w:val="28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866,100.00</w:t>
            </w:r>
          </w:p>
        </w:tc>
      </w:tr>
    </w:tbl>
    <w:p>
      <w:pPr>
        <w:spacing w:line="240" w:lineRule="auto" w:before="12"/>
        <w:rPr>
          <w:rFonts w:ascii="宋体" w:hAnsi="宋体" w:cs="宋体" w:eastAsia="宋体" w:hint="default"/>
          <w:sz w:val="19"/>
          <w:szCs w:val="19"/>
        </w:rPr>
      </w:pPr>
    </w:p>
    <w:p>
      <w:pPr>
        <w:pStyle w:val="Heading2"/>
        <w:spacing w:line="240" w:lineRule="auto"/>
        <w:ind w:left="677" w:right="568"/>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8"/>
        <w:ind w:left="677" w:right="568"/>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677" w:right="568"/>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6"/>
        <w:ind w:left="677" w:right="56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600" w:right="1100"/>
        </w:sectPr>
      </w:pPr>
    </w:p>
    <w:p>
      <w:pPr>
        <w:pStyle w:val="Heading2"/>
        <w:spacing w:line="240" w:lineRule="auto"/>
        <w:ind w:left="677" w:right="-15"/>
        <w:jc w:val="left"/>
        <w:rPr>
          <w:b w:val="0"/>
          <w:bCs w:val="0"/>
        </w:rPr>
      </w:pPr>
      <w:r>
        <w:rPr/>
        <w:t>八、合并范围的变更</w:t>
      </w:r>
      <w:r>
        <w:rPr>
          <w:b w:val="0"/>
          <w:bCs w:val="0"/>
        </w:rPr>
      </w:r>
    </w:p>
    <w:p>
      <w:pPr>
        <w:pStyle w:val="Heading2"/>
        <w:spacing w:line="240" w:lineRule="auto" w:before="58"/>
        <w:ind w:left="677" w:right="-1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2" w:lineRule="auto" w:before="56"/>
        <w:ind w:left="677"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0"/>
        <w:ind w:left="67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580" w:bottom="280" w:left="600" w:right="1100"/>
          <w:cols w:num="2" w:equalWidth="0">
            <w:col w:w="4268" w:space="2465"/>
            <w:col w:w="347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48"/>
        <w:gridCol w:w="1032"/>
        <w:gridCol w:w="658"/>
        <w:gridCol w:w="852"/>
        <w:gridCol w:w="864"/>
        <w:gridCol w:w="1100"/>
        <w:gridCol w:w="1085"/>
        <w:gridCol w:w="1268"/>
        <w:gridCol w:w="1370"/>
      </w:tblGrid>
      <w:tr>
        <w:trPr>
          <w:trHeight w:val="965"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12" w:right="111"/>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103" w:right="103"/>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49"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108" w:right="110"/>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得方式</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115" w:right="115"/>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00" w:right="101"/>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51" w:right="153"/>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合肥盛康电力有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现金收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购</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股权过户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变更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131,071.84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-230,738.77</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肥东金润新能源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现金收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购</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股权过户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变更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185,834.20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-280,222.67</w:t>
            </w:r>
          </w:p>
        </w:tc>
      </w:tr>
    </w:tbl>
    <w:p>
      <w:pPr>
        <w:spacing w:after="0" w:line="240" w:lineRule="auto"/>
        <w:jc w:val="center"/>
        <w:rPr>
          <w:rFonts w:ascii="宋体" w:hAnsi="宋体" w:cs="宋体" w:eastAsia="宋体" w:hint="default"/>
          <w:sz w:val="21"/>
          <w:szCs w:val="21"/>
        </w:rPr>
        <w:sectPr>
          <w:type w:val="continuous"/>
          <w:pgSz w:w="11910" w:h="16840"/>
          <w:pgMar w:top="1580" w:bottom="280" w:left="600" w:right="11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120" w:bottom="1160" w:left="480" w:right="980"/>
        </w:sectPr>
      </w:pPr>
    </w:p>
    <w:p>
      <w:pPr>
        <w:pStyle w:val="Heading2"/>
        <w:spacing w:line="240" w:lineRule="auto"/>
        <w:ind w:left="797" w:right="-14"/>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6"/>
        <w:ind w:left="79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797" w:right="0"/>
        <w:jc w:val="left"/>
      </w:pPr>
      <w:r>
        <w:rPr/>
        <w:t>单位：元币种：人民币</w:t>
      </w:r>
    </w:p>
    <w:p>
      <w:pPr>
        <w:spacing w:after="0" w:line="240" w:lineRule="auto"/>
        <w:jc w:val="left"/>
        <w:sectPr>
          <w:type w:val="continuous"/>
          <w:pgSz w:w="11910" w:h="16840"/>
          <w:pgMar w:top="1580" w:bottom="280" w:left="480" w:right="980"/>
          <w:cols w:num="2" w:equalWidth="0">
            <w:col w:w="2703" w:space="4030"/>
            <w:col w:w="3717"/>
          </w:cols>
        </w:sectPr>
      </w:pPr>
    </w:p>
    <w:p>
      <w:pPr>
        <w:spacing w:line="240" w:lineRule="auto" w:before="4"/>
        <w:rPr>
          <w:rFonts w:ascii="宋体" w:hAnsi="宋体" w:cs="宋体" w:eastAsia="宋体" w:hint="default"/>
          <w:sz w:val="2"/>
          <w:szCs w:val="2"/>
        </w:rPr>
      </w:pPr>
    </w:p>
    <w:tbl>
      <w:tblPr>
        <w:tblW w:w="0" w:type="auto"/>
        <w:jc w:val="left"/>
        <w:tblInd w:w="684" w:type="dxa"/>
        <w:tblLayout w:type="fixed"/>
        <w:tblCellMar>
          <w:top w:w="0" w:type="dxa"/>
          <w:left w:w="0" w:type="dxa"/>
          <w:bottom w:w="0" w:type="dxa"/>
          <w:right w:w="0" w:type="dxa"/>
        </w:tblCellMar>
        <w:tblLook w:val="01E0"/>
      </w:tblPr>
      <w:tblGrid>
        <w:gridCol w:w="3601"/>
        <w:gridCol w:w="2888"/>
        <w:gridCol w:w="2561"/>
      </w:tblGrid>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合肥盛康电力有限责任公司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肥东金润新能源有限公司</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88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85,862.09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74,577.85</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-85,862.09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-74,577.85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480" w:right="980"/>
        </w:sectPr>
      </w:pPr>
    </w:p>
    <w:p>
      <w:pPr>
        <w:pStyle w:val="Heading2"/>
        <w:spacing w:line="240" w:lineRule="auto"/>
        <w:ind w:left="797" w:right="-15"/>
        <w:jc w:val="left"/>
        <w:rPr>
          <w:b w:val="0"/>
          <w:bCs w:val="0"/>
        </w:rPr>
      </w:pPr>
      <w:r>
        <w:rPr>
          <w:rFonts w:ascii="宋体" w:hAnsi="宋体" w:cs="宋体" w:eastAsia="宋体" w:hint="default"/>
        </w:rPr>
        <w:t>(3).</w:t>
      </w:r>
      <w:r>
        <w:rPr/>
        <w:t>被购买方于购买日可辨认资产、负债</w:t>
      </w:r>
      <w:r>
        <w:rPr>
          <w:b w:val="0"/>
          <w:bCs w:val="0"/>
        </w:rPr>
      </w:r>
    </w:p>
    <w:p>
      <w:pPr>
        <w:pStyle w:val="BodyText"/>
        <w:spacing w:line="240" w:lineRule="auto" w:before="56"/>
        <w:ind w:left="79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797" w:right="0"/>
        <w:jc w:val="left"/>
      </w:pPr>
      <w:r>
        <w:rPr/>
        <w:t>单位：元币种：人民币</w:t>
      </w:r>
    </w:p>
    <w:p>
      <w:pPr>
        <w:spacing w:after="0" w:line="240" w:lineRule="auto"/>
        <w:jc w:val="left"/>
        <w:sectPr>
          <w:type w:val="continuous"/>
          <w:pgSz w:w="11910" w:h="16840"/>
          <w:pgMar w:top="1580" w:bottom="280" w:left="480" w:right="980"/>
          <w:cols w:num="2" w:equalWidth="0">
            <w:col w:w="4599" w:space="2133"/>
            <w:col w:w="371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24"/>
        <w:gridCol w:w="2091"/>
        <w:gridCol w:w="2585"/>
        <w:gridCol w:w="1844"/>
        <w:gridCol w:w="1870"/>
      </w:tblGrid>
      <w:tr>
        <w:trPr>
          <w:trHeight w:val="283" w:hRule="exact"/>
        </w:trPr>
        <w:tc>
          <w:tcPr>
            <w:tcW w:w="1824" w:type="dxa"/>
            <w:vMerge w:val="restart"/>
            <w:tcBorders>
              <w:top w:val="single" w:sz="4" w:space="0" w:color="000000"/>
              <w:left w:val="single" w:sz="4" w:space="0" w:color="000000"/>
              <w:right w:val="single" w:sz="4" w:space="0" w:color="000000"/>
            </w:tcBorders>
          </w:tcPr>
          <w:p>
            <w:pPr/>
          </w:p>
        </w:tc>
        <w:tc>
          <w:tcPr>
            <w:tcW w:w="4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hAnsi="宋体" w:cs="宋体" w:eastAsia="宋体" w:hint="default"/>
                <w:sz w:val="21"/>
                <w:szCs w:val="21"/>
              </w:rPr>
              <w:t>合肥盛康电力有限责任公司</w:t>
            </w:r>
          </w:p>
        </w:tc>
        <w:tc>
          <w:tcPr>
            <w:tcW w:w="3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肥东金润新能源有限公司</w:t>
            </w:r>
          </w:p>
        </w:tc>
      </w:tr>
      <w:tr>
        <w:trPr>
          <w:trHeight w:val="290" w:hRule="exact"/>
        </w:trPr>
        <w:tc>
          <w:tcPr>
            <w:tcW w:w="1824" w:type="dxa"/>
            <w:vMerge/>
            <w:tcBorders>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0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5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0"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9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15,493,827.61</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15,493,827.61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16,545,167.59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16,545,167.59</w:t>
            </w: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3,297,105.99</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3,297,105.99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4,292,474.24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4,292,474.24</w:t>
            </w:r>
          </w:p>
        </w:tc>
      </w:tr>
      <w:tr>
        <w:trPr>
          <w:trHeight w:val="32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159,923.97</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159,923.97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186,855.30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186,855.30</w:t>
            </w:r>
          </w:p>
        </w:tc>
      </w:tr>
      <w:tr>
        <w:trPr>
          <w:trHeight w:val="32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91"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7,818,855.61</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7,818,855.61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10,614,854.69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10,614,854.69</w:t>
            </w:r>
          </w:p>
        </w:tc>
      </w:tr>
      <w:tr>
        <w:trPr>
          <w:trHeight w:val="32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91"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4,217,942.04</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4,217,942.04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1,450,983.36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1,450,983.36</w:t>
            </w:r>
          </w:p>
        </w:tc>
      </w:tr>
      <w:tr>
        <w:trPr>
          <w:trHeight w:val="28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15,407,965.52</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15,407,965.52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16,470,589.74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16,470,589.74</w:t>
            </w:r>
          </w:p>
        </w:tc>
      </w:tr>
      <w:tr>
        <w:trPr>
          <w:trHeight w:val="32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091"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15,407,965.52</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15,407,965.52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16,470,589.74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16,470,589.74</w:t>
            </w:r>
          </w:p>
        </w:tc>
      </w:tr>
      <w:tr>
        <w:trPr>
          <w:trHeight w:val="325"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91"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85,862.09</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85,862.09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74,577.85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74,577.85</w:t>
            </w:r>
          </w:p>
        </w:tc>
      </w:tr>
      <w:tr>
        <w:trPr>
          <w:trHeight w:val="28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1"/>
                <w:sz w:val="21"/>
                <w:szCs w:val="21"/>
              </w:rPr>
              <w:t>减：少数股东权益</w:t>
            </w:r>
          </w:p>
        </w:tc>
        <w:tc>
          <w:tcPr>
            <w:tcW w:w="2091"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85,862.09</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85,862.09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74,577.85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74,577.85</w:t>
            </w:r>
          </w:p>
        </w:tc>
      </w:tr>
    </w:tbl>
    <w:p>
      <w:pPr>
        <w:spacing w:line="240" w:lineRule="auto" w:before="9"/>
        <w:rPr>
          <w:rFonts w:ascii="宋体" w:hAnsi="宋体" w:cs="宋体" w:eastAsia="宋体" w:hint="default"/>
          <w:sz w:val="24"/>
          <w:szCs w:val="24"/>
        </w:rPr>
      </w:pPr>
    </w:p>
    <w:p>
      <w:pPr>
        <w:spacing w:line="290" w:lineRule="auto" w:before="36"/>
        <w:ind w:left="797" w:right="43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30" w:lineRule="exact"/>
        <w:ind w:left="797" w:right="436"/>
        <w:jc w:val="left"/>
      </w:pPr>
      <w:r>
        <w:rPr/>
        <w:t>□适用 √不适用</w:t>
      </w:r>
    </w:p>
    <w:p>
      <w:pPr>
        <w:pStyle w:val="Heading2"/>
        <w:spacing w:line="240" w:lineRule="auto" w:before="56"/>
        <w:ind w:left="1224" w:right="436" w:hanging="428"/>
        <w:jc w:val="left"/>
        <w:rPr>
          <w:b w:val="0"/>
          <w:bCs w:val="0"/>
        </w:rPr>
      </w:pPr>
      <w:r>
        <w:rPr>
          <w:rFonts w:ascii="宋体" w:hAnsi="宋体" w:cs="宋体" w:eastAsia="宋体" w:hint="default"/>
          <w:spacing w:val="-1"/>
        </w:rPr>
        <w:t>(5).</w:t>
      </w:r>
      <w:r>
        <w:rPr>
          <w:spacing w:val="-1"/>
        </w:rPr>
        <w:t>购买日或合并当期期末无法合理确定合并对价或被购买方可辨认资产、负债公允价值的相关</w:t>
      </w:r>
      <w:r>
        <w:rPr>
          <w:spacing w:val="-86"/>
        </w:rPr>
        <w:t> </w:t>
      </w:r>
      <w:r>
        <w:rPr>
          <w:spacing w:val="-86"/>
        </w:rPr>
      </w:r>
      <w:r>
        <w:rPr/>
        <w:t>说明</w:t>
      </w:r>
      <w:r>
        <w:rPr>
          <w:b w:val="0"/>
          <w:bCs w:val="0"/>
        </w:rPr>
      </w:r>
    </w:p>
    <w:p>
      <w:pPr>
        <w:spacing w:line="292" w:lineRule="auto" w:before="56"/>
        <w:ind w:left="797" w:right="805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0"/>
        <w:ind w:left="797" w:right="436"/>
        <w:jc w:val="left"/>
      </w:pPr>
      <w:r>
        <w:rPr/>
        <w:t>□适用 √不适用</w:t>
      </w:r>
    </w:p>
    <w:p>
      <w:pPr>
        <w:spacing w:after="0" w:line="240" w:lineRule="auto"/>
        <w:jc w:val="left"/>
        <w:sectPr>
          <w:type w:val="continuous"/>
          <w:pgSz w:w="11910" w:h="16840"/>
          <w:pgMar w:top="1580" w:bottom="280" w:left="4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ind w:left="177"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177"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7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177" w:right="0"/>
        <w:jc w:val="left"/>
      </w:pPr>
      <w:r>
        <w:rPr/>
        <w:t>□适用 √不适用</w:t>
      </w:r>
    </w:p>
    <w:p>
      <w:pPr>
        <w:spacing w:line="240" w:lineRule="auto" w:before="3"/>
        <w:rPr>
          <w:rFonts w:ascii="宋体" w:hAnsi="宋体" w:cs="宋体" w:eastAsia="宋体" w:hint="default"/>
          <w:sz w:val="25"/>
          <w:szCs w:val="25"/>
        </w:rPr>
      </w:pPr>
    </w:p>
    <w:p>
      <w:pPr>
        <w:spacing w:line="290" w:lineRule="auto" w:before="0"/>
        <w:ind w:left="177" w:right="389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77" w:right="0"/>
        <w:jc w:val="left"/>
      </w:pPr>
      <w:r>
        <w:rPr/>
        <w:t>□适用 √不适用</w:t>
      </w:r>
    </w:p>
    <w:p>
      <w:pPr>
        <w:pStyle w:val="BodyText"/>
        <w:spacing w:line="273" w:lineRule="exact"/>
        <w:ind w:left="177" w:right="0"/>
        <w:jc w:val="left"/>
      </w:pPr>
      <w:r>
        <w:rPr/>
        <w:t>其他说明：</w:t>
      </w:r>
    </w:p>
    <w:p>
      <w:pPr>
        <w:pStyle w:val="BodyText"/>
        <w:spacing w:line="240" w:lineRule="auto"/>
        <w:ind w:left="177" w:right="2170"/>
        <w:jc w:val="left"/>
      </w:pPr>
      <w:r>
        <w:rPr/>
        <w:t>□适用</w:t>
      </w:r>
      <w:r>
        <w:rPr>
          <w:spacing w:val="-2"/>
        </w:rPr>
        <w:t> </w:t>
      </w:r>
      <w:r>
        <w:rPr/>
        <w:t>√不适用</w:t>
      </w:r>
      <w:r>
        <w:rPr>
          <w:spacing w:val="-103"/>
        </w:rPr>
        <w:t> </w:t>
      </w:r>
      <w:r>
        <w:rPr>
          <w:spacing w:val="-103"/>
        </w:rPr>
      </w:r>
      <w:r>
        <w:rPr>
          <w:spacing w:val="-2"/>
        </w:rPr>
        <w:t>是否存在通过多次交易分步处置对子公司投资且在本期丧失控制权的情形</w:t>
      </w:r>
    </w:p>
    <w:p>
      <w:pPr>
        <w:pStyle w:val="BodyText"/>
        <w:spacing w:line="271" w:lineRule="exact"/>
        <w:ind w:left="177" w:right="0"/>
        <w:jc w:val="left"/>
      </w:pPr>
      <w:r>
        <w:rPr/>
        <w:t>□适用√不适用</w:t>
      </w:r>
    </w:p>
    <w:p>
      <w:pPr>
        <w:spacing w:line="240" w:lineRule="auto" w:before="12"/>
        <w:rPr>
          <w:rFonts w:ascii="宋体" w:hAnsi="宋体" w:cs="宋体" w:eastAsia="宋体" w:hint="default"/>
          <w:sz w:val="23"/>
          <w:szCs w:val="23"/>
        </w:rPr>
      </w:pPr>
    </w:p>
    <w:p>
      <w:pPr>
        <w:spacing w:line="290" w:lineRule="auto" w:before="0"/>
        <w:ind w:left="177"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77" w:right="0"/>
        <w:jc w:val="left"/>
      </w:pPr>
      <w:r>
        <w:rPr/>
        <w:t>□适用 √不适用</w:t>
      </w:r>
    </w:p>
    <w:p>
      <w:pPr>
        <w:spacing w:line="240" w:lineRule="auto" w:before="2"/>
        <w:rPr>
          <w:rFonts w:ascii="宋体" w:hAnsi="宋体" w:cs="宋体" w:eastAsia="宋体" w:hint="default"/>
          <w:sz w:val="24"/>
          <w:szCs w:val="24"/>
        </w:rPr>
      </w:pPr>
    </w:p>
    <w:p>
      <w:pPr>
        <w:pStyle w:val="Heading2"/>
        <w:spacing w:line="240" w:lineRule="auto" w:before="0"/>
        <w:ind w:left="177"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77" w:right="0"/>
        <w:jc w:val="left"/>
      </w:pPr>
      <w:r>
        <w:rPr/>
        <w:t>□适用 √不适用</w:t>
      </w:r>
    </w:p>
    <w:p>
      <w:pPr>
        <w:spacing w:after="0" w:line="240" w:lineRule="auto"/>
        <w:jc w:val="left"/>
        <w:sectPr>
          <w:pgSz w:w="11910" w:h="16840"/>
          <w:pgMar w:header="0" w:footer="974" w:top="1120" w:bottom="1160" w:left="1100" w:right="1660"/>
        </w:sectPr>
      </w:pPr>
    </w:p>
    <w:p>
      <w:pPr>
        <w:spacing w:line="240" w:lineRule="auto" w:before="9"/>
        <w:rPr>
          <w:rFonts w:ascii="宋体" w:hAnsi="宋体" w:cs="宋体" w:eastAsia="宋体" w:hint="default"/>
          <w:sz w:val="29"/>
          <w:szCs w:val="29"/>
        </w:rPr>
      </w:pPr>
    </w:p>
    <w:p>
      <w:pPr>
        <w:pStyle w:val="Heading2"/>
        <w:spacing w:line="290" w:lineRule="auto"/>
        <w:ind w:left="958" w:right="698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95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77"/>
        <w:gridCol w:w="751"/>
        <w:gridCol w:w="1037"/>
        <w:gridCol w:w="1174"/>
        <w:gridCol w:w="1037"/>
        <w:gridCol w:w="934"/>
        <w:gridCol w:w="1558"/>
      </w:tblGrid>
      <w:tr>
        <w:trPr>
          <w:trHeight w:val="283" w:hRule="exact"/>
        </w:trPr>
        <w:tc>
          <w:tcPr>
            <w:tcW w:w="3577" w:type="dxa"/>
            <w:vMerge w:val="restart"/>
            <w:tcBorders>
              <w:top w:val="single" w:sz="4" w:space="0" w:color="000000"/>
              <w:left w:val="single" w:sz="4" w:space="0" w:color="000000"/>
              <w:right w:val="single" w:sz="4" w:space="0" w:color="000000"/>
            </w:tcBorders>
          </w:tcPr>
          <w:p>
            <w:pPr>
              <w:pStyle w:val="TableParagraph"/>
              <w:spacing w:line="240" w:lineRule="auto" w:before="102"/>
              <w:ind w:left="1466" w:right="1466"/>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72" w:lineRule="exact" w:before="27"/>
              <w:ind w:left="263" w:right="156" w:hanging="10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2"/>
              <w:ind w:left="561" w:right="563"/>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545" w:hRule="exact"/>
        </w:trPr>
        <w:tc>
          <w:tcPr>
            <w:tcW w:w="3577"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5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58" w:type="dxa"/>
            <w:vMerge/>
            <w:tcBorders>
              <w:left w:val="single" w:sz="4" w:space="0" w:color="000000"/>
              <w:bottom w:val="single" w:sz="4" w:space="0" w:color="000000"/>
              <w:right w:val="single" w:sz="4" w:space="0" w:color="000000"/>
            </w:tcBorders>
          </w:tcPr>
          <w:p>
            <w:pP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UABELGAMAELEKTRONIKA</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立陶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宛</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立陶宛</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1" w:right="0"/>
              <w:jc w:val="left"/>
              <w:rPr>
                <w:rFonts w:ascii="宋体" w:hAnsi="宋体" w:cs="宋体" w:eastAsia="宋体" w:hint="default"/>
                <w:sz w:val="21"/>
                <w:szCs w:val="21"/>
              </w:rPr>
            </w:pPr>
            <w:r>
              <w:rPr>
                <w:rFonts w:ascii="宋体"/>
                <w:sz w:val="21"/>
              </w:rPr>
              <w:t>66.70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安庆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1" w:right="0"/>
              <w:jc w:val="left"/>
              <w:rPr>
                <w:rFonts w:ascii="宋体" w:hAnsi="宋体" w:cs="宋体" w:eastAsia="宋体" w:hint="default"/>
                <w:sz w:val="21"/>
                <w:szCs w:val="21"/>
              </w:rPr>
            </w:pPr>
            <w:r>
              <w:rPr>
                <w:rFonts w:ascii="宋体"/>
                <w:sz w:val="21"/>
              </w:rPr>
              <w:t>51.52</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安徽林洋能效管理有限公司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5"/>
              <w:jc w:val="right"/>
              <w:rPr>
                <w:rFonts w:ascii="宋体" w:hAnsi="宋体" w:cs="宋体" w:eastAsia="宋体" w:hint="default"/>
                <w:sz w:val="21"/>
                <w:szCs w:val="21"/>
              </w:rPr>
            </w:pPr>
            <w:r>
              <w:rPr>
                <w:rFonts w:ascii="宋体"/>
                <w:sz w:val="21"/>
              </w:rPr>
              <w:t>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南通林洋电气有限公司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1" w:right="0"/>
              <w:jc w:val="left"/>
              <w:rPr>
                <w:rFonts w:ascii="宋体" w:hAnsi="宋体" w:cs="宋体" w:eastAsia="宋体" w:hint="default"/>
                <w:sz w:val="21"/>
                <w:szCs w:val="21"/>
              </w:rPr>
            </w:pPr>
            <w:r>
              <w:rPr>
                <w:rFonts w:ascii="宋体"/>
                <w:sz w:val="21"/>
              </w:rPr>
              <w:t>80.00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宿迁林洋光电有限公司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宿迁</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宿迁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林洋新能源澳洲有限公司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澳洲</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澳洲</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新加坡林洋能源科技有限公司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新加</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贸</w:t>
            </w:r>
            <w:r>
              <w:rPr>
                <w:rFonts w:ascii="宋体" w:hAnsi="宋体" w:cs="宋体" w:eastAsia="宋体" w:hint="default"/>
                <w:w w:val="100"/>
                <w:sz w:val="21"/>
                <w:szCs w:val="21"/>
              </w:rPr>
              <w:t>易</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泗洪林洋光伏科技有限公司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江苏林洋光伏运维有限公司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呼和</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浩特</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特</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9"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光伏应用</w:t>
            </w:r>
          </w:p>
          <w:p>
            <w:pPr>
              <w:pStyle w:val="TableParagraph"/>
              <w:spacing w:line="240" w:lineRule="auto"/>
              <w:ind w:left="473" w:right="161" w:hanging="315"/>
              <w:jc w:val="left"/>
              <w:rPr>
                <w:rFonts w:ascii="宋体" w:hAnsi="宋体" w:cs="宋体" w:eastAsia="宋体" w:hint="default"/>
                <w:sz w:val="21"/>
                <w:szCs w:val="21"/>
              </w:rPr>
            </w:pPr>
            <w:r>
              <w:rPr>
                <w:rFonts w:ascii="宋体" w:hAnsi="宋体" w:cs="宋体" w:eastAsia="宋体" w:hint="default"/>
                <w:sz w:val="21"/>
                <w:szCs w:val="21"/>
              </w:rPr>
              <w:t>系统及产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江苏昆瑞新能源有限公司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镇江</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镇江</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泗洪润晖新能源有限公司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泗洪县华乐新能源科技有限公司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泗洪县永乐新能源科技有限公司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盐城利能新能源有限公司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盐城</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盐城</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扬中市阜润电力科技有限公司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扬中</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扬中</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扬州林洋零点新能源科技有限公司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扬州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扬州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3" w:lineRule="exact"/>
        <w:jc w:val="center"/>
        <w:rPr>
          <w:rFonts w:ascii="宋体" w:hAnsi="宋体" w:cs="宋体" w:eastAsia="宋体" w:hint="default"/>
          <w:sz w:val="21"/>
          <w:szCs w:val="21"/>
        </w:rPr>
        <w:sectPr>
          <w:headerReference w:type="default" r:id="rId112"/>
          <w:footerReference w:type="default" r:id="rId113"/>
          <w:pgSz w:w="11910" w:h="16840"/>
          <w:pgMar w:header="728" w:footer="974" w:top="1120" w:bottom="1160" w:left="840" w:right="780"/>
          <w:pgNumType w:start="16"/>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577"/>
        <w:gridCol w:w="751"/>
        <w:gridCol w:w="1037"/>
        <w:gridCol w:w="1174"/>
        <w:gridCol w:w="1037"/>
        <w:gridCol w:w="934"/>
        <w:gridCol w:w="1558"/>
      </w:tblGrid>
      <w:tr>
        <w:trPr>
          <w:trHeight w:val="557"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邳州市城阳电力科技有限公司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邳州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邳州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兴化市旭晖电力科技有限公司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兴化</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兴化</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泗洪永盛新能源科技有限公司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泗洪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东海县中盛红利新能源有限公司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东海</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东海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灌云华虹农业科技有限公司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灌云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灌云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灌云林洋新能源科技有限公司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灌云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灌云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灌云中森太阳能科技有限公司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灌云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灌云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江苏飞展能源科技有限公司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连云港易睐珂新能源有限公司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连云港林洋新能源有限公司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连云港首耀新能源科技有限公司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海门市林洋新能源电力有限公司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海门</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海门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南通华陆新能源科技有限公司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南通林森新能源科技有限公司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江苏永林新能源科技有限公司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南通市华乐新能源电力有限公司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启东市华乐新能源电力有限公司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如皋市林洋新能源电力有限公司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如皋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如皋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启东市永乐新能源电力有限公司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沈阳林博新能源科技有限公司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铁岭林华新能源科技有限公司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铁岭林乾新能源科技有限公司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铁岭林燕新能源科技有限公司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铁岭</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亳州市谯城区华金新能源科技有限公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亳州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亳州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亳州市谯城区华太新能源科技有限公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亳州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亳州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亳州市谯城区华阳新能源科技有限公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亳州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亳州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肥东县永耀新能源科技有限公司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肥西绿辉光伏科技工程有限公司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肥西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肥西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阜阳华明农业太阳能发电有限公司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阜阳金明农业太阳能发电有限公司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临泉永明太阳能发电有限公司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临泉</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临泉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5"/>
              <w:jc w:val="right"/>
              <w:rPr>
                <w:rFonts w:ascii="宋体" w:hAnsi="宋体" w:cs="宋体" w:eastAsia="宋体" w:hint="default"/>
                <w:sz w:val="21"/>
                <w:szCs w:val="21"/>
              </w:rPr>
            </w:pPr>
            <w:r>
              <w:rPr>
                <w:rFonts w:ascii="宋体"/>
                <w:sz w:val="21"/>
              </w:rPr>
              <w:t>53.33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center"/>
        <w:rPr>
          <w:rFonts w:ascii="宋体" w:hAnsi="宋体" w:cs="宋体" w:eastAsia="宋体" w:hint="default"/>
          <w:sz w:val="21"/>
          <w:szCs w:val="21"/>
        </w:rPr>
        <w:sectPr>
          <w:pgSz w:w="11910" w:h="16840"/>
          <w:pgMar w:header="728" w:footer="974" w:top="1120" w:bottom="1160" w:left="84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577"/>
        <w:gridCol w:w="751"/>
        <w:gridCol w:w="1037"/>
        <w:gridCol w:w="1174"/>
        <w:gridCol w:w="1037"/>
        <w:gridCol w:w="934"/>
        <w:gridCol w:w="1558"/>
      </w:tblGrid>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阜阳永明农业太阳能发电有限公司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阜阳永强农业科技有限公司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阜阳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合肥福润能源科技有限公司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合肥恒科光伏科技有限公司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肥西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肥西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合肥慧天云网新能源有限公司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合肥吉田新能源有限公司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界首市金明农业发展有限公司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界首</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界首</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界首市永明光伏科技有限公司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界首</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界首</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濉溪县永瑞现代农业科技有限公司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濉溪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濉溪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濉溪永晖新能源科技有限公司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濉溪</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濉溪</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太和县金明农业科技有限公司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太和</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太和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太和县天明农业太阳能发电有限公司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太和</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太和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萧县华丰现代农业有限公司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萧县华耀农业太阳能发电有限公司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萧县裕晟新能源科技有限公司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宿州金耀新能源科技有限公司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萧县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颖上华盛农业太阳能发电有限公司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颖上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颖上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颖上华新新能源科技有限公司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颖上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颖上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颖上永阳新能源科技有限公司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颖上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颖上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宿州金阳新能源科技有限公司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宿州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宿州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灵璧华浍新能源科技有限公司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灵璧</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灵璧</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灵璧灵阳新能源科技有限公司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灵璧</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灵璧</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灵璧县明升新能源科技有限公司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灵璧</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灵璧</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商丘</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商丘</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商丘林洋光伏科技有限公司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商丘</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商丘</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商丘市鑫炎新能源开发有限公司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商丘</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商丘</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永城永阳农业科技有限公司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永城</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永城</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济南</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济南</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安丘晨晖光电科技有限公司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安丘</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安丘</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安丘汇创新能源科技有限公司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安丘</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安丘</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安丘永旭光电科技有限公司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安丘</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安丘</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德州市华耀光电科技有限公司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德州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德州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德州永创新能源有限公司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德州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德州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东营三力光伏发电有限公司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东营市津禾光伏有限公司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东营华创新能源有限公司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东营永洋光伏发电有限公司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冠县华博农业科技有限公司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冠县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冠县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惠民县永正农业科技有限公司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惠民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惠民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潍坊滨海融光新能源发展有限公司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潍坊创能新能源发展有限公司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tc>
      </w:tr>
    </w:tbl>
    <w:p>
      <w:pPr>
        <w:spacing w:after="0" w:line="241" w:lineRule="exact"/>
        <w:jc w:val="center"/>
        <w:rPr>
          <w:rFonts w:ascii="宋体" w:hAnsi="宋体" w:cs="宋体" w:eastAsia="宋体" w:hint="default"/>
          <w:sz w:val="21"/>
          <w:szCs w:val="21"/>
        </w:rPr>
        <w:sectPr>
          <w:footerReference w:type="default" r:id="rId114"/>
          <w:pgSz w:w="11910" w:h="16840"/>
          <w:pgMar w:footer="974" w:header="728" w:top="1120" w:bottom="1160" w:left="840" w:right="780"/>
          <w:pgNumType w:start="17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577"/>
        <w:gridCol w:w="751"/>
        <w:gridCol w:w="1037"/>
        <w:gridCol w:w="1174"/>
        <w:gridCol w:w="1037"/>
        <w:gridCol w:w="934"/>
        <w:gridCol w:w="1558"/>
      </w:tblGrid>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潍坊祥光新能源发展有限公司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夏津力诺太阳能电力科技有限公司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夏津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夏津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淄博青意光伏发电有限公司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淄博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淄博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淄博开耀光伏电力有限公司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淄博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淄博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微山永旭新能源有限公司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微山</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微山</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河北林洋微网新能源科技有限公司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石家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庄</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石家庄</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围场满族蒙古族自治县风阳光伏发电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围场</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围场</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长丰吉润新能源科技有限公司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长丰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合肥盛康电力有限责任公司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合肥华洋新能源科技有限公司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邳州市大诚电力科技有限公司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邳州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邳州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启东市永威新能源电力有限公司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肥东金润新能源有限公司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肥东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LINYANGSMARTENERGYAFRICA(PTY)LTD</w:t>
            </w:r>
          </w:p>
        </w:tc>
        <w:tc>
          <w:tcPr>
            <w:tcW w:w="75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贸</w:t>
            </w:r>
            <w:r>
              <w:rPr>
                <w:rFonts w:ascii="宋体" w:hAnsi="宋体" w:cs="宋体" w:eastAsia="宋体" w:hint="default"/>
                <w:w w:val="100"/>
                <w:sz w:val="21"/>
                <w:szCs w:val="21"/>
              </w:rPr>
              <w:t>易</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北京林洋新能源科技有限公司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9"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南通市永乐新能源电力有限公司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03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8"/>
        <w:rPr>
          <w:rFonts w:ascii="Times New Roman" w:hAnsi="Times New Roman" w:cs="Times New Roman" w:eastAsia="Times New Roman" w:hint="default"/>
          <w:sz w:val="22"/>
          <w:szCs w:val="22"/>
        </w:rPr>
      </w:pPr>
    </w:p>
    <w:p>
      <w:pPr>
        <w:pStyle w:val="Heading2"/>
        <w:spacing w:line="240" w:lineRule="auto"/>
        <w:ind w:left="958" w:right="0"/>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958" w:right="0"/>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56"/>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958" w:right="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958" w:right="0"/>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spacing w:line="240" w:lineRule="auto" w:before="56"/>
        <w:ind w:left="958" w:right="7734"/>
        <w:jc w:val="left"/>
      </w:pPr>
      <w:r>
        <w:rPr/>
        <w:t>□适用</w:t>
      </w:r>
      <w:r>
        <w:rPr>
          <w:spacing w:val="-1"/>
        </w:rPr>
        <w:t> </w:t>
      </w:r>
      <w:r>
        <w:rPr/>
        <w:t>√不适用</w:t>
      </w:r>
      <w:r>
        <w:rPr>
          <w:w w:val="100"/>
        </w:rPr>
        <w:t> </w:t>
      </w:r>
      <w:r>
        <w:rPr/>
        <w:t>其他说明：</w:t>
      </w:r>
    </w:p>
    <w:p>
      <w:pPr>
        <w:pStyle w:val="BodyText"/>
        <w:spacing w:line="271" w:lineRule="exact"/>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95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958" w:right="48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240" w:lineRule="auto" w:before="12"/>
        <w:ind w:left="9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28" w:footer="974" w:top="1120" w:bottom="1160" w:left="840" w:right="780"/>
        </w:sectPr>
      </w:pPr>
    </w:p>
    <w:p>
      <w:pPr>
        <w:pStyle w:val="Heading2"/>
        <w:spacing w:line="240" w:lineRule="auto"/>
        <w:ind w:left="958"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spacing w:line="240" w:lineRule="auto" w:before="58"/>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840" w:right="780"/>
          <w:cols w:num="2" w:equalWidth="0">
            <w:col w:w="6654" w:space="288"/>
            <w:col w:w="334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34" w:type="dxa"/>
        <w:tblLayout w:type="fixed"/>
        <w:tblCellMar>
          <w:top w:w="0" w:type="dxa"/>
          <w:left w:w="0" w:type="dxa"/>
          <w:bottom w:w="0" w:type="dxa"/>
          <w:right w:w="0" w:type="dxa"/>
        </w:tblCellMar>
        <w:tblLook w:val="01E0"/>
      </w:tblPr>
      <w:tblGrid>
        <w:gridCol w:w="3790"/>
        <w:gridCol w:w="2132"/>
        <w:gridCol w:w="2269"/>
      </w:tblGrid>
      <w:tr>
        <w:trPr>
          <w:trHeight w:val="557" w:hRule="exact"/>
        </w:trPr>
        <w:tc>
          <w:tcPr>
            <w:tcW w:w="3790"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邳州市城阳电力科技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r>
      <w:tr>
        <w:trPr>
          <w:trHeight w:val="281"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13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103,474,586.51</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13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103,474,586.51</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4"/>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w:t>
            </w:r>
            <w:r>
              <w:rPr>
                <w:rFonts w:ascii="宋体" w:hAnsi="宋体" w:cs="宋体" w:eastAsia="宋体" w:hint="default"/>
                <w:w w:val="100"/>
                <w:sz w:val="21"/>
                <w:szCs w:val="21"/>
              </w:rPr>
              <w:t>处</w:t>
            </w:r>
            <w:r>
              <w:rPr>
                <w:rFonts w:ascii="宋体" w:hAnsi="宋体" w:cs="宋体" w:eastAsia="宋体" w:hint="default"/>
                <w:spacing w:val="-3"/>
                <w:w w:val="100"/>
                <w:sz w:val="21"/>
                <w:szCs w:val="21"/>
              </w:rPr>
              <w:t>置</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比</w:t>
            </w:r>
            <w:r>
              <w:rPr>
                <w:rFonts w:ascii="宋体" w:hAnsi="宋体" w:cs="宋体" w:eastAsia="宋体" w:hint="default"/>
                <w:w w:val="100"/>
                <w:sz w:val="21"/>
                <w:szCs w:val="21"/>
              </w:rPr>
              <w:t>例计</w:t>
            </w:r>
            <w:r>
              <w:rPr>
                <w:rFonts w:ascii="宋体" w:hAnsi="宋体" w:cs="宋体" w:eastAsia="宋体" w:hint="default"/>
                <w:spacing w:val="-3"/>
                <w:w w:val="100"/>
                <w:sz w:val="21"/>
                <w:szCs w:val="21"/>
              </w:rPr>
              <w:t>算</w:t>
            </w:r>
            <w:r>
              <w:rPr>
                <w:rFonts w:ascii="宋体" w:hAnsi="宋体" w:cs="宋体" w:eastAsia="宋体" w:hint="default"/>
                <w:w w:val="100"/>
                <w:sz w:val="21"/>
                <w:szCs w:val="21"/>
              </w:rPr>
              <w:t>的</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司净资产份额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89,611,718.73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-56.14</w:t>
            </w:r>
          </w:p>
        </w:tc>
      </w:tr>
      <w:tr>
        <w:trPr>
          <w:trHeight w:val="28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13,862,867.78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56.14</w:t>
            </w:r>
          </w:p>
        </w:tc>
      </w:tr>
      <w:tr>
        <w:trPr>
          <w:trHeight w:val="28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13,862,867.78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56.14</w:t>
            </w:r>
          </w:p>
        </w:tc>
      </w:tr>
      <w:tr>
        <w:trPr>
          <w:trHeight w:val="281"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13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13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41"/>
        <w:jc w:val="left"/>
      </w:pPr>
      <w:r>
        <w:rPr/>
        <w:t>其他说明</w:t>
      </w:r>
    </w:p>
    <w:p>
      <w:pPr>
        <w:pStyle w:val="BodyText"/>
        <w:spacing w:line="273" w:lineRule="exact"/>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28" w:footer="974" w:top="1120" w:bottom="1160" w:left="1580" w:right="1040"/>
        </w:sectPr>
      </w:pPr>
    </w:p>
    <w:p>
      <w:pPr>
        <w:pStyle w:val="Heading2"/>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3591" w:space="3351"/>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p>
            <w:pPr>
              <w:pStyle w:val="TableParagraph"/>
              <w:spacing w:line="272" w:lineRule="exact" w:before="26"/>
              <w:ind w:left="103" w:right="249"/>
              <w:jc w:val="left"/>
              <w:rPr>
                <w:rFonts w:ascii="宋体" w:hAnsi="宋体" w:cs="宋体" w:eastAsia="宋体" w:hint="default"/>
                <w:sz w:val="21"/>
                <w:szCs w:val="21"/>
              </w:rPr>
            </w:pPr>
            <w:r>
              <w:rPr>
                <w:rFonts w:ascii="宋体" w:hAnsi="宋体" w:cs="宋体" w:eastAsia="宋体" w:hint="default"/>
                <w:sz w:val="21"/>
                <w:szCs w:val="21"/>
              </w:rPr>
              <w:t>仪器仪表</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113" w:hanging="209"/>
              <w:jc w:val="left"/>
              <w:rPr>
                <w:rFonts w:ascii="宋体" w:hAnsi="宋体" w:cs="宋体" w:eastAsia="宋体" w:hint="default"/>
                <w:sz w:val="21"/>
                <w:szCs w:val="21"/>
              </w:rPr>
            </w:pPr>
            <w:r>
              <w:rPr>
                <w:rFonts w:ascii="宋体" w:hAnsi="宋体" w:cs="宋体" w:eastAsia="宋体" w:hint="default"/>
                <w:sz w:val="21"/>
                <w:szCs w:val="21"/>
              </w:rPr>
              <w:t>智能电表生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产销售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49.00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2"/>
        <w:rPr>
          <w:rFonts w:ascii="宋体" w:hAnsi="宋体" w:cs="宋体" w:eastAsia="宋体" w:hint="default"/>
          <w:sz w:val="20"/>
          <w:szCs w:val="20"/>
        </w:rPr>
      </w:pPr>
    </w:p>
    <w:p>
      <w:pPr>
        <w:pStyle w:val="Heading2"/>
        <w:spacing w:line="240" w:lineRule="auto"/>
        <w:ind w:right="241"/>
        <w:jc w:val="left"/>
        <w:rPr>
          <w:b w:val="0"/>
          <w:bCs w:val="0"/>
        </w:rPr>
      </w:pPr>
      <w:r>
        <w:rPr>
          <w:rFonts w:ascii="宋体" w:hAnsi="宋体" w:cs="宋体" w:eastAsia="宋体" w:hint="default"/>
        </w:rPr>
        <w:t>(2).</w:t>
      </w:r>
      <w:r>
        <w:rPr/>
        <w:t>重要合营企业的主要财务信息</w:t>
      </w:r>
      <w:r>
        <w:rPr>
          <w:b w:val="0"/>
          <w:bCs w:val="0"/>
        </w:rPr>
      </w:r>
    </w:p>
    <w:p>
      <w:pPr>
        <w:pStyle w:val="BodyText"/>
        <w:spacing w:line="240" w:lineRule="auto" w:before="56"/>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2"/>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384" w:space="334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0"/>
        <w:gridCol w:w="1687"/>
        <w:gridCol w:w="1685"/>
        <w:gridCol w:w="1688"/>
        <w:gridCol w:w="1579"/>
      </w:tblGrid>
      <w:tr>
        <w:trPr>
          <w:trHeight w:val="286" w:hRule="exact"/>
        </w:trPr>
        <w:tc>
          <w:tcPr>
            <w:tcW w:w="2410" w:type="dxa"/>
            <w:vMerge w:val="restart"/>
            <w:tcBorders>
              <w:top w:val="single" w:sz="4" w:space="0" w:color="000000"/>
              <w:left w:val="single" w:sz="4" w:space="0" w:color="000000"/>
              <w:right w:val="single" w:sz="6" w:space="0" w:color="000000"/>
            </w:tcBorders>
          </w:tcPr>
          <w:p>
            <w:pPr/>
          </w:p>
        </w:tc>
        <w:tc>
          <w:tcPr>
            <w:tcW w:w="337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68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559" w:hRule="exact"/>
        </w:trPr>
        <w:tc>
          <w:tcPr>
            <w:tcW w:w="2410" w:type="dxa"/>
            <w:vMerge/>
            <w:tcBorders>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表有限公司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江苏华源仪器</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仪表有限公司</w:t>
            </w: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230,214,050.88</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228,041,817.75</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6,991,904.53</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8,536,238.10</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237,205,955.41</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236,578,055.85</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117,992,390.52</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119,322,706.16</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117,992,390.52</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119,322,706.16</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119,213,564.89</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117,255,349.69</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58,414,646.80</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57,455,121.34</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-516,898.76</w:t>
            </w:r>
          </w:p>
        </w:tc>
        <w:tc>
          <w:tcPr>
            <w:tcW w:w="1685"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-516,898.75</w:t>
            </w: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10"/>
        <w:gridCol w:w="1687"/>
        <w:gridCol w:w="1685"/>
        <w:gridCol w:w="1688"/>
        <w:gridCol w:w="1579"/>
      </w:tblGrid>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7" w:type="dxa"/>
            <w:tcBorders>
              <w:top w:val="single" w:sz="4" w:space="0" w:color="000000"/>
              <w:left w:val="single" w:sz="6" w:space="0" w:color="000000"/>
              <w:bottom w:val="single" w:sz="6" w:space="0" w:color="000000"/>
              <w:right w:val="single" w:sz="6" w:space="0" w:color="000000"/>
            </w:tcBorders>
          </w:tcPr>
          <w:p>
            <w:pPr/>
          </w:p>
        </w:tc>
        <w:tc>
          <w:tcPr>
            <w:tcW w:w="1685" w:type="dxa"/>
            <w:tcBorders>
              <w:top w:val="single" w:sz="4"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-516,898.76</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-516,898.75</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57,897,748.04</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56,938,222.59</w:t>
            </w: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115,027,393.21</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73,335,182.91</w:t>
            </w: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1,958,215.20</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342,060.80</w:t>
            </w: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1,958,215.20</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342,060.80</w:t>
            </w:r>
          </w:p>
        </w:tc>
      </w:tr>
      <w:tr>
        <w:trPr>
          <w:trHeight w:val="557" w:hRule="exact"/>
        </w:trPr>
        <w:tc>
          <w:tcPr>
            <w:tcW w:w="2410"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p>
        </w:tc>
        <w:tc>
          <w:tcPr>
            <w:tcW w:w="1687"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6" w:space="0" w:color="000000"/>
            </w:tcBorders>
          </w:tcPr>
          <w:p>
            <w:pPr/>
          </w:p>
        </w:tc>
        <w:tc>
          <w:tcPr>
            <w:tcW w:w="157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28" w:footer="974" w:top="1120" w:bottom="1160" w:left="1580" w:right="1040"/>
        </w:sectPr>
      </w:pPr>
    </w:p>
    <w:p>
      <w:pPr>
        <w:pStyle w:val="Heading2"/>
        <w:spacing w:line="240" w:lineRule="auto"/>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4863" w:space="187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23,605,861.06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16,825,882.76</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1,407,711.14</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法凯涞玛冷暖设备（杭州）有限公司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3,024,829.44</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无锡感知金服实业有限公司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24,010,956.21</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50,641,646.71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18,233,593.90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315,763.95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832,580.97</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315,763.95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832,580.97</w:t>
            </w:r>
          </w:p>
        </w:tc>
      </w:tr>
    </w:tbl>
    <w:p>
      <w:pPr>
        <w:spacing w:line="240" w:lineRule="auto" w:before="12"/>
        <w:rPr>
          <w:rFonts w:ascii="宋体" w:hAnsi="宋体" w:cs="宋体" w:eastAsia="宋体" w:hint="default"/>
          <w:sz w:val="19"/>
          <w:szCs w:val="19"/>
        </w:rPr>
      </w:pPr>
    </w:p>
    <w:p>
      <w:pPr>
        <w:pStyle w:val="Heading2"/>
        <w:spacing w:line="240" w:lineRule="auto"/>
        <w:ind w:right="241"/>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spacing w:line="290" w:lineRule="auto" w:before="58"/>
        <w:ind w:left="218" w:right="5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90" w:lineRule="auto" w:before="14"/>
        <w:ind w:left="218" w:right="5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90" w:lineRule="auto" w:before="14"/>
        <w:ind w:left="218" w:right="46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pStyle w:val="BodyText"/>
        <w:spacing w:line="240" w:lineRule="auto" w:before="14"/>
        <w:ind w:right="241"/>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1"/>
        <w:rPr>
          <w:rFonts w:ascii="宋体" w:hAnsi="宋体" w:cs="宋体" w:eastAsia="宋体" w:hint="default"/>
          <w:sz w:val="25"/>
          <w:szCs w:val="25"/>
        </w:rPr>
      </w:pPr>
    </w:p>
    <w:p>
      <w:pPr>
        <w:pStyle w:val="Heading2"/>
        <w:spacing w:line="240" w:lineRule="auto"/>
        <w:ind w:left="17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7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left="1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left"/>
        <w:rPr>
          <w:b w:val="0"/>
          <w:bCs w:val="0"/>
        </w:rPr>
      </w:pPr>
      <w:r>
        <w:rPr/>
        <w:t>十、与金融工具相关的风险</w:t>
      </w:r>
      <w:r>
        <w:rPr>
          <w:b w:val="0"/>
          <w:bCs w:val="0"/>
        </w:rPr>
      </w:r>
    </w:p>
    <w:p>
      <w:pPr>
        <w:pStyle w:val="BodyText"/>
        <w:spacing w:line="348" w:lineRule="auto" w:before="59"/>
        <w:ind w:left="598" w:right="0" w:hanging="420"/>
        <w:jc w:val="left"/>
      </w:pPr>
      <w:r>
        <w:rPr/>
        <w:t>√适用</w:t>
      </w:r>
      <w:r>
        <w:rPr>
          <w:spacing w:val="-2"/>
        </w:rPr>
        <w:t> </w:t>
      </w:r>
      <w:r>
        <w:rPr/>
        <w:t>□不适用</w:t>
      </w:r>
      <w:r>
        <w:rPr>
          <w:w w:val="100"/>
        </w:rPr>
        <w:t> </w:t>
      </w:r>
      <w:r>
        <w:rPr>
          <w:spacing w:val="-2"/>
        </w:rPr>
        <w:t>本公司在经营过程中面临各种金融风险：信用风险、市场风险和流动性风险。公司董事会全</w:t>
      </w:r>
    </w:p>
    <w:p>
      <w:pPr>
        <w:pStyle w:val="BodyText"/>
        <w:spacing w:line="272" w:lineRule="exact" w:before="59"/>
        <w:ind w:left="377" w:right="0" w:hanging="200"/>
        <w:jc w:val="left"/>
      </w:pPr>
      <w:r>
        <w:rPr/>
        <w:t>面负责风险管理目标和政策的确定，并对风险管理目标和政策承担最终责任。</w:t>
      </w:r>
      <w:r>
        <w:rPr>
          <w:w w:val="100"/>
        </w:rPr>
        <w:t> </w:t>
      </w:r>
      <w:r>
        <w:rPr>
          <w:spacing w:val="-2"/>
        </w:rPr>
        <w:t>本公司风险管理的总体目标是在不过度影响公司竞争力和应变力的情况下，制定尽可能降低风</w:t>
      </w:r>
    </w:p>
    <w:p>
      <w:pPr>
        <w:pStyle w:val="BodyText"/>
        <w:spacing w:line="249" w:lineRule="exact"/>
        <w:ind w:left="178" w:right="0"/>
        <w:jc w:val="left"/>
      </w:pPr>
      <w:r>
        <w:rPr/>
        <w:t>险的风险管理政策。</w:t>
      </w:r>
    </w:p>
    <w:p>
      <w:pPr>
        <w:pStyle w:val="BodyText"/>
        <w:tabs>
          <w:tab w:pos="1437" w:val="left" w:leader="none"/>
        </w:tabs>
        <w:spacing w:line="333" w:lineRule="auto" w:before="123"/>
        <w:ind w:left="598" w:right="133" w:firstLine="2"/>
        <w:jc w:val="left"/>
      </w:pPr>
      <w:r>
        <w:rPr>
          <w:rFonts w:ascii="宋体" w:hAnsi="宋体" w:cs="宋体" w:eastAsia="宋体" w:hint="default"/>
          <w:b/>
          <w:bCs/>
        </w:rPr>
        <w:t>（一）</w:t>
        <w:tab/>
        <w:t>信用风险</w:t>
      </w:r>
      <w:r>
        <w:rPr>
          <w:rFonts w:ascii="宋体" w:hAnsi="宋体" w:cs="宋体" w:eastAsia="宋体" w:hint="default"/>
          <w:b/>
          <w:bCs/>
          <w:w w:val="100"/>
        </w:rPr>
        <w:t> </w:t>
      </w:r>
      <w:r>
        <w:rPr>
          <w:spacing w:val="-2"/>
        </w:rPr>
        <w:t>信用风险是指金融工具的一方不履行义务，造成另一方发生财务损失的风险。本公司主要面</w:t>
      </w:r>
    </w:p>
    <w:p>
      <w:pPr>
        <w:pStyle w:val="BodyText"/>
        <w:spacing w:line="364" w:lineRule="auto" w:before="44"/>
        <w:ind w:left="598" w:right="0" w:hanging="420"/>
        <w:jc w:val="left"/>
      </w:pPr>
      <w:r>
        <w:rPr/>
        <w:t>临赊销导致的客户信用风险。最大风险敞口等于应收账款的账面余额。</w:t>
      </w:r>
      <w:r>
        <w:rPr>
          <w:w w:val="100"/>
        </w:rPr>
        <w:t> </w:t>
      </w:r>
      <w:r>
        <w:rPr>
          <w:spacing w:val="-2"/>
        </w:rPr>
        <w:t>公司赊销客户主要系国家电网、南方电网和地方电网公司及其下属企业以及其他大型企业，</w:t>
      </w:r>
    </w:p>
    <w:p>
      <w:pPr>
        <w:pStyle w:val="BodyText"/>
        <w:spacing w:line="240" w:lineRule="auto" w:before="17"/>
        <w:ind w:left="178" w:right="0"/>
        <w:jc w:val="left"/>
      </w:pPr>
      <w:r>
        <w:rPr/>
        <w:t>该类客户整体信用风险较低，公司预计不存在重大信用风险。</w:t>
      </w:r>
    </w:p>
    <w:p>
      <w:pPr>
        <w:pStyle w:val="BodyText"/>
        <w:tabs>
          <w:tab w:pos="1437" w:val="left" w:leader="none"/>
        </w:tabs>
        <w:spacing w:line="331" w:lineRule="auto" w:before="126"/>
        <w:ind w:left="598" w:right="133" w:firstLine="2"/>
        <w:jc w:val="left"/>
      </w:pPr>
      <w:r>
        <w:rPr>
          <w:rFonts w:ascii="宋体" w:hAnsi="宋体" w:cs="宋体" w:eastAsia="宋体" w:hint="default"/>
          <w:b/>
          <w:bCs/>
        </w:rPr>
        <w:t>（二）</w:t>
        <w:tab/>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w:t>
      </w:r>
    </w:p>
    <w:p>
      <w:pPr>
        <w:pStyle w:val="BodyText"/>
        <w:spacing w:line="240" w:lineRule="auto" w:before="46"/>
        <w:ind w:left="178" w:right="0"/>
        <w:jc w:val="left"/>
      </w:pPr>
      <w:r>
        <w:rPr/>
        <w:t>的风险，包括汇率风险、利率风险和其他价格风险。</w:t>
      </w:r>
    </w:p>
    <w:p>
      <w:pPr>
        <w:pStyle w:val="BodyText"/>
        <w:spacing w:line="328" w:lineRule="auto" w:before="126"/>
        <w:ind w:left="598" w:right="0"/>
        <w:jc w:val="left"/>
      </w:pPr>
      <w:r>
        <w:rPr/>
        <w:t>（</w:t>
      </w:r>
      <w:r>
        <w:rPr>
          <w:rFonts w:ascii="Times New Roman" w:hAnsi="Times New Roman" w:cs="Times New Roman" w:eastAsia="Times New Roman" w:hint="default"/>
        </w:rPr>
        <w:t>1</w:t>
      </w:r>
      <w:r>
        <w:rPr/>
        <w:t>）利率风险</w:t>
      </w:r>
      <w:r>
        <w:rPr>
          <w:w w:val="100"/>
        </w:rPr>
        <w:t> </w:t>
      </w:r>
      <w:r>
        <w:rPr>
          <w:spacing w:val="-1"/>
        </w:rPr>
        <w:t>利率风险，是指金融工具的公允价值或未来现金流量因市场利率变动而发生波动的风险。公</w:t>
      </w:r>
    </w:p>
    <w:p>
      <w:pPr>
        <w:pStyle w:val="BodyText"/>
        <w:spacing w:line="240" w:lineRule="auto" w:before="48"/>
        <w:ind w:left="178" w:right="0"/>
        <w:jc w:val="left"/>
      </w:pPr>
      <w:r>
        <w:rPr/>
        <w:t>司面临的利率风险主要来源于浮动利率银行贷款，截止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6"/>
        </w:rPr>
        <w:t> </w:t>
      </w:r>
      <w:r>
        <w:rPr/>
        <w:t>日公司银行贷款余额</w:t>
      </w:r>
    </w:p>
    <w:p>
      <w:pPr>
        <w:pStyle w:val="BodyText"/>
        <w:spacing w:line="240" w:lineRule="auto" w:before="110"/>
        <w:ind w:left="178" w:right="0"/>
        <w:jc w:val="left"/>
        <w:rPr>
          <w:rFonts w:ascii="Times New Roman" w:hAnsi="Times New Roman" w:cs="Times New Roman" w:eastAsia="Times New Roman" w:hint="default"/>
        </w:rPr>
      </w:pPr>
      <w:r>
        <w:rPr>
          <w:rFonts w:ascii="Times New Roman" w:hAnsi="Times New Roman" w:cs="Times New Roman" w:eastAsia="Times New Roman" w:hint="default"/>
        </w:rPr>
        <w:t>265,215.00 </w:t>
      </w:r>
      <w:r>
        <w:rPr>
          <w:spacing w:val="-5"/>
        </w:rPr>
        <w:t>万元，在其他变量不变的假设下，假定利率上浮 </w:t>
      </w:r>
      <w:r>
        <w:rPr>
          <w:rFonts w:ascii="Times New Roman" w:hAnsi="Times New Roman" w:cs="Times New Roman" w:eastAsia="Times New Roman" w:hint="default"/>
        </w:rPr>
        <w:t>100 </w:t>
      </w:r>
      <w:r>
        <w:rPr>
          <w:spacing w:val="-5"/>
        </w:rPr>
        <w:t>个基准点，增加利息支出</w:t>
      </w:r>
      <w:r>
        <w:rPr>
          <w:spacing w:val="-43"/>
        </w:rPr>
        <w:t> </w:t>
      </w:r>
      <w:r>
        <w:rPr>
          <w:rFonts w:ascii="Times New Roman" w:hAnsi="Times New Roman" w:cs="Times New Roman" w:eastAsia="Times New Roman" w:hint="default"/>
        </w:rPr>
        <w:t>2,652.15</w:t>
      </w:r>
    </w:p>
    <w:p>
      <w:pPr>
        <w:pStyle w:val="BodyText"/>
        <w:spacing w:line="240" w:lineRule="auto" w:before="108"/>
        <w:ind w:left="178" w:right="0"/>
        <w:jc w:val="left"/>
      </w:pPr>
      <w:r>
        <w:rPr>
          <w:spacing w:val="-2"/>
        </w:rPr>
        <w:t>万元，占公司本期净利润的</w:t>
      </w:r>
      <w:r>
        <w:rPr>
          <w:spacing w:val="26"/>
        </w:rPr>
        <w:t> </w:t>
      </w:r>
      <w:r>
        <w:rPr>
          <w:rFonts w:ascii="Times New Roman" w:hAnsi="Times New Roman" w:cs="Times New Roman" w:eastAsia="Times New Roman" w:hint="default"/>
          <w:spacing w:val="-2"/>
        </w:rPr>
        <w:t>3.49%</w:t>
      </w:r>
      <w:r>
        <w:rPr>
          <w:spacing w:val="-2"/>
        </w:rPr>
        <w:t>，不会对本公司的利润总额和股东权益产生重大的影响。</w:t>
      </w:r>
    </w:p>
    <w:p>
      <w:pPr>
        <w:pStyle w:val="BodyText"/>
        <w:spacing w:line="331" w:lineRule="auto" w:before="110"/>
        <w:ind w:left="598" w:right="0"/>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汇率风险，是指金融工具的公允价值或未来现金流量因外汇汇率变动而发生波动的风险。年</w:t>
      </w:r>
    </w:p>
    <w:p>
      <w:pPr>
        <w:pStyle w:val="BodyText"/>
        <w:spacing w:line="331" w:lineRule="auto" w:before="43"/>
        <w:ind w:left="178" w:right="128"/>
        <w:jc w:val="both"/>
      </w:pPr>
      <w:r>
        <w:rPr>
          <w:spacing w:val="-2"/>
          <w:w w:val="100"/>
        </w:rPr>
        <w:t>末公司持有外币计量的金融工具余额</w:t>
      </w:r>
      <w:r>
        <w:rPr>
          <w:spacing w:val="-47"/>
          <w:w w:val="100"/>
        </w:rPr>
        <w:t> </w:t>
      </w:r>
      <w:r>
        <w:rPr>
          <w:rFonts w:ascii="Times New Roman" w:hAnsi="Times New Roman" w:cs="Times New Roman" w:eastAsia="Times New Roman" w:hint="default"/>
          <w:spacing w:val="-1"/>
          <w:w w:val="100"/>
        </w:rPr>
        <w:t>39,469.37</w:t>
      </w:r>
      <w:r>
        <w:rPr>
          <w:rFonts w:ascii="Times New Roman" w:hAnsi="Times New Roman" w:cs="Times New Roman" w:eastAsia="Times New Roman" w:hint="default"/>
          <w:spacing w:val="7"/>
          <w:w w:val="100"/>
        </w:rPr>
        <w:t> </w:t>
      </w:r>
      <w:r>
        <w:rPr>
          <w:spacing w:val="-23"/>
          <w:w w:val="100"/>
        </w:rPr>
        <w:t>万元（详见本附注五、（五十三）外币货币性项目），</w:t>
      </w:r>
      <w:r>
        <w:rPr>
          <w:spacing w:val="-103"/>
          <w:w w:val="100"/>
        </w:rPr>
        <w:t> </w:t>
      </w:r>
      <w:r>
        <w:rPr>
          <w:spacing w:val="-103"/>
          <w:w w:val="100"/>
        </w:rPr>
      </w:r>
      <w:r>
        <w:rPr/>
        <w:t>在所有其他变量保持不变的情况下，如果人民币对外币升值或贬值</w:t>
      </w:r>
      <w:r>
        <w:rPr>
          <w:spacing w:val="46"/>
        </w:rPr>
        <w:t> </w:t>
      </w:r>
      <w:r>
        <w:rPr>
          <w:rFonts w:ascii="Times New Roman" w:hAnsi="Times New Roman" w:cs="Times New Roman" w:eastAsia="Times New Roman" w:hint="default"/>
        </w:rPr>
        <w:t>2%</w:t>
      </w:r>
      <w:r>
        <w:rPr/>
        <w:t>，则公司将增加或减少净</w:t>
      </w:r>
      <w:r>
        <w:rPr>
          <w:spacing w:val="-102"/>
        </w:rPr>
        <w:t> </w:t>
      </w:r>
      <w:r>
        <w:rPr>
          <w:spacing w:val="-102"/>
        </w:rPr>
      </w:r>
      <w:r>
        <w:rPr/>
        <w:t>利润</w:t>
      </w:r>
      <w:r>
        <w:rPr>
          <w:spacing w:val="-56"/>
        </w:rPr>
        <w:t> </w:t>
      </w:r>
      <w:r>
        <w:rPr>
          <w:rFonts w:ascii="Times New Roman" w:hAnsi="Times New Roman" w:cs="Times New Roman" w:eastAsia="Times New Roman" w:hint="default"/>
        </w:rPr>
        <w:t>789.39</w:t>
      </w:r>
      <w:r>
        <w:rPr>
          <w:rFonts w:ascii="Times New Roman" w:hAnsi="Times New Roman" w:cs="Times New Roman" w:eastAsia="Times New Roman" w:hint="default"/>
          <w:spacing w:val="-3"/>
        </w:rPr>
        <w:t> </w:t>
      </w:r>
      <w:r>
        <w:rPr/>
        <w:t>万元，占公司本期净利润的</w:t>
      </w:r>
      <w:r>
        <w:rPr>
          <w:spacing w:val="-56"/>
        </w:rPr>
        <w:t> </w:t>
      </w:r>
      <w:r>
        <w:rPr>
          <w:rFonts w:ascii="Times New Roman" w:hAnsi="Times New Roman" w:cs="Times New Roman" w:eastAsia="Times New Roman" w:hint="default"/>
        </w:rPr>
        <w:t>1.04%</w:t>
      </w:r>
      <w:r>
        <w:rPr/>
        <w:t>，公司预计不存在重大汇率风险。</w:t>
      </w:r>
    </w:p>
    <w:p>
      <w:pPr>
        <w:pStyle w:val="BodyText"/>
        <w:spacing w:line="345" w:lineRule="auto" w:before="19"/>
        <w:ind w:left="598" w:right="0"/>
        <w:jc w:val="left"/>
      </w:pPr>
      <w:r>
        <w:rPr/>
        <w:t>（</w:t>
      </w:r>
      <w:r>
        <w:rPr>
          <w:rFonts w:ascii="Times New Roman" w:hAnsi="Times New Roman" w:cs="Times New Roman" w:eastAsia="Times New Roman" w:hint="default"/>
        </w:rPr>
        <w:t>3</w:t>
      </w:r>
      <w:r>
        <w:rPr/>
        <w:t>）其他价格风险</w:t>
      </w:r>
      <w:r>
        <w:rPr>
          <w:w w:val="100"/>
        </w:rPr>
        <w:t> </w:t>
      </w:r>
      <w:r>
        <w:rPr>
          <w:spacing w:val="-2"/>
        </w:rPr>
        <w:t>本公司未持有其他上市公司的权益投资，不存在投资活动面临的其他价格风险。</w:t>
      </w:r>
    </w:p>
    <w:p>
      <w:pPr>
        <w:pStyle w:val="BodyText"/>
        <w:tabs>
          <w:tab w:pos="1437" w:val="left" w:leader="none"/>
        </w:tabs>
        <w:spacing w:line="331" w:lineRule="auto" w:before="34"/>
        <w:ind w:left="598" w:right="133" w:firstLine="2"/>
        <w:jc w:val="left"/>
      </w:pPr>
      <w:r>
        <w:rPr>
          <w:rFonts w:ascii="宋体" w:hAnsi="宋体" w:cs="宋体" w:eastAsia="宋体" w:hint="default"/>
          <w:b/>
          <w:bCs/>
        </w:rPr>
        <w:t>（三）</w:t>
        <w:tab/>
        <w:t>流动性风险</w:t>
      </w:r>
      <w:r>
        <w:rPr>
          <w:rFonts w:ascii="宋体" w:hAnsi="宋体" w:cs="宋体" w:eastAsia="宋体" w:hint="default"/>
          <w:b/>
          <w:bCs/>
          <w:w w:val="100"/>
        </w:rPr>
        <w:t> </w:t>
      </w:r>
      <w:r>
        <w:rPr>
          <w:spacing w:val="-2"/>
        </w:rPr>
        <w:t>流动风险，是指企业在履行以交付现金或其他金融资产的方式结算的义务时发生资金短缺的</w:t>
      </w:r>
    </w:p>
    <w:p>
      <w:pPr>
        <w:spacing w:after="0" w:line="331" w:lineRule="auto"/>
        <w:jc w:val="left"/>
        <w:sectPr>
          <w:pgSz w:w="11910" w:h="16840"/>
          <w:pgMar w:header="728" w:footer="974" w:top="1120" w:bottom="1160" w:left="162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40" w:lineRule="auto"/>
        <w:ind w:right="228"/>
        <w:jc w:val="both"/>
      </w:pPr>
      <w:r>
        <w:rPr>
          <w:spacing w:val="-1"/>
        </w:rPr>
        <w:t>风险。本公司的政策是确保拥有充足的现金以偿还到期债务。流动性风险由本公司的财务部门集</w:t>
      </w:r>
      <w:r>
        <w:rPr>
          <w:spacing w:val="-55"/>
        </w:rPr>
        <w:t> </w:t>
      </w:r>
      <w:r>
        <w:rPr>
          <w:spacing w:val="-55"/>
        </w:rPr>
      </w:r>
      <w:r>
        <w:rPr>
          <w:spacing w:val="-5"/>
        </w:rPr>
        <w:t>中控制。财务部门通过监控现金余额、可随时变现的有价证券以及对未来 </w:t>
      </w:r>
      <w:r>
        <w:rPr>
          <w:rFonts w:ascii="Times New Roman" w:hAnsi="Times New Roman" w:cs="Times New Roman" w:eastAsia="Times New Roman" w:hint="default"/>
        </w:rPr>
        <w:t>12 </w:t>
      </w:r>
      <w:r>
        <w:rPr/>
        <w:t>个月现金流量的滚动</w:t>
      </w:r>
      <w:r>
        <w:rPr>
          <w:spacing w:val="-96"/>
        </w:rPr>
        <w:t> </w:t>
      </w:r>
      <w:r>
        <w:rPr>
          <w:spacing w:val="-96"/>
        </w:rPr>
      </w:r>
      <w:r>
        <w:rPr/>
        <w:t>预测，确保公司在所有合理预测的情况下拥有充足的资金偿还债务。</w:t>
      </w:r>
    </w:p>
    <w:p>
      <w:pPr>
        <w:pStyle w:val="BodyText"/>
        <w:spacing w:line="331" w:lineRule="auto" w:before="54"/>
        <w:ind w:right="227" w:firstLine="419"/>
        <w:jc w:val="both"/>
      </w:pPr>
      <w:r>
        <w:rPr>
          <w:spacing w:val="-6"/>
        </w:rPr>
        <w:t>年末公司速动资产（包括货币资金、应收票据、应收账款及银行理财产品）余额为 </w:t>
      </w:r>
      <w:r>
        <w:rPr>
          <w:rFonts w:ascii="Times New Roman" w:hAnsi="Times New Roman" w:cs="Times New Roman" w:eastAsia="Times New Roman" w:hint="default"/>
        </w:rPr>
        <w:t>646,409.89</w:t>
      </w:r>
      <w:r>
        <w:rPr>
          <w:rFonts w:ascii="Times New Roman" w:hAnsi="Times New Roman" w:cs="Times New Roman" w:eastAsia="Times New Roman" w:hint="default"/>
          <w:w w:val="100"/>
        </w:rPr>
        <w:t> </w:t>
      </w:r>
      <w:r>
        <w:rPr/>
        <w:t>万元，各项流动负债余额合计为</w:t>
      </w:r>
      <w:r>
        <w:rPr>
          <w:spacing w:val="-55"/>
        </w:rPr>
        <w:t> </w:t>
      </w:r>
      <w:r>
        <w:rPr>
          <w:rFonts w:ascii="Times New Roman" w:hAnsi="Times New Roman" w:cs="Times New Roman" w:eastAsia="Times New Roman" w:hint="default"/>
        </w:rPr>
        <w:t>253,106.18</w:t>
      </w:r>
      <w:r>
        <w:rPr>
          <w:rFonts w:ascii="Times New Roman" w:hAnsi="Times New Roman" w:cs="Times New Roman" w:eastAsia="Times New Roman" w:hint="default"/>
          <w:spacing w:val="-2"/>
        </w:rPr>
        <w:t> </w:t>
      </w:r>
      <w:r>
        <w:rPr/>
        <w:t>万元，速动比率</w:t>
      </w:r>
      <w:r>
        <w:rPr>
          <w:spacing w:val="-55"/>
        </w:rPr>
        <w:t> </w:t>
      </w:r>
      <w:r>
        <w:rPr>
          <w:rFonts w:ascii="Times New Roman" w:hAnsi="Times New Roman" w:cs="Times New Roman" w:eastAsia="Times New Roman" w:hint="default"/>
        </w:rPr>
        <w:t>2.55</w:t>
      </w:r>
      <w:r>
        <w:rPr/>
        <w:t>，公司预计不存在重大流动性风</w:t>
      </w:r>
      <w:r>
        <w:rPr>
          <w:w w:val="100"/>
        </w:rPr>
        <w:t> </w:t>
      </w:r>
      <w:r>
        <w:rPr/>
        <w:t>险。</w:t>
      </w:r>
    </w:p>
    <w:p>
      <w:pPr>
        <w:spacing w:line="240" w:lineRule="auto" w:before="2"/>
        <w:rPr>
          <w:rFonts w:ascii="宋体" w:hAnsi="宋体" w:cs="宋体" w:eastAsia="宋体" w:hint="default"/>
          <w:sz w:val="19"/>
          <w:szCs w:val="19"/>
        </w:rPr>
      </w:pPr>
    </w:p>
    <w:p>
      <w:pPr>
        <w:pStyle w:val="Heading2"/>
        <w:tabs>
          <w:tab w:pos="1057" w:val="left" w:leader="none"/>
        </w:tabs>
        <w:spacing w:line="240" w:lineRule="auto" w:before="0"/>
        <w:ind w:right="241"/>
        <w:jc w:val="left"/>
        <w:rPr>
          <w:b w:val="0"/>
          <w:bCs w:val="0"/>
        </w:rPr>
      </w:pPr>
      <w:r>
        <w:rPr/>
        <w:t>十一、</w:t>
        <w:tab/>
        <w:t>公允价值的披露</w:t>
      </w:r>
      <w:r>
        <w:rPr>
          <w:b w:val="0"/>
          <w:bCs w:val="0"/>
        </w:rPr>
      </w:r>
    </w:p>
    <w:p>
      <w:pPr>
        <w:pStyle w:val="Heading2"/>
        <w:spacing w:line="240" w:lineRule="auto" w:before="56"/>
        <w:ind w:right="241"/>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9"/>
        <w:ind w:right="241"/>
        <w:jc w:val="left"/>
      </w:pPr>
      <w:r>
        <w:rPr/>
        <w:t>□适用</w:t>
      </w:r>
      <w:r>
        <w:rPr>
          <w:spacing w:val="-1"/>
        </w:rPr>
        <w:t> </w:t>
      </w:r>
      <w:r>
        <w:rPr/>
        <w:t>√不适用</w:t>
      </w:r>
    </w:p>
    <w:p>
      <w:pPr>
        <w:pStyle w:val="Heading2"/>
        <w:spacing w:line="240" w:lineRule="auto" w:before="56"/>
        <w:ind w:right="241"/>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8"/>
        <w:ind w:right="241"/>
        <w:jc w:val="left"/>
      </w:pPr>
      <w:r>
        <w:rPr/>
        <w:t>□适用</w:t>
      </w:r>
      <w:r>
        <w:rPr>
          <w:spacing w:val="-1"/>
        </w:rPr>
        <w:t> </w:t>
      </w:r>
      <w:r>
        <w:rPr/>
        <w:t>√不适用</w:t>
      </w:r>
    </w:p>
    <w:p>
      <w:pPr>
        <w:pStyle w:val="Heading2"/>
        <w:spacing w:line="240" w:lineRule="auto" w:before="56"/>
        <w:ind w:right="241"/>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right="241"/>
        <w:jc w:val="left"/>
      </w:pPr>
      <w:r>
        <w:rPr/>
        <w:t>□适用</w:t>
      </w:r>
      <w:r>
        <w:rPr>
          <w:spacing w:val="-1"/>
        </w:rPr>
        <w:t> </w:t>
      </w:r>
      <w:r>
        <w:rPr/>
        <w:t>√不适用</w:t>
      </w:r>
    </w:p>
    <w:p>
      <w:pPr>
        <w:pStyle w:val="Heading2"/>
        <w:spacing w:line="240" w:lineRule="auto" w:before="56"/>
        <w:ind w:right="241"/>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right="241"/>
        <w:jc w:val="left"/>
      </w:pPr>
      <w:r>
        <w:rPr/>
        <w:t>□适用</w:t>
      </w:r>
      <w:r>
        <w:rPr>
          <w:spacing w:val="-1"/>
        </w:rPr>
        <w:t> </w:t>
      </w:r>
      <w:r>
        <w:rPr/>
        <w:t>√不适用</w:t>
      </w:r>
    </w:p>
    <w:p>
      <w:pPr>
        <w:pStyle w:val="Heading2"/>
        <w:spacing w:line="240" w:lineRule="auto" w:before="5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right="241"/>
        <w:jc w:val="left"/>
      </w:pPr>
      <w:r>
        <w:rPr/>
        <w:t>□适用</w:t>
      </w:r>
      <w:r>
        <w:rPr>
          <w:spacing w:val="-1"/>
        </w:rPr>
        <w:t> </w:t>
      </w:r>
      <w:r>
        <w:rPr/>
        <w:t>√不适用</w:t>
      </w:r>
    </w:p>
    <w:p>
      <w:pPr>
        <w:pStyle w:val="Heading2"/>
        <w:spacing w:line="272" w:lineRule="exact" w:before="87"/>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34"/>
        <w:ind w:right="241"/>
        <w:jc w:val="left"/>
      </w:pPr>
      <w:r>
        <w:rPr/>
        <w:t>□适用</w:t>
      </w:r>
      <w:r>
        <w:rPr>
          <w:spacing w:val="-1"/>
        </w:rPr>
        <w:t> </w:t>
      </w:r>
      <w:r>
        <w:rPr/>
        <w:t>√不适用</w:t>
      </w:r>
    </w:p>
    <w:p>
      <w:pPr>
        <w:pStyle w:val="Heading2"/>
        <w:spacing w:line="240" w:lineRule="auto" w:before="56"/>
        <w:ind w:right="241"/>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right="241"/>
        <w:jc w:val="left"/>
      </w:pPr>
      <w:r>
        <w:rPr/>
        <w:t>□适用</w:t>
      </w:r>
      <w:r>
        <w:rPr>
          <w:spacing w:val="-1"/>
        </w:rPr>
        <w:t> </w:t>
      </w:r>
      <w:r>
        <w:rPr/>
        <w:t>√不适用</w:t>
      </w:r>
    </w:p>
    <w:p>
      <w:pPr>
        <w:pStyle w:val="Heading2"/>
        <w:spacing w:line="240" w:lineRule="auto" w:before="56"/>
        <w:ind w:right="241"/>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90" w:lineRule="auto" w:before="56"/>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2"/>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28" w:footer="974" w:top="1120" w:bottom="1160" w:left="1580" w:right="1040"/>
        </w:sectPr>
      </w:pPr>
    </w:p>
    <w:p>
      <w:pPr>
        <w:pStyle w:val="Heading2"/>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pPr>
      <w:r>
        <w:rPr/>
        <w:t>√适用</w:t>
      </w:r>
      <w:r>
        <w:rPr>
          <w:spacing w:val="8"/>
        </w:rPr>
        <w:t> </w:t>
      </w:r>
      <w:r>
        <w:rPr>
          <w:spacing w:val="-3"/>
        </w:rPr>
        <w:t>□不适用</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单位：万元币种：人民币</w:t>
      </w:r>
    </w:p>
    <w:p>
      <w:pPr>
        <w:spacing w:after="0" w:line="240" w:lineRule="auto"/>
        <w:jc w:val="left"/>
        <w:sectPr>
          <w:type w:val="continuous"/>
          <w:pgSz w:w="11910" w:h="16840"/>
          <w:pgMar w:top="1580" w:bottom="280" w:left="1580" w:right="1040"/>
          <w:cols w:num="2" w:equalWidth="0">
            <w:col w:w="2748" w:space="377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11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58"/>
              <w:jc w:val="center"/>
              <w:rPr>
                <w:rFonts w:ascii="宋体" w:hAnsi="宋体" w:cs="宋体" w:eastAsia="宋体" w:hint="default"/>
                <w:sz w:val="21"/>
                <w:szCs w:val="21"/>
              </w:rPr>
            </w:pPr>
            <w:r>
              <w:rPr>
                <w:rFonts w:ascii="宋体" w:hAnsi="宋体" w:cs="宋体" w:eastAsia="宋体" w:hint="default"/>
                <w:sz w:val="21"/>
                <w:szCs w:val="21"/>
              </w:rPr>
              <w:t>启东市华虹</w:t>
            </w:r>
            <w:r>
              <w:rPr>
                <w:rFonts w:ascii="宋体" w:hAnsi="宋体" w:cs="宋体" w:eastAsia="宋体" w:hint="default"/>
                <w:w w:val="100"/>
                <w:sz w:val="21"/>
                <w:szCs w:val="21"/>
              </w:rPr>
              <w:t> </w:t>
            </w:r>
            <w:r>
              <w:rPr>
                <w:rFonts w:ascii="宋体" w:hAnsi="宋体" w:cs="宋体" w:eastAsia="宋体" w:hint="default"/>
                <w:sz w:val="21"/>
                <w:szCs w:val="21"/>
              </w:rPr>
              <w:t>电子有限公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电子产品销</w:t>
            </w:r>
          </w:p>
          <w:p>
            <w:pPr>
              <w:pStyle w:val="TableParagraph"/>
              <w:spacing w:line="237" w:lineRule="auto" w:before="2"/>
              <w:ind w:left="103" w:right="98"/>
              <w:jc w:val="center"/>
              <w:rPr>
                <w:rFonts w:ascii="宋体" w:hAnsi="宋体" w:cs="宋体" w:eastAsia="宋体" w:hint="default"/>
                <w:sz w:val="21"/>
                <w:szCs w:val="21"/>
              </w:rPr>
            </w:pPr>
            <w:r>
              <w:rPr>
                <w:rFonts w:ascii="宋体" w:hAnsi="宋体" w:cs="宋体" w:eastAsia="宋体" w:hint="default"/>
                <w:spacing w:val="-4"/>
                <w:sz w:val="21"/>
                <w:szCs w:val="21"/>
              </w:rPr>
              <w:t>售、投资及资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产管理、管理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咨询</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44" w:right="0"/>
              <w:jc w:val="left"/>
              <w:rPr>
                <w:rFonts w:ascii="宋体" w:hAnsi="宋体" w:cs="宋体" w:eastAsia="宋体" w:hint="default"/>
                <w:sz w:val="21"/>
                <w:szCs w:val="21"/>
              </w:rPr>
            </w:pPr>
            <w:r>
              <w:rPr>
                <w:rFonts w:ascii="宋体"/>
                <w:sz w:val="21"/>
              </w:rPr>
              <w:t>40.51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78" w:right="0"/>
              <w:jc w:val="left"/>
              <w:rPr>
                <w:rFonts w:ascii="宋体" w:hAnsi="宋体" w:cs="宋体" w:eastAsia="宋体" w:hint="default"/>
                <w:sz w:val="21"/>
                <w:szCs w:val="21"/>
              </w:rPr>
            </w:pPr>
            <w:r>
              <w:rPr>
                <w:rFonts w:ascii="宋体"/>
                <w:sz w:val="21"/>
              </w:rPr>
              <w:t>40.51</w:t>
            </w:r>
          </w:p>
        </w:tc>
      </w:tr>
    </w:tbl>
    <w:p>
      <w:pPr>
        <w:pStyle w:val="BodyText"/>
        <w:spacing w:line="239" w:lineRule="exact"/>
        <w:ind w:right="241"/>
        <w:jc w:val="left"/>
      </w:pPr>
      <w:r>
        <w:rPr/>
        <w:t>本企业的母公司情况的说明</w:t>
      </w:r>
    </w:p>
    <w:p>
      <w:pPr>
        <w:pStyle w:val="BodyText"/>
        <w:spacing w:line="272" w:lineRule="exact" w:before="26"/>
        <w:ind w:right="241"/>
        <w:jc w:val="left"/>
      </w:pPr>
      <w:r>
        <w:rPr>
          <w:spacing w:val="-2"/>
        </w:rPr>
        <w:t>本公司最终控制方是陆永华，其持有启东市华虹电子有限公司</w:t>
      </w:r>
      <w:r>
        <w:rPr/>
        <w:t> </w:t>
      </w:r>
      <w:r>
        <w:rPr>
          <w:rFonts w:ascii="宋体" w:hAnsi="宋体" w:cs="宋体" w:eastAsia="宋体" w:hint="default"/>
          <w:spacing w:val="-2"/>
        </w:rPr>
        <w:t>90%</w:t>
      </w:r>
      <w:r>
        <w:rPr>
          <w:spacing w:val="-2"/>
        </w:rPr>
        <w:t>的股权，启东市华虹电子有限</w:t>
      </w:r>
      <w:r>
        <w:rPr>
          <w:spacing w:val="-76"/>
        </w:rPr>
        <w:t> </w:t>
      </w:r>
      <w:r>
        <w:rPr>
          <w:spacing w:val="-76"/>
        </w:rPr>
      </w:r>
      <w:r>
        <w:rPr/>
        <w:t>公司持有本公司</w:t>
      </w:r>
      <w:r>
        <w:rPr>
          <w:spacing w:val="-56"/>
        </w:rPr>
        <w:t> </w:t>
      </w:r>
      <w:r>
        <w:rPr>
          <w:rFonts w:ascii="宋体" w:hAnsi="宋体" w:cs="宋体" w:eastAsia="宋体" w:hint="default"/>
        </w:rPr>
        <w:t>40.51%</w:t>
      </w:r>
      <w:r>
        <w:rPr/>
        <w:t>的股份。</w:t>
      </w:r>
    </w:p>
    <w:p>
      <w:pPr>
        <w:spacing w:after="0" w:line="272" w:lineRule="exact"/>
        <w:jc w:val="left"/>
        <w:sectPr>
          <w:type w:val="continuous"/>
          <w:pgSz w:w="11910" w:h="16840"/>
          <w:pgMar w:top="1580" w:bottom="2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1"/>
        <w:jc w:val="left"/>
      </w:pPr>
      <w:r>
        <w:rPr/>
        <w:t>本企业最终控制方是陆永华</w:t>
      </w:r>
    </w:p>
    <w:p>
      <w:pPr>
        <w:spacing w:line="240" w:lineRule="auto" w:before="3"/>
        <w:rPr>
          <w:rFonts w:ascii="宋体" w:hAnsi="宋体" w:cs="宋体" w:eastAsia="宋体" w:hint="default"/>
          <w:sz w:val="25"/>
          <w:szCs w:val="25"/>
        </w:rPr>
      </w:pPr>
    </w:p>
    <w:p>
      <w:pPr>
        <w:spacing w:line="290" w:lineRule="auto" w:before="0"/>
        <w:ind w:left="218" w:right="525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27" w:lineRule="exact"/>
        <w:ind w:right="241"/>
        <w:jc w:val="left"/>
      </w:pPr>
      <w:r>
        <w:rPr/>
        <w:t>√适用</w:t>
      </w:r>
      <w:r>
        <w:rPr>
          <w:spacing w:val="-1"/>
        </w:rPr>
        <w:t> </w:t>
      </w:r>
      <w:r>
        <w:rPr/>
        <w:t>□不适用</w:t>
      </w:r>
    </w:p>
    <w:p>
      <w:pPr>
        <w:pStyle w:val="BodyText"/>
        <w:spacing w:line="240" w:lineRule="auto" w:before="126"/>
        <w:ind w:right="241"/>
        <w:jc w:val="left"/>
      </w:pPr>
      <w:r>
        <w:rPr/>
        <w:t>本公司子公司的情况详见本附注“七、在其他主体中的权益”。</w:t>
      </w:r>
    </w:p>
    <w:p>
      <w:pPr>
        <w:spacing w:line="240" w:lineRule="auto" w:before="3"/>
        <w:rPr>
          <w:rFonts w:ascii="宋体" w:hAnsi="宋体" w:cs="宋体" w:eastAsia="宋体" w:hint="default"/>
          <w:sz w:val="25"/>
          <w:szCs w:val="25"/>
        </w:rPr>
      </w:pPr>
    </w:p>
    <w:p>
      <w:pPr>
        <w:spacing w:line="290" w:lineRule="auto" w:before="0"/>
        <w:ind w:left="218" w:right="525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right="241"/>
        <w:jc w:val="left"/>
      </w:pPr>
      <w:r>
        <w:rPr/>
        <w:t>√适用</w:t>
      </w:r>
      <w:r>
        <w:rPr>
          <w:spacing w:val="-1"/>
        </w:rPr>
        <w:t> </w:t>
      </w:r>
      <w:r>
        <w:rPr/>
        <w:t>□不适用</w:t>
      </w:r>
    </w:p>
    <w:p>
      <w:pPr>
        <w:pStyle w:val="BodyText"/>
        <w:spacing w:line="273" w:lineRule="exact"/>
        <w:ind w:right="241"/>
        <w:jc w:val="left"/>
      </w:pPr>
      <w:r>
        <w:rPr/>
        <w:t>本公司重要的合营或联营企业详见本附注“七、在其他主体中的权益”。</w:t>
      </w:r>
    </w:p>
    <w:p>
      <w:pPr>
        <w:spacing w:line="240" w:lineRule="auto" w:before="9"/>
        <w:rPr>
          <w:rFonts w:ascii="宋体" w:hAnsi="宋体" w:cs="宋体" w:eastAsia="宋体" w:hint="default"/>
          <w:sz w:val="20"/>
          <w:szCs w:val="20"/>
        </w:rPr>
      </w:pPr>
    </w:p>
    <w:p>
      <w:pPr>
        <w:pStyle w:val="BodyText"/>
        <w:spacing w:line="240" w:lineRule="auto"/>
        <w:ind w:right="241"/>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right="24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法凯涞玛冷暖设备（杭州）有限公司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无锡感知金服实业有限公司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39" w:lineRule="exact"/>
        <w:ind w:right="241"/>
        <w:jc w:val="left"/>
      </w:pPr>
      <w:r>
        <w:rPr/>
        <w:t>其他说明</w:t>
      </w:r>
    </w:p>
    <w:p>
      <w:pPr>
        <w:pStyle w:val="BodyText"/>
        <w:spacing w:line="273" w:lineRule="exact"/>
        <w:ind w:right="24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1"/>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77"/>
        <w:gridCol w:w="4638"/>
      </w:tblGrid>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7"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毛彩虹</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陆永华之妻</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宿州林洋现代农业有限公司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阜阳林洋现代农业有限公司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商丘林洋农业科技有限公司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德州华虹农业有限公司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聊城市华虹现代农业有限公司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盐城林洋现代农业有限公司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连云港华虹现代农业有限公司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本公司董事施加重大影响的其他企业</w:t>
            </w:r>
          </w:p>
        </w:tc>
      </w:tr>
    </w:tbl>
    <w:p>
      <w:pPr>
        <w:spacing w:line="240" w:lineRule="auto" w:before="2"/>
        <w:rPr>
          <w:rFonts w:ascii="宋体" w:hAnsi="宋体" w:cs="宋体" w:eastAsia="宋体" w:hint="default"/>
          <w:sz w:val="20"/>
          <w:szCs w:val="20"/>
        </w:rPr>
      </w:pPr>
    </w:p>
    <w:p>
      <w:pPr>
        <w:spacing w:line="290" w:lineRule="auto" w:before="36"/>
        <w:ind w:left="218" w:right="504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right="241"/>
        <w:jc w:val="left"/>
      </w:pPr>
      <w:r>
        <w:rPr/>
        <w:t>√适用</w:t>
      </w:r>
      <w:r>
        <w:rPr>
          <w:spacing w:val="-1"/>
        </w:rPr>
        <w:t> </w:t>
      </w:r>
      <w:r>
        <w:rPr/>
        <w:t>□不适用</w:t>
      </w:r>
    </w:p>
    <w:p>
      <w:pPr>
        <w:spacing w:after="0" w:line="227" w:lineRule="exact"/>
        <w:jc w:val="left"/>
        <w:sectPr>
          <w:pgSz w:w="11910" w:h="16840"/>
          <w:pgMar w:header="728"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5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02"/>
        <w:gridCol w:w="2143"/>
        <w:gridCol w:w="2170"/>
        <w:gridCol w:w="2158"/>
      </w:tblGrid>
      <w:tr>
        <w:trPr>
          <w:trHeight w:val="305"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绿化景观</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792,609.99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415,310.11</w:t>
            </w:r>
          </w:p>
        </w:tc>
      </w:tr>
      <w:tr>
        <w:trPr>
          <w:trHeight w:val="281"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电站系统工程</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6,204,305.82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12,188,772.16</w:t>
            </w: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295,920.05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405,405.41</w:t>
            </w: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1,098,214.97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178,799.71</w:t>
            </w:r>
          </w:p>
        </w:tc>
      </w:tr>
      <w:tr>
        <w:trPr>
          <w:trHeight w:val="281"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江苏林洋现代农业有限公司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6,816,578.65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宿州林洋现代农业有限公司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9,441,500.00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阜阳林洋现代农业有限公司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9,581,500.00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商丘林洋农业科技有限公司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5,410,000.00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德州华虹农业有限公司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聊城市华虹现代农业有限公司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5,730,000.00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盐城林洋现代农业有限公司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1,439,800.00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1,213,800.00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连云港华虹现代农业有限公司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生物资产油用牡丹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481,500.00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28" w:footer="974" w:top="1120" w:bottom="1160" w:left="980" w:right="1120"/>
        </w:sectPr>
      </w:pPr>
    </w:p>
    <w:p>
      <w:pPr>
        <w:pStyle w:val="BodyText"/>
        <w:spacing w:line="273" w:lineRule="exact" w:before="36"/>
        <w:ind w:left="81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580" w:bottom="280" w:left="980" w:right="1120"/>
          <w:cols w:num="2" w:equalWidth="0">
            <w:col w:w="3236" w:space="3497"/>
            <w:col w:w="3077"/>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953"/>
        <w:gridCol w:w="2124"/>
        <w:gridCol w:w="2175"/>
        <w:gridCol w:w="2180"/>
      </w:tblGrid>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销售产品</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sz w:val="21"/>
              </w:rPr>
              <w:t>44,377,619.52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54,442,947.71</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销售产品</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9,270.08</w:t>
            </w: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25,566.04</w:t>
            </w:r>
          </w:p>
        </w:tc>
      </w:tr>
    </w:tbl>
    <w:p>
      <w:pPr>
        <w:spacing w:line="240" w:lineRule="auto" w:before="7"/>
        <w:rPr>
          <w:rFonts w:ascii="宋体" w:hAnsi="宋体" w:cs="宋体" w:eastAsia="宋体" w:hint="default"/>
          <w:sz w:val="15"/>
          <w:szCs w:val="15"/>
        </w:rPr>
      </w:pPr>
    </w:p>
    <w:p>
      <w:pPr>
        <w:pStyle w:val="BodyText"/>
        <w:spacing w:line="273" w:lineRule="exact" w:before="36"/>
        <w:ind w:left="818" w:right="4749"/>
        <w:jc w:val="left"/>
      </w:pPr>
      <w:r>
        <w:rPr/>
        <w:t>购销商品、提供和接受劳务的关联交易说明</w:t>
      </w:r>
    </w:p>
    <w:p>
      <w:pPr>
        <w:pStyle w:val="BodyText"/>
        <w:spacing w:line="273" w:lineRule="exact"/>
        <w:ind w:left="818" w:right="47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81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6" w:lineRule="exact"/>
        <w:ind w:left="818" w:right="4749"/>
        <w:jc w:val="left"/>
      </w:pPr>
      <w:r>
        <w:rPr/>
        <w:t>□适用</w:t>
      </w:r>
      <w:r>
        <w:rPr>
          <w:spacing w:val="-1"/>
        </w:rPr>
        <w:t> </w:t>
      </w:r>
      <w:r>
        <w:rPr/>
        <w:t>√不适用</w:t>
      </w:r>
    </w:p>
    <w:p>
      <w:pPr>
        <w:pStyle w:val="BodyText"/>
        <w:spacing w:line="272" w:lineRule="exact"/>
        <w:ind w:left="818" w:right="4749"/>
        <w:jc w:val="left"/>
      </w:pPr>
      <w:r>
        <w:rPr/>
        <w:t>关联托管</w:t>
      </w:r>
      <w:r>
        <w:rPr>
          <w:rFonts w:ascii="宋体" w:hAnsi="宋体" w:cs="宋体" w:eastAsia="宋体" w:hint="default"/>
        </w:rPr>
        <w:t>/</w:t>
      </w:r>
      <w:r>
        <w:rPr/>
        <w:t>承包情况说明</w:t>
      </w:r>
    </w:p>
    <w:p>
      <w:pPr>
        <w:pStyle w:val="BodyText"/>
        <w:spacing w:line="240" w:lineRule="auto"/>
        <w:ind w:left="818" w:right="5252"/>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4" w:lineRule="exact" w:before="22"/>
        <w:ind w:left="818" w:right="5252"/>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7" w:lineRule="exact"/>
        <w:ind w:left="818" w:right="47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980" w:right="1120"/>
        </w:sectPr>
      </w:pPr>
    </w:p>
    <w:p>
      <w:pPr>
        <w:spacing w:line="290" w:lineRule="auto" w:before="36"/>
        <w:ind w:left="81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7" w:lineRule="exact"/>
        <w:ind w:left="81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580" w:bottom="280" w:left="980" w:right="1120"/>
          <w:cols w:num="2" w:equalWidth="0">
            <w:col w:w="2712" w:space="4021"/>
            <w:col w:w="3077"/>
          </w:cols>
        </w:sectPr>
      </w:pPr>
    </w:p>
    <w:p>
      <w:pPr>
        <w:spacing w:line="240" w:lineRule="auto" w:before="4"/>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南京华虹融资租赁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办公场所</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77" w:right="0"/>
              <w:jc w:val="left"/>
              <w:rPr>
                <w:rFonts w:ascii="宋体" w:hAnsi="宋体" w:cs="宋体" w:eastAsia="宋体" w:hint="default"/>
                <w:sz w:val="21"/>
                <w:szCs w:val="21"/>
              </w:rPr>
            </w:pPr>
            <w:r>
              <w:rPr>
                <w:rFonts w:ascii="宋体"/>
                <w:sz w:val="21"/>
              </w:rPr>
              <w:t>700,000.00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700,000.00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阜阳林洋现代农业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承包权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255,427.50</w:t>
            </w:r>
          </w:p>
        </w:tc>
      </w:tr>
    </w:tbl>
    <w:p>
      <w:pPr>
        <w:spacing w:line="240" w:lineRule="auto" w:before="7"/>
        <w:rPr>
          <w:rFonts w:ascii="宋体" w:hAnsi="宋体" w:cs="宋体" w:eastAsia="宋体" w:hint="default"/>
          <w:sz w:val="15"/>
          <w:szCs w:val="15"/>
        </w:rPr>
      </w:pPr>
    </w:p>
    <w:p>
      <w:pPr>
        <w:pStyle w:val="BodyText"/>
        <w:spacing w:line="240" w:lineRule="auto" w:before="36"/>
        <w:ind w:left="818" w:right="4749"/>
        <w:jc w:val="left"/>
      </w:pPr>
      <w:r>
        <w:rPr/>
        <w:t>本公司作为承租方：</w:t>
      </w:r>
    </w:p>
    <w:p>
      <w:pPr>
        <w:spacing w:after="0" w:line="240" w:lineRule="auto"/>
        <w:jc w:val="left"/>
        <w:sectPr>
          <w:type w:val="continuous"/>
          <w:pgSz w:w="11910" w:h="16840"/>
          <w:pgMar w:top="1580" w:bottom="280" w:left="980" w:right="1120"/>
        </w:sectPr>
      </w:pPr>
    </w:p>
    <w:p>
      <w:pPr>
        <w:spacing w:line="240" w:lineRule="auto" w:before="1"/>
        <w:rPr>
          <w:rFonts w:ascii="宋体" w:hAnsi="宋体" w:cs="宋体" w:eastAsia="宋体" w:hint="default"/>
          <w:sz w:val="25"/>
          <w:szCs w:val="25"/>
        </w:rPr>
      </w:pPr>
    </w:p>
    <w:p>
      <w:pPr>
        <w:pStyle w:val="BodyText"/>
        <w:spacing w:line="274" w:lineRule="exact" w:before="36"/>
        <w:ind w:left="618" w:right="0"/>
        <w:jc w:val="left"/>
      </w:pPr>
      <w:r>
        <w:rPr/>
        <w:t>√适用</w:t>
      </w:r>
      <w:r>
        <w:rPr>
          <w:spacing w:val="-1"/>
        </w:rPr>
        <w:t> </w:t>
      </w:r>
      <w:r>
        <w:rPr/>
        <w:t>□不适用</w:t>
      </w:r>
    </w:p>
    <w:p>
      <w:pPr>
        <w:pStyle w:val="BodyText"/>
        <w:spacing w:line="274" w:lineRule="exact"/>
        <w:ind w:left="0" w:right="6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58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启东华虹电子有限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办公场所</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2,600,000.00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启东华虹电子有限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员工宿舍</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1,056,000.00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1,056,000.00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江苏华源仪器仪表</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办公场所</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472,000.00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450,000.00</w:t>
            </w:r>
          </w:p>
        </w:tc>
      </w:tr>
    </w:tbl>
    <w:p>
      <w:pPr>
        <w:spacing w:line="240" w:lineRule="auto" w:before="7"/>
        <w:rPr>
          <w:rFonts w:ascii="宋体" w:hAnsi="宋体" w:cs="宋体" w:eastAsia="宋体" w:hint="default"/>
          <w:sz w:val="15"/>
          <w:szCs w:val="15"/>
        </w:rPr>
      </w:pPr>
    </w:p>
    <w:p>
      <w:pPr>
        <w:pStyle w:val="BodyText"/>
        <w:spacing w:line="273" w:lineRule="exact" w:before="36"/>
        <w:ind w:left="618" w:right="0"/>
        <w:jc w:val="left"/>
      </w:pPr>
      <w:r>
        <w:rPr/>
        <w:t>关联租赁情况说明</w:t>
      </w:r>
    </w:p>
    <w:p>
      <w:pPr>
        <w:pStyle w:val="BodyText"/>
        <w:spacing w:line="273" w:lineRule="exact"/>
        <w:ind w:left="6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28" w:footer="974" w:top="1120" w:bottom="1160" w:left="1180" w:right="640"/>
        </w:sectPr>
      </w:pPr>
    </w:p>
    <w:p>
      <w:pPr>
        <w:spacing w:line="290" w:lineRule="auto" w:before="36"/>
        <w:ind w:left="618" w:right="1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6" w:lineRule="exact"/>
        <w:ind w:left="618" w:right="185"/>
        <w:jc w:val="left"/>
      </w:pPr>
      <w:r>
        <w:rPr/>
        <w:t>□适用</w:t>
      </w:r>
      <w:r>
        <w:rPr>
          <w:spacing w:val="-1"/>
        </w:rPr>
        <w:t> </w:t>
      </w:r>
      <w:r>
        <w:rPr/>
        <w:t>√不适用</w:t>
      </w:r>
    </w:p>
    <w:p>
      <w:pPr>
        <w:pStyle w:val="BodyText"/>
        <w:spacing w:line="272" w:lineRule="exact"/>
        <w:ind w:left="618" w:right="-8"/>
        <w:jc w:val="left"/>
      </w:pPr>
      <w:r>
        <w:rPr>
          <w:spacing w:val="-1"/>
        </w:rPr>
        <w:t>本公司作为被担保方</w:t>
      </w:r>
    </w:p>
    <w:p>
      <w:pPr>
        <w:pStyle w:val="BodyText"/>
        <w:spacing w:line="273" w:lineRule="exact"/>
        <w:ind w:left="618" w:right="18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618" w:right="0"/>
        <w:jc w:val="left"/>
      </w:pPr>
      <w:r>
        <w:rPr/>
        <w:t>单位：元币种：人民币</w:t>
      </w:r>
    </w:p>
    <w:p>
      <w:pPr>
        <w:spacing w:after="0" w:line="240" w:lineRule="auto"/>
        <w:jc w:val="left"/>
        <w:sectPr>
          <w:type w:val="continuous"/>
          <w:pgSz w:w="11910" w:h="16840"/>
          <w:pgMar w:top="1580" w:bottom="280" w:left="1180" w:right="640"/>
          <w:cols w:num="2" w:equalWidth="0">
            <w:col w:w="2512" w:space="4221"/>
            <w:col w:w="33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35"/>
        <w:gridCol w:w="1651"/>
        <w:gridCol w:w="1805"/>
        <w:gridCol w:w="1793"/>
        <w:gridCol w:w="2071"/>
      </w:tblGrid>
      <w:tr>
        <w:trPr>
          <w:trHeight w:val="55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center"/>
              <w:rPr>
                <w:rFonts w:ascii="宋体" w:hAnsi="宋体" w:cs="宋体" w:eastAsia="宋体" w:hint="default"/>
                <w:sz w:val="21"/>
                <w:szCs w:val="21"/>
              </w:rPr>
            </w:pPr>
            <w:r>
              <w:rPr>
                <w:rFonts w:ascii="宋体"/>
                <w:sz w:val="21"/>
              </w:rPr>
              <w:t>600,000,000.00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329,250,000.00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110,000,000.00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2028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 w:right="0"/>
              <w:jc w:val="center"/>
              <w:rPr>
                <w:rFonts w:ascii="宋体" w:hAnsi="宋体" w:cs="宋体" w:eastAsia="宋体" w:hint="default"/>
                <w:sz w:val="21"/>
                <w:szCs w:val="21"/>
              </w:rPr>
            </w:pPr>
            <w:r>
              <w:rPr>
                <w:rFonts w:ascii="宋体"/>
                <w:sz w:val="21"/>
              </w:rPr>
              <w:t>265,000,000.00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100,000,000.00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center"/>
              <w:rPr>
                <w:rFonts w:ascii="宋体" w:hAnsi="宋体" w:cs="宋体" w:eastAsia="宋体" w:hint="default"/>
                <w:sz w:val="21"/>
                <w:szCs w:val="21"/>
              </w:rPr>
            </w:pPr>
            <w:r>
              <w:rPr>
                <w:rFonts w:ascii="宋体"/>
                <w:sz w:val="21"/>
              </w:rPr>
              <w:t>225,000,000.00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center"/>
              <w:rPr>
                <w:rFonts w:ascii="宋体" w:hAnsi="宋体" w:cs="宋体" w:eastAsia="宋体" w:hint="default"/>
                <w:sz w:val="21"/>
                <w:szCs w:val="21"/>
              </w:rPr>
            </w:pPr>
            <w:r>
              <w:rPr>
                <w:rFonts w:ascii="宋体"/>
                <w:sz w:val="21"/>
              </w:rPr>
              <w:t>200,000,000.00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center"/>
              <w:rPr>
                <w:rFonts w:ascii="宋体" w:hAnsi="宋体" w:cs="宋体" w:eastAsia="宋体" w:hint="default"/>
                <w:sz w:val="21"/>
                <w:szCs w:val="21"/>
              </w:rPr>
            </w:pPr>
            <w:r>
              <w:rPr>
                <w:rFonts w:ascii="宋体"/>
                <w:sz w:val="21"/>
              </w:rPr>
              <w:t>300,000,000.00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24"/>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陆永华、毛彩虹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150,000,000.00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220,000,000.00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0" w:right="0"/>
              <w:jc w:val="center"/>
              <w:rPr>
                <w:rFonts w:ascii="宋体" w:hAnsi="宋体" w:cs="宋体" w:eastAsia="宋体" w:hint="default"/>
                <w:sz w:val="21"/>
                <w:szCs w:val="21"/>
              </w:rPr>
            </w:pPr>
            <w:r>
              <w:rPr>
                <w:rFonts w:ascii="宋体"/>
                <w:sz w:val="21"/>
              </w:rPr>
              <w:t>100,000,000.00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 w:right="0"/>
              <w:jc w:val="center"/>
              <w:rPr>
                <w:rFonts w:ascii="宋体" w:hAnsi="宋体" w:cs="宋体" w:eastAsia="宋体" w:hint="default"/>
                <w:sz w:val="21"/>
                <w:szCs w:val="21"/>
              </w:rPr>
            </w:pPr>
            <w:r>
              <w:rPr>
                <w:rFonts w:ascii="宋体"/>
                <w:sz w:val="21"/>
              </w:rPr>
              <w:t>200,000,000.00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350,000,000.00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center"/>
              <w:rPr>
                <w:rFonts w:ascii="宋体" w:hAnsi="宋体" w:cs="宋体" w:eastAsia="宋体" w:hint="default"/>
                <w:sz w:val="21"/>
                <w:szCs w:val="21"/>
              </w:rPr>
            </w:pPr>
            <w:r>
              <w:rPr>
                <w:rFonts w:ascii="宋体"/>
                <w:sz w:val="21"/>
              </w:rPr>
              <w:t>200,000,000.00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150,000,000.00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4"/>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39" w:lineRule="exact"/>
        <w:ind w:left="618" w:right="0"/>
        <w:jc w:val="left"/>
      </w:pPr>
      <w:r>
        <w:rPr/>
        <w:t>关联担保情况说明</w:t>
      </w:r>
    </w:p>
    <w:p>
      <w:pPr>
        <w:pStyle w:val="BodyText"/>
        <w:spacing w:line="273" w:lineRule="exact"/>
        <w:ind w:left="618" w:right="0"/>
        <w:jc w:val="left"/>
      </w:pPr>
      <w:r>
        <w:rPr/>
        <w:t>□适用</w:t>
      </w:r>
      <w:r>
        <w:rPr>
          <w:spacing w:val="-1"/>
        </w:rPr>
        <w:t> </w:t>
      </w:r>
      <w:r>
        <w:rPr/>
        <w:t>√不适用</w:t>
      </w:r>
    </w:p>
    <w:p>
      <w:pPr>
        <w:spacing w:line="240" w:lineRule="auto" w:before="4"/>
        <w:rPr>
          <w:rFonts w:ascii="宋体" w:hAnsi="宋体" w:cs="宋体" w:eastAsia="宋体" w:hint="default"/>
          <w:sz w:val="22"/>
          <w:szCs w:val="22"/>
        </w:rPr>
      </w:pPr>
    </w:p>
    <w:p>
      <w:pPr>
        <w:pStyle w:val="Heading2"/>
        <w:spacing w:line="240" w:lineRule="auto" w:before="0"/>
        <w:ind w:left="618" w:right="0"/>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9"/>
        <w:ind w:left="618" w:right="0"/>
        <w:jc w:val="left"/>
      </w:pPr>
      <w:r>
        <w:rPr/>
        <w:t>□适用</w:t>
      </w:r>
      <w:r>
        <w:rPr>
          <w:spacing w:val="-1"/>
        </w:rPr>
        <w:t> </w:t>
      </w:r>
      <w:r>
        <w:rPr/>
        <w:t>√不适用</w:t>
      </w:r>
    </w:p>
    <w:p>
      <w:pPr>
        <w:spacing w:after="0" w:line="240" w:lineRule="auto"/>
        <w:jc w:val="left"/>
        <w:sectPr>
          <w:type w:val="continuous"/>
          <w:pgSz w:w="11910" w:h="16840"/>
          <w:pgMar w:top="1580" w:bottom="280" w:left="1180" w:right="6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15"/>
          <w:pgSz w:w="11910" w:h="16840"/>
          <w:pgMar w:footer="974" w:header="728" w:top="1120" w:bottom="1160" w:left="1400" w:right="920"/>
        </w:sectPr>
      </w:pPr>
    </w:p>
    <w:p>
      <w:pPr>
        <w:pStyle w:val="Heading2"/>
        <w:spacing w:line="240" w:lineRule="auto"/>
        <w:ind w:left="398"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pStyle w:val="BodyText"/>
        <w:spacing w:line="240" w:lineRule="auto" w:before="58"/>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98" w:right="0"/>
        <w:jc w:val="left"/>
      </w:pPr>
      <w:r>
        <w:rPr/>
        <w:t>单位：元币种：人民币</w:t>
      </w:r>
    </w:p>
    <w:p>
      <w:pPr>
        <w:spacing w:after="0" w:line="240" w:lineRule="auto"/>
        <w:jc w:val="left"/>
        <w:sectPr>
          <w:type w:val="continuous"/>
          <w:pgSz w:w="11910" w:h="16840"/>
          <w:pgMar w:top="1580" w:bottom="280" w:left="1400" w:right="920"/>
          <w:cols w:num="2" w:equalWidth="0">
            <w:col w:w="3775" w:space="2957"/>
            <w:col w:w="285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01"/>
        <w:gridCol w:w="2261"/>
        <w:gridCol w:w="2283"/>
        <w:gridCol w:w="2281"/>
      </w:tblGrid>
      <w:tr>
        <w:trPr>
          <w:trHeight w:val="33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492"/>
              <w:jc w:val="right"/>
              <w:rPr>
                <w:rFonts w:ascii="宋体" w:hAnsi="宋体" w:cs="宋体" w:eastAsia="宋体" w:hint="default"/>
                <w:sz w:val="21"/>
                <w:szCs w:val="21"/>
              </w:rPr>
            </w:pPr>
            <w:r>
              <w:rPr>
                <w:rFonts w:ascii="宋体" w:hAnsi="宋体" w:cs="宋体" w:eastAsia="宋体" w:hint="default"/>
                <w:spacing w:val="-1"/>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收购华乐光电股权</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sz w:val="21"/>
              </w:rPr>
              <w:t>370,000,000.00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400" w:right="920"/>
        </w:sectPr>
      </w:pPr>
    </w:p>
    <w:p>
      <w:pPr>
        <w:pStyle w:val="Heading2"/>
        <w:spacing w:line="240" w:lineRule="auto"/>
        <w:ind w:left="398"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8"/>
        <w:ind w:left="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98" w:right="0"/>
        <w:jc w:val="left"/>
      </w:pPr>
      <w:r>
        <w:rPr/>
        <w:t>单位：万元币种：人民币</w:t>
      </w:r>
    </w:p>
    <w:p>
      <w:pPr>
        <w:spacing w:after="0" w:line="240" w:lineRule="auto"/>
        <w:jc w:val="left"/>
        <w:sectPr>
          <w:type w:val="continuous"/>
          <w:pgSz w:w="11910" w:h="16840"/>
          <w:pgMar w:top="1580" w:bottom="280" w:left="1400" w:right="920"/>
          <w:cols w:num="2" w:equalWidth="0">
            <w:col w:w="2513" w:space="4009"/>
            <w:col w:w="306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59" w:right="0"/>
              <w:jc w:val="left"/>
              <w:rPr>
                <w:rFonts w:ascii="宋体" w:hAnsi="宋体" w:cs="宋体" w:eastAsia="宋体" w:hint="default"/>
                <w:sz w:val="21"/>
                <w:szCs w:val="21"/>
              </w:rPr>
            </w:pPr>
            <w:r>
              <w:rPr>
                <w:rFonts w:ascii="宋体" w:hAnsi="宋体" w:cs="宋体" w:eastAsia="宋体" w:hint="default"/>
                <w:sz w:val="21"/>
                <w:szCs w:val="21"/>
              </w:rPr>
              <w:t>849.94</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86" w:right="0"/>
              <w:jc w:val="left"/>
              <w:rPr>
                <w:rFonts w:ascii="宋体" w:hAnsi="宋体" w:cs="宋体" w:eastAsia="宋体" w:hint="default"/>
                <w:sz w:val="21"/>
                <w:szCs w:val="21"/>
              </w:rPr>
            </w:pPr>
            <w:r>
              <w:rPr>
                <w:rFonts w:ascii="宋体" w:hAnsi="宋体" w:cs="宋体" w:eastAsia="宋体" w:hint="default"/>
                <w:sz w:val="21"/>
                <w:szCs w:val="21"/>
              </w:rPr>
              <w:t>808.58</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2"/>
        <w:rPr>
          <w:rFonts w:ascii="宋体" w:hAnsi="宋体" w:cs="宋体" w:eastAsia="宋体" w:hint="default"/>
          <w:sz w:val="20"/>
          <w:szCs w:val="20"/>
        </w:rPr>
      </w:pPr>
    </w:p>
    <w:p>
      <w:pPr>
        <w:pStyle w:val="Heading2"/>
        <w:spacing w:line="240" w:lineRule="auto"/>
        <w:ind w:left="398" w:right="1187"/>
        <w:jc w:val="left"/>
        <w:rPr>
          <w:b w:val="0"/>
          <w:bCs w:val="0"/>
        </w:rPr>
      </w:pPr>
      <w:r>
        <w:rPr>
          <w:rFonts w:ascii="宋体" w:hAnsi="宋体" w:cs="宋体" w:eastAsia="宋体" w:hint="default"/>
        </w:rPr>
        <w:t>(8).</w:t>
      </w:r>
      <w:r>
        <w:rPr/>
        <w:t>其他关联交易</w:t>
      </w:r>
      <w:r>
        <w:rPr>
          <w:b w:val="0"/>
          <w:bCs w:val="0"/>
        </w:rPr>
      </w:r>
    </w:p>
    <w:p>
      <w:pPr>
        <w:pStyle w:val="BodyText"/>
        <w:spacing w:line="350" w:lineRule="auto" w:before="56"/>
        <w:ind w:left="398" w:right="1187"/>
        <w:jc w:val="left"/>
      </w:pPr>
      <w:r>
        <w:rPr/>
        <w:pict>
          <v:group style="position:absolute;margin-left:76.463997pt;margin-top:38.103642pt;width:467.85pt;height:177.65pt;mso-position-horizontal-relative:page;mso-position-vertical-relative:paragraph;z-index:-1111960" coordorigin="1529,762" coordsize="9357,3553">
            <v:group style="position:absolute;left:1558;top:776;width:2802;height:2" coordorigin="1558,776" coordsize="2802,2">
              <v:shape style="position:absolute;left:1558;top:776;width:2802;height:2" coordorigin="1558,776" coordsize="2802,0" path="m1558,776l4359,776e" filled="false" stroked="true" strokeweight="1.44pt" strokecolor="#000000">
                <v:path arrowok="t"/>
              </v:shape>
              <v:shape style="position:absolute;left:4359;top:791;width:10;height:2" type="#_x0000_t75" stroked="false">
                <v:imagedata r:id="rId116" o:title=""/>
              </v:shape>
            </v:group>
            <v:group style="position:absolute;left:4359;top:776;width:29;height:2" coordorigin="4359,776" coordsize="29,2">
              <v:shape style="position:absolute;left:4359;top:776;width:29;height:2" coordorigin="4359,776" coordsize="29,0" path="m4359,776l4388,776e" filled="false" stroked="true" strokeweight="1.44pt" strokecolor="#000000">
                <v:path arrowok="t"/>
              </v:shape>
            </v:group>
            <v:group style="position:absolute;left:4388;top:776;width:1212;height:2" coordorigin="4388,776" coordsize="1212,2">
              <v:shape style="position:absolute;left:4388;top:776;width:1212;height:2" coordorigin="4388,776" coordsize="1212,0" path="m4388,776l5600,776e" filled="false" stroked="true" strokeweight="1.44pt" strokecolor="#000000">
                <v:path arrowok="t"/>
              </v:shape>
              <v:shape style="position:absolute;left:5600;top:791;width:10;height:2" type="#_x0000_t75" stroked="false">
                <v:imagedata r:id="rId116" o:title=""/>
              </v:shape>
            </v:group>
            <v:group style="position:absolute;left:5600;top:776;width:29;height:2" coordorigin="5600,776" coordsize="29,2">
              <v:shape style="position:absolute;left:5600;top:776;width:29;height:2" coordorigin="5600,776" coordsize="29,0" path="m5600,776l5629,776e" filled="false" stroked="true" strokeweight="1.44pt" strokecolor="#000000">
                <v:path arrowok="t"/>
              </v:shape>
            </v:group>
            <v:group style="position:absolute;left:5629;top:776;width:2732;height:2" coordorigin="5629,776" coordsize="2732,2">
              <v:shape style="position:absolute;left:5629;top:776;width:2732;height:2" coordorigin="5629,776" coordsize="2732,0" path="m5629,776l8361,776e" filled="false" stroked="true" strokeweight="1.44pt" strokecolor="#000000">
                <v:path arrowok="t"/>
              </v:shape>
              <v:shape style="position:absolute;left:8361;top:791;width:10;height:2" type="#_x0000_t75" stroked="false">
                <v:imagedata r:id="rId116" o:title=""/>
              </v:shape>
            </v:group>
            <v:group style="position:absolute;left:8361;top:776;width:29;height:2" coordorigin="8361,776" coordsize="29,2">
              <v:shape style="position:absolute;left:8361;top:776;width:29;height:2" coordorigin="8361,776" coordsize="29,0" path="m8361,776l8389,776e" filled="false" stroked="true" strokeweight="1.44pt" strokecolor="#000000">
                <v:path arrowok="t"/>
              </v:shape>
            </v:group>
            <v:group style="position:absolute;left:8389;top:776;width:848;height:2" coordorigin="8389,776" coordsize="848,2">
              <v:shape style="position:absolute;left:8389;top:776;width:848;height:2" coordorigin="8389,776" coordsize="848,0" path="m8389,776l9237,776e" filled="false" stroked="true" strokeweight="1.44pt" strokecolor="#000000">
                <v:path arrowok="t"/>
              </v:shape>
              <v:shape style="position:absolute;left:9237;top:791;width:10;height:2" type="#_x0000_t75" stroked="false">
                <v:imagedata r:id="rId116" o:title=""/>
              </v:shape>
            </v:group>
            <v:group style="position:absolute;left:9237;top:776;width:29;height:2" coordorigin="9237,776" coordsize="29,2">
              <v:shape style="position:absolute;left:9237;top:776;width:29;height:2" coordorigin="9237,776" coordsize="29,0" path="m9237,776l9266,776e" filled="false" stroked="true" strokeweight="1.44pt" strokecolor="#000000">
                <v:path arrowok="t"/>
              </v:shape>
            </v:group>
            <v:group style="position:absolute;left:9266;top:776;width:1606;height:2" coordorigin="9266,776" coordsize="1606,2">
              <v:shape style="position:absolute;left:9266;top:776;width:1606;height:2" coordorigin="9266,776" coordsize="1606,0" path="m9266,776l10872,776e" filled="false" stroked="true" strokeweight="1.44pt" strokecolor="#000000">
                <v:path arrowok="t"/>
              </v:shape>
            </v:group>
            <v:group style="position:absolute;left:4359;top:793;width:10;height:20" coordorigin="4359,793" coordsize="10,20">
              <v:shape style="position:absolute;left:4359;top:793;width:10;height:20" coordorigin="4359,793" coordsize="10,20" path="m4359,812l4369,812,4369,793,4359,793,4359,812xe" filled="true" fillcolor="#000000" stroked="false">
                <v:path arrowok="t"/>
                <v:fill type="solid"/>
              </v:shape>
            </v:group>
            <v:group style="position:absolute;left:4359;top:812;width:10;height:20" coordorigin="4359,812" coordsize="10,20">
              <v:shape style="position:absolute;left:4359;top:812;width:10;height:20" coordorigin="4359,812" coordsize="10,20" path="m4359,832l4369,832,4369,812,4359,812,4359,832xe" filled="true" fillcolor="#000000" stroked="false">
                <v:path arrowok="t"/>
                <v:fill type="solid"/>
              </v:shape>
            </v:group>
            <v:group style="position:absolute;left:4359;top:832;width:10;height:20" coordorigin="4359,832" coordsize="10,20">
              <v:shape style="position:absolute;left:4359;top:832;width:10;height:20" coordorigin="4359,832" coordsize="10,20" path="m4359,851l4369,851,4369,832,4359,832,4359,851xe" filled="true" fillcolor="#000000" stroked="false">
                <v:path arrowok="t"/>
                <v:fill type="solid"/>
              </v:shape>
            </v:group>
            <v:group style="position:absolute;left:4359;top:851;width:10;height:20" coordorigin="4359,851" coordsize="10,20">
              <v:shape style="position:absolute;left:4359;top:851;width:10;height:20" coordorigin="4359,851" coordsize="10,20" path="m4359,870l4369,870,4369,851,4359,851,4359,870xe" filled="true" fillcolor="#000000" stroked="false">
                <v:path arrowok="t"/>
                <v:fill type="solid"/>
              </v:shape>
            </v:group>
            <v:group style="position:absolute;left:4359;top:870;width:10;height:20" coordorigin="4359,870" coordsize="10,20">
              <v:shape style="position:absolute;left:4359;top:870;width:10;height:20" coordorigin="4359,870" coordsize="10,20" path="m4359,889l4369,889,4369,870,4359,870,4359,889xe" filled="true" fillcolor="#000000" stroked="false">
                <v:path arrowok="t"/>
                <v:fill type="solid"/>
              </v:shape>
            </v:group>
            <v:group style="position:absolute;left:4359;top:889;width:10;height:20" coordorigin="4359,889" coordsize="10,20">
              <v:shape style="position:absolute;left:4359;top:889;width:10;height:20" coordorigin="4359,889" coordsize="10,20" path="m4359,908l4369,908,4369,889,4359,889,4359,908xe" filled="true" fillcolor="#000000" stroked="false">
                <v:path arrowok="t"/>
                <v:fill type="solid"/>
              </v:shape>
            </v:group>
            <v:group style="position:absolute;left:4359;top:908;width:10;height:20" coordorigin="4359,908" coordsize="10,20">
              <v:shape style="position:absolute;left:4359;top:908;width:10;height:20" coordorigin="4359,908" coordsize="10,20" path="m4359,928l4369,928,4369,908,4359,908,4359,928xe" filled="true" fillcolor="#000000" stroked="false">
                <v:path arrowok="t"/>
                <v:fill type="solid"/>
              </v:shape>
            </v:group>
            <v:group style="position:absolute;left:4359;top:928;width:10;height:20" coordorigin="4359,928" coordsize="10,20">
              <v:shape style="position:absolute;left:4359;top:928;width:10;height:20" coordorigin="4359,928" coordsize="10,20" path="m4359,947l4369,947,4369,928,4359,928,4359,947xe" filled="true" fillcolor="#000000" stroked="false">
                <v:path arrowok="t"/>
                <v:fill type="solid"/>
              </v:shape>
            </v:group>
            <v:group style="position:absolute;left:4359;top:947;width:10;height:20" coordorigin="4359,947" coordsize="10,20">
              <v:shape style="position:absolute;left:4359;top:947;width:10;height:20" coordorigin="4359,947" coordsize="10,20" path="m4359,966l4369,966,4369,947,4359,947,4359,966xe" filled="true" fillcolor="#000000" stroked="false">
                <v:path arrowok="t"/>
                <v:fill type="solid"/>
              </v:shape>
            </v:group>
            <v:group style="position:absolute;left:4359;top:966;width:10;height:20" coordorigin="4359,966" coordsize="10,20">
              <v:shape style="position:absolute;left:4359;top:966;width:10;height:20" coordorigin="4359,966" coordsize="10,20" path="m4359,985l4369,985,4369,966,4359,966,4359,985xe" filled="true" fillcolor="#000000" stroked="false">
                <v:path arrowok="t"/>
                <v:fill type="solid"/>
              </v:shape>
            </v:group>
            <v:group style="position:absolute;left:4359;top:985;width:10;height:20" coordorigin="4359,985" coordsize="10,20">
              <v:shape style="position:absolute;left:4359;top:985;width:10;height:20" coordorigin="4359,985" coordsize="10,20" path="m4359,1004l4369,1004,4369,985,4359,985,4359,1004xe" filled="true" fillcolor="#000000" stroked="false">
                <v:path arrowok="t"/>
                <v:fill type="solid"/>
              </v:shape>
            </v:group>
            <v:group style="position:absolute;left:4359;top:1004;width:10;height:20" coordorigin="4359,1004" coordsize="10,20">
              <v:shape style="position:absolute;left:4359;top:1004;width:10;height:20" coordorigin="4359,1004" coordsize="10,20" path="m4359,1024l4369,1024,4369,1004,4359,1004,4359,1024xe" filled="true" fillcolor="#000000" stroked="false">
                <v:path arrowok="t"/>
                <v:fill type="solid"/>
              </v:shape>
            </v:group>
            <v:group style="position:absolute;left:4359;top:1024;width:10;height:20" coordorigin="4359,1024" coordsize="10,20">
              <v:shape style="position:absolute;left:4359;top:1024;width:10;height:20" coordorigin="4359,1024" coordsize="10,20" path="m4359,1043l4369,1043,4369,1024,4359,1024,4359,1043xe" filled="true" fillcolor="#000000" stroked="false">
                <v:path arrowok="t"/>
                <v:fill type="solid"/>
              </v:shape>
            </v:group>
            <v:group style="position:absolute;left:4359;top:1043;width:10;height:20" coordorigin="4359,1043" coordsize="10,20">
              <v:shape style="position:absolute;left:4359;top:1043;width:10;height:20" coordorigin="4359,1043" coordsize="10,20" path="m4359,1062l4369,1062,4369,1043,4359,1043,4359,1062xe" filled="true" fillcolor="#000000" stroked="false">
                <v:path arrowok="t"/>
                <v:fill type="solid"/>
              </v:shape>
            </v:group>
            <v:group style="position:absolute;left:4359;top:1070;width:10;height:2" coordorigin="4359,1070" coordsize="10,2">
              <v:shape style="position:absolute;left:4359;top:1070;width:10;height:2" coordorigin="4359,1070" coordsize="10,0" path="m4359,1070l4369,1070e" filled="false" stroked="true" strokeweight=".84003pt" strokecolor="#000000">
                <v:path arrowok="t"/>
              </v:shape>
            </v:group>
            <v:group style="position:absolute;left:5600;top:793;width:10;height:20" coordorigin="5600,793" coordsize="10,20">
              <v:shape style="position:absolute;left:5600;top:793;width:10;height:20" coordorigin="5600,793" coordsize="10,20" path="m5600,812l5610,812,5610,793,5600,793,5600,812xe" filled="true" fillcolor="#000000" stroked="false">
                <v:path arrowok="t"/>
                <v:fill type="solid"/>
              </v:shape>
            </v:group>
            <v:group style="position:absolute;left:5600;top:812;width:10;height:20" coordorigin="5600,812" coordsize="10,20">
              <v:shape style="position:absolute;left:5600;top:812;width:10;height:20" coordorigin="5600,812" coordsize="10,20" path="m5600,832l5610,832,5610,812,5600,812,5600,832xe" filled="true" fillcolor="#000000" stroked="false">
                <v:path arrowok="t"/>
                <v:fill type="solid"/>
              </v:shape>
            </v:group>
            <v:group style="position:absolute;left:5600;top:832;width:10;height:20" coordorigin="5600,832" coordsize="10,20">
              <v:shape style="position:absolute;left:5600;top:832;width:10;height:20" coordorigin="5600,832" coordsize="10,20" path="m5600,851l5610,851,5610,832,5600,832,5600,851xe" filled="true" fillcolor="#000000" stroked="false">
                <v:path arrowok="t"/>
                <v:fill type="solid"/>
              </v:shape>
            </v:group>
            <v:group style="position:absolute;left:5600;top:851;width:10;height:20" coordorigin="5600,851" coordsize="10,20">
              <v:shape style="position:absolute;left:5600;top:851;width:10;height:20" coordorigin="5600,851" coordsize="10,20" path="m5600,870l5610,870,5610,851,5600,851,5600,870xe" filled="true" fillcolor="#000000" stroked="false">
                <v:path arrowok="t"/>
                <v:fill type="solid"/>
              </v:shape>
            </v:group>
            <v:group style="position:absolute;left:5600;top:870;width:10;height:20" coordorigin="5600,870" coordsize="10,20">
              <v:shape style="position:absolute;left:5600;top:870;width:10;height:20" coordorigin="5600,870" coordsize="10,20" path="m5600,889l5610,889,5610,870,5600,870,5600,889xe" filled="true" fillcolor="#000000" stroked="false">
                <v:path arrowok="t"/>
                <v:fill type="solid"/>
              </v:shape>
            </v:group>
            <v:group style="position:absolute;left:5600;top:889;width:10;height:20" coordorigin="5600,889" coordsize="10,20">
              <v:shape style="position:absolute;left:5600;top:889;width:10;height:20" coordorigin="5600,889" coordsize="10,20" path="m5600,908l5610,908,5610,889,5600,889,5600,908xe" filled="true" fillcolor="#000000" stroked="false">
                <v:path arrowok="t"/>
                <v:fill type="solid"/>
              </v:shape>
            </v:group>
            <v:group style="position:absolute;left:5600;top:908;width:10;height:20" coordorigin="5600,908" coordsize="10,20">
              <v:shape style="position:absolute;left:5600;top:908;width:10;height:20" coordorigin="5600,908" coordsize="10,20" path="m5600,928l5610,928,5610,908,5600,908,5600,928xe" filled="true" fillcolor="#000000" stroked="false">
                <v:path arrowok="t"/>
                <v:fill type="solid"/>
              </v:shape>
            </v:group>
            <v:group style="position:absolute;left:5600;top:928;width:10;height:20" coordorigin="5600,928" coordsize="10,20">
              <v:shape style="position:absolute;left:5600;top:928;width:10;height:20" coordorigin="5600,928" coordsize="10,20" path="m5600,947l5610,947,5610,928,5600,928,5600,947xe" filled="true" fillcolor="#000000" stroked="false">
                <v:path arrowok="t"/>
                <v:fill type="solid"/>
              </v:shape>
            </v:group>
            <v:group style="position:absolute;left:5600;top:947;width:10;height:20" coordorigin="5600,947" coordsize="10,20">
              <v:shape style="position:absolute;left:5600;top:947;width:10;height:20" coordorigin="5600,947" coordsize="10,20" path="m5600,966l5610,966,5610,947,5600,947,5600,966xe" filled="true" fillcolor="#000000" stroked="false">
                <v:path arrowok="t"/>
                <v:fill type="solid"/>
              </v:shape>
            </v:group>
            <v:group style="position:absolute;left:5600;top:966;width:10;height:20" coordorigin="5600,966" coordsize="10,20">
              <v:shape style="position:absolute;left:5600;top:966;width:10;height:20" coordorigin="5600,966" coordsize="10,20" path="m5600,985l5610,985,5610,966,5600,966,5600,985xe" filled="true" fillcolor="#000000" stroked="false">
                <v:path arrowok="t"/>
                <v:fill type="solid"/>
              </v:shape>
            </v:group>
            <v:group style="position:absolute;left:5600;top:985;width:10;height:20" coordorigin="5600,985" coordsize="10,20">
              <v:shape style="position:absolute;left:5600;top:985;width:10;height:20" coordorigin="5600,985" coordsize="10,20" path="m5600,1004l5610,1004,5610,985,5600,985,5600,1004xe" filled="true" fillcolor="#000000" stroked="false">
                <v:path arrowok="t"/>
                <v:fill type="solid"/>
              </v:shape>
            </v:group>
            <v:group style="position:absolute;left:5600;top:1004;width:10;height:20" coordorigin="5600,1004" coordsize="10,20">
              <v:shape style="position:absolute;left:5600;top:1004;width:10;height:20" coordorigin="5600,1004" coordsize="10,20" path="m5600,1024l5610,1024,5610,1004,5600,1004,5600,1024xe" filled="true" fillcolor="#000000" stroked="false">
                <v:path arrowok="t"/>
                <v:fill type="solid"/>
              </v:shape>
            </v:group>
            <v:group style="position:absolute;left:5600;top:1024;width:10;height:20" coordorigin="5600,1024" coordsize="10,20">
              <v:shape style="position:absolute;left:5600;top:1024;width:10;height:20" coordorigin="5600,1024" coordsize="10,20" path="m5600,1043l5610,1043,5610,1024,5600,1024,5600,1043xe" filled="true" fillcolor="#000000" stroked="false">
                <v:path arrowok="t"/>
                <v:fill type="solid"/>
              </v:shape>
            </v:group>
            <v:group style="position:absolute;left:5600;top:1043;width:10;height:20" coordorigin="5600,1043" coordsize="10,20">
              <v:shape style="position:absolute;left:5600;top:1043;width:10;height:20" coordorigin="5600,1043" coordsize="10,20" path="m5600,1062l5610,1062,5610,1043,5600,1043,5600,1062xe" filled="true" fillcolor="#000000" stroked="false">
                <v:path arrowok="t"/>
                <v:fill type="solid"/>
              </v:shape>
            </v:group>
            <v:group style="position:absolute;left:5600;top:1070;width:10;height:2" coordorigin="5600,1070" coordsize="10,2">
              <v:shape style="position:absolute;left:5600;top:1070;width:10;height:2" coordorigin="5600,1070" coordsize="10,0" path="m5600,1070l5610,1070e" filled="false" stroked="true" strokeweight=".84003pt" strokecolor="#000000">
                <v:path arrowok="t"/>
              </v:shape>
            </v:group>
            <v:group style="position:absolute;left:8361;top:793;width:10;height:20" coordorigin="8361,793" coordsize="10,20">
              <v:shape style="position:absolute;left:8361;top:793;width:10;height:20" coordorigin="8361,793" coordsize="10,20" path="m8361,812l8370,812,8370,793,8361,793,8361,812xe" filled="true" fillcolor="#000000" stroked="false">
                <v:path arrowok="t"/>
                <v:fill type="solid"/>
              </v:shape>
            </v:group>
            <v:group style="position:absolute;left:8361;top:812;width:10;height:20" coordorigin="8361,812" coordsize="10,20">
              <v:shape style="position:absolute;left:8361;top:812;width:10;height:20" coordorigin="8361,812" coordsize="10,20" path="m8361,832l8370,832,8370,812,8361,812,8361,832xe" filled="true" fillcolor="#000000" stroked="false">
                <v:path arrowok="t"/>
                <v:fill type="solid"/>
              </v:shape>
            </v:group>
            <v:group style="position:absolute;left:8361;top:832;width:10;height:20" coordorigin="8361,832" coordsize="10,20">
              <v:shape style="position:absolute;left:8361;top:832;width:10;height:20" coordorigin="8361,832" coordsize="10,20" path="m8361,851l8370,851,8370,832,8361,832,8361,851xe" filled="true" fillcolor="#000000" stroked="false">
                <v:path arrowok="t"/>
                <v:fill type="solid"/>
              </v:shape>
            </v:group>
            <v:group style="position:absolute;left:8361;top:851;width:10;height:20" coordorigin="8361,851" coordsize="10,20">
              <v:shape style="position:absolute;left:8361;top:851;width:10;height:20" coordorigin="8361,851" coordsize="10,20" path="m8361,870l8370,870,8370,851,8361,851,8361,870xe" filled="true" fillcolor="#000000" stroked="false">
                <v:path arrowok="t"/>
                <v:fill type="solid"/>
              </v:shape>
            </v:group>
            <v:group style="position:absolute;left:8361;top:870;width:10;height:20" coordorigin="8361,870" coordsize="10,20">
              <v:shape style="position:absolute;left:8361;top:870;width:10;height:20" coordorigin="8361,870" coordsize="10,20" path="m8361,889l8370,889,8370,870,8361,870,8361,889xe" filled="true" fillcolor="#000000" stroked="false">
                <v:path arrowok="t"/>
                <v:fill type="solid"/>
              </v:shape>
            </v:group>
            <v:group style="position:absolute;left:8361;top:889;width:10;height:20" coordorigin="8361,889" coordsize="10,20">
              <v:shape style="position:absolute;left:8361;top:889;width:10;height:20" coordorigin="8361,889" coordsize="10,20" path="m8361,908l8370,908,8370,889,8361,889,8361,908xe" filled="true" fillcolor="#000000" stroked="false">
                <v:path arrowok="t"/>
                <v:fill type="solid"/>
              </v:shape>
            </v:group>
            <v:group style="position:absolute;left:8361;top:908;width:10;height:20" coordorigin="8361,908" coordsize="10,20">
              <v:shape style="position:absolute;left:8361;top:908;width:10;height:20" coordorigin="8361,908" coordsize="10,20" path="m8361,928l8370,928,8370,908,8361,908,8361,928xe" filled="true" fillcolor="#000000" stroked="false">
                <v:path arrowok="t"/>
                <v:fill type="solid"/>
              </v:shape>
            </v:group>
            <v:group style="position:absolute;left:8361;top:928;width:10;height:20" coordorigin="8361,928" coordsize="10,20">
              <v:shape style="position:absolute;left:8361;top:928;width:10;height:20" coordorigin="8361,928" coordsize="10,20" path="m8361,947l8370,947,8370,928,8361,928,8361,947xe" filled="true" fillcolor="#000000" stroked="false">
                <v:path arrowok="t"/>
                <v:fill type="solid"/>
              </v:shape>
            </v:group>
            <v:group style="position:absolute;left:8361;top:947;width:10;height:20" coordorigin="8361,947" coordsize="10,20">
              <v:shape style="position:absolute;left:8361;top:947;width:10;height:20" coordorigin="8361,947" coordsize="10,20" path="m8361,966l8370,966,8370,947,8361,947,8361,966xe" filled="true" fillcolor="#000000" stroked="false">
                <v:path arrowok="t"/>
                <v:fill type="solid"/>
              </v:shape>
            </v:group>
            <v:group style="position:absolute;left:8361;top:966;width:10;height:20" coordorigin="8361,966" coordsize="10,20">
              <v:shape style="position:absolute;left:8361;top:966;width:10;height:20" coordorigin="8361,966" coordsize="10,20" path="m8361,985l8370,985,8370,966,8361,966,8361,985xe" filled="true" fillcolor="#000000" stroked="false">
                <v:path arrowok="t"/>
                <v:fill type="solid"/>
              </v:shape>
            </v:group>
            <v:group style="position:absolute;left:9237;top:793;width:10;height:20" coordorigin="9237,793" coordsize="10,20">
              <v:shape style="position:absolute;left:9237;top:793;width:10;height:20" coordorigin="9237,793" coordsize="10,20" path="m9237,812l9247,812,9247,793,9237,793,9237,812xe" filled="true" fillcolor="#000000" stroked="false">
                <v:path arrowok="t"/>
                <v:fill type="solid"/>
              </v:shape>
            </v:group>
            <v:group style="position:absolute;left:9237;top:812;width:10;height:20" coordorigin="9237,812" coordsize="10,20">
              <v:shape style="position:absolute;left:9237;top:812;width:10;height:20" coordorigin="9237,812" coordsize="10,20" path="m9237,832l9247,832,9247,812,9237,812,9237,832xe" filled="true" fillcolor="#000000" stroked="false">
                <v:path arrowok="t"/>
                <v:fill type="solid"/>
              </v:shape>
            </v:group>
            <v:group style="position:absolute;left:9237;top:832;width:10;height:20" coordorigin="9237,832" coordsize="10,20">
              <v:shape style="position:absolute;left:9237;top:832;width:10;height:20" coordorigin="9237,832" coordsize="10,20" path="m9237,851l9247,851,9247,832,9237,832,9237,851xe" filled="true" fillcolor="#000000" stroked="false">
                <v:path arrowok="t"/>
                <v:fill type="solid"/>
              </v:shape>
            </v:group>
            <v:group style="position:absolute;left:9237;top:851;width:10;height:20" coordorigin="9237,851" coordsize="10,20">
              <v:shape style="position:absolute;left:9237;top:851;width:10;height:20" coordorigin="9237,851" coordsize="10,20" path="m9237,870l9247,870,9247,851,9237,851,9237,870xe" filled="true" fillcolor="#000000" stroked="false">
                <v:path arrowok="t"/>
                <v:fill type="solid"/>
              </v:shape>
            </v:group>
            <v:group style="position:absolute;left:9237;top:870;width:10;height:20" coordorigin="9237,870" coordsize="10,20">
              <v:shape style="position:absolute;left:9237;top:870;width:10;height:20" coordorigin="9237,870" coordsize="10,20" path="m9237,889l9247,889,9247,870,9237,870,9237,889xe" filled="true" fillcolor="#000000" stroked="false">
                <v:path arrowok="t"/>
                <v:fill type="solid"/>
              </v:shape>
            </v:group>
            <v:group style="position:absolute;left:9237;top:889;width:10;height:20" coordorigin="9237,889" coordsize="10,20">
              <v:shape style="position:absolute;left:9237;top:889;width:10;height:20" coordorigin="9237,889" coordsize="10,20" path="m9237,908l9247,908,9247,889,9237,889,9237,908xe" filled="true" fillcolor="#000000" stroked="false">
                <v:path arrowok="t"/>
                <v:fill type="solid"/>
              </v:shape>
            </v:group>
            <v:group style="position:absolute;left:9237;top:908;width:10;height:20" coordorigin="9237,908" coordsize="10,20">
              <v:shape style="position:absolute;left:9237;top:908;width:10;height:20" coordorigin="9237,908" coordsize="10,20" path="m9237,928l9247,928,9247,908,9237,908,9237,928xe" filled="true" fillcolor="#000000" stroked="false">
                <v:path arrowok="t"/>
                <v:fill type="solid"/>
              </v:shape>
            </v:group>
            <v:group style="position:absolute;left:9237;top:928;width:10;height:20" coordorigin="9237,928" coordsize="10,20">
              <v:shape style="position:absolute;left:9237;top:928;width:10;height:20" coordorigin="9237,928" coordsize="10,20" path="m9237,947l9247,947,9247,928,9237,928,9237,947xe" filled="true" fillcolor="#000000" stroked="false">
                <v:path arrowok="t"/>
                <v:fill type="solid"/>
              </v:shape>
            </v:group>
            <v:group style="position:absolute;left:9237;top:947;width:10;height:20" coordorigin="9237,947" coordsize="10,20">
              <v:shape style="position:absolute;left:9237;top:947;width:10;height:20" coordorigin="9237,947" coordsize="10,20" path="m9237,966l9247,966,9247,947,9237,947,9237,966xe" filled="true" fillcolor="#000000" stroked="false">
                <v:path arrowok="t"/>
                <v:fill type="solid"/>
              </v:shape>
            </v:group>
            <v:group style="position:absolute;left:9237;top:966;width:10;height:20" coordorigin="9237,966" coordsize="10,20">
              <v:shape style="position:absolute;left:9237;top:966;width:10;height:20" coordorigin="9237,966" coordsize="10,20" path="m9237,985l9247,985,9247,966,9237,966,9237,985xe" filled="true" fillcolor="#000000" stroked="false">
                <v:path arrowok="t"/>
                <v:fill type="solid"/>
              </v:shape>
            </v:group>
            <v:group style="position:absolute;left:9237;top:985;width:10;height:20" coordorigin="9237,985" coordsize="10,20">
              <v:shape style="position:absolute;left:9237;top:985;width:10;height:20" coordorigin="9237,985" coordsize="10,20" path="m9237,1004l9247,1004,9247,985,9237,985,9237,1004xe" filled="true" fillcolor="#000000" stroked="false">
                <v:path arrowok="t"/>
                <v:fill type="solid"/>
              </v:shape>
            </v:group>
            <v:group style="position:absolute;left:9237;top:1004;width:10;height:20" coordorigin="9237,1004" coordsize="10,20">
              <v:shape style="position:absolute;left:9237;top:1004;width:10;height:20" coordorigin="9237,1004" coordsize="10,20" path="m9237,1024l9247,1024,9247,1004,9237,1004,9237,1024xe" filled="true" fillcolor="#000000" stroked="false">
                <v:path arrowok="t"/>
                <v:fill type="solid"/>
              </v:shape>
            </v:group>
            <v:group style="position:absolute;left:9237;top:1024;width:10;height:20" coordorigin="9237,1024" coordsize="10,20">
              <v:shape style="position:absolute;left:9237;top:1024;width:10;height:20" coordorigin="9237,1024" coordsize="10,20" path="m9237,1043l9247,1043,9247,1024,9237,1024,9237,1043xe" filled="true" fillcolor="#000000" stroked="false">
                <v:path arrowok="t"/>
                <v:fill type="solid"/>
              </v:shape>
            </v:group>
            <v:group style="position:absolute;left:9237;top:1043;width:10;height:20" coordorigin="9237,1043" coordsize="10,20">
              <v:shape style="position:absolute;left:9237;top:1043;width:10;height:20" coordorigin="9237,1043" coordsize="10,20" path="m9237,1062l9247,1062,9247,1043,9237,1043,9237,1062xe" filled="true" fillcolor="#000000" stroked="false">
                <v:path arrowok="t"/>
                <v:fill type="solid"/>
              </v:shape>
            </v:group>
            <v:group style="position:absolute;left:9237;top:1070;width:10;height:2" coordorigin="9237,1070" coordsize="10,2">
              <v:shape style="position:absolute;left:9237;top:1070;width:10;height:2" coordorigin="9237,1070" coordsize="10,0" path="m9237,1070l9247,1070e" filled="false" stroked="true" strokeweight=".84003pt" strokecolor="#000000">
                <v:path arrowok="t"/>
              </v:shape>
            </v:group>
            <v:group style="position:absolute;left:4359;top:1084;width:10;height:2" coordorigin="4359,1084" coordsize="10,2">
              <v:shape style="position:absolute;left:4359;top:1084;width:10;height:2" coordorigin="4359,1084" coordsize="10,0" path="m4359,1084l4369,1084e" filled="false" stroked="true" strokeweight=".48004pt" strokecolor="#000000">
                <v:path arrowok="t"/>
              </v:shape>
              <v:shape style="position:absolute;left:5595;top:985;width:2784;height:103" type="#_x0000_t75" stroked="false">
                <v:imagedata r:id="rId117" o:title=""/>
              </v:shape>
            </v:group>
            <v:group style="position:absolute;left:8361;top:1084;width:10;height:2" coordorigin="8361,1084" coordsize="10,2">
              <v:shape style="position:absolute;left:8361;top:1084;width:10;height:2" coordorigin="8361,1084" coordsize="10,0" path="m8361,1084l8370,1084e" filled="false" stroked="true" strokeweight=".48004pt" strokecolor="#000000">
                <v:path arrowok="t"/>
              </v:shape>
            </v:group>
            <v:group style="position:absolute;left:9237;top:1084;width:10;height:2" coordorigin="9237,1084" coordsize="10,2">
              <v:shape style="position:absolute;left:9237;top:1084;width:10;height:2" coordorigin="9237,1084" coordsize="10,0" path="m9237,1084l9247,1084e" filled="false" stroked="true" strokeweight=".48004pt" strokecolor="#000000">
                <v:path arrowok="t"/>
              </v:shape>
            </v:group>
            <v:group style="position:absolute;left:4359;top:1088;width:10;height:20" coordorigin="4359,1088" coordsize="10,20">
              <v:shape style="position:absolute;left:4359;top:1088;width:10;height:20" coordorigin="4359,1088" coordsize="10,20" path="m4359,1108l4369,1108,4369,1088,4359,1088,4359,1108xe" filled="true" fillcolor="#000000" stroked="false">
                <v:path arrowok="t"/>
                <v:fill type="solid"/>
              </v:shape>
            </v:group>
            <v:group style="position:absolute;left:4359;top:1108;width:10;height:20" coordorigin="4359,1108" coordsize="10,20">
              <v:shape style="position:absolute;left:4359;top:1108;width:10;height:20" coordorigin="4359,1108" coordsize="10,20" path="m4359,1127l4369,1127,4369,1108,4359,1108,4359,1127xe" filled="true" fillcolor="#000000" stroked="false">
                <v:path arrowok="t"/>
                <v:fill type="solid"/>
              </v:shape>
            </v:group>
            <v:group style="position:absolute;left:4359;top:1127;width:10;height:20" coordorigin="4359,1127" coordsize="10,20">
              <v:shape style="position:absolute;left:4359;top:1127;width:10;height:20" coordorigin="4359,1127" coordsize="10,20" path="m4359,1146l4369,1146,4369,1127,4359,1127,4359,1146xe" filled="true" fillcolor="#000000" stroked="false">
                <v:path arrowok="t"/>
                <v:fill type="solid"/>
              </v:shape>
            </v:group>
            <v:group style="position:absolute;left:4359;top:1146;width:10;height:20" coordorigin="4359,1146" coordsize="10,20">
              <v:shape style="position:absolute;left:4359;top:1146;width:10;height:20" coordorigin="4359,1146" coordsize="10,20" path="m4359,1165l4369,1165,4369,1146,4359,1146,4359,1165xe" filled="true" fillcolor="#000000" stroked="false">
                <v:path arrowok="t"/>
                <v:fill type="solid"/>
              </v:shape>
            </v:group>
            <v:group style="position:absolute;left:4359;top:1165;width:10;height:20" coordorigin="4359,1165" coordsize="10,20">
              <v:shape style="position:absolute;left:4359;top:1165;width:10;height:20" coordorigin="4359,1165" coordsize="10,20" path="m4359,1184l4369,1184,4369,1165,4359,1165,4359,1184xe" filled="true" fillcolor="#000000" stroked="false">
                <v:path arrowok="t"/>
                <v:fill type="solid"/>
              </v:shape>
            </v:group>
            <v:group style="position:absolute;left:4359;top:1184;width:10;height:20" coordorigin="4359,1184" coordsize="10,20">
              <v:shape style="position:absolute;left:4359;top:1184;width:10;height:20" coordorigin="4359,1184" coordsize="10,20" path="m4359,1204l4369,1204,4369,1184,4359,1184,4359,1204xe" filled="true" fillcolor="#000000" stroked="false">
                <v:path arrowok="t"/>
                <v:fill type="solid"/>
              </v:shape>
            </v:group>
            <v:group style="position:absolute;left:4359;top:1204;width:10;height:20" coordorigin="4359,1204" coordsize="10,20">
              <v:shape style="position:absolute;left:4359;top:1204;width:10;height:20" coordorigin="4359,1204" coordsize="10,20" path="m4359,1223l4369,1223,4369,1204,4359,1204,4359,1223xe" filled="true" fillcolor="#000000" stroked="false">
                <v:path arrowok="t"/>
                <v:fill type="solid"/>
              </v:shape>
            </v:group>
            <v:group style="position:absolute;left:4359;top:1223;width:10;height:20" coordorigin="4359,1223" coordsize="10,20">
              <v:shape style="position:absolute;left:4359;top:1223;width:10;height:20" coordorigin="4359,1223" coordsize="10,20" path="m4359,1242l4369,1242,4369,1223,4359,1223,4359,1242xe" filled="true" fillcolor="#000000" stroked="false">
                <v:path arrowok="t"/>
                <v:fill type="solid"/>
              </v:shape>
            </v:group>
            <v:group style="position:absolute;left:4359;top:1242;width:10;height:20" coordorigin="4359,1242" coordsize="10,20">
              <v:shape style="position:absolute;left:4359;top:1242;width:10;height:20" coordorigin="4359,1242" coordsize="10,20" path="m4359,1261l4369,1261,4369,1242,4359,1242,4359,1261xe" filled="true" fillcolor="#000000" stroked="false">
                <v:path arrowok="t"/>
                <v:fill type="solid"/>
              </v:shape>
            </v:group>
            <v:group style="position:absolute;left:4359;top:1261;width:10;height:20" coordorigin="4359,1261" coordsize="10,20">
              <v:shape style="position:absolute;left:4359;top:1261;width:10;height:20" coordorigin="4359,1261" coordsize="10,20" path="m4359,1280l4369,1280,4369,1261,4359,1261,4359,1280xe" filled="true" fillcolor="#000000" stroked="false">
                <v:path arrowok="t"/>
                <v:fill type="solid"/>
              </v:shape>
            </v:group>
            <v:group style="position:absolute;left:5600;top:1088;width:10;height:20" coordorigin="5600,1088" coordsize="10,20">
              <v:shape style="position:absolute;left:5600;top:1088;width:10;height:20" coordorigin="5600,1088" coordsize="10,20" path="m5600,1108l5610,1108,5610,1088,5600,1088,5600,1108xe" filled="true" fillcolor="#000000" stroked="false">
                <v:path arrowok="t"/>
                <v:fill type="solid"/>
              </v:shape>
            </v:group>
            <v:group style="position:absolute;left:5600;top:1108;width:10;height:20" coordorigin="5600,1108" coordsize="10,20">
              <v:shape style="position:absolute;left:5600;top:1108;width:10;height:20" coordorigin="5600,1108" coordsize="10,20" path="m5600,1127l5610,1127,5610,1108,5600,1108,5600,1127xe" filled="true" fillcolor="#000000" stroked="false">
                <v:path arrowok="t"/>
                <v:fill type="solid"/>
              </v:shape>
            </v:group>
            <v:group style="position:absolute;left:5600;top:1127;width:10;height:20" coordorigin="5600,1127" coordsize="10,20">
              <v:shape style="position:absolute;left:5600;top:1127;width:10;height:20" coordorigin="5600,1127" coordsize="10,20" path="m5600,1146l5610,1146,5610,1127,5600,1127,5600,1146xe" filled="true" fillcolor="#000000" stroked="false">
                <v:path arrowok="t"/>
                <v:fill type="solid"/>
              </v:shape>
            </v:group>
            <v:group style="position:absolute;left:5600;top:1146;width:10;height:20" coordorigin="5600,1146" coordsize="10,20">
              <v:shape style="position:absolute;left:5600;top:1146;width:10;height:20" coordorigin="5600,1146" coordsize="10,20" path="m5600,1165l5610,1165,5610,1146,5600,1146,5600,1165xe" filled="true" fillcolor="#000000" stroked="false">
                <v:path arrowok="t"/>
                <v:fill type="solid"/>
              </v:shape>
            </v:group>
            <v:group style="position:absolute;left:5600;top:1165;width:10;height:20" coordorigin="5600,1165" coordsize="10,20">
              <v:shape style="position:absolute;left:5600;top:1165;width:10;height:20" coordorigin="5600,1165" coordsize="10,20" path="m5600,1184l5610,1184,5610,1165,5600,1165,5600,1184xe" filled="true" fillcolor="#000000" stroked="false">
                <v:path arrowok="t"/>
                <v:fill type="solid"/>
              </v:shape>
            </v:group>
            <v:group style="position:absolute;left:5600;top:1184;width:10;height:20" coordorigin="5600,1184" coordsize="10,20">
              <v:shape style="position:absolute;left:5600;top:1184;width:10;height:20" coordorigin="5600,1184" coordsize="10,20" path="m5600,1204l5610,1204,5610,1184,5600,1184,5600,1204xe" filled="true" fillcolor="#000000" stroked="false">
                <v:path arrowok="t"/>
                <v:fill type="solid"/>
              </v:shape>
            </v:group>
            <v:group style="position:absolute;left:5600;top:1204;width:10;height:20" coordorigin="5600,1204" coordsize="10,20">
              <v:shape style="position:absolute;left:5600;top:1204;width:10;height:20" coordorigin="5600,1204" coordsize="10,20" path="m5600,1223l5610,1223,5610,1204,5600,1204,5600,1223xe" filled="true" fillcolor="#000000" stroked="false">
                <v:path arrowok="t"/>
                <v:fill type="solid"/>
              </v:shape>
            </v:group>
            <v:group style="position:absolute;left:5600;top:1223;width:10;height:20" coordorigin="5600,1223" coordsize="10,20">
              <v:shape style="position:absolute;left:5600;top:1223;width:10;height:20" coordorigin="5600,1223" coordsize="10,20" path="m5600,1242l5610,1242,5610,1223,5600,1223,5600,1242xe" filled="true" fillcolor="#000000" stroked="false">
                <v:path arrowok="t"/>
                <v:fill type="solid"/>
              </v:shape>
            </v:group>
            <v:group style="position:absolute;left:5600;top:1242;width:10;height:20" coordorigin="5600,1242" coordsize="10,20">
              <v:shape style="position:absolute;left:5600;top:1242;width:10;height:20" coordorigin="5600,1242" coordsize="10,20" path="m5600,1261l5610,1261,5610,1242,5600,1242,5600,1261xe" filled="true" fillcolor="#000000" stroked="false">
                <v:path arrowok="t"/>
                <v:fill type="solid"/>
              </v:shape>
            </v:group>
            <v:group style="position:absolute;left:5600;top:1261;width:10;height:20" coordorigin="5600,1261" coordsize="10,20">
              <v:shape style="position:absolute;left:5600;top:1261;width:10;height:20" coordorigin="5600,1261" coordsize="10,20" path="m5600,1280l5610,1280,5610,1261,5600,1261,5600,1280xe" filled="true" fillcolor="#000000" stroked="false">
                <v:path arrowok="t"/>
                <v:fill type="solid"/>
              </v:shape>
            </v:group>
            <v:group style="position:absolute;left:5600;top:1280;width:10;height:20" coordorigin="5600,1280" coordsize="10,20">
              <v:shape style="position:absolute;left:5600;top:1280;width:10;height:20" coordorigin="5600,1280" coordsize="10,20" path="m5600,1300l5610,1300,5610,1280,5600,1280,5600,1300xe" filled="true" fillcolor="#000000" stroked="false">
                <v:path arrowok="t"/>
                <v:fill type="solid"/>
              </v:shape>
            </v:group>
            <v:group style="position:absolute;left:5600;top:1300;width:10;height:20" coordorigin="5600,1300" coordsize="10,20">
              <v:shape style="position:absolute;left:5600;top:1300;width:10;height:20" coordorigin="5600,1300" coordsize="10,20" path="m5600,1319l5610,1319,5610,1300,5600,1300,5600,1319xe" filled="true" fillcolor="#000000" stroked="false">
                <v:path arrowok="t"/>
                <v:fill type="solid"/>
              </v:shape>
            </v:group>
            <v:group style="position:absolute;left:5600;top:1319;width:10;height:20" coordorigin="5600,1319" coordsize="10,20">
              <v:shape style="position:absolute;left:5600;top:1319;width:10;height:20" coordorigin="5600,1319" coordsize="10,20" path="m5600,1338l5610,1338,5610,1319,5600,1319,5600,1338xe" filled="true" fillcolor="#000000" stroked="false">
                <v:path arrowok="t"/>
                <v:fill type="solid"/>
              </v:shape>
            </v:group>
            <v:group style="position:absolute;left:5600;top:1338;width:10;height:20" coordorigin="5600,1338" coordsize="10,20">
              <v:shape style="position:absolute;left:5600;top:1338;width:10;height:20" coordorigin="5600,1338" coordsize="10,20" path="m5600,1357l5610,1357,5610,1338,5600,1338,5600,1357xe" filled="true" fillcolor="#000000" stroked="false">
                <v:path arrowok="t"/>
                <v:fill type="solid"/>
              </v:shape>
            </v:group>
            <v:group style="position:absolute;left:5600;top:1364;width:10;height:2" coordorigin="5600,1364" coordsize="10,2">
              <v:shape style="position:absolute;left:5600;top:1364;width:10;height:2" coordorigin="5600,1364" coordsize="10,0" path="m5600,1364l5610,1364e" filled="false" stroked="true" strokeweight=".72pt" strokecolor="#000000">
                <v:path arrowok="t"/>
              </v:shape>
            </v:group>
            <v:group style="position:absolute;left:7019;top:1088;width:10;height:20" coordorigin="7019,1088" coordsize="10,20">
              <v:shape style="position:absolute;left:7019;top:1088;width:10;height:20" coordorigin="7019,1088" coordsize="10,20" path="m7019,1108l7029,1108,7029,1088,7019,1088,7019,1108xe" filled="true" fillcolor="#000000" stroked="false">
                <v:path arrowok="t"/>
                <v:fill type="solid"/>
              </v:shape>
            </v:group>
            <v:group style="position:absolute;left:7019;top:1108;width:10;height:20" coordorigin="7019,1108" coordsize="10,20">
              <v:shape style="position:absolute;left:7019;top:1108;width:10;height:20" coordorigin="7019,1108" coordsize="10,20" path="m7019,1127l7029,1127,7029,1108,7019,1108,7019,1127xe" filled="true" fillcolor="#000000" stroked="false">
                <v:path arrowok="t"/>
                <v:fill type="solid"/>
              </v:shape>
            </v:group>
            <v:group style="position:absolute;left:7019;top:1127;width:10;height:20" coordorigin="7019,1127" coordsize="10,20">
              <v:shape style="position:absolute;left:7019;top:1127;width:10;height:20" coordorigin="7019,1127" coordsize="10,20" path="m7019,1146l7029,1146,7029,1127,7019,1127,7019,1146xe" filled="true" fillcolor="#000000" stroked="false">
                <v:path arrowok="t"/>
                <v:fill type="solid"/>
              </v:shape>
            </v:group>
            <v:group style="position:absolute;left:7019;top:1146;width:10;height:20" coordorigin="7019,1146" coordsize="10,20">
              <v:shape style="position:absolute;left:7019;top:1146;width:10;height:20" coordorigin="7019,1146" coordsize="10,20" path="m7019,1165l7029,1165,7029,1146,7019,1146,7019,1165xe" filled="true" fillcolor="#000000" stroked="false">
                <v:path arrowok="t"/>
                <v:fill type="solid"/>
              </v:shape>
            </v:group>
            <v:group style="position:absolute;left:7019;top:1165;width:10;height:20" coordorigin="7019,1165" coordsize="10,20">
              <v:shape style="position:absolute;left:7019;top:1165;width:10;height:20" coordorigin="7019,1165" coordsize="10,20" path="m7019,1184l7029,1184,7029,1165,7019,1165,7019,1184xe" filled="true" fillcolor="#000000" stroked="false">
                <v:path arrowok="t"/>
                <v:fill type="solid"/>
              </v:shape>
            </v:group>
            <v:group style="position:absolute;left:7019;top:1184;width:10;height:20" coordorigin="7019,1184" coordsize="10,20">
              <v:shape style="position:absolute;left:7019;top:1184;width:10;height:20" coordorigin="7019,1184" coordsize="10,20" path="m7019,1204l7029,1204,7029,1184,7019,1184,7019,1204xe" filled="true" fillcolor="#000000" stroked="false">
                <v:path arrowok="t"/>
                <v:fill type="solid"/>
              </v:shape>
            </v:group>
            <v:group style="position:absolute;left:7019;top:1204;width:10;height:20" coordorigin="7019,1204" coordsize="10,20">
              <v:shape style="position:absolute;left:7019;top:1204;width:10;height:20" coordorigin="7019,1204" coordsize="10,20" path="m7019,1223l7029,1223,7029,1204,7019,1204,7019,1223xe" filled="true" fillcolor="#000000" stroked="false">
                <v:path arrowok="t"/>
                <v:fill type="solid"/>
              </v:shape>
            </v:group>
            <v:group style="position:absolute;left:7019;top:1223;width:10;height:20" coordorigin="7019,1223" coordsize="10,20">
              <v:shape style="position:absolute;left:7019;top:1223;width:10;height:20" coordorigin="7019,1223" coordsize="10,20" path="m7019,1242l7029,1242,7029,1223,7019,1223,7019,1242xe" filled="true" fillcolor="#000000" stroked="false">
                <v:path arrowok="t"/>
                <v:fill type="solid"/>
              </v:shape>
            </v:group>
            <v:group style="position:absolute;left:7019;top:1242;width:10;height:20" coordorigin="7019,1242" coordsize="10,20">
              <v:shape style="position:absolute;left:7019;top:1242;width:10;height:20" coordorigin="7019,1242" coordsize="10,20" path="m7019,1261l7029,1261,7029,1242,7019,1242,7019,1261xe" filled="true" fillcolor="#000000" stroked="false">
                <v:path arrowok="t"/>
                <v:fill type="solid"/>
              </v:shape>
            </v:group>
            <v:group style="position:absolute;left:7019;top:1261;width:10;height:20" coordorigin="7019,1261" coordsize="10,20">
              <v:shape style="position:absolute;left:7019;top:1261;width:10;height:20" coordorigin="7019,1261" coordsize="10,20" path="m7019,1280l7029,1280,7029,1261,7019,1261,7019,1280xe" filled="true" fillcolor="#000000" stroked="false">
                <v:path arrowok="t"/>
                <v:fill type="solid"/>
              </v:shape>
            </v:group>
            <v:group style="position:absolute;left:7019;top:1280;width:10;height:20" coordorigin="7019,1280" coordsize="10,20">
              <v:shape style="position:absolute;left:7019;top:1280;width:10;height:20" coordorigin="7019,1280" coordsize="10,20" path="m7019,1300l7029,1300,7029,1280,7019,1280,7019,1300xe" filled="true" fillcolor="#000000" stroked="false">
                <v:path arrowok="t"/>
                <v:fill type="solid"/>
              </v:shape>
            </v:group>
            <v:group style="position:absolute;left:7019;top:1300;width:10;height:20" coordorigin="7019,1300" coordsize="10,20">
              <v:shape style="position:absolute;left:7019;top:1300;width:10;height:20" coordorigin="7019,1300" coordsize="10,20" path="m7019,1319l7029,1319,7029,1300,7019,1300,7019,1319xe" filled="true" fillcolor="#000000" stroked="false">
                <v:path arrowok="t"/>
                <v:fill type="solid"/>
              </v:shape>
            </v:group>
            <v:group style="position:absolute;left:7019;top:1319;width:10;height:20" coordorigin="7019,1319" coordsize="10,20">
              <v:shape style="position:absolute;left:7019;top:1319;width:10;height:20" coordorigin="7019,1319" coordsize="10,20" path="m7019,1338l7029,1338,7029,1319,7019,1319,7019,1338xe" filled="true" fillcolor="#000000" stroked="false">
                <v:path arrowok="t"/>
                <v:fill type="solid"/>
              </v:shape>
            </v:group>
            <v:group style="position:absolute;left:7019;top:1338;width:10;height:20" coordorigin="7019,1338" coordsize="10,20">
              <v:shape style="position:absolute;left:7019;top:1338;width:10;height:20" coordorigin="7019,1338" coordsize="10,20" path="m7019,1357l7029,1357,7029,1338,7019,1338,7019,1357xe" filled="true" fillcolor="#000000" stroked="false">
                <v:path arrowok="t"/>
                <v:fill type="solid"/>
              </v:shape>
            </v:group>
            <v:group style="position:absolute;left:7019;top:1364;width:10;height:2" coordorigin="7019,1364" coordsize="10,2">
              <v:shape style="position:absolute;left:7019;top:1364;width:10;height:2" coordorigin="7019,1364" coordsize="10,0" path="m7019,1364l7029,1364e" filled="false" stroked="true" strokeweight=".72pt" strokecolor="#000000">
                <v:path arrowok="t"/>
              </v:shape>
            </v:group>
            <v:group style="position:absolute;left:8361;top:1088;width:10;height:20" coordorigin="8361,1088" coordsize="10,20">
              <v:shape style="position:absolute;left:8361;top:1088;width:10;height:20" coordorigin="8361,1088" coordsize="10,20" path="m8361,1108l8370,1108,8370,1088,8361,1088,8361,1108xe" filled="true" fillcolor="#000000" stroked="false">
                <v:path arrowok="t"/>
                <v:fill type="solid"/>
              </v:shape>
            </v:group>
            <v:group style="position:absolute;left:8361;top:1108;width:10;height:20" coordorigin="8361,1108" coordsize="10,20">
              <v:shape style="position:absolute;left:8361;top:1108;width:10;height:20" coordorigin="8361,1108" coordsize="10,20" path="m8361,1127l8370,1127,8370,1108,8361,1108,8361,1127xe" filled="true" fillcolor="#000000" stroked="false">
                <v:path arrowok="t"/>
                <v:fill type="solid"/>
              </v:shape>
            </v:group>
            <v:group style="position:absolute;left:8361;top:1127;width:10;height:20" coordorigin="8361,1127" coordsize="10,20">
              <v:shape style="position:absolute;left:8361;top:1127;width:10;height:20" coordorigin="8361,1127" coordsize="10,20" path="m8361,1146l8370,1146,8370,1127,8361,1127,8361,1146xe" filled="true" fillcolor="#000000" stroked="false">
                <v:path arrowok="t"/>
                <v:fill type="solid"/>
              </v:shape>
            </v:group>
            <v:group style="position:absolute;left:8361;top:1146;width:10;height:20" coordorigin="8361,1146" coordsize="10,20">
              <v:shape style="position:absolute;left:8361;top:1146;width:10;height:20" coordorigin="8361,1146" coordsize="10,20" path="m8361,1165l8370,1165,8370,1146,8361,1146,8361,1165xe" filled="true" fillcolor="#000000" stroked="false">
                <v:path arrowok="t"/>
                <v:fill type="solid"/>
              </v:shape>
            </v:group>
            <v:group style="position:absolute;left:8361;top:1165;width:10;height:20" coordorigin="8361,1165" coordsize="10,20">
              <v:shape style="position:absolute;left:8361;top:1165;width:10;height:20" coordorigin="8361,1165" coordsize="10,20" path="m8361,1184l8370,1184,8370,1165,8361,1165,8361,1184xe" filled="true" fillcolor="#000000" stroked="false">
                <v:path arrowok="t"/>
                <v:fill type="solid"/>
              </v:shape>
            </v:group>
            <v:group style="position:absolute;left:8361;top:1184;width:10;height:20" coordorigin="8361,1184" coordsize="10,20">
              <v:shape style="position:absolute;left:8361;top:1184;width:10;height:20" coordorigin="8361,1184" coordsize="10,20" path="m8361,1204l8370,1204,8370,1184,8361,1184,8361,1204xe" filled="true" fillcolor="#000000" stroked="false">
                <v:path arrowok="t"/>
                <v:fill type="solid"/>
              </v:shape>
            </v:group>
            <v:group style="position:absolute;left:8361;top:1204;width:10;height:20" coordorigin="8361,1204" coordsize="10,20">
              <v:shape style="position:absolute;left:8361;top:1204;width:10;height:20" coordorigin="8361,1204" coordsize="10,20" path="m8361,1223l8370,1223,8370,1204,8361,1204,8361,1223xe" filled="true" fillcolor="#000000" stroked="false">
                <v:path arrowok="t"/>
                <v:fill type="solid"/>
              </v:shape>
            </v:group>
            <v:group style="position:absolute;left:8361;top:1223;width:10;height:20" coordorigin="8361,1223" coordsize="10,20">
              <v:shape style="position:absolute;left:8361;top:1223;width:10;height:20" coordorigin="8361,1223" coordsize="10,20" path="m8361,1242l8370,1242,8370,1223,8361,1223,8361,1242xe" filled="true" fillcolor="#000000" stroked="false">
                <v:path arrowok="t"/>
                <v:fill type="solid"/>
              </v:shape>
            </v:group>
            <v:group style="position:absolute;left:8361;top:1242;width:10;height:20" coordorigin="8361,1242" coordsize="10,20">
              <v:shape style="position:absolute;left:8361;top:1242;width:10;height:20" coordorigin="8361,1242" coordsize="10,20" path="m8361,1261l8370,1261,8370,1242,8361,1242,8361,1261xe" filled="true" fillcolor="#000000" stroked="false">
                <v:path arrowok="t"/>
                <v:fill type="solid"/>
              </v:shape>
            </v:group>
            <v:group style="position:absolute;left:8361;top:1261;width:10;height:20" coordorigin="8361,1261" coordsize="10,20">
              <v:shape style="position:absolute;left:8361;top:1261;width:10;height:20" coordorigin="8361,1261" coordsize="10,20" path="m8361,1280l8370,1280,8370,1261,8361,1261,8361,1280xe" filled="true" fillcolor="#000000" stroked="false">
                <v:path arrowok="t"/>
                <v:fill type="solid"/>
              </v:shape>
            </v:group>
            <v:group style="position:absolute;left:8361;top:1280;width:10;height:20" coordorigin="8361,1280" coordsize="10,20">
              <v:shape style="position:absolute;left:8361;top:1280;width:10;height:20" coordorigin="8361,1280" coordsize="10,20" path="m8361,1300l8370,1300,8370,1280,8361,1280,8361,1300xe" filled="true" fillcolor="#000000" stroked="false">
                <v:path arrowok="t"/>
                <v:fill type="solid"/>
              </v:shape>
            </v:group>
            <v:group style="position:absolute;left:8361;top:1300;width:10;height:20" coordorigin="8361,1300" coordsize="10,20">
              <v:shape style="position:absolute;left:8361;top:1300;width:10;height:20" coordorigin="8361,1300" coordsize="10,20" path="m8361,1319l8370,1319,8370,1300,8361,1300,8361,1319xe" filled="true" fillcolor="#000000" stroked="false">
                <v:path arrowok="t"/>
                <v:fill type="solid"/>
              </v:shape>
            </v:group>
            <v:group style="position:absolute;left:8361;top:1319;width:10;height:20" coordorigin="8361,1319" coordsize="10,20">
              <v:shape style="position:absolute;left:8361;top:1319;width:10;height:20" coordorigin="8361,1319" coordsize="10,20" path="m8361,1338l8370,1338,8370,1319,8361,1319,8361,1338xe" filled="true" fillcolor="#000000" stroked="false">
                <v:path arrowok="t"/>
                <v:fill type="solid"/>
              </v:shape>
            </v:group>
            <v:group style="position:absolute;left:8361;top:1338;width:10;height:20" coordorigin="8361,1338" coordsize="10,20">
              <v:shape style="position:absolute;left:8361;top:1338;width:10;height:20" coordorigin="8361,1338" coordsize="10,20" path="m8361,1357l8370,1357,8370,1338,8361,1338,8361,1357xe" filled="true" fillcolor="#000000" stroked="false">
                <v:path arrowok="t"/>
                <v:fill type="solid"/>
              </v:shape>
            </v:group>
            <v:group style="position:absolute;left:8361;top:1364;width:10;height:2" coordorigin="8361,1364" coordsize="10,2">
              <v:shape style="position:absolute;left:8361;top:1364;width:10;height:2" coordorigin="8361,1364" coordsize="10,0" path="m8361,1364l8370,1364e" filled="false" stroked="true" strokeweight=".72pt" strokecolor="#000000">
                <v:path arrowok="t"/>
              </v:shape>
            </v:group>
            <v:group style="position:absolute;left:9237;top:1088;width:10;height:20" coordorigin="9237,1088" coordsize="10,20">
              <v:shape style="position:absolute;left:9237;top:1088;width:10;height:20" coordorigin="9237,1088" coordsize="10,20" path="m9237,1108l9247,1108,9247,1088,9237,1088,9237,1108xe" filled="true" fillcolor="#000000" stroked="false">
                <v:path arrowok="t"/>
                <v:fill type="solid"/>
              </v:shape>
            </v:group>
            <v:group style="position:absolute;left:9237;top:1108;width:10;height:20" coordorigin="9237,1108" coordsize="10,20">
              <v:shape style="position:absolute;left:9237;top:1108;width:10;height:20" coordorigin="9237,1108" coordsize="10,20" path="m9237,1127l9247,1127,9247,1108,9237,1108,9237,1127xe" filled="true" fillcolor="#000000" stroked="false">
                <v:path arrowok="t"/>
                <v:fill type="solid"/>
              </v:shape>
            </v:group>
            <v:group style="position:absolute;left:9237;top:1127;width:10;height:20" coordorigin="9237,1127" coordsize="10,20">
              <v:shape style="position:absolute;left:9237;top:1127;width:10;height:20" coordorigin="9237,1127" coordsize="10,20" path="m9237,1146l9247,1146,9247,1127,9237,1127,9237,1146xe" filled="true" fillcolor="#000000" stroked="false">
                <v:path arrowok="t"/>
                <v:fill type="solid"/>
              </v:shape>
            </v:group>
            <v:group style="position:absolute;left:9237;top:1146;width:10;height:20" coordorigin="9237,1146" coordsize="10,20">
              <v:shape style="position:absolute;left:9237;top:1146;width:10;height:20" coordorigin="9237,1146" coordsize="10,20" path="m9237,1165l9247,1165,9247,1146,9237,1146,9237,1165xe" filled="true" fillcolor="#000000" stroked="false">
                <v:path arrowok="t"/>
                <v:fill type="solid"/>
              </v:shape>
            </v:group>
            <v:group style="position:absolute;left:9237;top:1165;width:10;height:20" coordorigin="9237,1165" coordsize="10,20">
              <v:shape style="position:absolute;left:9237;top:1165;width:10;height:20" coordorigin="9237,1165" coordsize="10,20" path="m9237,1184l9247,1184,9247,1165,9237,1165,9237,1184xe" filled="true" fillcolor="#000000" stroked="false">
                <v:path arrowok="t"/>
                <v:fill type="solid"/>
              </v:shape>
            </v:group>
            <v:group style="position:absolute;left:9237;top:1184;width:10;height:20" coordorigin="9237,1184" coordsize="10,20">
              <v:shape style="position:absolute;left:9237;top:1184;width:10;height:20" coordorigin="9237,1184" coordsize="10,20" path="m9237,1204l9247,1204,9247,1184,9237,1184,9237,1204xe" filled="true" fillcolor="#000000" stroked="false">
                <v:path arrowok="t"/>
                <v:fill type="solid"/>
              </v:shape>
            </v:group>
            <v:group style="position:absolute;left:9237;top:1204;width:10;height:20" coordorigin="9237,1204" coordsize="10,20">
              <v:shape style="position:absolute;left:9237;top:1204;width:10;height:20" coordorigin="9237,1204" coordsize="10,20" path="m9237,1223l9247,1223,9247,1204,9237,1204,9237,1223xe" filled="true" fillcolor="#000000" stroked="false">
                <v:path arrowok="t"/>
                <v:fill type="solid"/>
              </v:shape>
            </v:group>
            <v:group style="position:absolute;left:9237;top:1223;width:10;height:20" coordorigin="9237,1223" coordsize="10,20">
              <v:shape style="position:absolute;left:9237;top:1223;width:10;height:20" coordorigin="9237,1223" coordsize="10,20" path="m9237,1242l9247,1242,9247,1223,9237,1223,9237,1242xe" filled="true" fillcolor="#000000" stroked="false">
                <v:path arrowok="t"/>
                <v:fill type="solid"/>
              </v:shape>
            </v:group>
            <v:group style="position:absolute;left:9237;top:1242;width:10;height:20" coordorigin="9237,1242" coordsize="10,20">
              <v:shape style="position:absolute;left:9237;top:1242;width:10;height:20" coordorigin="9237,1242" coordsize="10,20" path="m9237,1261l9247,1261,9247,1242,9237,1242,9237,1261xe" filled="true" fillcolor="#000000" stroked="false">
                <v:path arrowok="t"/>
                <v:fill type="solid"/>
              </v:shape>
            </v:group>
            <v:group style="position:absolute;left:9237;top:1261;width:10;height:20" coordorigin="9237,1261" coordsize="10,20">
              <v:shape style="position:absolute;left:9237;top:1261;width:10;height:20" coordorigin="9237,1261" coordsize="10,20" path="m9237,1280l9247,1280,9247,1261,9237,1261,9237,1280xe" filled="true" fillcolor="#000000" stroked="false">
                <v:path arrowok="t"/>
                <v:fill type="solid"/>
              </v:shape>
            </v:group>
            <v:group style="position:absolute;left:9237;top:1280;width:10;height:20" coordorigin="9237,1280" coordsize="10,20">
              <v:shape style="position:absolute;left:9237;top:1280;width:10;height:20" coordorigin="9237,1280" coordsize="10,20" path="m9237,1300l9247,1300,9247,1280,9237,1280,9237,1300xe" filled="true" fillcolor="#000000" stroked="false">
                <v:path arrowok="t"/>
                <v:fill type="solid"/>
              </v:shape>
            </v:group>
            <v:group style="position:absolute;left:9237;top:1300;width:10;height:20" coordorigin="9237,1300" coordsize="10,20">
              <v:shape style="position:absolute;left:9237;top:1300;width:10;height:20" coordorigin="9237,1300" coordsize="10,20" path="m9237,1319l9247,1319,9247,1300,9237,1300,9237,1319xe" filled="true" fillcolor="#000000" stroked="false">
                <v:path arrowok="t"/>
                <v:fill type="solid"/>
              </v:shape>
            </v:group>
            <v:group style="position:absolute;left:9237;top:1319;width:10;height:20" coordorigin="9237,1319" coordsize="10,20">
              <v:shape style="position:absolute;left:9237;top:1319;width:10;height:20" coordorigin="9237,1319" coordsize="10,20" path="m9237,1338l9247,1338,9247,1319,9237,1319,9237,1338xe" filled="true" fillcolor="#000000" stroked="false">
                <v:path arrowok="t"/>
                <v:fill type="solid"/>
              </v:shape>
            </v:group>
            <v:group style="position:absolute;left:9237;top:1338;width:10;height:20" coordorigin="9237,1338" coordsize="10,20">
              <v:shape style="position:absolute;left:9237;top:1338;width:10;height:20" coordorigin="9237,1338" coordsize="10,20" path="m9237,1357l9247,1357,9247,1338,9237,1338,9237,1357xe" filled="true" fillcolor="#000000" stroked="false">
                <v:path arrowok="t"/>
                <v:fill type="solid"/>
              </v:shape>
            </v:group>
            <v:group style="position:absolute;left:9237;top:1364;width:10;height:2" coordorigin="9237,1364" coordsize="10,2">
              <v:shape style="position:absolute;left:9237;top:1364;width:10;height:2" coordorigin="9237,1364" coordsize="10,0" path="m9237,1364l9247,1364e" filled="false" stroked="true" strokeweight=".72pt" strokecolor="#000000">
                <v:path arrowok="t"/>
              </v:shape>
              <v:shape style="position:absolute;left:1558;top:1280;width:2821;height:101" type="#_x0000_t75" stroked="false">
                <v:imagedata r:id="rId118" o:title=""/>
              </v:shape>
              <v:shape style="position:absolute;left:4355;top:1372;width:1246;height:10" type="#_x0000_t75" stroked="false">
                <v:imagedata r:id="rId119" o:title=""/>
              </v:shape>
              <v:shape style="position:absolute;left:5595;top:1372;width:2765;height:10" type="#_x0000_t75" stroked="false">
                <v:imagedata r:id="rId120" o:title=""/>
              </v:shape>
              <v:shape style="position:absolute;left:8356;top:1372;width:881;height:10" type="#_x0000_t75" stroked="false">
                <v:imagedata r:id="rId121" o:title=""/>
              </v:shape>
              <v:shape style="position:absolute;left:9232;top:1372;width:1639;height:10" type="#_x0000_t75" stroked="false">
                <v:imagedata r:id="rId122" o:title=""/>
              </v:shape>
            </v:group>
            <v:group style="position:absolute;left:4359;top:1381;width:10;height:20" coordorigin="4359,1381" coordsize="10,20">
              <v:shape style="position:absolute;left:4359;top:1381;width:10;height:20" coordorigin="4359,1381" coordsize="10,20" path="m4359,1400l4369,1400,4369,1381,4359,1381,4359,1400xe" filled="true" fillcolor="#000000" stroked="false">
                <v:path arrowok="t"/>
                <v:fill type="solid"/>
              </v:shape>
            </v:group>
            <v:group style="position:absolute;left:4359;top:1400;width:10;height:20" coordorigin="4359,1400" coordsize="10,20">
              <v:shape style="position:absolute;left:4359;top:1400;width:10;height:20" coordorigin="4359,1400" coordsize="10,20" path="m4359,1420l4369,1420,4369,1400,4359,1400,4359,1420xe" filled="true" fillcolor="#000000" stroked="false">
                <v:path arrowok="t"/>
                <v:fill type="solid"/>
              </v:shape>
            </v:group>
            <v:group style="position:absolute;left:4359;top:1420;width:10;height:20" coordorigin="4359,1420" coordsize="10,20">
              <v:shape style="position:absolute;left:4359;top:1420;width:10;height:20" coordorigin="4359,1420" coordsize="10,20" path="m4359,1439l4369,1439,4369,1420,4359,1420,4359,1439xe" filled="true" fillcolor="#000000" stroked="false">
                <v:path arrowok="t"/>
                <v:fill type="solid"/>
              </v:shape>
            </v:group>
            <v:group style="position:absolute;left:4359;top:1439;width:10;height:20" coordorigin="4359,1439" coordsize="10,20">
              <v:shape style="position:absolute;left:4359;top:1439;width:10;height:20" coordorigin="4359,1439" coordsize="10,20" path="m4359,1458l4369,1458,4369,1439,4359,1439,4359,1458xe" filled="true" fillcolor="#000000" stroked="false">
                <v:path arrowok="t"/>
                <v:fill type="solid"/>
              </v:shape>
            </v:group>
            <v:group style="position:absolute;left:4359;top:1458;width:10;height:20" coordorigin="4359,1458" coordsize="10,20">
              <v:shape style="position:absolute;left:4359;top:1458;width:10;height:20" coordorigin="4359,1458" coordsize="10,20" path="m4359,1477l4369,1477,4369,1458,4359,1458,4359,1477xe" filled="true" fillcolor="#000000" stroked="false">
                <v:path arrowok="t"/>
                <v:fill type="solid"/>
              </v:shape>
            </v:group>
            <v:group style="position:absolute;left:4359;top:1477;width:10;height:20" coordorigin="4359,1477" coordsize="10,20">
              <v:shape style="position:absolute;left:4359;top:1477;width:10;height:20" coordorigin="4359,1477" coordsize="10,20" path="m4359,1496l4369,1496,4369,1477,4359,1477,4359,1496xe" filled="true" fillcolor="#000000" stroked="false">
                <v:path arrowok="t"/>
                <v:fill type="solid"/>
              </v:shape>
            </v:group>
            <v:group style="position:absolute;left:4359;top:1496;width:10;height:20" coordorigin="4359,1496" coordsize="10,20">
              <v:shape style="position:absolute;left:4359;top:1496;width:10;height:20" coordorigin="4359,1496" coordsize="10,20" path="m4359,1516l4369,1516,4369,1496,4359,1496,4359,1516xe" filled="true" fillcolor="#000000" stroked="false">
                <v:path arrowok="t"/>
                <v:fill type="solid"/>
              </v:shape>
            </v:group>
            <v:group style="position:absolute;left:4359;top:1516;width:10;height:20" coordorigin="4359,1516" coordsize="10,20">
              <v:shape style="position:absolute;left:4359;top:1516;width:10;height:20" coordorigin="4359,1516" coordsize="10,20" path="m4359,1535l4369,1535,4369,1516,4359,1516,4359,1535xe" filled="true" fillcolor="#000000" stroked="false">
                <v:path arrowok="t"/>
                <v:fill type="solid"/>
              </v:shape>
            </v:group>
            <v:group style="position:absolute;left:4359;top:1535;width:10;height:20" coordorigin="4359,1535" coordsize="10,20">
              <v:shape style="position:absolute;left:4359;top:1535;width:10;height:20" coordorigin="4359,1535" coordsize="10,20" path="m4359,1554l4369,1554,4369,1535,4359,1535,4359,1554xe" filled="true" fillcolor="#000000" stroked="false">
                <v:path arrowok="t"/>
                <v:fill type="solid"/>
              </v:shape>
            </v:group>
            <v:group style="position:absolute;left:4359;top:1554;width:10;height:20" coordorigin="4359,1554" coordsize="10,20">
              <v:shape style="position:absolute;left:4359;top:1554;width:10;height:20" coordorigin="4359,1554" coordsize="10,20" path="m4359,1573l4369,1573,4369,1554,4359,1554,4359,1573xe" filled="true" fillcolor="#000000" stroked="false">
                <v:path arrowok="t"/>
                <v:fill type="solid"/>
              </v:shape>
            </v:group>
            <v:group style="position:absolute;left:4359;top:1573;width:10;height:20" coordorigin="4359,1573" coordsize="10,20">
              <v:shape style="position:absolute;left:4359;top:1573;width:10;height:20" coordorigin="4359,1573" coordsize="10,20" path="m4359,1592l4369,1592,4369,1573,4359,1573,4359,1592xe" filled="true" fillcolor="#000000" stroked="false">
                <v:path arrowok="t"/>
                <v:fill type="solid"/>
              </v:shape>
            </v:group>
            <v:group style="position:absolute;left:4359;top:1592;width:10;height:20" coordorigin="4359,1592" coordsize="10,20">
              <v:shape style="position:absolute;left:4359;top:1592;width:10;height:20" coordorigin="4359,1592" coordsize="10,20" path="m4359,1612l4369,1612,4369,1592,4359,1592,4359,1612xe" filled="true" fillcolor="#000000" stroked="false">
                <v:path arrowok="t"/>
                <v:fill type="solid"/>
              </v:shape>
            </v:group>
            <v:group style="position:absolute;left:4359;top:1614;width:10;height:2" coordorigin="4359,1614" coordsize="10,2">
              <v:shape style="position:absolute;left:4359;top:1614;width:10;height:2" coordorigin="4359,1614" coordsize="10,0" path="m4359,1614l4369,1614e" filled="false" stroked="true" strokeweight=".24002pt" strokecolor="#000000">
                <v:path arrowok="t"/>
              </v:shape>
            </v:group>
            <v:group style="position:absolute;left:5600;top:1381;width:10;height:20" coordorigin="5600,1381" coordsize="10,20">
              <v:shape style="position:absolute;left:5600;top:1381;width:10;height:20" coordorigin="5600,1381" coordsize="10,20" path="m5600,1400l5610,1400,5610,1381,5600,1381,5600,1400xe" filled="true" fillcolor="#000000" stroked="false">
                <v:path arrowok="t"/>
                <v:fill type="solid"/>
              </v:shape>
            </v:group>
            <v:group style="position:absolute;left:5600;top:1400;width:10;height:20" coordorigin="5600,1400" coordsize="10,20">
              <v:shape style="position:absolute;left:5600;top:1400;width:10;height:20" coordorigin="5600,1400" coordsize="10,20" path="m5600,1420l5610,1420,5610,1400,5600,1400,5600,1420xe" filled="true" fillcolor="#000000" stroked="false">
                <v:path arrowok="t"/>
                <v:fill type="solid"/>
              </v:shape>
            </v:group>
            <v:group style="position:absolute;left:5600;top:1420;width:10;height:20" coordorigin="5600,1420" coordsize="10,20">
              <v:shape style="position:absolute;left:5600;top:1420;width:10;height:20" coordorigin="5600,1420" coordsize="10,20" path="m5600,1439l5610,1439,5610,1420,5600,1420,5600,1439xe" filled="true" fillcolor="#000000" stroked="false">
                <v:path arrowok="t"/>
                <v:fill type="solid"/>
              </v:shape>
            </v:group>
            <v:group style="position:absolute;left:5600;top:1439;width:10;height:20" coordorigin="5600,1439" coordsize="10,20">
              <v:shape style="position:absolute;left:5600;top:1439;width:10;height:20" coordorigin="5600,1439" coordsize="10,20" path="m5600,1458l5610,1458,5610,1439,5600,1439,5600,1458xe" filled="true" fillcolor="#000000" stroked="false">
                <v:path arrowok="t"/>
                <v:fill type="solid"/>
              </v:shape>
            </v:group>
            <v:group style="position:absolute;left:5600;top:1458;width:10;height:20" coordorigin="5600,1458" coordsize="10,20">
              <v:shape style="position:absolute;left:5600;top:1458;width:10;height:20" coordorigin="5600,1458" coordsize="10,20" path="m5600,1477l5610,1477,5610,1458,5600,1458,5600,1477xe" filled="true" fillcolor="#000000" stroked="false">
                <v:path arrowok="t"/>
                <v:fill type="solid"/>
              </v:shape>
            </v:group>
            <v:group style="position:absolute;left:5600;top:1477;width:10;height:20" coordorigin="5600,1477" coordsize="10,20">
              <v:shape style="position:absolute;left:5600;top:1477;width:10;height:20" coordorigin="5600,1477" coordsize="10,20" path="m5600,1496l5610,1496,5610,1477,5600,1477,5600,1496xe" filled="true" fillcolor="#000000" stroked="false">
                <v:path arrowok="t"/>
                <v:fill type="solid"/>
              </v:shape>
            </v:group>
            <v:group style="position:absolute;left:5600;top:1496;width:10;height:20" coordorigin="5600,1496" coordsize="10,20">
              <v:shape style="position:absolute;left:5600;top:1496;width:10;height:20" coordorigin="5600,1496" coordsize="10,20" path="m5600,1516l5610,1516,5610,1496,5600,1496,5600,1516xe" filled="true" fillcolor="#000000" stroked="false">
                <v:path arrowok="t"/>
                <v:fill type="solid"/>
              </v:shape>
            </v:group>
            <v:group style="position:absolute;left:5600;top:1516;width:10;height:20" coordorigin="5600,1516" coordsize="10,20">
              <v:shape style="position:absolute;left:5600;top:1516;width:10;height:20" coordorigin="5600,1516" coordsize="10,20" path="m5600,1535l5610,1535,5610,1516,5600,1516,5600,1535xe" filled="true" fillcolor="#000000" stroked="false">
                <v:path arrowok="t"/>
                <v:fill type="solid"/>
              </v:shape>
            </v:group>
            <v:group style="position:absolute;left:5600;top:1535;width:10;height:20" coordorigin="5600,1535" coordsize="10,20">
              <v:shape style="position:absolute;left:5600;top:1535;width:10;height:20" coordorigin="5600,1535" coordsize="10,20" path="m5600,1554l5610,1554,5610,1535,5600,1535,5600,1554xe" filled="true" fillcolor="#000000" stroked="false">
                <v:path arrowok="t"/>
                <v:fill type="solid"/>
              </v:shape>
            </v:group>
            <v:group style="position:absolute;left:5600;top:1554;width:10;height:20" coordorigin="5600,1554" coordsize="10,20">
              <v:shape style="position:absolute;left:5600;top:1554;width:10;height:20" coordorigin="5600,1554" coordsize="10,20" path="m5600,1573l5610,1573,5610,1554,5600,1554,5600,1573xe" filled="true" fillcolor="#000000" stroked="false">
                <v:path arrowok="t"/>
                <v:fill type="solid"/>
              </v:shape>
            </v:group>
            <v:group style="position:absolute;left:5600;top:1573;width:10;height:20" coordorigin="5600,1573" coordsize="10,20">
              <v:shape style="position:absolute;left:5600;top:1573;width:10;height:20" coordorigin="5600,1573" coordsize="10,20" path="m5600,1592l5610,1592,5610,1573,5600,1573,5600,1592xe" filled="true" fillcolor="#000000" stroked="false">
                <v:path arrowok="t"/>
                <v:fill type="solid"/>
              </v:shape>
            </v:group>
            <v:group style="position:absolute;left:5600;top:1592;width:10;height:20" coordorigin="5600,1592" coordsize="10,20">
              <v:shape style="position:absolute;left:5600;top:1592;width:10;height:20" coordorigin="5600,1592" coordsize="10,20" path="m5600,1612l5610,1612,5610,1592,5600,1592,5600,1612xe" filled="true" fillcolor="#000000" stroked="false">
                <v:path arrowok="t"/>
                <v:fill type="solid"/>
              </v:shape>
            </v:group>
            <v:group style="position:absolute;left:5600;top:1614;width:10;height:2" coordorigin="5600,1614" coordsize="10,2">
              <v:shape style="position:absolute;left:5600;top:1614;width:10;height:2" coordorigin="5600,1614" coordsize="10,0" path="m5600,1614l5610,1614e" filled="false" stroked="true" strokeweight=".24002pt" strokecolor="#000000">
                <v:path arrowok="t"/>
              </v:shape>
            </v:group>
            <v:group style="position:absolute;left:7019;top:1381;width:10;height:20" coordorigin="7019,1381" coordsize="10,20">
              <v:shape style="position:absolute;left:7019;top:1381;width:10;height:20" coordorigin="7019,1381" coordsize="10,20" path="m7019,1400l7029,1400,7029,1381,7019,1381,7019,1400xe" filled="true" fillcolor="#000000" stroked="false">
                <v:path arrowok="t"/>
                <v:fill type="solid"/>
              </v:shape>
            </v:group>
            <v:group style="position:absolute;left:7019;top:1400;width:10;height:20" coordorigin="7019,1400" coordsize="10,20">
              <v:shape style="position:absolute;left:7019;top:1400;width:10;height:20" coordorigin="7019,1400" coordsize="10,20" path="m7019,1420l7029,1420,7029,1400,7019,1400,7019,1420xe" filled="true" fillcolor="#000000" stroked="false">
                <v:path arrowok="t"/>
                <v:fill type="solid"/>
              </v:shape>
            </v:group>
            <v:group style="position:absolute;left:7019;top:1420;width:10;height:20" coordorigin="7019,1420" coordsize="10,20">
              <v:shape style="position:absolute;left:7019;top:1420;width:10;height:20" coordorigin="7019,1420" coordsize="10,20" path="m7019,1439l7029,1439,7029,1420,7019,1420,7019,1439xe" filled="true" fillcolor="#000000" stroked="false">
                <v:path arrowok="t"/>
                <v:fill type="solid"/>
              </v:shape>
            </v:group>
            <v:group style="position:absolute;left:7019;top:1439;width:10;height:20" coordorigin="7019,1439" coordsize="10,20">
              <v:shape style="position:absolute;left:7019;top:1439;width:10;height:20" coordorigin="7019,1439" coordsize="10,20" path="m7019,1458l7029,1458,7029,1439,7019,1439,7019,1458xe" filled="true" fillcolor="#000000" stroked="false">
                <v:path arrowok="t"/>
                <v:fill type="solid"/>
              </v:shape>
            </v:group>
            <v:group style="position:absolute;left:7019;top:1458;width:10;height:20" coordorigin="7019,1458" coordsize="10,20">
              <v:shape style="position:absolute;left:7019;top:1458;width:10;height:20" coordorigin="7019,1458" coordsize="10,20" path="m7019,1477l7029,1477,7029,1458,7019,1458,7019,1477xe" filled="true" fillcolor="#000000" stroked="false">
                <v:path arrowok="t"/>
                <v:fill type="solid"/>
              </v:shape>
            </v:group>
            <v:group style="position:absolute;left:7019;top:1477;width:10;height:20" coordorigin="7019,1477" coordsize="10,20">
              <v:shape style="position:absolute;left:7019;top:1477;width:10;height:20" coordorigin="7019,1477" coordsize="10,20" path="m7019,1496l7029,1496,7029,1477,7019,1477,7019,1496xe" filled="true" fillcolor="#000000" stroked="false">
                <v:path arrowok="t"/>
                <v:fill type="solid"/>
              </v:shape>
            </v:group>
            <v:group style="position:absolute;left:7019;top:1496;width:10;height:20" coordorigin="7019,1496" coordsize="10,20">
              <v:shape style="position:absolute;left:7019;top:1496;width:10;height:20" coordorigin="7019,1496" coordsize="10,20" path="m7019,1516l7029,1516,7029,1496,7019,1496,7019,1516xe" filled="true" fillcolor="#000000" stroked="false">
                <v:path arrowok="t"/>
                <v:fill type="solid"/>
              </v:shape>
            </v:group>
            <v:group style="position:absolute;left:7019;top:1516;width:10;height:20" coordorigin="7019,1516" coordsize="10,20">
              <v:shape style="position:absolute;left:7019;top:1516;width:10;height:20" coordorigin="7019,1516" coordsize="10,20" path="m7019,1535l7029,1535,7029,1516,7019,1516,7019,1535xe" filled="true" fillcolor="#000000" stroked="false">
                <v:path arrowok="t"/>
                <v:fill type="solid"/>
              </v:shape>
            </v:group>
            <v:group style="position:absolute;left:7019;top:1535;width:10;height:20" coordorigin="7019,1535" coordsize="10,20">
              <v:shape style="position:absolute;left:7019;top:1535;width:10;height:20" coordorigin="7019,1535" coordsize="10,20" path="m7019,1554l7029,1554,7029,1535,7019,1535,7019,1554xe" filled="true" fillcolor="#000000" stroked="false">
                <v:path arrowok="t"/>
                <v:fill type="solid"/>
              </v:shape>
            </v:group>
            <v:group style="position:absolute;left:7019;top:1554;width:10;height:20" coordorigin="7019,1554" coordsize="10,20">
              <v:shape style="position:absolute;left:7019;top:1554;width:10;height:20" coordorigin="7019,1554" coordsize="10,20" path="m7019,1573l7029,1573,7029,1554,7019,1554,7019,1573xe" filled="true" fillcolor="#000000" stroked="false">
                <v:path arrowok="t"/>
                <v:fill type="solid"/>
              </v:shape>
            </v:group>
            <v:group style="position:absolute;left:7019;top:1573;width:10;height:20" coordorigin="7019,1573" coordsize="10,20">
              <v:shape style="position:absolute;left:7019;top:1573;width:10;height:20" coordorigin="7019,1573" coordsize="10,20" path="m7019,1592l7029,1592,7029,1573,7019,1573,7019,1592xe" filled="true" fillcolor="#000000" stroked="false">
                <v:path arrowok="t"/>
                <v:fill type="solid"/>
              </v:shape>
            </v:group>
            <v:group style="position:absolute;left:7019;top:1592;width:10;height:20" coordorigin="7019,1592" coordsize="10,20">
              <v:shape style="position:absolute;left:7019;top:1592;width:10;height:20" coordorigin="7019,1592" coordsize="10,20" path="m7019,1612l7029,1612,7029,1592,7019,1592,7019,1612xe" filled="true" fillcolor="#000000" stroked="false">
                <v:path arrowok="t"/>
                <v:fill type="solid"/>
              </v:shape>
            </v:group>
            <v:group style="position:absolute;left:7019;top:1614;width:10;height:2" coordorigin="7019,1614" coordsize="10,2">
              <v:shape style="position:absolute;left:7019;top:1614;width:10;height:2" coordorigin="7019,1614" coordsize="10,0" path="m7019,1614l7029,1614e" filled="false" stroked="true" strokeweight=".24002pt" strokecolor="#000000">
                <v:path arrowok="t"/>
              </v:shape>
            </v:group>
            <v:group style="position:absolute;left:8361;top:1381;width:10;height:20" coordorigin="8361,1381" coordsize="10,20">
              <v:shape style="position:absolute;left:8361;top:1381;width:10;height:20" coordorigin="8361,1381" coordsize="10,20" path="m8361,1400l8370,1400,8370,1381,8361,1381,8361,1400xe" filled="true" fillcolor="#000000" stroked="false">
                <v:path arrowok="t"/>
                <v:fill type="solid"/>
              </v:shape>
            </v:group>
            <v:group style="position:absolute;left:8361;top:1400;width:10;height:20" coordorigin="8361,1400" coordsize="10,20">
              <v:shape style="position:absolute;left:8361;top:1400;width:10;height:20" coordorigin="8361,1400" coordsize="10,20" path="m8361,1420l8370,1420,8370,1400,8361,1400,8361,1420xe" filled="true" fillcolor="#000000" stroked="false">
                <v:path arrowok="t"/>
                <v:fill type="solid"/>
              </v:shape>
            </v:group>
            <v:group style="position:absolute;left:8361;top:1420;width:10;height:20" coordorigin="8361,1420" coordsize="10,20">
              <v:shape style="position:absolute;left:8361;top:1420;width:10;height:20" coordorigin="8361,1420" coordsize="10,20" path="m8361,1439l8370,1439,8370,1420,8361,1420,8361,1439xe" filled="true" fillcolor="#000000" stroked="false">
                <v:path arrowok="t"/>
                <v:fill type="solid"/>
              </v:shape>
            </v:group>
            <v:group style="position:absolute;left:8361;top:1439;width:10;height:20" coordorigin="8361,1439" coordsize="10,20">
              <v:shape style="position:absolute;left:8361;top:1439;width:10;height:20" coordorigin="8361,1439" coordsize="10,20" path="m8361,1458l8370,1458,8370,1439,8361,1439,8361,1458xe" filled="true" fillcolor="#000000" stroked="false">
                <v:path arrowok="t"/>
                <v:fill type="solid"/>
              </v:shape>
            </v:group>
            <v:group style="position:absolute;left:8361;top:1458;width:10;height:20" coordorigin="8361,1458" coordsize="10,20">
              <v:shape style="position:absolute;left:8361;top:1458;width:10;height:20" coordorigin="8361,1458" coordsize="10,20" path="m8361,1477l8370,1477,8370,1458,8361,1458,8361,1477xe" filled="true" fillcolor="#000000" stroked="false">
                <v:path arrowok="t"/>
                <v:fill type="solid"/>
              </v:shape>
            </v:group>
            <v:group style="position:absolute;left:8361;top:1477;width:10;height:20" coordorigin="8361,1477" coordsize="10,20">
              <v:shape style="position:absolute;left:8361;top:1477;width:10;height:20" coordorigin="8361,1477" coordsize="10,20" path="m8361,1496l8370,1496,8370,1477,8361,1477,8361,1496xe" filled="true" fillcolor="#000000" stroked="false">
                <v:path arrowok="t"/>
                <v:fill type="solid"/>
              </v:shape>
            </v:group>
            <v:group style="position:absolute;left:8361;top:1496;width:10;height:20" coordorigin="8361,1496" coordsize="10,20">
              <v:shape style="position:absolute;left:8361;top:1496;width:10;height:20" coordorigin="8361,1496" coordsize="10,20" path="m8361,1516l8370,1516,8370,1496,8361,1496,8361,1516xe" filled="true" fillcolor="#000000" stroked="false">
                <v:path arrowok="t"/>
                <v:fill type="solid"/>
              </v:shape>
            </v:group>
            <v:group style="position:absolute;left:8361;top:1516;width:10;height:20" coordorigin="8361,1516" coordsize="10,20">
              <v:shape style="position:absolute;left:8361;top:1516;width:10;height:20" coordorigin="8361,1516" coordsize="10,20" path="m8361,1535l8370,1535,8370,1516,8361,1516,8361,1535xe" filled="true" fillcolor="#000000" stroked="false">
                <v:path arrowok="t"/>
                <v:fill type="solid"/>
              </v:shape>
            </v:group>
            <v:group style="position:absolute;left:8361;top:1535;width:10;height:20" coordorigin="8361,1535" coordsize="10,20">
              <v:shape style="position:absolute;left:8361;top:1535;width:10;height:20" coordorigin="8361,1535" coordsize="10,20" path="m8361,1554l8370,1554,8370,1535,8361,1535,8361,1554xe" filled="true" fillcolor="#000000" stroked="false">
                <v:path arrowok="t"/>
                <v:fill type="solid"/>
              </v:shape>
            </v:group>
            <v:group style="position:absolute;left:8361;top:1554;width:10;height:20" coordorigin="8361,1554" coordsize="10,20">
              <v:shape style="position:absolute;left:8361;top:1554;width:10;height:20" coordorigin="8361,1554" coordsize="10,20" path="m8361,1573l8370,1573,8370,1554,8361,1554,8361,1573xe" filled="true" fillcolor="#000000" stroked="false">
                <v:path arrowok="t"/>
                <v:fill type="solid"/>
              </v:shape>
            </v:group>
            <v:group style="position:absolute;left:8361;top:1573;width:10;height:20" coordorigin="8361,1573" coordsize="10,20">
              <v:shape style="position:absolute;left:8361;top:1573;width:10;height:20" coordorigin="8361,1573" coordsize="10,20" path="m8361,1592l8370,1592,8370,1573,8361,1573,8361,1592xe" filled="true" fillcolor="#000000" stroked="false">
                <v:path arrowok="t"/>
                <v:fill type="solid"/>
              </v:shape>
            </v:group>
            <v:group style="position:absolute;left:8361;top:1592;width:10;height:20" coordorigin="8361,1592" coordsize="10,20">
              <v:shape style="position:absolute;left:8361;top:1592;width:10;height:20" coordorigin="8361,1592" coordsize="10,20" path="m8361,1612l8370,1612,8370,1592,8361,1592,8361,1612xe" filled="true" fillcolor="#000000" stroked="false">
                <v:path arrowok="t"/>
                <v:fill type="solid"/>
              </v:shape>
            </v:group>
            <v:group style="position:absolute;left:8361;top:1614;width:10;height:2" coordorigin="8361,1614" coordsize="10,2">
              <v:shape style="position:absolute;left:8361;top:1614;width:10;height:2" coordorigin="8361,1614" coordsize="10,0" path="m8361,1614l8370,1614e" filled="false" stroked="true" strokeweight=".24002pt" strokecolor="#000000">
                <v:path arrowok="t"/>
              </v:shape>
            </v:group>
            <v:group style="position:absolute;left:9237;top:1381;width:10;height:20" coordorigin="9237,1381" coordsize="10,20">
              <v:shape style="position:absolute;left:9237;top:1381;width:10;height:20" coordorigin="9237,1381" coordsize="10,20" path="m9237,1400l9247,1400,9247,1381,9237,1381,9237,1400xe" filled="true" fillcolor="#000000" stroked="false">
                <v:path arrowok="t"/>
                <v:fill type="solid"/>
              </v:shape>
            </v:group>
            <v:group style="position:absolute;left:9237;top:1400;width:10;height:20" coordorigin="9237,1400" coordsize="10,20">
              <v:shape style="position:absolute;left:9237;top:1400;width:10;height:20" coordorigin="9237,1400" coordsize="10,20" path="m9237,1420l9247,1420,9247,1400,9237,1400,9237,1420xe" filled="true" fillcolor="#000000" stroked="false">
                <v:path arrowok="t"/>
                <v:fill type="solid"/>
              </v:shape>
            </v:group>
            <v:group style="position:absolute;left:9237;top:1420;width:10;height:20" coordorigin="9237,1420" coordsize="10,20">
              <v:shape style="position:absolute;left:9237;top:1420;width:10;height:20" coordorigin="9237,1420" coordsize="10,20" path="m9237,1439l9247,1439,9247,1420,9237,1420,9237,1439xe" filled="true" fillcolor="#000000" stroked="false">
                <v:path arrowok="t"/>
                <v:fill type="solid"/>
              </v:shape>
            </v:group>
            <v:group style="position:absolute;left:9237;top:1439;width:10;height:20" coordorigin="9237,1439" coordsize="10,20">
              <v:shape style="position:absolute;left:9237;top:1439;width:10;height:20" coordorigin="9237,1439" coordsize="10,20" path="m9237,1458l9247,1458,9247,1439,9237,1439,9237,1458xe" filled="true" fillcolor="#000000" stroked="false">
                <v:path arrowok="t"/>
                <v:fill type="solid"/>
              </v:shape>
            </v:group>
            <v:group style="position:absolute;left:9237;top:1458;width:10;height:20" coordorigin="9237,1458" coordsize="10,20">
              <v:shape style="position:absolute;left:9237;top:1458;width:10;height:20" coordorigin="9237,1458" coordsize="10,20" path="m9237,1477l9247,1477,9247,1458,9237,1458,9237,1477xe" filled="true" fillcolor="#000000" stroked="false">
                <v:path arrowok="t"/>
                <v:fill type="solid"/>
              </v:shape>
            </v:group>
            <v:group style="position:absolute;left:9237;top:1477;width:10;height:20" coordorigin="9237,1477" coordsize="10,20">
              <v:shape style="position:absolute;left:9237;top:1477;width:10;height:20" coordorigin="9237,1477" coordsize="10,20" path="m9237,1496l9247,1496,9247,1477,9237,1477,9237,1496xe" filled="true" fillcolor="#000000" stroked="false">
                <v:path arrowok="t"/>
                <v:fill type="solid"/>
              </v:shape>
            </v:group>
            <v:group style="position:absolute;left:9237;top:1496;width:10;height:20" coordorigin="9237,1496" coordsize="10,20">
              <v:shape style="position:absolute;left:9237;top:1496;width:10;height:20" coordorigin="9237,1496" coordsize="10,20" path="m9237,1516l9247,1516,9247,1496,9237,1496,9237,1516xe" filled="true" fillcolor="#000000" stroked="false">
                <v:path arrowok="t"/>
                <v:fill type="solid"/>
              </v:shape>
            </v:group>
            <v:group style="position:absolute;left:9237;top:1516;width:10;height:20" coordorigin="9237,1516" coordsize="10,20">
              <v:shape style="position:absolute;left:9237;top:1516;width:10;height:20" coordorigin="9237,1516" coordsize="10,20" path="m9237,1535l9247,1535,9247,1516,9237,1516,9237,1535xe" filled="true" fillcolor="#000000" stroked="false">
                <v:path arrowok="t"/>
                <v:fill type="solid"/>
              </v:shape>
            </v:group>
            <v:group style="position:absolute;left:9237;top:1535;width:10;height:20" coordorigin="9237,1535" coordsize="10,20">
              <v:shape style="position:absolute;left:9237;top:1535;width:10;height:20" coordorigin="9237,1535" coordsize="10,20" path="m9237,1554l9247,1554,9247,1535,9237,1535,9237,1554xe" filled="true" fillcolor="#000000" stroked="false">
                <v:path arrowok="t"/>
                <v:fill type="solid"/>
              </v:shape>
            </v:group>
            <v:group style="position:absolute;left:9237;top:1554;width:10;height:20" coordorigin="9237,1554" coordsize="10,20">
              <v:shape style="position:absolute;left:9237;top:1554;width:10;height:20" coordorigin="9237,1554" coordsize="10,20" path="m9237,1573l9247,1573,9247,1554,9237,1554,9237,1573xe" filled="true" fillcolor="#000000" stroked="false">
                <v:path arrowok="t"/>
                <v:fill type="solid"/>
              </v:shape>
            </v:group>
            <v:group style="position:absolute;left:9237;top:1573;width:10;height:20" coordorigin="9237,1573" coordsize="10,20">
              <v:shape style="position:absolute;left:9237;top:1573;width:10;height:20" coordorigin="9237,1573" coordsize="10,20" path="m9237,1592l9247,1592,9247,1573,9237,1573,9237,1592xe" filled="true" fillcolor="#000000" stroked="false">
                <v:path arrowok="t"/>
                <v:fill type="solid"/>
              </v:shape>
            </v:group>
            <v:group style="position:absolute;left:9237;top:1592;width:10;height:20" coordorigin="9237,1592" coordsize="10,20">
              <v:shape style="position:absolute;left:9237;top:1592;width:10;height:20" coordorigin="9237,1592" coordsize="10,20" path="m9237,1612l9247,1612,9247,1592,9237,1592,9237,1612xe" filled="true" fillcolor="#000000" stroked="false">
                <v:path arrowok="t"/>
                <v:fill type="solid"/>
              </v:shape>
            </v:group>
            <v:group style="position:absolute;left:9237;top:1614;width:10;height:2" coordorigin="9237,1614" coordsize="10,2">
              <v:shape style="position:absolute;left:9237;top:1614;width:10;height:2" coordorigin="9237,1614" coordsize="10,0" path="m9237,1614l9247,1614e" filled="false" stroked="true" strokeweight=".24002pt" strokecolor="#000000">
                <v:path arrowok="t"/>
              </v:shape>
              <v:shape style="position:absolute;left:1558;top:1616;width:2801;height:10" type="#_x0000_t75" stroked="false">
                <v:imagedata r:id="rId123" o:title=""/>
              </v:shape>
              <v:shape style="position:absolute;left:4355;top:1616;width:1246;height:10" type="#_x0000_t75" stroked="false">
                <v:imagedata r:id="rId119" o:title=""/>
              </v:shape>
              <v:shape style="position:absolute;left:5595;top:1616;width:2765;height:10" type="#_x0000_t75" stroked="false">
                <v:imagedata r:id="rId120" o:title=""/>
              </v:shape>
              <v:shape style="position:absolute;left:8356;top:1616;width:881;height:10" type="#_x0000_t75" stroked="false">
                <v:imagedata r:id="rId121" o:title=""/>
              </v:shape>
              <v:shape style="position:absolute;left:9232;top:1616;width:1639;height:10" type="#_x0000_t75" stroked="false">
                <v:imagedata r:id="rId122" o:title=""/>
              </v:shape>
            </v:group>
            <v:group style="position:absolute;left:4359;top:1626;width:10;height:20" coordorigin="4359,1626" coordsize="10,20">
              <v:shape style="position:absolute;left:4359;top:1626;width:10;height:20" coordorigin="4359,1626" coordsize="10,20" path="m4359,1645l4369,1645,4369,1626,4359,1626,4359,1645xe" filled="true" fillcolor="#000000" stroked="false">
                <v:path arrowok="t"/>
                <v:fill type="solid"/>
              </v:shape>
            </v:group>
            <v:group style="position:absolute;left:4359;top:1645;width:10;height:20" coordorigin="4359,1645" coordsize="10,20">
              <v:shape style="position:absolute;left:4359;top:1645;width:10;height:20" coordorigin="4359,1645" coordsize="10,20" path="m4359,1664l4369,1664,4369,1645,4359,1645,4359,1664xe" filled="true" fillcolor="#000000" stroked="false">
                <v:path arrowok="t"/>
                <v:fill type="solid"/>
              </v:shape>
            </v:group>
            <v:group style="position:absolute;left:4359;top:1664;width:10;height:20" coordorigin="4359,1664" coordsize="10,20">
              <v:shape style="position:absolute;left:4359;top:1664;width:10;height:20" coordorigin="4359,1664" coordsize="10,20" path="m4359,1684l4369,1684,4369,1664,4359,1664,4359,1684xe" filled="true" fillcolor="#000000" stroked="false">
                <v:path arrowok="t"/>
                <v:fill type="solid"/>
              </v:shape>
            </v:group>
            <v:group style="position:absolute;left:4359;top:1684;width:10;height:20" coordorigin="4359,1684" coordsize="10,20">
              <v:shape style="position:absolute;left:4359;top:1684;width:10;height:20" coordorigin="4359,1684" coordsize="10,20" path="m4359,1703l4369,1703,4369,1684,4359,1684,4359,1703xe" filled="true" fillcolor="#000000" stroked="false">
                <v:path arrowok="t"/>
                <v:fill type="solid"/>
              </v:shape>
            </v:group>
            <v:group style="position:absolute;left:4359;top:1703;width:10;height:20" coordorigin="4359,1703" coordsize="10,20">
              <v:shape style="position:absolute;left:4359;top:1703;width:10;height:20" coordorigin="4359,1703" coordsize="10,20" path="m4359,1722l4369,1722,4369,1703,4359,1703,4359,1722xe" filled="true" fillcolor="#000000" stroked="false">
                <v:path arrowok="t"/>
                <v:fill type="solid"/>
              </v:shape>
            </v:group>
            <v:group style="position:absolute;left:4359;top:1722;width:10;height:20" coordorigin="4359,1722" coordsize="10,20">
              <v:shape style="position:absolute;left:4359;top:1722;width:10;height:20" coordorigin="4359,1722" coordsize="10,20" path="m4359,1741l4369,1741,4369,1722,4359,1722,4359,1741xe" filled="true" fillcolor="#000000" stroked="false">
                <v:path arrowok="t"/>
                <v:fill type="solid"/>
              </v:shape>
            </v:group>
            <v:group style="position:absolute;left:4359;top:1741;width:10;height:20" coordorigin="4359,1741" coordsize="10,20">
              <v:shape style="position:absolute;left:4359;top:1741;width:10;height:20" coordorigin="4359,1741" coordsize="10,20" path="m4359,1760l4369,1760,4369,1741,4359,1741,4359,1760xe" filled="true" fillcolor="#000000" stroked="false">
                <v:path arrowok="t"/>
                <v:fill type="solid"/>
              </v:shape>
            </v:group>
            <v:group style="position:absolute;left:5600;top:1626;width:10;height:20" coordorigin="5600,1626" coordsize="10,20">
              <v:shape style="position:absolute;left:5600;top:1626;width:10;height:20" coordorigin="5600,1626" coordsize="10,20" path="m5600,1645l5610,1645,5610,1626,5600,1626,5600,1645xe" filled="true" fillcolor="#000000" stroked="false">
                <v:path arrowok="t"/>
                <v:fill type="solid"/>
              </v:shape>
            </v:group>
            <v:group style="position:absolute;left:5600;top:1645;width:10;height:20" coordorigin="5600,1645" coordsize="10,20">
              <v:shape style="position:absolute;left:5600;top:1645;width:10;height:20" coordorigin="5600,1645" coordsize="10,20" path="m5600,1664l5610,1664,5610,1645,5600,1645,5600,1664xe" filled="true" fillcolor="#000000" stroked="false">
                <v:path arrowok="t"/>
                <v:fill type="solid"/>
              </v:shape>
            </v:group>
            <v:group style="position:absolute;left:5600;top:1664;width:10;height:20" coordorigin="5600,1664" coordsize="10,20">
              <v:shape style="position:absolute;left:5600;top:1664;width:10;height:20" coordorigin="5600,1664" coordsize="10,20" path="m5600,1684l5610,1684,5610,1664,5600,1664,5600,1684xe" filled="true" fillcolor="#000000" stroked="false">
                <v:path arrowok="t"/>
                <v:fill type="solid"/>
              </v:shape>
            </v:group>
            <v:group style="position:absolute;left:5600;top:1684;width:10;height:20" coordorigin="5600,1684" coordsize="10,20">
              <v:shape style="position:absolute;left:5600;top:1684;width:10;height:20" coordorigin="5600,1684" coordsize="10,20" path="m5600,1703l5610,1703,5610,1684,5600,1684,5600,1703xe" filled="true" fillcolor="#000000" stroked="false">
                <v:path arrowok="t"/>
                <v:fill type="solid"/>
              </v:shape>
            </v:group>
            <v:group style="position:absolute;left:5600;top:1703;width:10;height:20" coordorigin="5600,1703" coordsize="10,20">
              <v:shape style="position:absolute;left:5600;top:1703;width:10;height:20" coordorigin="5600,1703" coordsize="10,20" path="m5600,1722l5610,1722,5610,1703,5600,1703,5600,1722xe" filled="true" fillcolor="#000000" stroked="false">
                <v:path arrowok="t"/>
                <v:fill type="solid"/>
              </v:shape>
            </v:group>
            <v:group style="position:absolute;left:5600;top:1722;width:10;height:20" coordorigin="5600,1722" coordsize="10,20">
              <v:shape style="position:absolute;left:5600;top:1722;width:10;height:20" coordorigin="5600,1722" coordsize="10,20" path="m5600,1741l5610,1741,5610,1722,5600,1722,5600,1741xe" filled="true" fillcolor="#000000" stroked="false">
                <v:path arrowok="t"/>
                <v:fill type="solid"/>
              </v:shape>
            </v:group>
            <v:group style="position:absolute;left:5600;top:1741;width:10;height:20" coordorigin="5600,1741" coordsize="10,20">
              <v:shape style="position:absolute;left:5600;top:1741;width:10;height:20" coordorigin="5600,1741" coordsize="10,20" path="m5600,1760l5610,1760,5610,1741,5600,1741,5600,1760xe" filled="true" fillcolor="#000000" stroked="false">
                <v:path arrowok="t"/>
                <v:fill type="solid"/>
              </v:shape>
            </v:group>
            <v:group style="position:absolute;left:5600;top:1760;width:10;height:20" coordorigin="5600,1760" coordsize="10,20">
              <v:shape style="position:absolute;left:5600;top:1760;width:10;height:20" coordorigin="5600,1760" coordsize="10,20" path="m5600,1780l5610,1780,5610,1760,5600,1760,5600,1780xe" filled="true" fillcolor="#000000" stroked="false">
                <v:path arrowok="t"/>
                <v:fill type="solid"/>
              </v:shape>
            </v:group>
            <v:group style="position:absolute;left:5600;top:1780;width:10;height:20" coordorigin="5600,1780" coordsize="10,20">
              <v:shape style="position:absolute;left:5600;top:1780;width:10;height:20" coordorigin="5600,1780" coordsize="10,20" path="m5600,1799l5610,1799,5610,1780,5600,1780,5600,1799xe" filled="true" fillcolor="#000000" stroked="false">
                <v:path arrowok="t"/>
                <v:fill type="solid"/>
              </v:shape>
            </v:group>
            <v:group style="position:absolute;left:5600;top:1799;width:10;height:20" coordorigin="5600,1799" coordsize="10,20">
              <v:shape style="position:absolute;left:5600;top:1799;width:10;height:20" coordorigin="5600,1799" coordsize="10,20" path="m5600,1818l5610,1818,5610,1799,5600,1799,5600,1818xe" filled="true" fillcolor="#000000" stroked="false">
                <v:path arrowok="t"/>
                <v:fill type="solid"/>
              </v:shape>
            </v:group>
            <v:group style="position:absolute;left:5600;top:1818;width:10;height:20" coordorigin="5600,1818" coordsize="10,20">
              <v:shape style="position:absolute;left:5600;top:1818;width:10;height:20" coordorigin="5600,1818" coordsize="10,20" path="m5600,1837l5610,1837,5610,1818,5600,1818,5600,1837xe" filled="true" fillcolor="#000000" stroked="false">
                <v:path arrowok="t"/>
                <v:fill type="solid"/>
              </v:shape>
            </v:group>
            <v:group style="position:absolute;left:5600;top:1837;width:10;height:20" coordorigin="5600,1837" coordsize="10,20">
              <v:shape style="position:absolute;left:5600;top:1837;width:10;height:20" coordorigin="5600,1837" coordsize="10,20" path="m5600,1856l5610,1856,5610,1837,5600,1837,5600,1856xe" filled="true" fillcolor="#000000" stroked="false">
                <v:path arrowok="t"/>
                <v:fill type="solid"/>
              </v:shape>
            </v:group>
            <v:group style="position:absolute;left:7019;top:1626;width:10;height:20" coordorigin="7019,1626" coordsize="10,20">
              <v:shape style="position:absolute;left:7019;top:1626;width:10;height:20" coordorigin="7019,1626" coordsize="10,20" path="m7019,1645l7029,1645,7029,1626,7019,1626,7019,1645xe" filled="true" fillcolor="#000000" stroked="false">
                <v:path arrowok="t"/>
                <v:fill type="solid"/>
              </v:shape>
            </v:group>
            <v:group style="position:absolute;left:7019;top:1645;width:10;height:20" coordorigin="7019,1645" coordsize="10,20">
              <v:shape style="position:absolute;left:7019;top:1645;width:10;height:20" coordorigin="7019,1645" coordsize="10,20" path="m7019,1664l7029,1664,7029,1645,7019,1645,7019,1664xe" filled="true" fillcolor="#000000" stroked="false">
                <v:path arrowok="t"/>
                <v:fill type="solid"/>
              </v:shape>
            </v:group>
            <v:group style="position:absolute;left:7019;top:1664;width:10;height:20" coordorigin="7019,1664" coordsize="10,20">
              <v:shape style="position:absolute;left:7019;top:1664;width:10;height:20" coordorigin="7019,1664" coordsize="10,20" path="m7019,1684l7029,1684,7029,1664,7019,1664,7019,1684xe" filled="true" fillcolor="#000000" stroked="false">
                <v:path arrowok="t"/>
                <v:fill type="solid"/>
              </v:shape>
            </v:group>
            <v:group style="position:absolute;left:7019;top:1684;width:10;height:20" coordorigin="7019,1684" coordsize="10,20">
              <v:shape style="position:absolute;left:7019;top:1684;width:10;height:20" coordorigin="7019,1684" coordsize="10,20" path="m7019,1703l7029,1703,7029,1684,7019,1684,7019,1703xe" filled="true" fillcolor="#000000" stroked="false">
                <v:path arrowok="t"/>
                <v:fill type="solid"/>
              </v:shape>
            </v:group>
            <v:group style="position:absolute;left:7019;top:1703;width:10;height:20" coordorigin="7019,1703" coordsize="10,20">
              <v:shape style="position:absolute;left:7019;top:1703;width:10;height:20" coordorigin="7019,1703" coordsize="10,20" path="m7019,1722l7029,1722,7029,1703,7019,1703,7019,1722xe" filled="true" fillcolor="#000000" stroked="false">
                <v:path arrowok="t"/>
                <v:fill type="solid"/>
              </v:shape>
            </v:group>
            <v:group style="position:absolute;left:7019;top:1722;width:10;height:20" coordorigin="7019,1722" coordsize="10,20">
              <v:shape style="position:absolute;left:7019;top:1722;width:10;height:20" coordorigin="7019,1722" coordsize="10,20" path="m7019,1741l7029,1741,7029,1722,7019,1722,7019,1741xe" filled="true" fillcolor="#000000" stroked="false">
                <v:path arrowok="t"/>
                <v:fill type="solid"/>
              </v:shape>
            </v:group>
            <v:group style="position:absolute;left:7019;top:1741;width:10;height:20" coordorigin="7019,1741" coordsize="10,20">
              <v:shape style="position:absolute;left:7019;top:1741;width:10;height:20" coordorigin="7019,1741" coordsize="10,20" path="m7019,1760l7029,1760,7029,1741,7019,1741,7019,1760xe" filled="true" fillcolor="#000000" stroked="false">
                <v:path arrowok="t"/>
                <v:fill type="solid"/>
              </v:shape>
            </v:group>
            <v:group style="position:absolute;left:7019;top:1760;width:10;height:20" coordorigin="7019,1760" coordsize="10,20">
              <v:shape style="position:absolute;left:7019;top:1760;width:10;height:20" coordorigin="7019,1760" coordsize="10,20" path="m7019,1780l7029,1780,7029,1760,7019,1760,7019,1780xe" filled="true" fillcolor="#000000" stroked="false">
                <v:path arrowok="t"/>
                <v:fill type="solid"/>
              </v:shape>
            </v:group>
            <v:group style="position:absolute;left:7019;top:1780;width:10;height:20" coordorigin="7019,1780" coordsize="10,20">
              <v:shape style="position:absolute;left:7019;top:1780;width:10;height:20" coordorigin="7019,1780" coordsize="10,20" path="m7019,1799l7029,1799,7029,1780,7019,1780,7019,1799xe" filled="true" fillcolor="#000000" stroked="false">
                <v:path arrowok="t"/>
                <v:fill type="solid"/>
              </v:shape>
            </v:group>
            <v:group style="position:absolute;left:7019;top:1799;width:10;height:20" coordorigin="7019,1799" coordsize="10,20">
              <v:shape style="position:absolute;left:7019;top:1799;width:10;height:20" coordorigin="7019,1799" coordsize="10,20" path="m7019,1818l7029,1818,7029,1799,7019,1799,7019,1818xe" filled="true" fillcolor="#000000" stroked="false">
                <v:path arrowok="t"/>
                <v:fill type="solid"/>
              </v:shape>
            </v:group>
            <v:group style="position:absolute;left:7019;top:1818;width:10;height:20" coordorigin="7019,1818" coordsize="10,20">
              <v:shape style="position:absolute;left:7019;top:1818;width:10;height:20" coordorigin="7019,1818" coordsize="10,20" path="m7019,1837l7029,1837,7029,1818,7019,1818,7019,1837xe" filled="true" fillcolor="#000000" stroked="false">
                <v:path arrowok="t"/>
                <v:fill type="solid"/>
              </v:shape>
            </v:group>
            <v:group style="position:absolute;left:7019;top:1837;width:10;height:20" coordorigin="7019,1837" coordsize="10,20">
              <v:shape style="position:absolute;left:7019;top:1837;width:10;height:20" coordorigin="7019,1837" coordsize="10,20" path="m7019,1856l7029,1856,7029,1837,7019,1837,7019,1856xe" filled="true" fillcolor="#000000" stroked="false">
                <v:path arrowok="t"/>
                <v:fill type="solid"/>
              </v:shape>
            </v:group>
            <v:group style="position:absolute;left:8361;top:1626;width:10;height:20" coordorigin="8361,1626" coordsize="10,20">
              <v:shape style="position:absolute;left:8361;top:1626;width:10;height:20" coordorigin="8361,1626" coordsize="10,20" path="m8361,1645l8370,1645,8370,1626,8361,1626,8361,1645xe" filled="true" fillcolor="#000000" stroked="false">
                <v:path arrowok="t"/>
                <v:fill type="solid"/>
              </v:shape>
            </v:group>
            <v:group style="position:absolute;left:8361;top:1645;width:10;height:20" coordorigin="8361,1645" coordsize="10,20">
              <v:shape style="position:absolute;left:8361;top:1645;width:10;height:20" coordorigin="8361,1645" coordsize="10,20" path="m8361,1664l8370,1664,8370,1645,8361,1645,8361,1664xe" filled="true" fillcolor="#000000" stroked="false">
                <v:path arrowok="t"/>
                <v:fill type="solid"/>
              </v:shape>
            </v:group>
            <v:group style="position:absolute;left:8361;top:1664;width:10;height:20" coordorigin="8361,1664" coordsize="10,20">
              <v:shape style="position:absolute;left:8361;top:1664;width:10;height:20" coordorigin="8361,1664" coordsize="10,20" path="m8361,1684l8370,1684,8370,1664,8361,1664,8361,1684xe" filled="true" fillcolor="#000000" stroked="false">
                <v:path arrowok="t"/>
                <v:fill type="solid"/>
              </v:shape>
            </v:group>
            <v:group style="position:absolute;left:8361;top:1684;width:10;height:20" coordorigin="8361,1684" coordsize="10,20">
              <v:shape style="position:absolute;left:8361;top:1684;width:10;height:20" coordorigin="8361,1684" coordsize="10,20" path="m8361,1703l8370,1703,8370,1684,8361,1684,8361,1703xe" filled="true" fillcolor="#000000" stroked="false">
                <v:path arrowok="t"/>
                <v:fill type="solid"/>
              </v:shape>
            </v:group>
            <v:group style="position:absolute;left:8361;top:1703;width:10;height:20" coordorigin="8361,1703" coordsize="10,20">
              <v:shape style="position:absolute;left:8361;top:1703;width:10;height:20" coordorigin="8361,1703" coordsize="10,20" path="m8361,1722l8370,1722,8370,1703,8361,1703,8361,1722xe" filled="true" fillcolor="#000000" stroked="false">
                <v:path arrowok="t"/>
                <v:fill type="solid"/>
              </v:shape>
            </v:group>
            <v:group style="position:absolute;left:8361;top:1722;width:10;height:20" coordorigin="8361,1722" coordsize="10,20">
              <v:shape style="position:absolute;left:8361;top:1722;width:10;height:20" coordorigin="8361,1722" coordsize="10,20" path="m8361,1741l8370,1741,8370,1722,8361,1722,8361,1741xe" filled="true" fillcolor="#000000" stroked="false">
                <v:path arrowok="t"/>
                <v:fill type="solid"/>
              </v:shape>
            </v:group>
            <v:group style="position:absolute;left:8361;top:1741;width:10;height:20" coordorigin="8361,1741" coordsize="10,20">
              <v:shape style="position:absolute;left:8361;top:1741;width:10;height:20" coordorigin="8361,1741" coordsize="10,20" path="m8361,1760l8370,1760,8370,1741,8361,1741,8361,1760xe" filled="true" fillcolor="#000000" stroked="false">
                <v:path arrowok="t"/>
                <v:fill type="solid"/>
              </v:shape>
            </v:group>
            <v:group style="position:absolute;left:8361;top:1760;width:10;height:20" coordorigin="8361,1760" coordsize="10,20">
              <v:shape style="position:absolute;left:8361;top:1760;width:10;height:20" coordorigin="8361,1760" coordsize="10,20" path="m8361,1780l8370,1780,8370,1760,8361,1760,8361,1780xe" filled="true" fillcolor="#000000" stroked="false">
                <v:path arrowok="t"/>
                <v:fill type="solid"/>
              </v:shape>
            </v:group>
            <v:group style="position:absolute;left:8361;top:1780;width:10;height:20" coordorigin="8361,1780" coordsize="10,20">
              <v:shape style="position:absolute;left:8361;top:1780;width:10;height:20" coordorigin="8361,1780" coordsize="10,20" path="m8361,1799l8370,1799,8370,1780,8361,1780,8361,1799xe" filled="true" fillcolor="#000000" stroked="false">
                <v:path arrowok="t"/>
                <v:fill type="solid"/>
              </v:shape>
            </v:group>
            <v:group style="position:absolute;left:8361;top:1799;width:10;height:20" coordorigin="8361,1799" coordsize="10,20">
              <v:shape style="position:absolute;left:8361;top:1799;width:10;height:20" coordorigin="8361,1799" coordsize="10,20" path="m8361,1818l8370,1818,8370,1799,8361,1799,8361,1818xe" filled="true" fillcolor="#000000" stroked="false">
                <v:path arrowok="t"/>
                <v:fill type="solid"/>
              </v:shape>
            </v:group>
            <v:group style="position:absolute;left:8361;top:1818;width:10;height:20" coordorigin="8361,1818" coordsize="10,20">
              <v:shape style="position:absolute;left:8361;top:1818;width:10;height:20" coordorigin="8361,1818" coordsize="10,20" path="m8361,1837l8370,1837,8370,1818,8361,1818,8361,1837xe" filled="true" fillcolor="#000000" stroked="false">
                <v:path arrowok="t"/>
                <v:fill type="solid"/>
              </v:shape>
            </v:group>
            <v:group style="position:absolute;left:8361;top:1837;width:10;height:20" coordorigin="8361,1837" coordsize="10,20">
              <v:shape style="position:absolute;left:8361;top:1837;width:10;height:20" coordorigin="8361,1837" coordsize="10,20" path="m8361,1856l8370,1856,8370,1837,8361,1837,8361,1856xe" filled="true" fillcolor="#000000" stroked="false">
                <v:path arrowok="t"/>
                <v:fill type="solid"/>
              </v:shape>
            </v:group>
            <v:group style="position:absolute;left:9237;top:1626;width:10;height:20" coordorigin="9237,1626" coordsize="10,20">
              <v:shape style="position:absolute;left:9237;top:1626;width:10;height:20" coordorigin="9237,1626" coordsize="10,20" path="m9237,1645l9247,1645,9247,1626,9237,1626,9237,1645xe" filled="true" fillcolor="#000000" stroked="false">
                <v:path arrowok="t"/>
                <v:fill type="solid"/>
              </v:shape>
            </v:group>
            <v:group style="position:absolute;left:9237;top:1645;width:10;height:20" coordorigin="9237,1645" coordsize="10,20">
              <v:shape style="position:absolute;left:9237;top:1645;width:10;height:20" coordorigin="9237,1645" coordsize="10,20" path="m9237,1664l9247,1664,9247,1645,9237,1645,9237,1664xe" filled="true" fillcolor="#000000" stroked="false">
                <v:path arrowok="t"/>
                <v:fill type="solid"/>
              </v:shape>
            </v:group>
            <v:group style="position:absolute;left:9237;top:1664;width:10;height:20" coordorigin="9237,1664" coordsize="10,20">
              <v:shape style="position:absolute;left:9237;top:1664;width:10;height:20" coordorigin="9237,1664" coordsize="10,20" path="m9237,1684l9247,1684,9247,1664,9237,1664,9237,1684xe" filled="true" fillcolor="#000000" stroked="false">
                <v:path arrowok="t"/>
                <v:fill type="solid"/>
              </v:shape>
            </v:group>
            <v:group style="position:absolute;left:9237;top:1684;width:10;height:20" coordorigin="9237,1684" coordsize="10,20">
              <v:shape style="position:absolute;left:9237;top:1684;width:10;height:20" coordorigin="9237,1684" coordsize="10,20" path="m9237,1703l9247,1703,9247,1684,9237,1684,9237,1703xe" filled="true" fillcolor="#000000" stroked="false">
                <v:path arrowok="t"/>
                <v:fill type="solid"/>
              </v:shape>
            </v:group>
            <v:group style="position:absolute;left:9237;top:1703;width:10;height:20" coordorigin="9237,1703" coordsize="10,20">
              <v:shape style="position:absolute;left:9237;top:1703;width:10;height:20" coordorigin="9237,1703" coordsize="10,20" path="m9237,1722l9247,1722,9247,1703,9237,1703,9237,1722xe" filled="true" fillcolor="#000000" stroked="false">
                <v:path arrowok="t"/>
                <v:fill type="solid"/>
              </v:shape>
            </v:group>
            <v:group style="position:absolute;left:9237;top:1722;width:10;height:20" coordorigin="9237,1722" coordsize="10,20">
              <v:shape style="position:absolute;left:9237;top:1722;width:10;height:20" coordorigin="9237,1722" coordsize="10,20" path="m9237,1741l9247,1741,9247,1722,9237,1722,9237,1741xe" filled="true" fillcolor="#000000" stroked="false">
                <v:path arrowok="t"/>
                <v:fill type="solid"/>
              </v:shape>
            </v:group>
            <v:group style="position:absolute;left:9237;top:1741;width:10;height:20" coordorigin="9237,1741" coordsize="10,20">
              <v:shape style="position:absolute;left:9237;top:1741;width:10;height:20" coordorigin="9237,1741" coordsize="10,20" path="m9237,1760l9247,1760,9247,1741,9237,1741,9237,1760xe" filled="true" fillcolor="#000000" stroked="false">
                <v:path arrowok="t"/>
                <v:fill type="solid"/>
              </v:shape>
            </v:group>
            <v:group style="position:absolute;left:9237;top:1760;width:10;height:20" coordorigin="9237,1760" coordsize="10,20">
              <v:shape style="position:absolute;left:9237;top:1760;width:10;height:20" coordorigin="9237,1760" coordsize="10,20" path="m9237,1780l9247,1780,9247,1760,9237,1760,9237,1780xe" filled="true" fillcolor="#000000" stroked="false">
                <v:path arrowok="t"/>
                <v:fill type="solid"/>
              </v:shape>
            </v:group>
            <v:group style="position:absolute;left:9237;top:1780;width:10;height:20" coordorigin="9237,1780" coordsize="10,20">
              <v:shape style="position:absolute;left:9237;top:1780;width:10;height:20" coordorigin="9237,1780" coordsize="10,20" path="m9237,1799l9247,1799,9247,1780,9237,1780,9237,1799xe" filled="true" fillcolor="#000000" stroked="false">
                <v:path arrowok="t"/>
                <v:fill type="solid"/>
              </v:shape>
            </v:group>
            <v:group style="position:absolute;left:9237;top:1799;width:10;height:20" coordorigin="9237,1799" coordsize="10,20">
              <v:shape style="position:absolute;left:9237;top:1799;width:10;height:20" coordorigin="9237,1799" coordsize="10,20" path="m9237,1818l9247,1818,9247,1799,9237,1799,9237,1818xe" filled="true" fillcolor="#000000" stroked="false">
                <v:path arrowok="t"/>
                <v:fill type="solid"/>
              </v:shape>
            </v:group>
            <v:group style="position:absolute;left:9237;top:1818;width:10;height:20" coordorigin="9237,1818" coordsize="10,20">
              <v:shape style="position:absolute;left:9237;top:1818;width:10;height:20" coordorigin="9237,1818" coordsize="10,20" path="m9237,1837l9247,1837,9247,1818,9237,1818,9237,1837xe" filled="true" fillcolor="#000000" stroked="false">
                <v:path arrowok="t"/>
                <v:fill type="solid"/>
              </v:shape>
            </v:group>
            <v:group style="position:absolute;left:9237;top:1837;width:10;height:20" coordorigin="9237,1837" coordsize="10,20">
              <v:shape style="position:absolute;left:9237;top:1837;width:10;height:20" coordorigin="9237,1837" coordsize="10,20" path="m9237,1856l9247,1856,9247,1837,9237,1837,9237,1856xe" filled="true" fillcolor="#000000" stroked="false">
                <v:path arrowok="t"/>
                <v:fill type="solid"/>
              </v:shape>
              <v:shape style="position:absolute;left:1558;top:1760;width:2821;height:108" type="#_x0000_t75" stroked="false">
                <v:imagedata r:id="rId124" o:title=""/>
              </v:shape>
              <v:shape style="position:absolute;left:4355;top:1856;width:1255;height:12" type="#_x0000_t75" stroked="false">
                <v:imagedata r:id="rId125" o:title=""/>
              </v:shape>
              <v:shape style="position:absolute;left:5595;top:1856;width:1433;height:12" type="#_x0000_t75" stroked="false">
                <v:imagedata r:id="rId126" o:title=""/>
              </v:shape>
              <v:shape style="position:absolute;left:7014;top:1856;width:1356;height:12" type="#_x0000_t75" stroked="false">
                <v:imagedata r:id="rId127" o:title=""/>
              </v:shape>
              <v:shape style="position:absolute;left:8356;top:1856;width:891;height:12" type="#_x0000_t75" stroked="false">
                <v:imagedata r:id="rId128" o:title=""/>
              </v:shape>
              <v:shape style="position:absolute;left:9232;top:1859;width:1639;height:10" type="#_x0000_t75" stroked="false">
                <v:imagedata r:id="rId122" o:title=""/>
              </v:shape>
            </v:group>
            <v:group style="position:absolute;left:5600;top:1868;width:10;height:20" coordorigin="5600,1868" coordsize="10,20">
              <v:shape style="position:absolute;left:5600;top:1868;width:10;height:20" coordorigin="5600,1868" coordsize="10,20" path="m5600,1888l5610,1888,5610,1868,5600,1868,5600,1888xe" filled="true" fillcolor="#000000" stroked="false">
                <v:path arrowok="t"/>
                <v:fill type="solid"/>
              </v:shape>
            </v:group>
            <v:group style="position:absolute;left:5600;top:1888;width:10;height:20" coordorigin="5600,1888" coordsize="10,20">
              <v:shape style="position:absolute;left:5600;top:1888;width:10;height:20" coordorigin="5600,1888" coordsize="10,20" path="m5600,1907l5610,1907,5610,1888,5600,1888,5600,1907xe" filled="true" fillcolor="#000000" stroked="false">
                <v:path arrowok="t"/>
                <v:fill type="solid"/>
              </v:shape>
            </v:group>
            <v:group style="position:absolute;left:5600;top:1907;width:10;height:20" coordorigin="5600,1907" coordsize="10,20">
              <v:shape style="position:absolute;left:5600;top:1907;width:10;height:20" coordorigin="5600,1907" coordsize="10,20" path="m5600,1926l5610,1926,5610,1907,5600,1907,5600,1926xe" filled="true" fillcolor="#000000" stroked="false">
                <v:path arrowok="t"/>
                <v:fill type="solid"/>
              </v:shape>
            </v:group>
            <v:group style="position:absolute;left:5600;top:1926;width:10;height:20" coordorigin="5600,1926" coordsize="10,20">
              <v:shape style="position:absolute;left:5600;top:1926;width:10;height:20" coordorigin="5600,1926" coordsize="10,20" path="m5600,1945l5610,1945,5610,1926,5600,1926,5600,1945xe" filled="true" fillcolor="#000000" stroked="false">
                <v:path arrowok="t"/>
                <v:fill type="solid"/>
              </v:shape>
            </v:group>
            <v:group style="position:absolute;left:5600;top:1945;width:10;height:20" coordorigin="5600,1945" coordsize="10,20">
              <v:shape style="position:absolute;left:5600;top:1945;width:10;height:20" coordorigin="5600,1945" coordsize="10,20" path="m5600,1964l5610,1964,5610,1945,5600,1945,5600,1964xe" filled="true" fillcolor="#000000" stroked="false">
                <v:path arrowok="t"/>
                <v:fill type="solid"/>
              </v:shape>
            </v:group>
            <v:group style="position:absolute;left:5600;top:1964;width:10;height:20" coordorigin="5600,1964" coordsize="10,20">
              <v:shape style="position:absolute;left:5600;top:1964;width:10;height:20" coordorigin="5600,1964" coordsize="10,20" path="m5600,1984l5610,1984,5610,1964,5600,1964,5600,1984xe" filled="true" fillcolor="#000000" stroked="false">
                <v:path arrowok="t"/>
                <v:fill type="solid"/>
              </v:shape>
            </v:group>
            <v:group style="position:absolute;left:5600;top:1984;width:10;height:20" coordorigin="5600,1984" coordsize="10,20">
              <v:shape style="position:absolute;left:5600;top:1984;width:10;height:20" coordorigin="5600,1984" coordsize="10,20" path="m5600,2003l5610,2003,5610,1984,5600,1984,5600,2003xe" filled="true" fillcolor="#000000" stroked="false">
                <v:path arrowok="t"/>
                <v:fill type="solid"/>
              </v:shape>
            </v:group>
            <v:group style="position:absolute;left:5600;top:2003;width:10;height:20" coordorigin="5600,2003" coordsize="10,20">
              <v:shape style="position:absolute;left:5600;top:2003;width:10;height:20" coordorigin="5600,2003" coordsize="10,20" path="m5600,2022l5610,2022,5610,2003,5600,2003,5600,2022xe" filled="true" fillcolor="#000000" stroked="false">
                <v:path arrowok="t"/>
                <v:fill type="solid"/>
              </v:shape>
            </v:group>
            <v:group style="position:absolute;left:5600;top:2022;width:10;height:20" coordorigin="5600,2022" coordsize="10,20">
              <v:shape style="position:absolute;left:5600;top:2022;width:10;height:20" coordorigin="5600,2022" coordsize="10,20" path="m5600,2041l5610,2041,5610,2022,5600,2022,5600,2041xe" filled="true" fillcolor="#000000" stroked="false">
                <v:path arrowok="t"/>
                <v:fill type="solid"/>
              </v:shape>
            </v:group>
            <v:group style="position:absolute;left:5600;top:2041;width:10;height:20" coordorigin="5600,2041" coordsize="10,20">
              <v:shape style="position:absolute;left:5600;top:2041;width:10;height:20" coordorigin="5600,2041" coordsize="10,20" path="m5600,2060l5610,2060,5610,2041,5600,2041,5600,2060xe" filled="true" fillcolor="#000000" stroked="false">
                <v:path arrowok="t"/>
                <v:fill type="solid"/>
              </v:shape>
            </v:group>
            <v:group style="position:absolute;left:5600;top:2060;width:10;height:20" coordorigin="5600,2060" coordsize="10,20">
              <v:shape style="position:absolute;left:5600;top:2060;width:10;height:20" coordorigin="5600,2060" coordsize="10,20" path="m5600,2080l5610,2080,5610,2060,5600,2060,5600,2080xe" filled="true" fillcolor="#000000" stroked="false">
                <v:path arrowok="t"/>
                <v:fill type="solid"/>
              </v:shape>
            </v:group>
            <v:group style="position:absolute;left:5600;top:2080;width:10;height:20" coordorigin="5600,2080" coordsize="10,20">
              <v:shape style="position:absolute;left:5600;top:2080;width:10;height:20" coordorigin="5600,2080" coordsize="10,20" path="m5600,2099l5610,2099,5610,2080,5600,2080,5600,2099xe" filled="true" fillcolor="#000000" stroked="false">
                <v:path arrowok="t"/>
                <v:fill type="solid"/>
              </v:shape>
            </v:group>
            <v:group style="position:absolute;left:5600;top:2099;width:10;height:20" coordorigin="5600,2099" coordsize="10,20">
              <v:shape style="position:absolute;left:5600;top:2099;width:10;height:20" coordorigin="5600,2099" coordsize="10,20" path="m5600,2118l5610,2118,5610,2099,5600,2099,5600,2118xe" filled="true" fillcolor="#000000" stroked="false">
                <v:path arrowok="t"/>
                <v:fill type="solid"/>
              </v:shape>
            </v:group>
            <v:group style="position:absolute;left:5600;top:2118;width:10;height:20" coordorigin="5600,2118" coordsize="10,20">
              <v:shape style="position:absolute;left:5600;top:2118;width:10;height:20" coordorigin="5600,2118" coordsize="10,20" path="m5600,2137l5610,2137,5610,2118,5600,2118,5600,2137xe" filled="true" fillcolor="#000000" stroked="false">
                <v:path arrowok="t"/>
                <v:fill type="solid"/>
              </v:shape>
            </v:group>
            <v:group style="position:absolute;left:5600;top:2137;width:10;height:20" coordorigin="5600,2137" coordsize="10,20">
              <v:shape style="position:absolute;left:5600;top:2137;width:10;height:20" coordorigin="5600,2137" coordsize="10,20" path="m5600,2156l5610,2156,5610,2137,5600,2137,5600,2156xe" filled="true" fillcolor="#000000" stroked="false">
                <v:path arrowok="t"/>
                <v:fill type="solid"/>
              </v:shape>
            </v:group>
            <v:group style="position:absolute;left:5600;top:2156;width:10;height:20" coordorigin="5600,2156" coordsize="10,20">
              <v:shape style="position:absolute;left:5600;top:2156;width:10;height:20" coordorigin="5600,2156" coordsize="10,20" path="m5600,2176l5610,2176,5610,2156,5600,2156,5600,2176xe" filled="true" fillcolor="#000000" stroked="false">
                <v:path arrowok="t"/>
                <v:fill type="solid"/>
              </v:shape>
            </v:group>
            <v:group style="position:absolute;left:5600;top:2176;width:10;height:20" coordorigin="5600,2176" coordsize="10,20">
              <v:shape style="position:absolute;left:5600;top:2176;width:10;height:20" coordorigin="5600,2176" coordsize="10,20" path="m5600,2195l5610,2195,5610,2176,5600,2176,5600,2195xe" filled="true" fillcolor="#000000" stroked="false">
                <v:path arrowok="t"/>
                <v:fill type="solid"/>
              </v:shape>
            </v:group>
            <v:group style="position:absolute;left:5600;top:2195;width:10;height:20" coordorigin="5600,2195" coordsize="10,20">
              <v:shape style="position:absolute;left:5600;top:2195;width:10;height:20" coordorigin="5600,2195" coordsize="10,20" path="m5600,2214l5610,2214,5610,2195,5600,2195,5600,2214xe" filled="true" fillcolor="#000000" stroked="false">
                <v:path arrowok="t"/>
                <v:fill type="solid"/>
              </v:shape>
            </v:group>
            <v:group style="position:absolute;left:5600;top:2214;width:10;height:20" coordorigin="5600,2214" coordsize="10,20">
              <v:shape style="position:absolute;left:5600;top:2214;width:10;height:20" coordorigin="5600,2214" coordsize="10,20" path="m5600,2233l5610,2233,5610,2214,5600,2214,5600,2233xe" filled="true" fillcolor="#000000" stroked="false">
                <v:path arrowok="t"/>
                <v:fill type="solid"/>
              </v:shape>
            </v:group>
            <v:group style="position:absolute;left:5600;top:2233;width:10;height:20" coordorigin="5600,2233" coordsize="10,20">
              <v:shape style="position:absolute;left:5600;top:2233;width:10;height:20" coordorigin="5600,2233" coordsize="10,20" path="m5600,2252l5610,2252,5610,2233,5600,2233,5600,2252xe" filled="true" fillcolor="#000000" stroked="false">
                <v:path arrowok="t"/>
                <v:fill type="solid"/>
              </v:shape>
            </v:group>
            <v:group style="position:absolute;left:5600;top:2252;width:10;height:20" coordorigin="5600,2252" coordsize="10,20">
              <v:shape style="position:absolute;left:5600;top:2252;width:10;height:20" coordorigin="5600,2252" coordsize="10,20" path="m5600,2272l5610,2272,5610,2252,5600,2252,5600,2272xe" filled="true" fillcolor="#000000" stroked="false">
                <v:path arrowok="t"/>
                <v:fill type="solid"/>
              </v:shape>
            </v:group>
            <v:group style="position:absolute;left:5600;top:2272;width:10;height:20" coordorigin="5600,2272" coordsize="10,20">
              <v:shape style="position:absolute;left:5600;top:2272;width:10;height:20" coordorigin="5600,2272" coordsize="10,20" path="m5600,2291l5610,2291,5610,2272,5600,2272,5600,2291xe" filled="true" fillcolor="#000000" stroked="false">
                <v:path arrowok="t"/>
                <v:fill type="solid"/>
              </v:shape>
            </v:group>
            <v:group style="position:absolute;left:5600;top:2291;width:10;height:20" coordorigin="5600,2291" coordsize="10,20">
              <v:shape style="position:absolute;left:5600;top:2291;width:10;height:20" coordorigin="5600,2291" coordsize="10,20" path="m5600,2310l5610,2310,5610,2291,5600,2291,5600,2310xe" filled="true" fillcolor="#000000" stroked="false">
                <v:path arrowok="t"/>
                <v:fill type="solid"/>
              </v:shape>
            </v:group>
            <v:group style="position:absolute;left:5600;top:2310;width:10;height:20" coordorigin="5600,2310" coordsize="10,20">
              <v:shape style="position:absolute;left:5600;top:2310;width:10;height:20" coordorigin="5600,2310" coordsize="10,20" path="m5600,2329l5610,2329,5610,2310,5600,2310,5600,2329xe" filled="true" fillcolor="#000000" stroked="false">
                <v:path arrowok="t"/>
                <v:fill type="solid"/>
              </v:shape>
            </v:group>
            <v:group style="position:absolute;left:5600;top:2333;width:10;height:2" coordorigin="5600,2333" coordsize="10,2">
              <v:shape style="position:absolute;left:5600;top:2333;width:10;height:2" coordorigin="5600,2333" coordsize="10,0" path="m5600,2333l5610,2333e" filled="false" stroked="true" strokeweight=".36002pt" strokecolor="#000000">
                <v:path arrowok="t"/>
              </v:shape>
            </v:group>
            <v:group style="position:absolute;left:7019;top:1868;width:10;height:20" coordorigin="7019,1868" coordsize="10,20">
              <v:shape style="position:absolute;left:7019;top:1868;width:10;height:20" coordorigin="7019,1868" coordsize="10,20" path="m7019,1888l7029,1888,7029,1868,7019,1868,7019,1888xe" filled="true" fillcolor="#000000" stroked="false">
                <v:path arrowok="t"/>
                <v:fill type="solid"/>
              </v:shape>
            </v:group>
            <v:group style="position:absolute;left:7019;top:1888;width:10;height:20" coordorigin="7019,1888" coordsize="10,20">
              <v:shape style="position:absolute;left:7019;top:1888;width:10;height:20" coordorigin="7019,1888" coordsize="10,20" path="m7019,1907l7029,1907,7029,1888,7019,1888,7019,1907xe" filled="true" fillcolor="#000000" stroked="false">
                <v:path arrowok="t"/>
                <v:fill type="solid"/>
              </v:shape>
            </v:group>
            <v:group style="position:absolute;left:7019;top:1907;width:10;height:20" coordorigin="7019,1907" coordsize="10,20">
              <v:shape style="position:absolute;left:7019;top:1907;width:10;height:20" coordorigin="7019,1907" coordsize="10,20" path="m7019,1926l7029,1926,7029,1907,7019,1907,7019,1926xe" filled="true" fillcolor="#000000" stroked="false">
                <v:path arrowok="t"/>
                <v:fill type="solid"/>
              </v:shape>
            </v:group>
            <v:group style="position:absolute;left:7019;top:1926;width:10;height:20" coordorigin="7019,1926" coordsize="10,20">
              <v:shape style="position:absolute;left:7019;top:1926;width:10;height:20" coordorigin="7019,1926" coordsize="10,20" path="m7019,1945l7029,1945,7029,1926,7019,1926,7019,1945xe" filled="true" fillcolor="#000000" stroked="false">
                <v:path arrowok="t"/>
                <v:fill type="solid"/>
              </v:shape>
            </v:group>
            <v:group style="position:absolute;left:7019;top:1945;width:10;height:20" coordorigin="7019,1945" coordsize="10,20">
              <v:shape style="position:absolute;left:7019;top:1945;width:10;height:20" coordorigin="7019,1945" coordsize="10,20" path="m7019,1964l7029,1964,7029,1945,7019,1945,7019,1964xe" filled="true" fillcolor="#000000" stroked="false">
                <v:path arrowok="t"/>
                <v:fill type="solid"/>
              </v:shape>
            </v:group>
            <v:group style="position:absolute;left:7019;top:1964;width:10;height:20" coordorigin="7019,1964" coordsize="10,20">
              <v:shape style="position:absolute;left:7019;top:1964;width:10;height:20" coordorigin="7019,1964" coordsize="10,20" path="m7019,1984l7029,1984,7029,1964,7019,1964,7019,1984xe" filled="true" fillcolor="#000000" stroked="false">
                <v:path arrowok="t"/>
                <v:fill type="solid"/>
              </v:shape>
            </v:group>
            <v:group style="position:absolute;left:7019;top:1984;width:10;height:20" coordorigin="7019,1984" coordsize="10,20">
              <v:shape style="position:absolute;left:7019;top:1984;width:10;height:20" coordorigin="7019,1984" coordsize="10,20" path="m7019,2003l7029,2003,7029,1984,7019,1984,7019,2003xe" filled="true" fillcolor="#000000" stroked="false">
                <v:path arrowok="t"/>
                <v:fill type="solid"/>
              </v:shape>
            </v:group>
            <v:group style="position:absolute;left:7019;top:2003;width:10;height:20" coordorigin="7019,2003" coordsize="10,20">
              <v:shape style="position:absolute;left:7019;top:2003;width:10;height:20" coordorigin="7019,2003" coordsize="10,20" path="m7019,2022l7029,2022,7029,2003,7019,2003,7019,2022xe" filled="true" fillcolor="#000000" stroked="false">
                <v:path arrowok="t"/>
                <v:fill type="solid"/>
              </v:shape>
            </v:group>
            <v:group style="position:absolute;left:7019;top:2022;width:10;height:20" coordorigin="7019,2022" coordsize="10,20">
              <v:shape style="position:absolute;left:7019;top:2022;width:10;height:20" coordorigin="7019,2022" coordsize="10,20" path="m7019,2041l7029,2041,7029,2022,7019,2022,7019,2041xe" filled="true" fillcolor="#000000" stroked="false">
                <v:path arrowok="t"/>
                <v:fill type="solid"/>
              </v:shape>
            </v:group>
            <v:group style="position:absolute;left:7019;top:2041;width:10;height:20" coordorigin="7019,2041" coordsize="10,20">
              <v:shape style="position:absolute;left:7019;top:2041;width:10;height:20" coordorigin="7019,2041" coordsize="10,20" path="m7019,2060l7029,2060,7029,2041,7019,2041,7019,2060xe" filled="true" fillcolor="#000000" stroked="false">
                <v:path arrowok="t"/>
                <v:fill type="solid"/>
              </v:shape>
            </v:group>
            <v:group style="position:absolute;left:7019;top:2060;width:10;height:20" coordorigin="7019,2060" coordsize="10,20">
              <v:shape style="position:absolute;left:7019;top:2060;width:10;height:20" coordorigin="7019,2060" coordsize="10,20" path="m7019,2080l7029,2080,7029,2060,7019,2060,7019,2080xe" filled="true" fillcolor="#000000" stroked="false">
                <v:path arrowok="t"/>
                <v:fill type="solid"/>
              </v:shape>
            </v:group>
            <v:group style="position:absolute;left:7019;top:2080;width:10;height:20" coordorigin="7019,2080" coordsize="10,20">
              <v:shape style="position:absolute;left:7019;top:2080;width:10;height:20" coordorigin="7019,2080" coordsize="10,20" path="m7019,2099l7029,2099,7029,2080,7019,2080,7019,2099xe" filled="true" fillcolor="#000000" stroked="false">
                <v:path arrowok="t"/>
                <v:fill type="solid"/>
              </v:shape>
            </v:group>
            <v:group style="position:absolute;left:7019;top:2099;width:10;height:20" coordorigin="7019,2099" coordsize="10,20">
              <v:shape style="position:absolute;left:7019;top:2099;width:10;height:20" coordorigin="7019,2099" coordsize="10,20" path="m7019,2118l7029,2118,7029,2099,7019,2099,7019,2118xe" filled="true" fillcolor="#000000" stroked="false">
                <v:path arrowok="t"/>
                <v:fill type="solid"/>
              </v:shape>
            </v:group>
            <v:group style="position:absolute;left:7019;top:2118;width:10;height:20" coordorigin="7019,2118" coordsize="10,20">
              <v:shape style="position:absolute;left:7019;top:2118;width:10;height:20" coordorigin="7019,2118" coordsize="10,20" path="m7019,2137l7029,2137,7029,2118,7019,2118,7019,2137xe" filled="true" fillcolor="#000000" stroked="false">
                <v:path arrowok="t"/>
                <v:fill type="solid"/>
              </v:shape>
            </v:group>
            <v:group style="position:absolute;left:7019;top:2137;width:10;height:20" coordorigin="7019,2137" coordsize="10,20">
              <v:shape style="position:absolute;left:7019;top:2137;width:10;height:20" coordorigin="7019,2137" coordsize="10,20" path="m7019,2156l7029,2156,7029,2137,7019,2137,7019,2156xe" filled="true" fillcolor="#000000" stroked="false">
                <v:path arrowok="t"/>
                <v:fill type="solid"/>
              </v:shape>
            </v:group>
            <v:group style="position:absolute;left:7019;top:2156;width:10;height:20" coordorigin="7019,2156" coordsize="10,20">
              <v:shape style="position:absolute;left:7019;top:2156;width:10;height:20" coordorigin="7019,2156" coordsize="10,20" path="m7019,2176l7029,2176,7029,2156,7019,2156,7019,2176xe" filled="true" fillcolor="#000000" stroked="false">
                <v:path arrowok="t"/>
                <v:fill type="solid"/>
              </v:shape>
            </v:group>
            <v:group style="position:absolute;left:7019;top:2176;width:10;height:20" coordorigin="7019,2176" coordsize="10,20">
              <v:shape style="position:absolute;left:7019;top:2176;width:10;height:20" coordorigin="7019,2176" coordsize="10,20" path="m7019,2195l7029,2195,7029,2176,7019,2176,7019,2195xe" filled="true" fillcolor="#000000" stroked="false">
                <v:path arrowok="t"/>
                <v:fill type="solid"/>
              </v:shape>
            </v:group>
            <v:group style="position:absolute;left:7019;top:2195;width:10;height:20" coordorigin="7019,2195" coordsize="10,20">
              <v:shape style="position:absolute;left:7019;top:2195;width:10;height:20" coordorigin="7019,2195" coordsize="10,20" path="m7019,2214l7029,2214,7029,2195,7019,2195,7019,2214xe" filled="true" fillcolor="#000000" stroked="false">
                <v:path arrowok="t"/>
                <v:fill type="solid"/>
              </v:shape>
            </v:group>
            <v:group style="position:absolute;left:7019;top:2214;width:10;height:20" coordorigin="7019,2214" coordsize="10,20">
              <v:shape style="position:absolute;left:7019;top:2214;width:10;height:20" coordorigin="7019,2214" coordsize="10,20" path="m7019,2233l7029,2233,7029,2214,7019,2214,7019,2233xe" filled="true" fillcolor="#000000" stroked="false">
                <v:path arrowok="t"/>
                <v:fill type="solid"/>
              </v:shape>
            </v:group>
            <v:group style="position:absolute;left:7019;top:2233;width:10;height:20" coordorigin="7019,2233" coordsize="10,20">
              <v:shape style="position:absolute;left:7019;top:2233;width:10;height:20" coordorigin="7019,2233" coordsize="10,20" path="m7019,2252l7029,2252,7029,2233,7019,2233,7019,2252xe" filled="true" fillcolor="#000000" stroked="false">
                <v:path arrowok="t"/>
                <v:fill type="solid"/>
              </v:shape>
            </v:group>
            <v:group style="position:absolute;left:7019;top:2252;width:10;height:20" coordorigin="7019,2252" coordsize="10,20">
              <v:shape style="position:absolute;left:7019;top:2252;width:10;height:20" coordorigin="7019,2252" coordsize="10,20" path="m7019,2272l7029,2272,7029,2252,7019,2252,7019,2272xe" filled="true" fillcolor="#000000" stroked="false">
                <v:path arrowok="t"/>
                <v:fill type="solid"/>
              </v:shape>
            </v:group>
            <v:group style="position:absolute;left:7019;top:2272;width:10;height:20" coordorigin="7019,2272" coordsize="10,20">
              <v:shape style="position:absolute;left:7019;top:2272;width:10;height:20" coordorigin="7019,2272" coordsize="10,20" path="m7019,2291l7029,2291,7029,2272,7019,2272,7019,2291xe" filled="true" fillcolor="#000000" stroked="false">
                <v:path arrowok="t"/>
                <v:fill type="solid"/>
              </v:shape>
            </v:group>
            <v:group style="position:absolute;left:7019;top:2291;width:10;height:20" coordorigin="7019,2291" coordsize="10,20">
              <v:shape style="position:absolute;left:7019;top:2291;width:10;height:20" coordorigin="7019,2291" coordsize="10,20" path="m7019,2310l7029,2310,7029,2291,7019,2291,7019,2310xe" filled="true" fillcolor="#000000" stroked="false">
                <v:path arrowok="t"/>
                <v:fill type="solid"/>
              </v:shape>
            </v:group>
            <v:group style="position:absolute;left:7019;top:2310;width:10;height:20" coordorigin="7019,2310" coordsize="10,20">
              <v:shape style="position:absolute;left:7019;top:2310;width:10;height:20" coordorigin="7019,2310" coordsize="10,20" path="m7019,2329l7029,2329,7029,2310,7019,2310,7019,2329xe" filled="true" fillcolor="#000000" stroked="false">
                <v:path arrowok="t"/>
                <v:fill type="solid"/>
              </v:shape>
            </v:group>
            <v:group style="position:absolute;left:7019;top:2333;width:10;height:2" coordorigin="7019,2333" coordsize="10,2">
              <v:shape style="position:absolute;left:7019;top:2333;width:10;height:2" coordorigin="7019,2333" coordsize="10,0" path="m7019,2333l7029,2333e" filled="false" stroked="true" strokeweight=".36002pt" strokecolor="#000000">
                <v:path arrowok="t"/>
              </v:shape>
            </v:group>
            <v:group style="position:absolute;left:8361;top:1868;width:10;height:20" coordorigin="8361,1868" coordsize="10,20">
              <v:shape style="position:absolute;left:8361;top:1868;width:10;height:20" coordorigin="8361,1868" coordsize="10,20" path="m8361,1888l8370,1888,8370,1868,8361,1868,8361,1888xe" filled="true" fillcolor="#000000" stroked="false">
                <v:path arrowok="t"/>
                <v:fill type="solid"/>
              </v:shape>
            </v:group>
            <v:group style="position:absolute;left:8361;top:1888;width:10;height:20" coordorigin="8361,1888" coordsize="10,20">
              <v:shape style="position:absolute;left:8361;top:1888;width:10;height:20" coordorigin="8361,1888" coordsize="10,20" path="m8361,1907l8370,1907,8370,1888,8361,1888,8361,1907xe" filled="true" fillcolor="#000000" stroked="false">
                <v:path arrowok="t"/>
                <v:fill type="solid"/>
              </v:shape>
            </v:group>
            <v:group style="position:absolute;left:8361;top:1907;width:10;height:20" coordorigin="8361,1907" coordsize="10,20">
              <v:shape style="position:absolute;left:8361;top:1907;width:10;height:20" coordorigin="8361,1907" coordsize="10,20" path="m8361,1926l8370,1926,8370,1907,8361,1907,8361,1926xe" filled="true" fillcolor="#000000" stroked="false">
                <v:path arrowok="t"/>
                <v:fill type="solid"/>
              </v:shape>
            </v:group>
            <v:group style="position:absolute;left:8361;top:1926;width:10;height:20" coordorigin="8361,1926" coordsize="10,20">
              <v:shape style="position:absolute;left:8361;top:1926;width:10;height:20" coordorigin="8361,1926" coordsize="10,20" path="m8361,1945l8370,1945,8370,1926,8361,1926,8361,1945xe" filled="true" fillcolor="#000000" stroked="false">
                <v:path arrowok="t"/>
                <v:fill type="solid"/>
              </v:shape>
            </v:group>
            <v:group style="position:absolute;left:8361;top:1945;width:10;height:20" coordorigin="8361,1945" coordsize="10,20">
              <v:shape style="position:absolute;left:8361;top:1945;width:10;height:20" coordorigin="8361,1945" coordsize="10,20" path="m8361,1964l8370,1964,8370,1945,8361,1945,8361,1964xe" filled="true" fillcolor="#000000" stroked="false">
                <v:path arrowok="t"/>
                <v:fill type="solid"/>
              </v:shape>
            </v:group>
            <v:group style="position:absolute;left:8361;top:1964;width:10;height:20" coordorigin="8361,1964" coordsize="10,20">
              <v:shape style="position:absolute;left:8361;top:1964;width:10;height:20" coordorigin="8361,1964" coordsize="10,20" path="m8361,1984l8370,1984,8370,1964,8361,1964,8361,1984xe" filled="true" fillcolor="#000000" stroked="false">
                <v:path arrowok="t"/>
                <v:fill type="solid"/>
              </v:shape>
            </v:group>
            <v:group style="position:absolute;left:8361;top:1984;width:10;height:20" coordorigin="8361,1984" coordsize="10,20">
              <v:shape style="position:absolute;left:8361;top:1984;width:10;height:20" coordorigin="8361,1984" coordsize="10,20" path="m8361,2003l8370,2003,8370,1984,8361,1984,8361,2003xe" filled="true" fillcolor="#000000" stroked="false">
                <v:path arrowok="t"/>
                <v:fill type="solid"/>
              </v:shape>
            </v:group>
            <v:group style="position:absolute;left:8361;top:2003;width:10;height:20" coordorigin="8361,2003" coordsize="10,20">
              <v:shape style="position:absolute;left:8361;top:2003;width:10;height:20" coordorigin="8361,2003" coordsize="10,20" path="m8361,2022l8370,2022,8370,2003,8361,2003,8361,2022xe" filled="true" fillcolor="#000000" stroked="false">
                <v:path arrowok="t"/>
                <v:fill type="solid"/>
              </v:shape>
            </v:group>
            <v:group style="position:absolute;left:8361;top:2022;width:10;height:20" coordorigin="8361,2022" coordsize="10,20">
              <v:shape style="position:absolute;left:8361;top:2022;width:10;height:20" coordorigin="8361,2022" coordsize="10,20" path="m8361,2041l8370,2041,8370,2022,8361,2022,8361,2041xe" filled="true" fillcolor="#000000" stroked="false">
                <v:path arrowok="t"/>
                <v:fill type="solid"/>
              </v:shape>
            </v:group>
            <v:group style="position:absolute;left:8361;top:2041;width:10;height:20" coordorigin="8361,2041" coordsize="10,20">
              <v:shape style="position:absolute;left:8361;top:2041;width:10;height:20" coordorigin="8361,2041" coordsize="10,20" path="m8361,2060l8370,2060,8370,2041,8361,2041,8361,2060xe" filled="true" fillcolor="#000000" stroked="false">
                <v:path arrowok="t"/>
                <v:fill type="solid"/>
              </v:shape>
            </v:group>
            <v:group style="position:absolute;left:8361;top:2060;width:10;height:20" coordorigin="8361,2060" coordsize="10,20">
              <v:shape style="position:absolute;left:8361;top:2060;width:10;height:20" coordorigin="8361,2060" coordsize="10,20" path="m8361,2080l8370,2080,8370,2060,8361,2060,8361,2080xe" filled="true" fillcolor="#000000" stroked="false">
                <v:path arrowok="t"/>
                <v:fill type="solid"/>
              </v:shape>
            </v:group>
            <v:group style="position:absolute;left:8361;top:2080;width:10;height:20" coordorigin="8361,2080" coordsize="10,20">
              <v:shape style="position:absolute;left:8361;top:2080;width:10;height:20" coordorigin="8361,2080" coordsize="10,20" path="m8361,2099l8370,2099,8370,2080,8361,2080,8361,2099xe" filled="true" fillcolor="#000000" stroked="false">
                <v:path arrowok="t"/>
                <v:fill type="solid"/>
              </v:shape>
            </v:group>
            <v:group style="position:absolute;left:8361;top:2099;width:10;height:20" coordorigin="8361,2099" coordsize="10,20">
              <v:shape style="position:absolute;left:8361;top:2099;width:10;height:20" coordorigin="8361,2099" coordsize="10,20" path="m8361,2118l8370,2118,8370,2099,8361,2099,8361,2118xe" filled="true" fillcolor="#000000" stroked="false">
                <v:path arrowok="t"/>
                <v:fill type="solid"/>
              </v:shape>
            </v:group>
            <v:group style="position:absolute;left:8361;top:2118;width:10;height:20" coordorigin="8361,2118" coordsize="10,20">
              <v:shape style="position:absolute;left:8361;top:2118;width:10;height:20" coordorigin="8361,2118" coordsize="10,20" path="m8361,2137l8370,2137,8370,2118,8361,2118,8361,2137xe" filled="true" fillcolor="#000000" stroked="false">
                <v:path arrowok="t"/>
                <v:fill type="solid"/>
              </v:shape>
            </v:group>
            <v:group style="position:absolute;left:8361;top:2137;width:10;height:20" coordorigin="8361,2137" coordsize="10,20">
              <v:shape style="position:absolute;left:8361;top:2137;width:10;height:20" coordorigin="8361,2137" coordsize="10,20" path="m8361,2156l8370,2156,8370,2137,8361,2137,8361,2156xe" filled="true" fillcolor="#000000" stroked="false">
                <v:path arrowok="t"/>
                <v:fill type="solid"/>
              </v:shape>
            </v:group>
            <v:group style="position:absolute;left:8361;top:2156;width:10;height:20" coordorigin="8361,2156" coordsize="10,20">
              <v:shape style="position:absolute;left:8361;top:2156;width:10;height:20" coordorigin="8361,2156" coordsize="10,20" path="m8361,2176l8370,2176,8370,2156,8361,2156,8361,2176xe" filled="true" fillcolor="#000000" stroked="false">
                <v:path arrowok="t"/>
                <v:fill type="solid"/>
              </v:shape>
            </v:group>
            <v:group style="position:absolute;left:8361;top:2176;width:10;height:20" coordorigin="8361,2176" coordsize="10,20">
              <v:shape style="position:absolute;left:8361;top:2176;width:10;height:20" coordorigin="8361,2176" coordsize="10,20" path="m8361,2195l8370,2195,8370,2176,8361,2176,8361,2195xe" filled="true" fillcolor="#000000" stroked="false">
                <v:path arrowok="t"/>
                <v:fill type="solid"/>
              </v:shape>
            </v:group>
            <v:group style="position:absolute;left:8361;top:2195;width:10;height:20" coordorigin="8361,2195" coordsize="10,20">
              <v:shape style="position:absolute;left:8361;top:2195;width:10;height:20" coordorigin="8361,2195" coordsize="10,20" path="m8361,2214l8370,2214,8370,2195,8361,2195,8361,2214xe" filled="true" fillcolor="#000000" stroked="false">
                <v:path arrowok="t"/>
                <v:fill type="solid"/>
              </v:shape>
            </v:group>
            <v:group style="position:absolute;left:8361;top:2214;width:10;height:20" coordorigin="8361,2214" coordsize="10,20">
              <v:shape style="position:absolute;left:8361;top:2214;width:10;height:20" coordorigin="8361,2214" coordsize="10,20" path="m8361,2233l8370,2233,8370,2214,8361,2214,8361,2233xe" filled="true" fillcolor="#000000" stroked="false">
                <v:path arrowok="t"/>
                <v:fill type="solid"/>
              </v:shape>
            </v:group>
            <v:group style="position:absolute;left:8361;top:2233;width:10;height:20" coordorigin="8361,2233" coordsize="10,20">
              <v:shape style="position:absolute;left:8361;top:2233;width:10;height:20" coordorigin="8361,2233" coordsize="10,20" path="m8361,2252l8370,2252,8370,2233,8361,2233,8361,2252xe" filled="true" fillcolor="#000000" stroked="false">
                <v:path arrowok="t"/>
                <v:fill type="solid"/>
              </v:shape>
            </v:group>
            <v:group style="position:absolute;left:8361;top:2252;width:10;height:20" coordorigin="8361,2252" coordsize="10,20">
              <v:shape style="position:absolute;left:8361;top:2252;width:10;height:20" coordorigin="8361,2252" coordsize="10,20" path="m8361,2272l8370,2272,8370,2252,8361,2252,8361,2272xe" filled="true" fillcolor="#000000" stroked="false">
                <v:path arrowok="t"/>
                <v:fill type="solid"/>
              </v:shape>
            </v:group>
            <v:group style="position:absolute;left:8361;top:2272;width:10;height:20" coordorigin="8361,2272" coordsize="10,20">
              <v:shape style="position:absolute;left:8361;top:2272;width:10;height:20" coordorigin="8361,2272" coordsize="10,20" path="m8361,2291l8370,2291,8370,2272,8361,2272,8361,2291xe" filled="true" fillcolor="#000000" stroked="false">
                <v:path arrowok="t"/>
                <v:fill type="solid"/>
              </v:shape>
            </v:group>
            <v:group style="position:absolute;left:8361;top:2291;width:10;height:20" coordorigin="8361,2291" coordsize="10,20">
              <v:shape style="position:absolute;left:8361;top:2291;width:10;height:20" coordorigin="8361,2291" coordsize="10,20" path="m8361,2310l8370,2310,8370,2291,8361,2291,8361,2310xe" filled="true" fillcolor="#000000" stroked="false">
                <v:path arrowok="t"/>
                <v:fill type="solid"/>
              </v:shape>
            </v:group>
            <v:group style="position:absolute;left:8361;top:2310;width:10;height:20" coordorigin="8361,2310" coordsize="10,20">
              <v:shape style="position:absolute;left:8361;top:2310;width:10;height:20" coordorigin="8361,2310" coordsize="10,20" path="m8361,2329l8370,2329,8370,2310,8361,2310,8361,2329xe" filled="true" fillcolor="#000000" stroked="false">
                <v:path arrowok="t"/>
                <v:fill type="solid"/>
              </v:shape>
            </v:group>
            <v:group style="position:absolute;left:8361;top:2333;width:10;height:2" coordorigin="8361,2333" coordsize="10,2">
              <v:shape style="position:absolute;left:8361;top:2333;width:10;height:2" coordorigin="8361,2333" coordsize="10,0" path="m8361,2333l8370,2333e" filled="false" stroked="true" strokeweight=".36002pt" strokecolor="#000000">
                <v:path arrowok="t"/>
              </v:shape>
            </v:group>
            <v:group style="position:absolute;left:9237;top:1868;width:10;height:20" coordorigin="9237,1868" coordsize="10,20">
              <v:shape style="position:absolute;left:9237;top:1868;width:10;height:20" coordorigin="9237,1868" coordsize="10,20" path="m9237,1888l9247,1888,9247,1868,9237,1868,9237,1888xe" filled="true" fillcolor="#000000" stroked="false">
                <v:path arrowok="t"/>
                <v:fill type="solid"/>
              </v:shape>
            </v:group>
            <v:group style="position:absolute;left:9237;top:1888;width:10;height:20" coordorigin="9237,1888" coordsize="10,20">
              <v:shape style="position:absolute;left:9237;top:1888;width:10;height:20" coordorigin="9237,1888" coordsize="10,20" path="m9237,1907l9247,1907,9247,1888,9237,1888,9237,1907xe" filled="true" fillcolor="#000000" stroked="false">
                <v:path arrowok="t"/>
                <v:fill type="solid"/>
              </v:shape>
            </v:group>
            <v:group style="position:absolute;left:9237;top:1907;width:10;height:20" coordorigin="9237,1907" coordsize="10,20">
              <v:shape style="position:absolute;left:9237;top:1907;width:10;height:20" coordorigin="9237,1907" coordsize="10,20" path="m9237,1926l9247,1926,9247,1907,9237,1907,9237,1926xe" filled="true" fillcolor="#000000" stroked="false">
                <v:path arrowok="t"/>
                <v:fill type="solid"/>
              </v:shape>
            </v:group>
            <v:group style="position:absolute;left:9237;top:1926;width:10;height:20" coordorigin="9237,1926" coordsize="10,20">
              <v:shape style="position:absolute;left:9237;top:1926;width:10;height:20" coordorigin="9237,1926" coordsize="10,20" path="m9237,1945l9247,1945,9247,1926,9237,1926,9237,1945xe" filled="true" fillcolor="#000000" stroked="false">
                <v:path arrowok="t"/>
                <v:fill type="solid"/>
              </v:shape>
            </v:group>
            <v:group style="position:absolute;left:9237;top:1945;width:10;height:20" coordorigin="9237,1945" coordsize="10,20">
              <v:shape style="position:absolute;left:9237;top:1945;width:10;height:20" coordorigin="9237,1945" coordsize="10,20" path="m9237,1964l9247,1964,9247,1945,9237,1945,9237,1964xe" filled="true" fillcolor="#000000" stroked="false">
                <v:path arrowok="t"/>
                <v:fill type="solid"/>
              </v:shape>
            </v:group>
            <v:group style="position:absolute;left:9237;top:1964;width:10;height:20" coordorigin="9237,1964" coordsize="10,20">
              <v:shape style="position:absolute;left:9237;top:1964;width:10;height:20" coordorigin="9237,1964" coordsize="10,20" path="m9237,1984l9247,1984,9247,1964,9237,1964,9237,1984xe" filled="true" fillcolor="#000000" stroked="false">
                <v:path arrowok="t"/>
                <v:fill type="solid"/>
              </v:shape>
            </v:group>
            <v:group style="position:absolute;left:9237;top:1984;width:10;height:20" coordorigin="9237,1984" coordsize="10,20">
              <v:shape style="position:absolute;left:9237;top:1984;width:10;height:20" coordorigin="9237,1984" coordsize="10,20" path="m9237,2003l9247,2003,9247,1984,9237,1984,9237,2003xe" filled="true" fillcolor="#000000" stroked="false">
                <v:path arrowok="t"/>
                <v:fill type="solid"/>
              </v:shape>
            </v:group>
            <v:group style="position:absolute;left:9237;top:2003;width:10;height:20" coordorigin="9237,2003" coordsize="10,20">
              <v:shape style="position:absolute;left:9237;top:2003;width:10;height:20" coordorigin="9237,2003" coordsize="10,20" path="m9237,2022l9247,2022,9247,2003,9237,2003,9237,2022xe" filled="true" fillcolor="#000000" stroked="false">
                <v:path arrowok="t"/>
                <v:fill type="solid"/>
              </v:shape>
            </v:group>
            <v:group style="position:absolute;left:9237;top:2022;width:10;height:20" coordorigin="9237,2022" coordsize="10,20">
              <v:shape style="position:absolute;left:9237;top:2022;width:10;height:20" coordorigin="9237,2022" coordsize="10,20" path="m9237,2041l9247,2041,9247,2022,9237,2022,9237,2041xe" filled="true" fillcolor="#000000" stroked="false">
                <v:path arrowok="t"/>
                <v:fill type="solid"/>
              </v:shape>
            </v:group>
            <v:group style="position:absolute;left:9237;top:2041;width:10;height:20" coordorigin="9237,2041" coordsize="10,20">
              <v:shape style="position:absolute;left:9237;top:2041;width:10;height:20" coordorigin="9237,2041" coordsize="10,20" path="m9237,2060l9247,2060,9247,2041,9237,2041,9237,2060xe" filled="true" fillcolor="#000000" stroked="false">
                <v:path arrowok="t"/>
                <v:fill type="solid"/>
              </v:shape>
            </v:group>
            <v:group style="position:absolute;left:9237;top:2060;width:10;height:20" coordorigin="9237,2060" coordsize="10,20">
              <v:shape style="position:absolute;left:9237;top:2060;width:10;height:20" coordorigin="9237,2060" coordsize="10,20" path="m9237,2080l9247,2080,9247,2060,9237,2060,9237,2080xe" filled="true" fillcolor="#000000" stroked="false">
                <v:path arrowok="t"/>
                <v:fill type="solid"/>
              </v:shape>
            </v:group>
            <v:group style="position:absolute;left:9237;top:2080;width:10;height:20" coordorigin="9237,2080" coordsize="10,20">
              <v:shape style="position:absolute;left:9237;top:2080;width:10;height:20" coordorigin="9237,2080" coordsize="10,20" path="m9237,2099l9247,2099,9247,2080,9237,2080,9237,2099xe" filled="true" fillcolor="#000000" stroked="false">
                <v:path arrowok="t"/>
                <v:fill type="solid"/>
              </v:shape>
            </v:group>
            <v:group style="position:absolute;left:9237;top:2099;width:10;height:20" coordorigin="9237,2099" coordsize="10,20">
              <v:shape style="position:absolute;left:9237;top:2099;width:10;height:20" coordorigin="9237,2099" coordsize="10,20" path="m9237,2118l9247,2118,9247,2099,9237,2099,9237,2118xe" filled="true" fillcolor="#000000" stroked="false">
                <v:path arrowok="t"/>
                <v:fill type="solid"/>
              </v:shape>
            </v:group>
            <v:group style="position:absolute;left:9237;top:2118;width:10;height:20" coordorigin="9237,2118" coordsize="10,20">
              <v:shape style="position:absolute;left:9237;top:2118;width:10;height:20" coordorigin="9237,2118" coordsize="10,20" path="m9237,2137l9247,2137,9247,2118,9237,2118,9237,2137xe" filled="true" fillcolor="#000000" stroked="false">
                <v:path arrowok="t"/>
                <v:fill type="solid"/>
              </v:shape>
            </v:group>
            <v:group style="position:absolute;left:9237;top:2137;width:10;height:20" coordorigin="9237,2137" coordsize="10,20">
              <v:shape style="position:absolute;left:9237;top:2137;width:10;height:20" coordorigin="9237,2137" coordsize="10,20" path="m9237,2156l9247,2156,9247,2137,9237,2137,9237,2156xe" filled="true" fillcolor="#000000" stroked="false">
                <v:path arrowok="t"/>
                <v:fill type="solid"/>
              </v:shape>
            </v:group>
            <v:group style="position:absolute;left:9237;top:2156;width:10;height:20" coordorigin="9237,2156" coordsize="10,20">
              <v:shape style="position:absolute;left:9237;top:2156;width:10;height:20" coordorigin="9237,2156" coordsize="10,20" path="m9237,2176l9247,2176,9247,2156,9237,2156,9237,2176xe" filled="true" fillcolor="#000000" stroked="false">
                <v:path arrowok="t"/>
                <v:fill type="solid"/>
              </v:shape>
            </v:group>
            <v:group style="position:absolute;left:9237;top:2176;width:10;height:20" coordorigin="9237,2176" coordsize="10,20">
              <v:shape style="position:absolute;left:9237;top:2176;width:10;height:20" coordorigin="9237,2176" coordsize="10,20" path="m9237,2195l9247,2195,9247,2176,9237,2176,9237,2195xe" filled="true" fillcolor="#000000" stroked="false">
                <v:path arrowok="t"/>
                <v:fill type="solid"/>
              </v:shape>
            </v:group>
            <v:group style="position:absolute;left:9237;top:2195;width:10;height:20" coordorigin="9237,2195" coordsize="10,20">
              <v:shape style="position:absolute;left:9237;top:2195;width:10;height:20" coordorigin="9237,2195" coordsize="10,20" path="m9237,2214l9247,2214,9247,2195,9237,2195,9237,2214xe" filled="true" fillcolor="#000000" stroked="false">
                <v:path arrowok="t"/>
                <v:fill type="solid"/>
              </v:shape>
            </v:group>
            <v:group style="position:absolute;left:9237;top:2214;width:10;height:20" coordorigin="9237,2214" coordsize="10,20">
              <v:shape style="position:absolute;left:9237;top:2214;width:10;height:20" coordorigin="9237,2214" coordsize="10,20" path="m9237,2233l9247,2233,9247,2214,9237,2214,9237,2233xe" filled="true" fillcolor="#000000" stroked="false">
                <v:path arrowok="t"/>
                <v:fill type="solid"/>
              </v:shape>
            </v:group>
            <v:group style="position:absolute;left:9237;top:2233;width:10;height:20" coordorigin="9237,2233" coordsize="10,20">
              <v:shape style="position:absolute;left:9237;top:2233;width:10;height:20" coordorigin="9237,2233" coordsize="10,20" path="m9237,2252l9247,2252,9247,2233,9237,2233,9237,2252xe" filled="true" fillcolor="#000000" stroked="false">
                <v:path arrowok="t"/>
                <v:fill type="solid"/>
              </v:shape>
            </v:group>
            <v:group style="position:absolute;left:9237;top:2252;width:10;height:20" coordorigin="9237,2252" coordsize="10,20">
              <v:shape style="position:absolute;left:9237;top:2252;width:10;height:20" coordorigin="9237,2252" coordsize="10,20" path="m9237,2272l9247,2272,9247,2252,9237,2252,9237,2272xe" filled="true" fillcolor="#000000" stroked="false">
                <v:path arrowok="t"/>
                <v:fill type="solid"/>
              </v:shape>
            </v:group>
            <v:group style="position:absolute;left:9237;top:2272;width:10;height:20" coordorigin="9237,2272" coordsize="10,20">
              <v:shape style="position:absolute;left:9237;top:2272;width:10;height:20" coordorigin="9237,2272" coordsize="10,20" path="m9237,2291l9247,2291,9247,2272,9237,2272,9237,2291xe" filled="true" fillcolor="#000000" stroked="false">
                <v:path arrowok="t"/>
                <v:fill type="solid"/>
              </v:shape>
            </v:group>
            <v:group style="position:absolute;left:9237;top:2291;width:10;height:20" coordorigin="9237,2291" coordsize="10,20">
              <v:shape style="position:absolute;left:9237;top:2291;width:10;height:20" coordorigin="9237,2291" coordsize="10,20" path="m9237,2310l9247,2310,9247,2291,9237,2291,9237,2310xe" filled="true" fillcolor="#000000" stroked="false">
                <v:path arrowok="t"/>
                <v:fill type="solid"/>
              </v:shape>
            </v:group>
            <v:group style="position:absolute;left:9237;top:2310;width:10;height:20" coordorigin="9237,2310" coordsize="10,20">
              <v:shape style="position:absolute;left:9237;top:2310;width:10;height:20" coordorigin="9237,2310" coordsize="10,20" path="m9237,2329l9247,2329,9247,2310,9237,2310,9237,2329xe" filled="true" fillcolor="#000000" stroked="false">
                <v:path arrowok="t"/>
                <v:fill type="solid"/>
              </v:shape>
            </v:group>
            <v:group style="position:absolute;left:9237;top:2333;width:10;height:2" coordorigin="9237,2333" coordsize="10,2">
              <v:shape style="position:absolute;left:9237;top:2333;width:10;height:2" coordorigin="9237,2333" coordsize="10,0" path="m9237,2333l9247,2333e" filled="false" stroked="true" strokeweight=".36002pt" strokecolor="#000000">
                <v:path arrowok="t"/>
              </v:shape>
              <v:shape style="position:absolute;left:1558;top:2336;width:2801;height:10" type="#_x0000_t75" stroked="false">
                <v:imagedata r:id="rId123" o:title=""/>
              </v:shape>
              <v:shape style="position:absolute;left:4355;top:2336;width:1246;height:10" type="#_x0000_t75" stroked="false">
                <v:imagedata r:id="rId119" o:title=""/>
              </v:shape>
              <v:shape style="position:absolute;left:5595;top:2336;width:2765;height:10" type="#_x0000_t75" stroked="false">
                <v:imagedata r:id="rId120" o:title=""/>
              </v:shape>
              <v:shape style="position:absolute;left:8356;top:2336;width:881;height:10" type="#_x0000_t75" stroked="false">
                <v:imagedata r:id="rId121" o:title=""/>
              </v:shape>
              <v:shape style="position:absolute;left:9232;top:2336;width:1639;height:10" type="#_x0000_t75" stroked="false">
                <v:imagedata r:id="rId122" o:title=""/>
              </v:shape>
            </v:group>
            <v:group style="position:absolute;left:5600;top:2346;width:10;height:20" coordorigin="5600,2346" coordsize="10,20">
              <v:shape style="position:absolute;left:5600;top:2346;width:10;height:20" coordorigin="5600,2346" coordsize="10,20" path="m5600,2365l5610,2365,5610,2346,5600,2346,5600,2365xe" filled="true" fillcolor="#000000" stroked="false">
                <v:path arrowok="t"/>
                <v:fill type="solid"/>
              </v:shape>
            </v:group>
            <v:group style="position:absolute;left:5600;top:2365;width:10;height:20" coordorigin="5600,2365" coordsize="10,20">
              <v:shape style="position:absolute;left:5600;top:2365;width:10;height:20" coordorigin="5600,2365" coordsize="10,20" path="m5600,2384l5610,2384,5610,2365,5600,2365,5600,2384xe" filled="true" fillcolor="#000000" stroked="false">
                <v:path arrowok="t"/>
                <v:fill type="solid"/>
              </v:shape>
            </v:group>
            <v:group style="position:absolute;left:5600;top:2384;width:10;height:20" coordorigin="5600,2384" coordsize="10,20">
              <v:shape style="position:absolute;left:5600;top:2384;width:10;height:20" coordorigin="5600,2384" coordsize="10,20" path="m5600,2404l5610,2404,5610,2384,5600,2384,5600,2404xe" filled="true" fillcolor="#000000" stroked="false">
                <v:path arrowok="t"/>
                <v:fill type="solid"/>
              </v:shape>
            </v:group>
            <v:group style="position:absolute;left:5600;top:2404;width:10;height:20" coordorigin="5600,2404" coordsize="10,20">
              <v:shape style="position:absolute;left:5600;top:2404;width:10;height:20" coordorigin="5600,2404" coordsize="10,20" path="m5600,2423l5610,2423,5610,2404,5600,2404,5600,2423xe" filled="true" fillcolor="#000000" stroked="false">
                <v:path arrowok="t"/>
                <v:fill type="solid"/>
              </v:shape>
            </v:group>
            <v:group style="position:absolute;left:5600;top:2423;width:10;height:20" coordorigin="5600,2423" coordsize="10,20">
              <v:shape style="position:absolute;left:5600;top:2423;width:10;height:20" coordorigin="5600,2423" coordsize="10,20" path="m5600,2442l5610,2442,5610,2423,5600,2423,5600,2442xe" filled="true" fillcolor="#000000" stroked="false">
                <v:path arrowok="t"/>
                <v:fill type="solid"/>
              </v:shape>
            </v:group>
            <v:group style="position:absolute;left:5600;top:2442;width:10;height:20" coordorigin="5600,2442" coordsize="10,20">
              <v:shape style="position:absolute;left:5600;top:2442;width:10;height:20" coordorigin="5600,2442" coordsize="10,20" path="m5600,2461l5610,2461,5610,2442,5600,2442,5600,2461xe" filled="true" fillcolor="#000000" stroked="false">
                <v:path arrowok="t"/>
                <v:fill type="solid"/>
              </v:shape>
            </v:group>
            <v:group style="position:absolute;left:5600;top:2461;width:10;height:20" coordorigin="5600,2461" coordsize="10,20">
              <v:shape style="position:absolute;left:5600;top:2461;width:10;height:20" coordorigin="5600,2461" coordsize="10,20" path="m5600,2480l5610,2480,5610,2461,5600,2461,5600,2480xe" filled="true" fillcolor="#000000" stroked="false">
                <v:path arrowok="t"/>
                <v:fill type="solid"/>
              </v:shape>
            </v:group>
            <v:group style="position:absolute;left:5600;top:2480;width:10;height:20" coordorigin="5600,2480" coordsize="10,20">
              <v:shape style="position:absolute;left:5600;top:2480;width:10;height:20" coordorigin="5600,2480" coordsize="10,20" path="m5600,2500l5610,2500,5610,2480,5600,2480,5600,2500xe" filled="true" fillcolor="#000000" stroked="false">
                <v:path arrowok="t"/>
                <v:fill type="solid"/>
              </v:shape>
            </v:group>
            <v:group style="position:absolute;left:5600;top:2500;width:10;height:20" coordorigin="5600,2500" coordsize="10,20">
              <v:shape style="position:absolute;left:5600;top:2500;width:10;height:20" coordorigin="5600,2500" coordsize="10,20" path="m5600,2519l5610,2519,5610,2500,5600,2500,5600,2519xe" filled="true" fillcolor="#000000" stroked="false">
                <v:path arrowok="t"/>
                <v:fill type="solid"/>
              </v:shape>
            </v:group>
            <v:group style="position:absolute;left:5600;top:2519;width:10;height:20" coordorigin="5600,2519" coordsize="10,20">
              <v:shape style="position:absolute;left:5600;top:2519;width:10;height:20" coordorigin="5600,2519" coordsize="10,20" path="m5600,2538l5610,2538,5610,2519,5600,2519,5600,2538xe" filled="true" fillcolor="#000000" stroked="false">
                <v:path arrowok="t"/>
                <v:fill type="solid"/>
              </v:shape>
            </v:group>
            <v:group style="position:absolute;left:5600;top:2538;width:10;height:20" coordorigin="5600,2538" coordsize="10,20">
              <v:shape style="position:absolute;left:5600;top:2538;width:10;height:20" coordorigin="5600,2538" coordsize="10,20" path="m5600,2557l5610,2557,5610,2538,5600,2538,5600,2557xe" filled="true" fillcolor="#000000" stroked="false">
                <v:path arrowok="t"/>
                <v:fill type="solid"/>
              </v:shape>
            </v:group>
            <v:group style="position:absolute;left:5600;top:2557;width:10;height:20" coordorigin="5600,2557" coordsize="10,20">
              <v:shape style="position:absolute;left:5600;top:2557;width:10;height:20" coordorigin="5600,2557" coordsize="10,20" path="m5600,2576l5610,2576,5610,2557,5600,2557,5600,2576xe" filled="true" fillcolor="#000000" stroked="false">
                <v:path arrowok="t"/>
                <v:fill type="solid"/>
              </v:shape>
            </v:group>
            <v:group style="position:absolute;left:7019;top:2346;width:10;height:20" coordorigin="7019,2346" coordsize="10,20">
              <v:shape style="position:absolute;left:7019;top:2346;width:10;height:20" coordorigin="7019,2346" coordsize="10,20" path="m7019,2365l7029,2365,7029,2346,7019,2346,7019,2365xe" filled="true" fillcolor="#000000" stroked="false">
                <v:path arrowok="t"/>
                <v:fill type="solid"/>
              </v:shape>
            </v:group>
            <v:group style="position:absolute;left:7019;top:2365;width:10;height:20" coordorigin="7019,2365" coordsize="10,20">
              <v:shape style="position:absolute;left:7019;top:2365;width:10;height:20" coordorigin="7019,2365" coordsize="10,20" path="m7019,2384l7029,2384,7029,2365,7019,2365,7019,2384xe" filled="true" fillcolor="#000000" stroked="false">
                <v:path arrowok="t"/>
                <v:fill type="solid"/>
              </v:shape>
            </v:group>
            <v:group style="position:absolute;left:7019;top:2384;width:10;height:20" coordorigin="7019,2384" coordsize="10,20">
              <v:shape style="position:absolute;left:7019;top:2384;width:10;height:20" coordorigin="7019,2384" coordsize="10,20" path="m7019,2404l7029,2404,7029,2384,7019,2384,7019,2404xe" filled="true" fillcolor="#000000" stroked="false">
                <v:path arrowok="t"/>
                <v:fill type="solid"/>
              </v:shape>
            </v:group>
            <v:group style="position:absolute;left:7019;top:2404;width:10;height:20" coordorigin="7019,2404" coordsize="10,20">
              <v:shape style="position:absolute;left:7019;top:2404;width:10;height:20" coordorigin="7019,2404" coordsize="10,20" path="m7019,2423l7029,2423,7029,2404,7019,2404,7019,2423xe" filled="true" fillcolor="#000000" stroked="false">
                <v:path arrowok="t"/>
                <v:fill type="solid"/>
              </v:shape>
            </v:group>
            <v:group style="position:absolute;left:7019;top:2423;width:10;height:20" coordorigin="7019,2423" coordsize="10,20">
              <v:shape style="position:absolute;left:7019;top:2423;width:10;height:20" coordorigin="7019,2423" coordsize="10,20" path="m7019,2442l7029,2442,7029,2423,7019,2423,7019,2442xe" filled="true" fillcolor="#000000" stroked="false">
                <v:path arrowok="t"/>
                <v:fill type="solid"/>
              </v:shape>
            </v:group>
            <v:group style="position:absolute;left:7019;top:2442;width:10;height:20" coordorigin="7019,2442" coordsize="10,20">
              <v:shape style="position:absolute;left:7019;top:2442;width:10;height:20" coordorigin="7019,2442" coordsize="10,20" path="m7019,2461l7029,2461,7029,2442,7019,2442,7019,2461xe" filled="true" fillcolor="#000000" stroked="false">
                <v:path arrowok="t"/>
                <v:fill type="solid"/>
              </v:shape>
            </v:group>
            <v:group style="position:absolute;left:7019;top:2461;width:10;height:20" coordorigin="7019,2461" coordsize="10,20">
              <v:shape style="position:absolute;left:7019;top:2461;width:10;height:20" coordorigin="7019,2461" coordsize="10,20" path="m7019,2480l7029,2480,7029,2461,7019,2461,7019,2480xe" filled="true" fillcolor="#000000" stroked="false">
                <v:path arrowok="t"/>
                <v:fill type="solid"/>
              </v:shape>
            </v:group>
            <v:group style="position:absolute;left:7019;top:2480;width:10;height:20" coordorigin="7019,2480" coordsize="10,20">
              <v:shape style="position:absolute;left:7019;top:2480;width:10;height:20" coordorigin="7019,2480" coordsize="10,20" path="m7019,2500l7029,2500,7029,2480,7019,2480,7019,2500xe" filled="true" fillcolor="#000000" stroked="false">
                <v:path arrowok="t"/>
                <v:fill type="solid"/>
              </v:shape>
            </v:group>
            <v:group style="position:absolute;left:7019;top:2500;width:10;height:20" coordorigin="7019,2500" coordsize="10,20">
              <v:shape style="position:absolute;left:7019;top:2500;width:10;height:20" coordorigin="7019,2500" coordsize="10,20" path="m7019,2519l7029,2519,7029,2500,7019,2500,7019,2519xe" filled="true" fillcolor="#000000" stroked="false">
                <v:path arrowok="t"/>
                <v:fill type="solid"/>
              </v:shape>
            </v:group>
            <v:group style="position:absolute;left:7019;top:2519;width:10;height:20" coordorigin="7019,2519" coordsize="10,20">
              <v:shape style="position:absolute;left:7019;top:2519;width:10;height:20" coordorigin="7019,2519" coordsize="10,20" path="m7019,2538l7029,2538,7029,2519,7019,2519,7019,2538xe" filled="true" fillcolor="#000000" stroked="false">
                <v:path arrowok="t"/>
                <v:fill type="solid"/>
              </v:shape>
            </v:group>
            <v:group style="position:absolute;left:7019;top:2538;width:10;height:20" coordorigin="7019,2538" coordsize="10,20">
              <v:shape style="position:absolute;left:7019;top:2538;width:10;height:20" coordorigin="7019,2538" coordsize="10,20" path="m7019,2557l7029,2557,7029,2538,7019,2538,7019,2557xe" filled="true" fillcolor="#000000" stroked="false">
                <v:path arrowok="t"/>
                <v:fill type="solid"/>
              </v:shape>
            </v:group>
            <v:group style="position:absolute;left:7019;top:2557;width:10;height:20" coordorigin="7019,2557" coordsize="10,20">
              <v:shape style="position:absolute;left:7019;top:2557;width:10;height:20" coordorigin="7019,2557" coordsize="10,20" path="m7019,2576l7029,2576,7029,2557,7019,2557,7019,2576xe" filled="true" fillcolor="#000000" stroked="false">
                <v:path arrowok="t"/>
                <v:fill type="solid"/>
              </v:shape>
            </v:group>
            <v:group style="position:absolute;left:8361;top:2346;width:10;height:20" coordorigin="8361,2346" coordsize="10,20">
              <v:shape style="position:absolute;left:8361;top:2346;width:10;height:20" coordorigin="8361,2346" coordsize="10,20" path="m8361,2365l8370,2365,8370,2346,8361,2346,8361,2365xe" filled="true" fillcolor="#000000" stroked="false">
                <v:path arrowok="t"/>
                <v:fill type="solid"/>
              </v:shape>
            </v:group>
            <v:group style="position:absolute;left:8361;top:2365;width:10;height:20" coordorigin="8361,2365" coordsize="10,20">
              <v:shape style="position:absolute;left:8361;top:2365;width:10;height:20" coordorigin="8361,2365" coordsize="10,20" path="m8361,2384l8370,2384,8370,2365,8361,2365,8361,2384xe" filled="true" fillcolor="#000000" stroked="false">
                <v:path arrowok="t"/>
                <v:fill type="solid"/>
              </v:shape>
            </v:group>
            <v:group style="position:absolute;left:8361;top:2384;width:10;height:20" coordorigin="8361,2384" coordsize="10,20">
              <v:shape style="position:absolute;left:8361;top:2384;width:10;height:20" coordorigin="8361,2384" coordsize="10,20" path="m8361,2404l8370,2404,8370,2384,8361,2384,8361,2404xe" filled="true" fillcolor="#000000" stroked="false">
                <v:path arrowok="t"/>
                <v:fill type="solid"/>
              </v:shape>
            </v:group>
            <v:group style="position:absolute;left:8361;top:2404;width:10;height:20" coordorigin="8361,2404" coordsize="10,20">
              <v:shape style="position:absolute;left:8361;top:2404;width:10;height:20" coordorigin="8361,2404" coordsize="10,20" path="m8361,2423l8370,2423,8370,2404,8361,2404,8361,2423xe" filled="true" fillcolor="#000000" stroked="false">
                <v:path arrowok="t"/>
                <v:fill type="solid"/>
              </v:shape>
            </v:group>
            <v:group style="position:absolute;left:8361;top:2423;width:10;height:20" coordorigin="8361,2423" coordsize="10,20">
              <v:shape style="position:absolute;left:8361;top:2423;width:10;height:20" coordorigin="8361,2423" coordsize="10,20" path="m8361,2442l8370,2442,8370,2423,8361,2423,8361,2442xe" filled="true" fillcolor="#000000" stroked="false">
                <v:path arrowok="t"/>
                <v:fill type="solid"/>
              </v:shape>
            </v:group>
            <v:group style="position:absolute;left:8361;top:2442;width:10;height:20" coordorigin="8361,2442" coordsize="10,20">
              <v:shape style="position:absolute;left:8361;top:2442;width:10;height:20" coordorigin="8361,2442" coordsize="10,20" path="m8361,2461l8370,2461,8370,2442,8361,2442,8361,2461xe" filled="true" fillcolor="#000000" stroked="false">
                <v:path arrowok="t"/>
                <v:fill type="solid"/>
              </v:shape>
            </v:group>
            <v:group style="position:absolute;left:8361;top:2461;width:10;height:20" coordorigin="8361,2461" coordsize="10,20">
              <v:shape style="position:absolute;left:8361;top:2461;width:10;height:20" coordorigin="8361,2461" coordsize="10,20" path="m8361,2480l8370,2480,8370,2461,8361,2461,8361,2480xe" filled="true" fillcolor="#000000" stroked="false">
                <v:path arrowok="t"/>
                <v:fill type="solid"/>
              </v:shape>
            </v:group>
            <v:group style="position:absolute;left:8361;top:2480;width:10;height:20" coordorigin="8361,2480" coordsize="10,20">
              <v:shape style="position:absolute;left:8361;top:2480;width:10;height:20" coordorigin="8361,2480" coordsize="10,20" path="m8361,2500l8370,2500,8370,2480,8361,2480,8361,2500xe" filled="true" fillcolor="#000000" stroked="false">
                <v:path arrowok="t"/>
                <v:fill type="solid"/>
              </v:shape>
            </v:group>
            <v:group style="position:absolute;left:8361;top:2500;width:10;height:20" coordorigin="8361,2500" coordsize="10,20">
              <v:shape style="position:absolute;left:8361;top:2500;width:10;height:20" coordorigin="8361,2500" coordsize="10,20" path="m8361,2519l8370,2519,8370,2500,8361,2500,8361,2519xe" filled="true" fillcolor="#000000" stroked="false">
                <v:path arrowok="t"/>
                <v:fill type="solid"/>
              </v:shape>
            </v:group>
            <v:group style="position:absolute;left:8361;top:2519;width:10;height:20" coordorigin="8361,2519" coordsize="10,20">
              <v:shape style="position:absolute;left:8361;top:2519;width:10;height:20" coordorigin="8361,2519" coordsize="10,20" path="m8361,2538l8370,2538,8370,2519,8361,2519,8361,2538xe" filled="true" fillcolor="#000000" stroked="false">
                <v:path arrowok="t"/>
                <v:fill type="solid"/>
              </v:shape>
            </v:group>
            <v:group style="position:absolute;left:8361;top:2538;width:10;height:20" coordorigin="8361,2538" coordsize="10,20">
              <v:shape style="position:absolute;left:8361;top:2538;width:10;height:20" coordorigin="8361,2538" coordsize="10,20" path="m8361,2557l8370,2557,8370,2538,8361,2538,8361,2557xe" filled="true" fillcolor="#000000" stroked="false">
                <v:path arrowok="t"/>
                <v:fill type="solid"/>
              </v:shape>
            </v:group>
            <v:group style="position:absolute;left:8361;top:2557;width:10;height:20" coordorigin="8361,2557" coordsize="10,20">
              <v:shape style="position:absolute;left:8361;top:2557;width:10;height:20" coordorigin="8361,2557" coordsize="10,20" path="m8361,2576l8370,2576,8370,2557,8361,2557,8361,2576xe" filled="true" fillcolor="#000000" stroked="false">
                <v:path arrowok="t"/>
                <v:fill type="solid"/>
              </v:shape>
            </v:group>
            <v:group style="position:absolute;left:9237;top:2346;width:10;height:20" coordorigin="9237,2346" coordsize="10,20">
              <v:shape style="position:absolute;left:9237;top:2346;width:10;height:20" coordorigin="9237,2346" coordsize="10,20" path="m9237,2365l9247,2365,9247,2346,9237,2346,9237,2365xe" filled="true" fillcolor="#000000" stroked="false">
                <v:path arrowok="t"/>
                <v:fill type="solid"/>
              </v:shape>
            </v:group>
            <v:group style="position:absolute;left:9237;top:2365;width:10;height:20" coordorigin="9237,2365" coordsize="10,20">
              <v:shape style="position:absolute;left:9237;top:2365;width:10;height:20" coordorigin="9237,2365" coordsize="10,20" path="m9237,2384l9247,2384,9247,2365,9237,2365,9237,2384xe" filled="true" fillcolor="#000000" stroked="false">
                <v:path arrowok="t"/>
                <v:fill type="solid"/>
              </v:shape>
            </v:group>
            <v:group style="position:absolute;left:9237;top:2384;width:10;height:20" coordorigin="9237,2384" coordsize="10,20">
              <v:shape style="position:absolute;left:9237;top:2384;width:10;height:20" coordorigin="9237,2384" coordsize="10,20" path="m9237,2404l9247,2404,9247,2384,9237,2384,9237,2404xe" filled="true" fillcolor="#000000" stroked="false">
                <v:path arrowok="t"/>
                <v:fill type="solid"/>
              </v:shape>
            </v:group>
            <v:group style="position:absolute;left:9237;top:2404;width:10;height:20" coordorigin="9237,2404" coordsize="10,20">
              <v:shape style="position:absolute;left:9237;top:2404;width:10;height:20" coordorigin="9237,2404" coordsize="10,20" path="m9237,2423l9247,2423,9247,2404,9237,2404,9237,2423xe" filled="true" fillcolor="#000000" stroked="false">
                <v:path arrowok="t"/>
                <v:fill type="solid"/>
              </v:shape>
            </v:group>
            <v:group style="position:absolute;left:9237;top:2423;width:10;height:20" coordorigin="9237,2423" coordsize="10,20">
              <v:shape style="position:absolute;left:9237;top:2423;width:10;height:20" coordorigin="9237,2423" coordsize="10,20" path="m9237,2442l9247,2442,9247,2423,9237,2423,9237,2442xe" filled="true" fillcolor="#000000" stroked="false">
                <v:path arrowok="t"/>
                <v:fill type="solid"/>
              </v:shape>
            </v:group>
            <v:group style="position:absolute;left:9237;top:2442;width:10;height:20" coordorigin="9237,2442" coordsize="10,20">
              <v:shape style="position:absolute;left:9237;top:2442;width:10;height:20" coordorigin="9237,2442" coordsize="10,20" path="m9237,2461l9247,2461,9247,2442,9237,2442,9237,2461xe" filled="true" fillcolor="#000000" stroked="false">
                <v:path arrowok="t"/>
                <v:fill type="solid"/>
              </v:shape>
            </v:group>
            <v:group style="position:absolute;left:9237;top:2461;width:10;height:20" coordorigin="9237,2461" coordsize="10,20">
              <v:shape style="position:absolute;left:9237;top:2461;width:10;height:20" coordorigin="9237,2461" coordsize="10,20" path="m9237,2480l9247,2480,9247,2461,9237,2461,9237,2480xe" filled="true" fillcolor="#000000" stroked="false">
                <v:path arrowok="t"/>
                <v:fill type="solid"/>
              </v:shape>
            </v:group>
            <v:group style="position:absolute;left:9237;top:2480;width:10;height:20" coordorigin="9237,2480" coordsize="10,20">
              <v:shape style="position:absolute;left:9237;top:2480;width:10;height:20" coordorigin="9237,2480" coordsize="10,20" path="m9237,2500l9247,2500,9247,2480,9237,2480,9237,2500xe" filled="true" fillcolor="#000000" stroked="false">
                <v:path arrowok="t"/>
                <v:fill type="solid"/>
              </v:shape>
            </v:group>
            <v:group style="position:absolute;left:9237;top:2500;width:10;height:20" coordorigin="9237,2500" coordsize="10,20">
              <v:shape style="position:absolute;left:9237;top:2500;width:10;height:20" coordorigin="9237,2500" coordsize="10,20" path="m9237,2519l9247,2519,9247,2500,9237,2500,9237,2519xe" filled="true" fillcolor="#000000" stroked="false">
                <v:path arrowok="t"/>
                <v:fill type="solid"/>
              </v:shape>
            </v:group>
            <v:group style="position:absolute;left:9237;top:2519;width:10;height:20" coordorigin="9237,2519" coordsize="10,20">
              <v:shape style="position:absolute;left:9237;top:2519;width:10;height:20" coordorigin="9237,2519" coordsize="10,20" path="m9237,2538l9247,2538,9247,2519,9237,2519,9237,2538xe" filled="true" fillcolor="#000000" stroked="false">
                <v:path arrowok="t"/>
                <v:fill type="solid"/>
              </v:shape>
            </v:group>
            <v:group style="position:absolute;left:9237;top:2538;width:10;height:20" coordorigin="9237,2538" coordsize="10,20">
              <v:shape style="position:absolute;left:9237;top:2538;width:10;height:20" coordorigin="9237,2538" coordsize="10,20" path="m9237,2557l9247,2557,9247,2538,9237,2538,9237,2557xe" filled="true" fillcolor="#000000" stroked="false">
                <v:path arrowok="t"/>
                <v:fill type="solid"/>
              </v:shape>
            </v:group>
            <v:group style="position:absolute;left:9237;top:2557;width:10;height:20" coordorigin="9237,2557" coordsize="10,20">
              <v:shape style="position:absolute;left:9237;top:2557;width:10;height:20" coordorigin="9237,2557" coordsize="10,20" path="m9237,2576l9247,2576,9247,2557,9237,2557,9237,2576xe" filled="true" fillcolor="#000000" stroked="false">
                <v:path arrowok="t"/>
                <v:fill type="solid"/>
              </v:shape>
              <v:shape style="position:absolute;left:1558;top:2480;width:2821;height:108" type="#_x0000_t75" stroked="false">
                <v:imagedata r:id="rId124" o:title=""/>
              </v:shape>
              <v:shape style="position:absolute;left:4355;top:2576;width:1255;height:12" type="#_x0000_t75" stroked="false">
                <v:imagedata r:id="rId125" o:title=""/>
              </v:shape>
              <v:shape style="position:absolute;left:5595;top:2576;width:1433;height:12" type="#_x0000_t75" stroked="false">
                <v:imagedata r:id="rId126" o:title=""/>
              </v:shape>
              <v:shape style="position:absolute;left:7014;top:2576;width:1356;height:12" type="#_x0000_t75" stroked="false">
                <v:imagedata r:id="rId127" o:title=""/>
              </v:shape>
              <v:shape style="position:absolute;left:8356;top:2576;width:891;height:12" type="#_x0000_t75" stroked="false">
                <v:imagedata r:id="rId128" o:title=""/>
              </v:shape>
              <v:shape style="position:absolute;left:9232;top:2579;width:1639;height:10" type="#_x0000_t75" stroked="false">
                <v:imagedata r:id="rId122" o:title=""/>
              </v:shape>
            </v:group>
            <v:group style="position:absolute;left:5600;top:2588;width:10;height:20" coordorigin="5600,2588" coordsize="10,20">
              <v:shape style="position:absolute;left:5600;top:2588;width:10;height:20" coordorigin="5600,2588" coordsize="10,20" path="m5600,2608l5610,2608,5610,2588,5600,2588,5600,2608xe" filled="true" fillcolor="#000000" stroked="false">
                <v:path arrowok="t"/>
                <v:fill type="solid"/>
              </v:shape>
            </v:group>
            <v:group style="position:absolute;left:5600;top:2608;width:10;height:20" coordorigin="5600,2608" coordsize="10,20">
              <v:shape style="position:absolute;left:5600;top:2608;width:10;height:20" coordorigin="5600,2608" coordsize="10,20" path="m5600,2627l5610,2627,5610,2608,5600,2608,5600,2627xe" filled="true" fillcolor="#000000" stroked="false">
                <v:path arrowok="t"/>
                <v:fill type="solid"/>
              </v:shape>
            </v:group>
            <v:group style="position:absolute;left:5600;top:2627;width:10;height:20" coordorigin="5600,2627" coordsize="10,20">
              <v:shape style="position:absolute;left:5600;top:2627;width:10;height:20" coordorigin="5600,2627" coordsize="10,20" path="m5600,2646l5610,2646,5610,2627,5600,2627,5600,2646xe" filled="true" fillcolor="#000000" stroked="false">
                <v:path arrowok="t"/>
                <v:fill type="solid"/>
              </v:shape>
            </v:group>
            <v:group style="position:absolute;left:5600;top:2646;width:10;height:20" coordorigin="5600,2646" coordsize="10,20">
              <v:shape style="position:absolute;left:5600;top:2646;width:10;height:20" coordorigin="5600,2646" coordsize="10,20" path="m5600,2665l5610,2665,5610,2646,5600,2646,5600,2665xe" filled="true" fillcolor="#000000" stroked="false">
                <v:path arrowok="t"/>
                <v:fill type="solid"/>
              </v:shape>
            </v:group>
            <v:group style="position:absolute;left:5600;top:2665;width:10;height:20" coordorigin="5600,2665" coordsize="10,20">
              <v:shape style="position:absolute;left:5600;top:2665;width:10;height:20" coordorigin="5600,2665" coordsize="10,20" path="m5600,2684l5610,2684,5610,2665,5600,2665,5600,2684xe" filled="true" fillcolor="#000000" stroked="false">
                <v:path arrowok="t"/>
                <v:fill type="solid"/>
              </v:shape>
            </v:group>
            <v:group style="position:absolute;left:5600;top:2684;width:10;height:20" coordorigin="5600,2684" coordsize="10,20">
              <v:shape style="position:absolute;left:5600;top:2684;width:10;height:20" coordorigin="5600,2684" coordsize="10,20" path="m5600,2704l5610,2704,5610,2684,5600,2684,5600,2704xe" filled="true" fillcolor="#000000" stroked="false">
                <v:path arrowok="t"/>
                <v:fill type="solid"/>
              </v:shape>
            </v:group>
            <v:group style="position:absolute;left:5600;top:2704;width:10;height:20" coordorigin="5600,2704" coordsize="10,20">
              <v:shape style="position:absolute;left:5600;top:2704;width:10;height:20" coordorigin="5600,2704" coordsize="10,20" path="m5600,2723l5610,2723,5610,2704,5600,2704,5600,2723xe" filled="true" fillcolor="#000000" stroked="false">
                <v:path arrowok="t"/>
                <v:fill type="solid"/>
              </v:shape>
            </v:group>
            <v:group style="position:absolute;left:5600;top:2723;width:10;height:20" coordorigin="5600,2723" coordsize="10,20">
              <v:shape style="position:absolute;left:5600;top:2723;width:10;height:20" coordorigin="5600,2723" coordsize="10,20" path="m5600,2742l5610,2742,5610,2723,5600,2723,5600,2742xe" filled="true" fillcolor="#000000" stroked="false">
                <v:path arrowok="t"/>
                <v:fill type="solid"/>
              </v:shape>
            </v:group>
            <v:group style="position:absolute;left:5600;top:2742;width:10;height:20" coordorigin="5600,2742" coordsize="10,20">
              <v:shape style="position:absolute;left:5600;top:2742;width:10;height:20" coordorigin="5600,2742" coordsize="10,20" path="m5600,2762l5610,2762,5610,2742,5600,2742,5600,2762xe" filled="true" fillcolor="#000000" stroked="false">
                <v:path arrowok="t"/>
                <v:fill type="solid"/>
              </v:shape>
            </v:group>
            <v:group style="position:absolute;left:5600;top:2762;width:10;height:20" coordorigin="5600,2762" coordsize="10,20">
              <v:shape style="position:absolute;left:5600;top:2762;width:10;height:20" coordorigin="5600,2762" coordsize="10,20" path="m5600,2781l5610,2781,5610,2762,5600,2762,5600,2781xe" filled="true" fillcolor="#000000" stroked="false">
                <v:path arrowok="t"/>
                <v:fill type="solid"/>
              </v:shape>
            </v:group>
            <v:group style="position:absolute;left:5600;top:2781;width:10;height:20" coordorigin="5600,2781" coordsize="10,20">
              <v:shape style="position:absolute;left:5600;top:2781;width:10;height:20" coordorigin="5600,2781" coordsize="10,20" path="m5600,2800l5610,2800,5610,2781,5600,2781,5600,2800xe" filled="true" fillcolor="#000000" stroked="false">
                <v:path arrowok="t"/>
                <v:fill type="solid"/>
              </v:shape>
            </v:group>
            <v:group style="position:absolute;left:5600;top:2800;width:10;height:20" coordorigin="5600,2800" coordsize="10,20">
              <v:shape style="position:absolute;left:5600;top:2800;width:10;height:20" coordorigin="5600,2800" coordsize="10,20" path="m5600,2819l5610,2819,5610,2800,5600,2800,5600,2819xe" filled="true" fillcolor="#000000" stroked="false">
                <v:path arrowok="t"/>
                <v:fill type="solid"/>
              </v:shape>
            </v:group>
            <v:group style="position:absolute;left:5600;top:2822;width:10;height:2" coordorigin="5600,2822" coordsize="10,2">
              <v:shape style="position:absolute;left:5600;top:2822;width:10;height:2" coordorigin="5600,2822" coordsize="10,0" path="m5600,2822l5610,2822e" filled="false" stroked="true" strokeweight=".24002pt" strokecolor="#000000">
                <v:path arrowok="t"/>
              </v:shape>
            </v:group>
            <v:group style="position:absolute;left:7019;top:2588;width:10;height:20" coordorigin="7019,2588" coordsize="10,20">
              <v:shape style="position:absolute;left:7019;top:2588;width:10;height:20" coordorigin="7019,2588" coordsize="10,20" path="m7019,2608l7029,2608,7029,2588,7019,2588,7019,2608xe" filled="true" fillcolor="#000000" stroked="false">
                <v:path arrowok="t"/>
                <v:fill type="solid"/>
              </v:shape>
            </v:group>
            <v:group style="position:absolute;left:7019;top:2608;width:10;height:20" coordorigin="7019,2608" coordsize="10,20">
              <v:shape style="position:absolute;left:7019;top:2608;width:10;height:20" coordorigin="7019,2608" coordsize="10,20" path="m7019,2627l7029,2627,7029,2608,7019,2608,7019,2627xe" filled="true" fillcolor="#000000" stroked="false">
                <v:path arrowok="t"/>
                <v:fill type="solid"/>
              </v:shape>
            </v:group>
            <v:group style="position:absolute;left:7019;top:2627;width:10;height:20" coordorigin="7019,2627" coordsize="10,20">
              <v:shape style="position:absolute;left:7019;top:2627;width:10;height:20" coordorigin="7019,2627" coordsize="10,20" path="m7019,2646l7029,2646,7029,2627,7019,2627,7019,2646xe" filled="true" fillcolor="#000000" stroked="false">
                <v:path arrowok="t"/>
                <v:fill type="solid"/>
              </v:shape>
            </v:group>
            <v:group style="position:absolute;left:7019;top:2646;width:10;height:20" coordorigin="7019,2646" coordsize="10,20">
              <v:shape style="position:absolute;left:7019;top:2646;width:10;height:20" coordorigin="7019,2646" coordsize="10,20" path="m7019,2665l7029,2665,7029,2646,7019,2646,7019,2665xe" filled="true" fillcolor="#000000" stroked="false">
                <v:path arrowok="t"/>
                <v:fill type="solid"/>
              </v:shape>
            </v:group>
            <v:group style="position:absolute;left:7019;top:2665;width:10;height:20" coordorigin="7019,2665" coordsize="10,20">
              <v:shape style="position:absolute;left:7019;top:2665;width:10;height:20" coordorigin="7019,2665" coordsize="10,20" path="m7019,2684l7029,2684,7029,2665,7019,2665,7019,2684xe" filled="true" fillcolor="#000000" stroked="false">
                <v:path arrowok="t"/>
                <v:fill type="solid"/>
              </v:shape>
            </v:group>
            <v:group style="position:absolute;left:7019;top:2684;width:10;height:20" coordorigin="7019,2684" coordsize="10,20">
              <v:shape style="position:absolute;left:7019;top:2684;width:10;height:20" coordorigin="7019,2684" coordsize="10,20" path="m7019,2704l7029,2704,7029,2684,7019,2684,7019,2704xe" filled="true" fillcolor="#000000" stroked="false">
                <v:path arrowok="t"/>
                <v:fill type="solid"/>
              </v:shape>
            </v:group>
            <v:group style="position:absolute;left:7019;top:2704;width:10;height:20" coordorigin="7019,2704" coordsize="10,20">
              <v:shape style="position:absolute;left:7019;top:2704;width:10;height:20" coordorigin="7019,2704" coordsize="10,20" path="m7019,2723l7029,2723,7029,2704,7019,2704,7019,2723xe" filled="true" fillcolor="#000000" stroked="false">
                <v:path arrowok="t"/>
                <v:fill type="solid"/>
              </v:shape>
            </v:group>
            <v:group style="position:absolute;left:7019;top:2723;width:10;height:20" coordorigin="7019,2723" coordsize="10,20">
              <v:shape style="position:absolute;left:7019;top:2723;width:10;height:20" coordorigin="7019,2723" coordsize="10,20" path="m7019,2742l7029,2742,7029,2723,7019,2723,7019,2742xe" filled="true" fillcolor="#000000" stroked="false">
                <v:path arrowok="t"/>
                <v:fill type="solid"/>
              </v:shape>
            </v:group>
            <v:group style="position:absolute;left:7019;top:2742;width:10;height:20" coordorigin="7019,2742" coordsize="10,20">
              <v:shape style="position:absolute;left:7019;top:2742;width:10;height:20" coordorigin="7019,2742" coordsize="10,20" path="m7019,2762l7029,2762,7029,2742,7019,2742,7019,2762xe" filled="true" fillcolor="#000000" stroked="false">
                <v:path arrowok="t"/>
                <v:fill type="solid"/>
              </v:shape>
            </v:group>
            <v:group style="position:absolute;left:7019;top:2762;width:10;height:20" coordorigin="7019,2762" coordsize="10,20">
              <v:shape style="position:absolute;left:7019;top:2762;width:10;height:20" coordorigin="7019,2762" coordsize="10,20" path="m7019,2781l7029,2781,7029,2762,7019,2762,7019,2781xe" filled="true" fillcolor="#000000" stroked="false">
                <v:path arrowok="t"/>
                <v:fill type="solid"/>
              </v:shape>
            </v:group>
            <v:group style="position:absolute;left:7019;top:2781;width:10;height:20" coordorigin="7019,2781" coordsize="10,20">
              <v:shape style="position:absolute;left:7019;top:2781;width:10;height:20" coordorigin="7019,2781" coordsize="10,20" path="m7019,2800l7029,2800,7029,2781,7019,2781,7019,2800xe" filled="true" fillcolor="#000000" stroked="false">
                <v:path arrowok="t"/>
                <v:fill type="solid"/>
              </v:shape>
            </v:group>
            <v:group style="position:absolute;left:7019;top:2800;width:10;height:20" coordorigin="7019,2800" coordsize="10,20">
              <v:shape style="position:absolute;left:7019;top:2800;width:10;height:20" coordorigin="7019,2800" coordsize="10,20" path="m7019,2819l7029,2819,7029,2800,7019,2800,7019,2819xe" filled="true" fillcolor="#000000" stroked="false">
                <v:path arrowok="t"/>
                <v:fill type="solid"/>
              </v:shape>
            </v:group>
            <v:group style="position:absolute;left:7019;top:2822;width:10;height:2" coordorigin="7019,2822" coordsize="10,2">
              <v:shape style="position:absolute;left:7019;top:2822;width:10;height:2" coordorigin="7019,2822" coordsize="10,0" path="m7019,2822l7029,2822e" filled="false" stroked="true" strokeweight=".24002pt" strokecolor="#000000">
                <v:path arrowok="t"/>
              </v:shape>
            </v:group>
            <v:group style="position:absolute;left:8361;top:2588;width:10;height:20" coordorigin="8361,2588" coordsize="10,20">
              <v:shape style="position:absolute;left:8361;top:2588;width:10;height:20" coordorigin="8361,2588" coordsize="10,20" path="m8361,2608l8370,2608,8370,2588,8361,2588,8361,2608xe" filled="true" fillcolor="#000000" stroked="false">
                <v:path arrowok="t"/>
                <v:fill type="solid"/>
              </v:shape>
            </v:group>
            <v:group style="position:absolute;left:8361;top:2608;width:10;height:20" coordorigin="8361,2608" coordsize="10,20">
              <v:shape style="position:absolute;left:8361;top:2608;width:10;height:20" coordorigin="8361,2608" coordsize="10,20" path="m8361,2627l8370,2627,8370,2608,8361,2608,8361,2627xe" filled="true" fillcolor="#000000" stroked="false">
                <v:path arrowok="t"/>
                <v:fill type="solid"/>
              </v:shape>
            </v:group>
            <v:group style="position:absolute;left:8361;top:2627;width:10;height:20" coordorigin="8361,2627" coordsize="10,20">
              <v:shape style="position:absolute;left:8361;top:2627;width:10;height:20" coordorigin="8361,2627" coordsize="10,20" path="m8361,2646l8370,2646,8370,2627,8361,2627,8361,2646xe" filled="true" fillcolor="#000000" stroked="false">
                <v:path arrowok="t"/>
                <v:fill type="solid"/>
              </v:shape>
            </v:group>
            <v:group style="position:absolute;left:8361;top:2646;width:10;height:20" coordorigin="8361,2646" coordsize="10,20">
              <v:shape style="position:absolute;left:8361;top:2646;width:10;height:20" coordorigin="8361,2646" coordsize="10,20" path="m8361,2665l8370,2665,8370,2646,8361,2646,8361,2665xe" filled="true" fillcolor="#000000" stroked="false">
                <v:path arrowok="t"/>
                <v:fill type="solid"/>
              </v:shape>
            </v:group>
            <v:group style="position:absolute;left:8361;top:2665;width:10;height:20" coordorigin="8361,2665" coordsize="10,20">
              <v:shape style="position:absolute;left:8361;top:2665;width:10;height:20" coordorigin="8361,2665" coordsize="10,20" path="m8361,2684l8370,2684,8370,2665,8361,2665,8361,2684xe" filled="true" fillcolor="#000000" stroked="false">
                <v:path arrowok="t"/>
                <v:fill type="solid"/>
              </v:shape>
            </v:group>
            <v:group style="position:absolute;left:8361;top:2684;width:10;height:20" coordorigin="8361,2684" coordsize="10,20">
              <v:shape style="position:absolute;left:8361;top:2684;width:10;height:20" coordorigin="8361,2684" coordsize="10,20" path="m8361,2704l8370,2704,8370,2684,8361,2684,8361,2704xe" filled="true" fillcolor="#000000" stroked="false">
                <v:path arrowok="t"/>
                <v:fill type="solid"/>
              </v:shape>
            </v:group>
            <v:group style="position:absolute;left:8361;top:2704;width:10;height:20" coordorigin="8361,2704" coordsize="10,20">
              <v:shape style="position:absolute;left:8361;top:2704;width:10;height:20" coordorigin="8361,2704" coordsize="10,20" path="m8361,2723l8370,2723,8370,2704,8361,2704,8361,2723xe" filled="true" fillcolor="#000000" stroked="false">
                <v:path arrowok="t"/>
                <v:fill type="solid"/>
              </v:shape>
            </v:group>
            <v:group style="position:absolute;left:8361;top:2723;width:10;height:20" coordorigin="8361,2723" coordsize="10,20">
              <v:shape style="position:absolute;left:8361;top:2723;width:10;height:20" coordorigin="8361,2723" coordsize="10,20" path="m8361,2742l8370,2742,8370,2723,8361,2723,8361,2742xe" filled="true" fillcolor="#000000" stroked="false">
                <v:path arrowok="t"/>
                <v:fill type="solid"/>
              </v:shape>
            </v:group>
            <v:group style="position:absolute;left:8361;top:2742;width:10;height:20" coordorigin="8361,2742" coordsize="10,20">
              <v:shape style="position:absolute;left:8361;top:2742;width:10;height:20" coordorigin="8361,2742" coordsize="10,20" path="m8361,2762l8370,2762,8370,2742,8361,2742,8361,2762xe" filled="true" fillcolor="#000000" stroked="false">
                <v:path arrowok="t"/>
                <v:fill type="solid"/>
              </v:shape>
            </v:group>
            <v:group style="position:absolute;left:8361;top:2762;width:10;height:20" coordorigin="8361,2762" coordsize="10,20">
              <v:shape style="position:absolute;left:8361;top:2762;width:10;height:20" coordorigin="8361,2762" coordsize="10,20" path="m8361,2781l8370,2781,8370,2762,8361,2762,8361,2781xe" filled="true" fillcolor="#000000" stroked="false">
                <v:path arrowok="t"/>
                <v:fill type="solid"/>
              </v:shape>
            </v:group>
            <v:group style="position:absolute;left:8361;top:2781;width:10;height:20" coordorigin="8361,2781" coordsize="10,20">
              <v:shape style="position:absolute;left:8361;top:2781;width:10;height:20" coordorigin="8361,2781" coordsize="10,20" path="m8361,2800l8370,2800,8370,2781,8361,2781,8361,2800xe" filled="true" fillcolor="#000000" stroked="false">
                <v:path arrowok="t"/>
                <v:fill type="solid"/>
              </v:shape>
            </v:group>
            <v:group style="position:absolute;left:8361;top:2800;width:10;height:20" coordorigin="8361,2800" coordsize="10,20">
              <v:shape style="position:absolute;left:8361;top:2800;width:10;height:20" coordorigin="8361,2800" coordsize="10,20" path="m8361,2819l8370,2819,8370,2800,8361,2800,8361,2819xe" filled="true" fillcolor="#000000" stroked="false">
                <v:path arrowok="t"/>
                <v:fill type="solid"/>
              </v:shape>
            </v:group>
            <v:group style="position:absolute;left:8361;top:2822;width:10;height:2" coordorigin="8361,2822" coordsize="10,2">
              <v:shape style="position:absolute;left:8361;top:2822;width:10;height:2" coordorigin="8361,2822" coordsize="10,0" path="m8361,2822l8370,2822e" filled="false" stroked="true" strokeweight=".24002pt" strokecolor="#000000">
                <v:path arrowok="t"/>
              </v:shape>
            </v:group>
            <v:group style="position:absolute;left:9237;top:2588;width:10;height:20" coordorigin="9237,2588" coordsize="10,20">
              <v:shape style="position:absolute;left:9237;top:2588;width:10;height:20" coordorigin="9237,2588" coordsize="10,20" path="m9237,2608l9247,2608,9247,2588,9237,2588,9237,2608xe" filled="true" fillcolor="#000000" stroked="false">
                <v:path arrowok="t"/>
                <v:fill type="solid"/>
              </v:shape>
            </v:group>
            <v:group style="position:absolute;left:9237;top:2608;width:10;height:20" coordorigin="9237,2608" coordsize="10,20">
              <v:shape style="position:absolute;left:9237;top:2608;width:10;height:20" coordorigin="9237,2608" coordsize="10,20" path="m9237,2627l9247,2627,9247,2608,9237,2608,9237,2627xe" filled="true" fillcolor="#000000" stroked="false">
                <v:path arrowok="t"/>
                <v:fill type="solid"/>
              </v:shape>
            </v:group>
            <v:group style="position:absolute;left:9237;top:2627;width:10;height:20" coordorigin="9237,2627" coordsize="10,20">
              <v:shape style="position:absolute;left:9237;top:2627;width:10;height:20" coordorigin="9237,2627" coordsize="10,20" path="m9237,2646l9247,2646,9247,2627,9237,2627,9237,2646xe" filled="true" fillcolor="#000000" stroked="false">
                <v:path arrowok="t"/>
                <v:fill type="solid"/>
              </v:shape>
            </v:group>
            <v:group style="position:absolute;left:9237;top:2646;width:10;height:20" coordorigin="9237,2646" coordsize="10,20">
              <v:shape style="position:absolute;left:9237;top:2646;width:10;height:20" coordorigin="9237,2646" coordsize="10,20" path="m9237,2665l9247,2665,9247,2646,9237,2646,9237,2665xe" filled="true" fillcolor="#000000" stroked="false">
                <v:path arrowok="t"/>
                <v:fill type="solid"/>
              </v:shape>
            </v:group>
            <v:group style="position:absolute;left:9237;top:2665;width:10;height:20" coordorigin="9237,2665" coordsize="10,20">
              <v:shape style="position:absolute;left:9237;top:2665;width:10;height:20" coordorigin="9237,2665" coordsize="10,20" path="m9237,2684l9247,2684,9247,2665,9237,2665,9237,2684xe" filled="true" fillcolor="#000000" stroked="false">
                <v:path arrowok="t"/>
                <v:fill type="solid"/>
              </v:shape>
            </v:group>
            <v:group style="position:absolute;left:9237;top:2684;width:10;height:20" coordorigin="9237,2684" coordsize="10,20">
              <v:shape style="position:absolute;left:9237;top:2684;width:10;height:20" coordorigin="9237,2684" coordsize="10,20" path="m9237,2704l9247,2704,9247,2684,9237,2684,9237,2704xe" filled="true" fillcolor="#000000" stroked="false">
                <v:path arrowok="t"/>
                <v:fill type="solid"/>
              </v:shape>
            </v:group>
            <v:group style="position:absolute;left:9237;top:2704;width:10;height:20" coordorigin="9237,2704" coordsize="10,20">
              <v:shape style="position:absolute;left:9237;top:2704;width:10;height:20" coordorigin="9237,2704" coordsize="10,20" path="m9237,2723l9247,2723,9247,2704,9237,2704,9237,2723xe" filled="true" fillcolor="#000000" stroked="false">
                <v:path arrowok="t"/>
                <v:fill type="solid"/>
              </v:shape>
            </v:group>
            <v:group style="position:absolute;left:9237;top:2723;width:10;height:20" coordorigin="9237,2723" coordsize="10,20">
              <v:shape style="position:absolute;left:9237;top:2723;width:10;height:20" coordorigin="9237,2723" coordsize="10,20" path="m9237,2742l9247,2742,9247,2723,9237,2723,9237,2742xe" filled="true" fillcolor="#000000" stroked="false">
                <v:path arrowok="t"/>
                <v:fill type="solid"/>
              </v:shape>
            </v:group>
            <v:group style="position:absolute;left:9237;top:2742;width:10;height:20" coordorigin="9237,2742" coordsize="10,20">
              <v:shape style="position:absolute;left:9237;top:2742;width:10;height:20" coordorigin="9237,2742" coordsize="10,20" path="m9237,2762l9247,2762,9247,2742,9237,2742,9237,2762xe" filled="true" fillcolor="#000000" stroked="false">
                <v:path arrowok="t"/>
                <v:fill type="solid"/>
              </v:shape>
            </v:group>
            <v:group style="position:absolute;left:9237;top:2762;width:10;height:20" coordorigin="9237,2762" coordsize="10,20">
              <v:shape style="position:absolute;left:9237;top:2762;width:10;height:20" coordorigin="9237,2762" coordsize="10,20" path="m9237,2781l9247,2781,9247,2762,9237,2762,9237,2781xe" filled="true" fillcolor="#000000" stroked="false">
                <v:path arrowok="t"/>
                <v:fill type="solid"/>
              </v:shape>
            </v:group>
            <v:group style="position:absolute;left:9237;top:2781;width:10;height:20" coordorigin="9237,2781" coordsize="10,20">
              <v:shape style="position:absolute;left:9237;top:2781;width:10;height:20" coordorigin="9237,2781" coordsize="10,20" path="m9237,2800l9247,2800,9247,2781,9237,2781,9237,2800xe" filled="true" fillcolor="#000000" stroked="false">
                <v:path arrowok="t"/>
                <v:fill type="solid"/>
              </v:shape>
            </v:group>
            <v:group style="position:absolute;left:9237;top:2800;width:10;height:20" coordorigin="9237,2800" coordsize="10,20">
              <v:shape style="position:absolute;left:9237;top:2800;width:10;height:20" coordorigin="9237,2800" coordsize="10,20" path="m9237,2819l9247,2819,9247,2800,9237,2800,9237,2819xe" filled="true" fillcolor="#000000" stroked="false">
                <v:path arrowok="t"/>
                <v:fill type="solid"/>
              </v:shape>
            </v:group>
            <v:group style="position:absolute;left:9237;top:2822;width:10;height:2" coordorigin="9237,2822" coordsize="10,2">
              <v:shape style="position:absolute;left:9237;top:2822;width:10;height:2" coordorigin="9237,2822" coordsize="10,0" path="m9237,2822l9247,2822e" filled="false" stroked="true" strokeweight=".24002pt" strokecolor="#000000">
                <v:path arrowok="t"/>
              </v:shape>
              <v:shape style="position:absolute;left:1558;top:2824;width:2801;height:10" type="#_x0000_t75" stroked="false">
                <v:imagedata r:id="rId123" o:title=""/>
              </v:shape>
              <v:shape style="position:absolute;left:4355;top:2824;width:1246;height:10" type="#_x0000_t75" stroked="false">
                <v:imagedata r:id="rId119" o:title=""/>
              </v:shape>
              <v:shape style="position:absolute;left:5595;top:2824;width:2765;height:10" type="#_x0000_t75" stroked="false">
                <v:imagedata r:id="rId120" o:title=""/>
              </v:shape>
              <v:shape style="position:absolute;left:8356;top:2824;width:881;height:10" type="#_x0000_t75" stroked="false">
                <v:imagedata r:id="rId121" o:title=""/>
              </v:shape>
              <v:shape style="position:absolute;left:9232;top:2824;width:1639;height:10" type="#_x0000_t75" stroked="false">
                <v:imagedata r:id="rId122" o:title=""/>
              </v:shape>
            </v:group>
            <v:group style="position:absolute;left:5600;top:2834;width:10;height:20" coordorigin="5600,2834" coordsize="10,20">
              <v:shape style="position:absolute;left:5600;top:2834;width:10;height:20" coordorigin="5600,2834" coordsize="10,20" path="m5600,2853l5610,2853,5610,2834,5600,2834,5600,2853xe" filled="true" fillcolor="#000000" stroked="false">
                <v:path arrowok="t"/>
                <v:fill type="solid"/>
              </v:shape>
            </v:group>
            <v:group style="position:absolute;left:5600;top:2853;width:10;height:20" coordorigin="5600,2853" coordsize="10,20">
              <v:shape style="position:absolute;left:5600;top:2853;width:10;height:20" coordorigin="5600,2853" coordsize="10,20" path="m5600,2872l5610,2872,5610,2853,5600,2853,5600,2872xe" filled="true" fillcolor="#000000" stroked="false">
                <v:path arrowok="t"/>
                <v:fill type="solid"/>
              </v:shape>
            </v:group>
            <v:group style="position:absolute;left:5600;top:2872;width:10;height:20" coordorigin="5600,2872" coordsize="10,20">
              <v:shape style="position:absolute;left:5600;top:2872;width:10;height:20" coordorigin="5600,2872" coordsize="10,20" path="m5600,2891l5610,2891,5610,2872,5600,2872,5600,2891xe" filled="true" fillcolor="#000000" stroked="false">
                <v:path arrowok="t"/>
                <v:fill type="solid"/>
              </v:shape>
            </v:group>
            <v:group style="position:absolute;left:5600;top:2891;width:10;height:20" coordorigin="5600,2891" coordsize="10,20">
              <v:shape style="position:absolute;left:5600;top:2891;width:10;height:20" coordorigin="5600,2891" coordsize="10,20" path="m5600,2910l5610,2910,5610,2891,5600,2891,5600,2910xe" filled="true" fillcolor="#000000" stroked="false">
                <v:path arrowok="t"/>
                <v:fill type="solid"/>
              </v:shape>
            </v:group>
            <v:group style="position:absolute;left:5600;top:2910;width:10;height:20" coordorigin="5600,2910" coordsize="10,20">
              <v:shape style="position:absolute;left:5600;top:2910;width:10;height:20" coordorigin="5600,2910" coordsize="10,20" path="m5600,2930l5610,2930,5610,2910,5600,2910,5600,2930xe" filled="true" fillcolor="#000000" stroked="false">
                <v:path arrowok="t"/>
                <v:fill type="solid"/>
              </v:shape>
            </v:group>
            <v:group style="position:absolute;left:5600;top:2930;width:10;height:20" coordorigin="5600,2930" coordsize="10,20">
              <v:shape style="position:absolute;left:5600;top:2930;width:10;height:20" coordorigin="5600,2930" coordsize="10,20" path="m5600,2949l5610,2949,5610,2930,5600,2930,5600,2949xe" filled="true" fillcolor="#000000" stroked="false">
                <v:path arrowok="t"/>
                <v:fill type="solid"/>
              </v:shape>
            </v:group>
            <v:group style="position:absolute;left:5600;top:2949;width:10;height:20" coordorigin="5600,2949" coordsize="10,20">
              <v:shape style="position:absolute;left:5600;top:2949;width:10;height:20" coordorigin="5600,2949" coordsize="10,20" path="m5600,2968l5610,2968,5610,2949,5600,2949,5600,2968xe" filled="true" fillcolor="#000000" stroked="false">
                <v:path arrowok="t"/>
                <v:fill type="solid"/>
              </v:shape>
            </v:group>
            <v:group style="position:absolute;left:5600;top:2968;width:10;height:20" coordorigin="5600,2968" coordsize="10,20">
              <v:shape style="position:absolute;left:5600;top:2968;width:10;height:20" coordorigin="5600,2968" coordsize="10,20" path="m5600,2987l5610,2987,5610,2968,5600,2968,5600,2987xe" filled="true" fillcolor="#000000" stroked="false">
                <v:path arrowok="t"/>
                <v:fill type="solid"/>
              </v:shape>
            </v:group>
            <v:group style="position:absolute;left:5600;top:2987;width:10;height:20" coordorigin="5600,2987" coordsize="10,20">
              <v:shape style="position:absolute;left:5600;top:2987;width:10;height:20" coordorigin="5600,2987" coordsize="10,20" path="m5600,3006l5610,3006,5610,2987,5600,2987,5600,3006xe" filled="true" fillcolor="#000000" stroked="false">
                <v:path arrowok="t"/>
                <v:fill type="solid"/>
              </v:shape>
            </v:group>
            <v:group style="position:absolute;left:5600;top:3006;width:10;height:20" coordorigin="5600,3006" coordsize="10,20">
              <v:shape style="position:absolute;left:5600;top:3006;width:10;height:20" coordorigin="5600,3006" coordsize="10,20" path="m5600,3026l5610,3026,5610,3006,5600,3006,5600,3026xe" filled="true" fillcolor="#000000" stroked="false">
                <v:path arrowok="t"/>
                <v:fill type="solid"/>
              </v:shape>
            </v:group>
            <v:group style="position:absolute;left:5600;top:3026;width:10;height:20" coordorigin="5600,3026" coordsize="10,20">
              <v:shape style="position:absolute;left:5600;top:3026;width:10;height:20" coordorigin="5600,3026" coordsize="10,20" path="m5600,3045l5610,3045,5610,3026,5600,3026,5600,3045xe" filled="true" fillcolor="#000000" stroked="false">
                <v:path arrowok="t"/>
                <v:fill type="solid"/>
              </v:shape>
            </v:group>
            <v:group style="position:absolute;left:5600;top:3045;width:10;height:20" coordorigin="5600,3045" coordsize="10,20">
              <v:shape style="position:absolute;left:5600;top:3045;width:10;height:20" coordorigin="5600,3045" coordsize="10,20" path="m5600,3064l5610,3064,5610,3045,5600,3045,5600,3064xe" filled="true" fillcolor="#000000" stroked="false">
                <v:path arrowok="t"/>
                <v:fill type="solid"/>
              </v:shape>
            </v:group>
            <v:group style="position:absolute;left:7019;top:2834;width:10;height:20" coordorigin="7019,2834" coordsize="10,20">
              <v:shape style="position:absolute;left:7019;top:2834;width:10;height:20" coordorigin="7019,2834" coordsize="10,20" path="m7019,2853l7029,2853,7029,2834,7019,2834,7019,2853xe" filled="true" fillcolor="#000000" stroked="false">
                <v:path arrowok="t"/>
                <v:fill type="solid"/>
              </v:shape>
            </v:group>
            <v:group style="position:absolute;left:7019;top:2853;width:10;height:20" coordorigin="7019,2853" coordsize="10,20">
              <v:shape style="position:absolute;left:7019;top:2853;width:10;height:20" coordorigin="7019,2853" coordsize="10,20" path="m7019,2872l7029,2872,7029,2853,7019,2853,7019,2872xe" filled="true" fillcolor="#000000" stroked="false">
                <v:path arrowok="t"/>
                <v:fill type="solid"/>
              </v:shape>
            </v:group>
            <v:group style="position:absolute;left:7019;top:2872;width:10;height:20" coordorigin="7019,2872" coordsize="10,20">
              <v:shape style="position:absolute;left:7019;top:2872;width:10;height:20" coordorigin="7019,2872" coordsize="10,20" path="m7019,2891l7029,2891,7029,2872,7019,2872,7019,2891xe" filled="true" fillcolor="#000000" stroked="false">
                <v:path arrowok="t"/>
                <v:fill type="solid"/>
              </v:shape>
            </v:group>
            <v:group style="position:absolute;left:7019;top:2891;width:10;height:20" coordorigin="7019,2891" coordsize="10,20">
              <v:shape style="position:absolute;left:7019;top:2891;width:10;height:20" coordorigin="7019,2891" coordsize="10,20" path="m7019,2910l7029,2910,7029,2891,7019,2891,7019,2910xe" filled="true" fillcolor="#000000" stroked="false">
                <v:path arrowok="t"/>
                <v:fill type="solid"/>
              </v:shape>
            </v:group>
            <v:group style="position:absolute;left:7019;top:2910;width:10;height:20" coordorigin="7019,2910" coordsize="10,20">
              <v:shape style="position:absolute;left:7019;top:2910;width:10;height:20" coordorigin="7019,2910" coordsize="10,20" path="m7019,2930l7029,2930,7029,2910,7019,2910,7019,2930xe" filled="true" fillcolor="#000000" stroked="false">
                <v:path arrowok="t"/>
                <v:fill type="solid"/>
              </v:shape>
            </v:group>
            <v:group style="position:absolute;left:7019;top:2930;width:10;height:20" coordorigin="7019,2930" coordsize="10,20">
              <v:shape style="position:absolute;left:7019;top:2930;width:10;height:20" coordorigin="7019,2930" coordsize="10,20" path="m7019,2949l7029,2949,7029,2930,7019,2930,7019,2949xe" filled="true" fillcolor="#000000" stroked="false">
                <v:path arrowok="t"/>
                <v:fill type="solid"/>
              </v:shape>
            </v:group>
            <v:group style="position:absolute;left:7019;top:2949;width:10;height:20" coordorigin="7019,2949" coordsize="10,20">
              <v:shape style="position:absolute;left:7019;top:2949;width:10;height:20" coordorigin="7019,2949" coordsize="10,20" path="m7019,2968l7029,2968,7029,2949,7019,2949,7019,2968xe" filled="true" fillcolor="#000000" stroked="false">
                <v:path arrowok="t"/>
                <v:fill type="solid"/>
              </v:shape>
            </v:group>
            <v:group style="position:absolute;left:7019;top:2968;width:10;height:20" coordorigin="7019,2968" coordsize="10,20">
              <v:shape style="position:absolute;left:7019;top:2968;width:10;height:20" coordorigin="7019,2968" coordsize="10,20" path="m7019,2987l7029,2987,7029,2968,7019,2968,7019,2987xe" filled="true" fillcolor="#000000" stroked="false">
                <v:path arrowok="t"/>
                <v:fill type="solid"/>
              </v:shape>
            </v:group>
            <v:group style="position:absolute;left:7019;top:2987;width:10;height:20" coordorigin="7019,2987" coordsize="10,20">
              <v:shape style="position:absolute;left:7019;top:2987;width:10;height:20" coordorigin="7019,2987" coordsize="10,20" path="m7019,3006l7029,3006,7029,2987,7019,2987,7019,3006xe" filled="true" fillcolor="#000000" stroked="false">
                <v:path arrowok="t"/>
                <v:fill type="solid"/>
              </v:shape>
            </v:group>
            <v:group style="position:absolute;left:7019;top:3006;width:10;height:20" coordorigin="7019,3006" coordsize="10,20">
              <v:shape style="position:absolute;left:7019;top:3006;width:10;height:20" coordorigin="7019,3006" coordsize="10,20" path="m7019,3026l7029,3026,7029,3006,7019,3006,7019,3026xe" filled="true" fillcolor="#000000" stroked="false">
                <v:path arrowok="t"/>
                <v:fill type="solid"/>
              </v:shape>
            </v:group>
            <v:group style="position:absolute;left:7019;top:3026;width:10;height:20" coordorigin="7019,3026" coordsize="10,20">
              <v:shape style="position:absolute;left:7019;top:3026;width:10;height:20" coordorigin="7019,3026" coordsize="10,20" path="m7019,3045l7029,3045,7029,3026,7019,3026,7019,3045xe" filled="true" fillcolor="#000000" stroked="false">
                <v:path arrowok="t"/>
                <v:fill type="solid"/>
              </v:shape>
            </v:group>
            <v:group style="position:absolute;left:7019;top:3045;width:10;height:20" coordorigin="7019,3045" coordsize="10,20">
              <v:shape style="position:absolute;left:7019;top:3045;width:10;height:20" coordorigin="7019,3045" coordsize="10,20" path="m7019,3064l7029,3064,7029,3045,7019,3045,7019,3064xe" filled="true" fillcolor="#000000" stroked="false">
                <v:path arrowok="t"/>
                <v:fill type="solid"/>
              </v:shape>
            </v:group>
            <v:group style="position:absolute;left:8361;top:2834;width:10;height:20" coordorigin="8361,2834" coordsize="10,20">
              <v:shape style="position:absolute;left:8361;top:2834;width:10;height:20" coordorigin="8361,2834" coordsize="10,20" path="m8361,2853l8370,2853,8370,2834,8361,2834,8361,2853xe" filled="true" fillcolor="#000000" stroked="false">
                <v:path arrowok="t"/>
                <v:fill type="solid"/>
              </v:shape>
            </v:group>
            <v:group style="position:absolute;left:8361;top:2853;width:10;height:20" coordorigin="8361,2853" coordsize="10,20">
              <v:shape style="position:absolute;left:8361;top:2853;width:10;height:20" coordorigin="8361,2853" coordsize="10,20" path="m8361,2872l8370,2872,8370,2853,8361,2853,8361,2872xe" filled="true" fillcolor="#000000" stroked="false">
                <v:path arrowok="t"/>
                <v:fill type="solid"/>
              </v:shape>
            </v:group>
            <v:group style="position:absolute;left:8361;top:2872;width:10;height:20" coordorigin="8361,2872" coordsize="10,20">
              <v:shape style="position:absolute;left:8361;top:2872;width:10;height:20" coordorigin="8361,2872" coordsize="10,20" path="m8361,2891l8370,2891,8370,2872,8361,2872,8361,2891xe" filled="true" fillcolor="#000000" stroked="false">
                <v:path arrowok="t"/>
                <v:fill type="solid"/>
              </v:shape>
            </v:group>
            <v:group style="position:absolute;left:8361;top:2891;width:10;height:20" coordorigin="8361,2891" coordsize="10,20">
              <v:shape style="position:absolute;left:8361;top:2891;width:10;height:20" coordorigin="8361,2891" coordsize="10,20" path="m8361,2910l8370,2910,8370,2891,8361,2891,8361,2910xe" filled="true" fillcolor="#000000" stroked="false">
                <v:path arrowok="t"/>
                <v:fill type="solid"/>
              </v:shape>
            </v:group>
            <v:group style="position:absolute;left:8361;top:2910;width:10;height:20" coordorigin="8361,2910" coordsize="10,20">
              <v:shape style="position:absolute;left:8361;top:2910;width:10;height:20" coordorigin="8361,2910" coordsize="10,20" path="m8361,2930l8370,2930,8370,2910,8361,2910,8361,2930xe" filled="true" fillcolor="#000000" stroked="false">
                <v:path arrowok="t"/>
                <v:fill type="solid"/>
              </v:shape>
            </v:group>
            <v:group style="position:absolute;left:8361;top:2930;width:10;height:20" coordorigin="8361,2930" coordsize="10,20">
              <v:shape style="position:absolute;left:8361;top:2930;width:10;height:20" coordorigin="8361,2930" coordsize="10,20" path="m8361,2949l8370,2949,8370,2930,8361,2930,8361,2949xe" filled="true" fillcolor="#000000" stroked="false">
                <v:path arrowok="t"/>
                <v:fill type="solid"/>
              </v:shape>
            </v:group>
            <v:group style="position:absolute;left:8361;top:2949;width:10;height:20" coordorigin="8361,2949" coordsize="10,20">
              <v:shape style="position:absolute;left:8361;top:2949;width:10;height:20" coordorigin="8361,2949" coordsize="10,20" path="m8361,2968l8370,2968,8370,2949,8361,2949,8361,2968xe" filled="true" fillcolor="#000000" stroked="false">
                <v:path arrowok="t"/>
                <v:fill type="solid"/>
              </v:shape>
            </v:group>
            <v:group style="position:absolute;left:8361;top:2968;width:10;height:20" coordorigin="8361,2968" coordsize="10,20">
              <v:shape style="position:absolute;left:8361;top:2968;width:10;height:20" coordorigin="8361,2968" coordsize="10,20" path="m8361,2987l8370,2987,8370,2968,8361,2968,8361,2987xe" filled="true" fillcolor="#000000" stroked="false">
                <v:path arrowok="t"/>
                <v:fill type="solid"/>
              </v:shape>
            </v:group>
            <v:group style="position:absolute;left:8361;top:2987;width:10;height:20" coordorigin="8361,2987" coordsize="10,20">
              <v:shape style="position:absolute;left:8361;top:2987;width:10;height:20" coordorigin="8361,2987" coordsize="10,20" path="m8361,3006l8370,3006,8370,2987,8361,2987,8361,3006xe" filled="true" fillcolor="#000000" stroked="false">
                <v:path arrowok="t"/>
                <v:fill type="solid"/>
              </v:shape>
            </v:group>
            <v:group style="position:absolute;left:8361;top:3006;width:10;height:20" coordorigin="8361,3006" coordsize="10,20">
              <v:shape style="position:absolute;left:8361;top:3006;width:10;height:20" coordorigin="8361,3006" coordsize="10,20" path="m8361,3026l8370,3026,8370,3006,8361,3006,8361,3026xe" filled="true" fillcolor="#000000" stroked="false">
                <v:path arrowok="t"/>
                <v:fill type="solid"/>
              </v:shape>
            </v:group>
            <v:group style="position:absolute;left:8361;top:3026;width:10;height:20" coordorigin="8361,3026" coordsize="10,20">
              <v:shape style="position:absolute;left:8361;top:3026;width:10;height:20" coordorigin="8361,3026" coordsize="10,20" path="m8361,3045l8370,3045,8370,3026,8361,3026,8361,3045xe" filled="true" fillcolor="#000000" stroked="false">
                <v:path arrowok="t"/>
                <v:fill type="solid"/>
              </v:shape>
            </v:group>
            <v:group style="position:absolute;left:8361;top:3045;width:10;height:20" coordorigin="8361,3045" coordsize="10,20">
              <v:shape style="position:absolute;left:8361;top:3045;width:10;height:20" coordorigin="8361,3045" coordsize="10,20" path="m8361,3064l8370,3064,8370,3045,8361,3045,8361,3064xe" filled="true" fillcolor="#000000" stroked="false">
                <v:path arrowok="t"/>
                <v:fill type="solid"/>
              </v:shape>
            </v:group>
            <v:group style="position:absolute;left:9237;top:2834;width:10;height:20" coordorigin="9237,2834" coordsize="10,20">
              <v:shape style="position:absolute;left:9237;top:2834;width:10;height:20" coordorigin="9237,2834" coordsize="10,20" path="m9237,2853l9247,2853,9247,2834,9237,2834,9237,2853xe" filled="true" fillcolor="#000000" stroked="false">
                <v:path arrowok="t"/>
                <v:fill type="solid"/>
              </v:shape>
            </v:group>
            <v:group style="position:absolute;left:9237;top:2853;width:10;height:20" coordorigin="9237,2853" coordsize="10,20">
              <v:shape style="position:absolute;left:9237;top:2853;width:10;height:20" coordorigin="9237,2853" coordsize="10,20" path="m9237,2872l9247,2872,9247,2853,9237,2853,9237,2872xe" filled="true" fillcolor="#000000" stroked="false">
                <v:path arrowok="t"/>
                <v:fill type="solid"/>
              </v:shape>
            </v:group>
            <v:group style="position:absolute;left:9237;top:2872;width:10;height:20" coordorigin="9237,2872" coordsize="10,20">
              <v:shape style="position:absolute;left:9237;top:2872;width:10;height:20" coordorigin="9237,2872" coordsize="10,20" path="m9237,2891l9247,2891,9247,2872,9237,2872,9237,2891xe" filled="true" fillcolor="#000000" stroked="false">
                <v:path arrowok="t"/>
                <v:fill type="solid"/>
              </v:shape>
            </v:group>
            <v:group style="position:absolute;left:9237;top:2891;width:10;height:20" coordorigin="9237,2891" coordsize="10,20">
              <v:shape style="position:absolute;left:9237;top:2891;width:10;height:20" coordorigin="9237,2891" coordsize="10,20" path="m9237,2910l9247,2910,9247,2891,9237,2891,9237,2910xe" filled="true" fillcolor="#000000" stroked="false">
                <v:path arrowok="t"/>
                <v:fill type="solid"/>
              </v:shape>
            </v:group>
            <v:group style="position:absolute;left:9237;top:2910;width:10;height:20" coordorigin="9237,2910" coordsize="10,20">
              <v:shape style="position:absolute;left:9237;top:2910;width:10;height:20" coordorigin="9237,2910" coordsize="10,20" path="m9237,2930l9247,2930,9247,2910,9237,2910,9237,2930xe" filled="true" fillcolor="#000000" stroked="false">
                <v:path arrowok="t"/>
                <v:fill type="solid"/>
              </v:shape>
            </v:group>
            <v:group style="position:absolute;left:9237;top:2930;width:10;height:20" coordorigin="9237,2930" coordsize="10,20">
              <v:shape style="position:absolute;left:9237;top:2930;width:10;height:20" coordorigin="9237,2930" coordsize="10,20" path="m9237,2949l9247,2949,9247,2930,9237,2930,9237,2949xe" filled="true" fillcolor="#000000" stroked="false">
                <v:path arrowok="t"/>
                <v:fill type="solid"/>
              </v:shape>
            </v:group>
            <v:group style="position:absolute;left:9237;top:2949;width:10;height:20" coordorigin="9237,2949" coordsize="10,20">
              <v:shape style="position:absolute;left:9237;top:2949;width:10;height:20" coordorigin="9237,2949" coordsize="10,20" path="m9237,2968l9247,2968,9247,2949,9237,2949,9237,2968xe" filled="true" fillcolor="#000000" stroked="false">
                <v:path arrowok="t"/>
                <v:fill type="solid"/>
              </v:shape>
            </v:group>
            <v:group style="position:absolute;left:9237;top:2968;width:10;height:20" coordorigin="9237,2968" coordsize="10,20">
              <v:shape style="position:absolute;left:9237;top:2968;width:10;height:20" coordorigin="9237,2968" coordsize="10,20" path="m9237,2987l9247,2987,9247,2968,9237,2968,9237,2987xe" filled="true" fillcolor="#000000" stroked="false">
                <v:path arrowok="t"/>
                <v:fill type="solid"/>
              </v:shape>
            </v:group>
            <v:group style="position:absolute;left:9237;top:2987;width:10;height:20" coordorigin="9237,2987" coordsize="10,20">
              <v:shape style="position:absolute;left:9237;top:2987;width:10;height:20" coordorigin="9237,2987" coordsize="10,20" path="m9237,3006l9247,3006,9247,2987,9237,2987,9237,3006xe" filled="true" fillcolor="#000000" stroked="false">
                <v:path arrowok="t"/>
                <v:fill type="solid"/>
              </v:shape>
            </v:group>
            <v:group style="position:absolute;left:9237;top:3006;width:10;height:20" coordorigin="9237,3006" coordsize="10,20">
              <v:shape style="position:absolute;left:9237;top:3006;width:10;height:20" coordorigin="9237,3006" coordsize="10,20" path="m9237,3026l9247,3026,9247,3006,9237,3006,9237,3026xe" filled="true" fillcolor="#000000" stroked="false">
                <v:path arrowok="t"/>
                <v:fill type="solid"/>
              </v:shape>
            </v:group>
            <v:group style="position:absolute;left:9237;top:3026;width:10;height:20" coordorigin="9237,3026" coordsize="10,20">
              <v:shape style="position:absolute;left:9237;top:3026;width:10;height:20" coordorigin="9237,3026" coordsize="10,20" path="m9237,3045l9247,3045,9247,3026,9237,3026,9237,3045xe" filled="true" fillcolor="#000000" stroked="false">
                <v:path arrowok="t"/>
                <v:fill type="solid"/>
              </v:shape>
            </v:group>
            <v:group style="position:absolute;left:9237;top:3045;width:10;height:20" coordorigin="9237,3045" coordsize="10,20">
              <v:shape style="position:absolute;left:9237;top:3045;width:10;height:20" coordorigin="9237,3045" coordsize="10,20" path="m9237,3064l9247,3064,9247,3045,9237,3045,9237,3064xe" filled="true" fillcolor="#000000" stroked="false">
                <v:path arrowok="t"/>
                <v:fill type="solid"/>
              </v:shape>
              <v:shape style="position:absolute;left:1558;top:2968;width:2821;height:108" type="#_x0000_t75" stroked="false">
                <v:imagedata r:id="rId124" o:title=""/>
              </v:shape>
              <v:shape style="position:absolute;left:4355;top:3064;width:1255;height:12" type="#_x0000_t75" stroked="false">
                <v:imagedata r:id="rId125" o:title=""/>
              </v:shape>
              <v:shape style="position:absolute;left:5595;top:3064;width:1433;height:12" type="#_x0000_t75" stroked="false">
                <v:imagedata r:id="rId126" o:title=""/>
              </v:shape>
              <v:shape style="position:absolute;left:7014;top:3064;width:1356;height:12" type="#_x0000_t75" stroked="false">
                <v:imagedata r:id="rId127" o:title=""/>
              </v:shape>
              <v:shape style="position:absolute;left:8356;top:3064;width:891;height:12" type="#_x0000_t75" stroked="false">
                <v:imagedata r:id="rId128" o:title=""/>
              </v:shape>
              <v:shape style="position:absolute;left:9232;top:3066;width:1639;height:10" type="#_x0000_t75" stroked="false">
                <v:imagedata r:id="rId122" o:title=""/>
              </v:shape>
            </v:group>
            <v:group style="position:absolute;left:4359;top:3076;width:10;height:20" coordorigin="4359,3076" coordsize="10,20">
              <v:shape style="position:absolute;left:4359;top:3076;width:10;height:20" coordorigin="4359,3076" coordsize="10,20" path="m4359,3095l4369,3095,4369,3076,4359,3076,4359,3095xe" filled="true" fillcolor="#000000" stroked="false">
                <v:path arrowok="t"/>
                <v:fill type="solid"/>
              </v:shape>
            </v:group>
            <v:group style="position:absolute;left:4359;top:3095;width:10;height:20" coordorigin="4359,3095" coordsize="10,20">
              <v:shape style="position:absolute;left:4359;top:3095;width:10;height:20" coordorigin="4359,3095" coordsize="10,20" path="m4359,3114l4369,3114,4369,3095,4359,3095,4359,3114xe" filled="true" fillcolor="#000000" stroked="false">
                <v:path arrowok="t"/>
                <v:fill type="solid"/>
              </v:shape>
            </v:group>
            <v:group style="position:absolute;left:4359;top:3114;width:10;height:20" coordorigin="4359,3114" coordsize="10,20">
              <v:shape style="position:absolute;left:4359;top:3114;width:10;height:20" coordorigin="4359,3114" coordsize="10,20" path="m4359,3134l4369,3134,4369,3114,4359,3114,4359,3134xe" filled="true" fillcolor="#000000" stroked="false">
                <v:path arrowok="t"/>
                <v:fill type="solid"/>
              </v:shape>
            </v:group>
            <v:group style="position:absolute;left:4359;top:3134;width:10;height:20" coordorigin="4359,3134" coordsize="10,20">
              <v:shape style="position:absolute;left:4359;top:3134;width:10;height:20" coordorigin="4359,3134" coordsize="10,20" path="m4359,3153l4369,3153,4369,3134,4359,3134,4359,3153xe" filled="true" fillcolor="#000000" stroked="false">
                <v:path arrowok="t"/>
                <v:fill type="solid"/>
              </v:shape>
            </v:group>
            <v:group style="position:absolute;left:4359;top:3153;width:10;height:20" coordorigin="4359,3153" coordsize="10,20">
              <v:shape style="position:absolute;left:4359;top:3153;width:10;height:20" coordorigin="4359,3153" coordsize="10,20" path="m4359,3172l4369,3172,4369,3153,4359,3153,4359,3172xe" filled="true" fillcolor="#000000" stroked="false">
                <v:path arrowok="t"/>
                <v:fill type="solid"/>
              </v:shape>
            </v:group>
            <v:group style="position:absolute;left:4359;top:3172;width:10;height:20" coordorigin="4359,3172" coordsize="10,20">
              <v:shape style="position:absolute;left:4359;top:3172;width:10;height:20" coordorigin="4359,3172" coordsize="10,20" path="m4359,3191l4369,3191,4369,3172,4359,3172,4359,3191xe" filled="true" fillcolor="#000000" stroked="false">
                <v:path arrowok="t"/>
                <v:fill type="solid"/>
              </v:shape>
            </v:group>
            <v:group style="position:absolute;left:4359;top:3191;width:10;height:20" coordorigin="4359,3191" coordsize="10,20">
              <v:shape style="position:absolute;left:4359;top:3191;width:10;height:20" coordorigin="4359,3191" coordsize="10,20" path="m4359,3210l4369,3210,4369,3191,4359,3191,4359,3210xe" filled="true" fillcolor="#000000" stroked="false">
                <v:path arrowok="t"/>
                <v:fill type="solid"/>
              </v:shape>
            </v:group>
            <v:group style="position:absolute;left:5600;top:3076;width:10;height:20" coordorigin="5600,3076" coordsize="10,20">
              <v:shape style="position:absolute;left:5600;top:3076;width:10;height:20" coordorigin="5600,3076" coordsize="10,20" path="m5600,3095l5610,3095,5610,3076,5600,3076,5600,3095xe" filled="true" fillcolor="#000000" stroked="false">
                <v:path arrowok="t"/>
                <v:fill type="solid"/>
              </v:shape>
            </v:group>
            <v:group style="position:absolute;left:5600;top:3095;width:10;height:20" coordorigin="5600,3095" coordsize="10,20">
              <v:shape style="position:absolute;left:5600;top:3095;width:10;height:20" coordorigin="5600,3095" coordsize="10,20" path="m5600,3114l5610,3114,5610,3095,5600,3095,5600,3114xe" filled="true" fillcolor="#000000" stroked="false">
                <v:path arrowok="t"/>
                <v:fill type="solid"/>
              </v:shape>
            </v:group>
            <v:group style="position:absolute;left:5600;top:3114;width:10;height:20" coordorigin="5600,3114" coordsize="10,20">
              <v:shape style="position:absolute;left:5600;top:3114;width:10;height:20" coordorigin="5600,3114" coordsize="10,20" path="m5600,3134l5610,3134,5610,3114,5600,3114,5600,3134xe" filled="true" fillcolor="#000000" stroked="false">
                <v:path arrowok="t"/>
                <v:fill type="solid"/>
              </v:shape>
            </v:group>
            <v:group style="position:absolute;left:5600;top:3134;width:10;height:20" coordorigin="5600,3134" coordsize="10,20">
              <v:shape style="position:absolute;left:5600;top:3134;width:10;height:20" coordorigin="5600,3134" coordsize="10,20" path="m5600,3153l5610,3153,5610,3134,5600,3134,5600,3153xe" filled="true" fillcolor="#000000" stroked="false">
                <v:path arrowok="t"/>
                <v:fill type="solid"/>
              </v:shape>
            </v:group>
            <v:group style="position:absolute;left:5600;top:3153;width:10;height:20" coordorigin="5600,3153" coordsize="10,20">
              <v:shape style="position:absolute;left:5600;top:3153;width:10;height:20" coordorigin="5600,3153" coordsize="10,20" path="m5600,3172l5610,3172,5610,3153,5600,3153,5600,3172xe" filled="true" fillcolor="#000000" stroked="false">
                <v:path arrowok="t"/>
                <v:fill type="solid"/>
              </v:shape>
            </v:group>
            <v:group style="position:absolute;left:5600;top:3172;width:10;height:20" coordorigin="5600,3172" coordsize="10,20">
              <v:shape style="position:absolute;left:5600;top:3172;width:10;height:20" coordorigin="5600,3172" coordsize="10,20" path="m5600,3191l5610,3191,5610,3172,5600,3172,5600,3191xe" filled="true" fillcolor="#000000" stroked="false">
                <v:path arrowok="t"/>
                <v:fill type="solid"/>
              </v:shape>
            </v:group>
            <v:group style="position:absolute;left:5600;top:3191;width:10;height:20" coordorigin="5600,3191" coordsize="10,20">
              <v:shape style="position:absolute;left:5600;top:3191;width:10;height:20" coordorigin="5600,3191" coordsize="10,20" path="m5600,3210l5610,3210,5610,3191,5600,3191,5600,3210xe" filled="true" fillcolor="#000000" stroked="false">
                <v:path arrowok="t"/>
                <v:fill type="solid"/>
              </v:shape>
            </v:group>
            <v:group style="position:absolute;left:5600;top:3210;width:10;height:20" coordorigin="5600,3210" coordsize="10,20">
              <v:shape style="position:absolute;left:5600;top:3210;width:10;height:20" coordorigin="5600,3210" coordsize="10,20" path="m5600,3230l5610,3230,5610,3210,5600,3210,5600,3230xe" filled="true" fillcolor="#000000" stroked="false">
                <v:path arrowok="t"/>
                <v:fill type="solid"/>
              </v:shape>
            </v:group>
            <v:group style="position:absolute;left:5600;top:3230;width:10;height:20" coordorigin="5600,3230" coordsize="10,20">
              <v:shape style="position:absolute;left:5600;top:3230;width:10;height:20" coordorigin="5600,3230" coordsize="10,20" path="m5600,3249l5610,3249,5610,3230,5600,3230,5600,3249xe" filled="true" fillcolor="#000000" stroked="false">
                <v:path arrowok="t"/>
                <v:fill type="solid"/>
              </v:shape>
            </v:group>
            <v:group style="position:absolute;left:5600;top:3249;width:10;height:20" coordorigin="5600,3249" coordsize="10,20">
              <v:shape style="position:absolute;left:5600;top:3249;width:10;height:20" coordorigin="5600,3249" coordsize="10,20" path="m5600,3268l5610,3268,5610,3249,5600,3249,5600,3268xe" filled="true" fillcolor="#000000" stroked="false">
                <v:path arrowok="t"/>
                <v:fill type="solid"/>
              </v:shape>
            </v:group>
            <v:group style="position:absolute;left:5600;top:3268;width:10;height:20" coordorigin="5600,3268" coordsize="10,20">
              <v:shape style="position:absolute;left:5600;top:3268;width:10;height:20" coordorigin="5600,3268" coordsize="10,20" path="m5600,3287l5610,3287,5610,3268,5600,3268,5600,3287xe" filled="true" fillcolor="#000000" stroked="false">
                <v:path arrowok="t"/>
                <v:fill type="solid"/>
              </v:shape>
            </v:group>
            <v:group style="position:absolute;left:5600;top:3287;width:10;height:20" coordorigin="5600,3287" coordsize="10,20">
              <v:shape style="position:absolute;left:5600;top:3287;width:10;height:20" coordorigin="5600,3287" coordsize="10,20" path="m5600,3306l5610,3306,5610,3287,5600,3287,5600,3306xe" filled="true" fillcolor="#000000" stroked="false">
                <v:path arrowok="t"/>
                <v:fill type="solid"/>
              </v:shape>
            </v:group>
            <v:group style="position:absolute;left:7019;top:3076;width:10;height:20" coordorigin="7019,3076" coordsize="10,20">
              <v:shape style="position:absolute;left:7019;top:3076;width:10;height:20" coordorigin="7019,3076" coordsize="10,20" path="m7019,3095l7029,3095,7029,3076,7019,3076,7019,3095xe" filled="true" fillcolor="#000000" stroked="false">
                <v:path arrowok="t"/>
                <v:fill type="solid"/>
              </v:shape>
            </v:group>
            <v:group style="position:absolute;left:7019;top:3095;width:10;height:20" coordorigin="7019,3095" coordsize="10,20">
              <v:shape style="position:absolute;left:7019;top:3095;width:10;height:20" coordorigin="7019,3095" coordsize="10,20" path="m7019,3114l7029,3114,7029,3095,7019,3095,7019,3114xe" filled="true" fillcolor="#000000" stroked="false">
                <v:path arrowok="t"/>
                <v:fill type="solid"/>
              </v:shape>
            </v:group>
            <v:group style="position:absolute;left:7019;top:3114;width:10;height:20" coordorigin="7019,3114" coordsize="10,20">
              <v:shape style="position:absolute;left:7019;top:3114;width:10;height:20" coordorigin="7019,3114" coordsize="10,20" path="m7019,3134l7029,3134,7029,3114,7019,3114,7019,3134xe" filled="true" fillcolor="#000000" stroked="false">
                <v:path arrowok="t"/>
                <v:fill type="solid"/>
              </v:shape>
            </v:group>
            <v:group style="position:absolute;left:7019;top:3134;width:10;height:20" coordorigin="7019,3134" coordsize="10,20">
              <v:shape style="position:absolute;left:7019;top:3134;width:10;height:20" coordorigin="7019,3134" coordsize="10,20" path="m7019,3153l7029,3153,7029,3134,7019,3134,7019,3153xe" filled="true" fillcolor="#000000" stroked="false">
                <v:path arrowok="t"/>
                <v:fill type="solid"/>
              </v:shape>
            </v:group>
            <v:group style="position:absolute;left:7019;top:3153;width:10;height:20" coordorigin="7019,3153" coordsize="10,20">
              <v:shape style="position:absolute;left:7019;top:3153;width:10;height:20" coordorigin="7019,3153" coordsize="10,20" path="m7019,3172l7029,3172,7029,3153,7019,3153,7019,3172xe" filled="true" fillcolor="#000000" stroked="false">
                <v:path arrowok="t"/>
                <v:fill type="solid"/>
              </v:shape>
            </v:group>
            <v:group style="position:absolute;left:7019;top:3172;width:10;height:20" coordorigin="7019,3172" coordsize="10,20">
              <v:shape style="position:absolute;left:7019;top:3172;width:10;height:20" coordorigin="7019,3172" coordsize="10,20" path="m7019,3191l7029,3191,7029,3172,7019,3172,7019,3191xe" filled="true" fillcolor="#000000" stroked="false">
                <v:path arrowok="t"/>
                <v:fill type="solid"/>
              </v:shape>
            </v:group>
            <v:group style="position:absolute;left:7019;top:3191;width:10;height:20" coordorigin="7019,3191" coordsize="10,20">
              <v:shape style="position:absolute;left:7019;top:3191;width:10;height:20" coordorigin="7019,3191" coordsize="10,20" path="m7019,3210l7029,3210,7029,3191,7019,3191,7019,3210xe" filled="true" fillcolor="#000000" stroked="false">
                <v:path arrowok="t"/>
                <v:fill type="solid"/>
              </v:shape>
            </v:group>
            <v:group style="position:absolute;left:7019;top:3210;width:10;height:20" coordorigin="7019,3210" coordsize="10,20">
              <v:shape style="position:absolute;left:7019;top:3210;width:10;height:20" coordorigin="7019,3210" coordsize="10,20" path="m7019,3230l7029,3230,7029,3210,7019,3210,7019,3230xe" filled="true" fillcolor="#000000" stroked="false">
                <v:path arrowok="t"/>
                <v:fill type="solid"/>
              </v:shape>
            </v:group>
            <v:group style="position:absolute;left:7019;top:3230;width:10;height:20" coordorigin="7019,3230" coordsize="10,20">
              <v:shape style="position:absolute;left:7019;top:3230;width:10;height:20" coordorigin="7019,3230" coordsize="10,20" path="m7019,3249l7029,3249,7029,3230,7019,3230,7019,3249xe" filled="true" fillcolor="#000000" stroked="false">
                <v:path arrowok="t"/>
                <v:fill type="solid"/>
              </v:shape>
            </v:group>
            <v:group style="position:absolute;left:7019;top:3249;width:10;height:20" coordorigin="7019,3249" coordsize="10,20">
              <v:shape style="position:absolute;left:7019;top:3249;width:10;height:20" coordorigin="7019,3249" coordsize="10,20" path="m7019,3268l7029,3268,7029,3249,7019,3249,7019,3268xe" filled="true" fillcolor="#000000" stroked="false">
                <v:path arrowok="t"/>
                <v:fill type="solid"/>
              </v:shape>
            </v:group>
            <v:group style="position:absolute;left:7019;top:3268;width:10;height:20" coordorigin="7019,3268" coordsize="10,20">
              <v:shape style="position:absolute;left:7019;top:3268;width:10;height:20" coordorigin="7019,3268" coordsize="10,20" path="m7019,3287l7029,3287,7029,3268,7019,3268,7019,3287xe" filled="true" fillcolor="#000000" stroked="false">
                <v:path arrowok="t"/>
                <v:fill type="solid"/>
              </v:shape>
            </v:group>
            <v:group style="position:absolute;left:7019;top:3287;width:10;height:20" coordorigin="7019,3287" coordsize="10,20">
              <v:shape style="position:absolute;left:7019;top:3287;width:10;height:20" coordorigin="7019,3287" coordsize="10,20" path="m7019,3306l7029,3306,7029,3287,7019,3287,7019,3306xe" filled="true" fillcolor="#000000" stroked="false">
                <v:path arrowok="t"/>
                <v:fill type="solid"/>
              </v:shape>
            </v:group>
            <v:group style="position:absolute;left:8361;top:3076;width:10;height:20" coordorigin="8361,3076" coordsize="10,20">
              <v:shape style="position:absolute;left:8361;top:3076;width:10;height:20" coordorigin="8361,3076" coordsize="10,20" path="m8361,3095l8370,3095,8370,3076,8361,3076,8361,3095xe" filled="true" fillcolor="#000000" stroked="false">
                <v:path arrowok="t"/>
                <v:fill type="solid"/>
              </v:shape>
            </v:group>
            <v:group style="position:absolute;left:8361;top:3095;width:10;height:20" coordorigin="8361,3095" coordsize="10,20">
              <v:shape style="position:absolute;left:8361;top:3095;width:10;height:20" coordorigin="8361,3095" coordsize="10,20" path="m8361,3114l8370,3114,8370,3095,8361,3095,8361,3114xe" filled="true" fillcolor="#000000" stroked="false">
                <v:path arrowok="t"/>
                <v:fill type="solid"/>
              </v:shape>
            </v:group>
            <v:group style="position:absolute;left:8361;top:3114;width:10;height:20" coordorigin="8361,3114" coordsize="10,20">
              <v:shape style="position:absolute;left:8361;top:3114;width:10;height:20" coordorigin="8361,3114" coordsize="10,20" path="m8361,3134l8370,3134,8370,3114,8361,3114,8361,3134xe" filled="true" fillcolor="#000000" stroked="false">
                <v:path arrowok="t"/>
                <v:fill type="solid"/>
              </v:shape>
            </v:group>
            <v:group style="position:absolute;left:8361;top:3134;width:10;height:20" coordorigin="8361,3134" coordsize="10,20">
              <v:shape style="position:absolute;left:8361;top:3134;width:10;height:20" coordorigin="8361,3134" coordsize="10,20" path="m8361,3153l8370,3153,8370,3134,8361,3134,8361,3153xe" filled="true" fillcolor="#000000" stroked="false">
                <v:path arrowok="t"/>
                <v:fill type="solid"/>
              </v:shape>
            </v:group>
            <v:group style="position:absolute;left:8361;top:3153;width:10;height:20" coordorigin="8361,3153" coordsize="10,20">
              <v:shape style="position:absolute;left:8361;top:3153;width:10;height:20" coordorigin="8361,3153" coordsize="10,20" path="m8361,3172l8370,3172,8370,3153,8361,3153,8361,3172xe" filled="true" fillcolor="#000000" stroked="false">
                <v:path arrowok="t"/>
                <v:fill type="solid"/>
              </v:shape>
            </v:group>
            <v:group style="position:absolute;left:8361;top:3172;width:10;height:20" coordorigin="8361,3172" coordsize="10,20">
              <v:shape style="position:absolute;left:8361;top:3172;width:10;height:20" coordorigin="8361,3172" coordsize="10,20" path="m8361,3191l8370,3191,8370,3172,8361,3172,8361,3191xe" filled="true" fillcolor="#000000" stroked="false">
                <v:path arrowok="t"/>
                <v:fill type="solid"/>
              </v:shape>
            </v:group>
            <v:group style="position:absolute;left:8361;top:3191;width:10;height:20" coordorigin="8361,3191" coordsize="10,20">
              <v:shape style="position:absolute;left:8361;top:3191;width:10;height:20" coordorigin="8361,3191" coordsize="10,20" path="m8361,3210l8370,3210,8370,3191,8361,3191,8361,3210xe" filled="true" fillcolor="#000000" stroked="false">
                <v:path arrowok="t"/>
                <v:fill type="solid"/>
              </v:shape>
            </v:group>
            <v:group style="position:absolute;left:8361;top:3210;width:10;height:20" coordorigin="8361,3210" coordsize="10,20">
              <v:shape style="position:absolute;left:8361;top:3210;width:10;height:20" coordorigin="8361,3210" coordsize="10,20" path="m8361,3230l8370,3230,8370,3210,8361,3210,8361,3230xe" filled="true" fillcolor="#000000" stroked="false">
                <v:path arrowok="t"/>
                <v:fill type="solid"/>
              </v:shape>
            </v:group>
            <v:group style="position:absolute;left:8361;top:3230;width:10;height:20" coordorigin="8361,3230" coordsize="10,20">
              <v:shape style="position:absolute;left:8361;top:3230;width:10;height:20" coordorigin="8361,3230" coordsize="10,20" path="m8361,3249l8370,3249,8370,3230,8361,3230,8361,3249xe" filled="true" fillcolor="#000000" stroked="false">
                <v:path arrowok="t"/>
                <v:fill type="solid"/>
              </v:shape>
            </v:group>
            <v:group style="position:absolute;left:8361;top:3249;width:10;height:20" coordorigin="8361,3249" coordsize="10,20">
              <v:shape style="position:absolute;left:8361;top:3249;width:10;height:20" coordorigin="8361,3249" coordsize="10,20" path="m8361,3268l8370,3268,8370,3249,8361,3249,8361,3268xe" filled="true" fillcolor="#000000" stroked="false">
                <v:path arrowok="t"/>
                <v:fill type="solid"/>
              </v:shape>
            </v:group>
            <v:group style="position:absolute;left:8361;top:3268;width:10;height:20" coordorigin="8361,3268" coordsize="10,20">
              <v:shape style="position:absolute;left:8361;top:3268;width:10;height:20" coordorigin="8361,3268" coordsize="10,20" path="m8361,3287l8370,3287,8370,3268,8361,3268,8361,3287xe" filled="true" fillcolor="#000000" stroked="false">
                <v:path arrowok="t"/>
                <v:fill type="solid"/>
              </v:shape>
            </v:group>
            <v:group style="position:absolute;left:8361;top:3287;width:10;height:20" coordorigin="8361,3287" coordsize="10,20">
              <v:shape style="position:absolute;left:8361;top:3287;width:10;height:20" coordorigin="8361,3287" coordsize="10,20" path="m8361,3306l8370,3306,8370,3287,8361,3287,8361,3306xe" filled="true" fillcolor="#000000" stroked="false">
                <v:path arrowok="t"/>
                <v:fill type="solid"/>
              </v:shape>
            </v:group>
            <v:group style="position:absolute;left:9237;top:3076;width:10;height:20" coordorigin="9237,3076" coordsize="10,20">
              <v:shape style="position:absolute;left:9237;top:3076;width:10;height:20" coordorigin="9237,3076" coordsize="10,20" path="m9237,3095l9247,3095,9247,3076,9237,3076,9237,3095xe" filled="true" fillcolor="#000000" stroked="false">
                <v:path arrowok="t"/>
                <v:fill type="solid"/>
              </v:shape>
            </v:group>
            <v:group style="position:absolute;left:9237;top:3095;width:10;height:20" coordorigin="9237,3095" coordsize="10,20">
              <v:shape style="position:absolute;left:9237;top:3095;width:10;height:20" coordorigin="9237,3095" coordsize="10,20" path="m9237,3114l9247,3114,9247,3095,9237,3095,9237,3114xe" filled="true" fillcolor="#000000" stroked="false">
                <v:path arrowok="t"/>
                <v:fill type="solid"/>
              </v:shape>
            </v:group>
            <v:group style="position:absolute;left:9237;top:3114;width:10;height:20" coordorigin="9237,3114" coordsize="10,20">
              <v:shape style="position:absolute;left:9237;top:3114;width:10;height:20" coordorigin="9237,3114" coordsize="10,20" path="m9237,3134l9247,3134,9247,3114,9237,3114,9237,3134xe" filled="true" fillcolor="#000000" stroked="false">
                <v:path arrowok="t"/>
                <v:fill type="solid"/>
              </v:shape>
            </v:group>
            <v:group style="position:absolute;left:9237;top:3134;width:10;height:20" coordorigin="9237,3134" coordsize="10,20">
              <v:shape style="position:absolute;left:9237;top:3134;width:10;height:20" coordorigin="9237,3134" coordsize="10,20" path="m9237,3153l9247,3153,9247,3134,9237,3134,9237,3153xe" filled="true" fillcolor="#000000" stroked="false">
                <v:path arrowok="t"/>
                <v:fill type="solid"/>
              </v:shape>
            </v:group>
            <v:group style="position:absolute;left:9237;top:3153;width:10;height:20" coordorigin="9237,3153" coordsize="10,20">
              <v:shape style="position:absolute;left:9237;top:3153;width:10;height:20" coordorigin="9237,3153" coordsize="10,20" path="m9237,3172l9247,3172,9247,3153,9237,3153,9237,3172xe" filled="true" fillcolor="#000000" stroked="false">
                <v:path arrowok="t"/>
                <v:fill type="solid"/>
              </v:shape>
            </v:group>
            <v:group style="position:absolute;left:9237;top:3172;width:10;height:20" coordorigin="9237,3172" coordsize="10,20">
              <v:shape style="position:absolute;left:9237;top:3172;width:10;height:20" coordorigin="9237,3172" coordsize="10,20" path="m9237,3191l9247,3191,9247,3172,9237,3172,9237,3191xe" filled="true" fillcolor="#000000" stroked="false">
                <v:path arrowok="t"/>
                <v:fill type="solid"/>
              </v:shape>
            </v:group>
            <v:group style="position:absolute;left:9237;top:3191;width:10;height:20" coordorigin="9237,3191" coordsize="10,20">
              <v:shape style="position:absolute;left:9237;top:3191;width:10;height:20" coordorigin="9237,3191" coordsize="10,20" path="m9237,3210l9247,3210,9247,3191,9237,3191,9237,3210xe" filled="true" fillcolor="#000000" stroked="false">
                <v:path arrowok="t"/>
                <v:fill type="solid"/>
              </v:shape>
            </v:group>
            <v:group style="position:absolute;left:9237;top:3210;width:10;height:20" coordorigin="9237,3210" coordsize="10,20">
              <v:shape style="position:absolute;left:9237;top:3210;width:10;height:20" coordorigin="9237,3210" coordsize="10,20" path="m9237,3230l9247,3230,9247,3210,9237,3210,9237,3230xe" filled="true" fillcolor="#000000" stroked="false">
                <v:path arrowok="t"/>
                <v:fill type="solid"/>
              </v:shape>
            </v:group>
            <v:group style="position:absolute;left:9237;top:3230;width:10;height:20" coordorigin="9237,3230" coordsize="10,20">
              <v:shape style="position:absolute;left:9237;top:3230;width:10;height:20" coordorigin="9237,3230" coordsize="10,20" path="m9237,3249l9247,3249,9247,3230,9237,3230,9237,3249xe" filled="true" fillcolor="#000000" stroked="false">
                <v:path arrowok="t"/>
                <v:fill type="solid"/>
              </v:shape>
            </v:group>
            <v:group style="position:absolute;left:9237;top:3249;width:10;height:20" coordorigin="9237,3249" coordsize="10,20">
              <v:shape style="position:absolute;left:9237;top:3249;width:10;height:20" coordorigin="9237,3249" coordsize="10,20" path="m9237,3268l9247,3268,9247,3249,9237,3249,9237,3268xe" filled="true" fillcolor="#000000" stroked="false">
                <v:path arrowok="t"/>
                <v:fill type="solid"/>
              </v:shape>
            </v:group>
            <v:group style="position:absolute;left:9237;top:3268;width:10;height:20" coordorigin="9237,3268" coordsize="10,20">
              <v:shape style="position:absolute;left:9237;top:3268;width:10;height:20" coordorigin="9237,3268" coordsize="10,20" path="m9237,3287l9247,3287,9247,3268,9237,3268,9237,3287xe" filled="true" fillcolor="#000000" stroked="false">
                <v:path arrowok="t"/>
                <v:fill type="solid"/>
              </v:shape>
            </v:group>
            <v:group style="position:absolute;left:9237;top:3287;width:10;height:20" coordorigin="9237,3287" coordsize="10,20">
              <v:shape style="position:absolute;left:9237;top:3287;width:10;height:20" coordorigin="9237,3287" coordsize="10,20" path="m9237,3306l9247,3306,9247,3287,9237,3287,9237,3306xe" filled="true" fillcolor="#000000" stroked="false">
                <v:path arrowok="t"/>
                <v:fill type="solid"/>
              </v:shape>
              <v:shape style="position:absolute;left:1558;top:3210;width:2821;height:110" type="#_x0000_t75" stroked="false">
                <v:imagedata r:id="rId129" o:title=""/>
              </v:shape>
              <v:shape style="position:absolute;left:4355;top:3306;width:1255;height:14" type="#_x0000_t75" stroked="false">
                <v:imagedata r:id="rId130" o:title=""/>
              </v:shape>
              <v:shape style="position:absolute;left:5595;top:3306;width:1433;height:14" type="#_x0000_t75" stroked="false">
                <v:imagedata r:id="rId131" o:title=""/>
              </v:shape>
              <v:shape style="position:absolute;left:7014;top:3306;width:1356;height:14" type="#_x0000_t75" stroked="false">
                <v:imagedata r:id="rId132" o:title=""/>
              </v:shape>
              <v:shape style="position:absolute;left:8356;top:3306;width:891;height:14" type="#_x0000_t75" stroked="false">
                <v:imagedata r:id="rId133" o:title=""/>
              </v:shape>
              <v:shape style="position:absolute;left:9232;top:3311;width:1639;height:10" type="#_x0000_t75" stroked="false">
                <v:imagedata r:id="rId122" o:title=""/>
              </v:shape>
            </v:group>
            <v:group style="position:absolute;left:4359;top:3321;width:10;height:20" coordorigin="4359,3321" coordsize="10,20">
              <v:shape style="position:absolute;left:4359;top:3321;width:10;height:20" coordorigin="4359,3321" coordsize="10,20" path="m4359,3340l4369,3340,4369,3321,4359,3321,4359,3340xe" filled="true" fillcolor="#000000" stroked="false">
                <v:path arrowok="t"/>
                <v:fill type="solid"/>
              </v:shape>
            </v:group>
            <v:group style="position:absolute;left:4359;top:3340;width:10;height:20" coordorigin="4359,3340" coordsize="10,20">
              <v:shape style="position:absolute;left:4359;top:3340;width:10;height:20" coordorigin="4359,3340" coordsize="10,20" path="m4359,3359l4369,3359,4369,3340,4359,3340,4359,3359xe" filled="true" fillcolor="#000000" stroked="false">
                <v:path arrowok="t"/>
                <v:fill type="solid"/>
              </v:shape>
            </v:group>
            <v:group style="position:absolute;left:4359;top:3359;width:10;height:20" coordorigin="4359,3359" coordsize="10,20">
              <v:shape style="position:absolute;left:4359;top:3359;width:10;height:20" coordorigin="4359,3359" coordsize="10,20" path="m4359,3378l4369,3378,4369,3359,4359,3359,4359,3378xe" filled="true" fillcolor="#000000" stroked="false">
                <v:path arrowok="t"/>
                <v:fill type="solid"/>
              </v:shape>
            </v:group>
            <v:group style="position:absolute;left:4359;top:3378;width:10;height:20" coordorigin="4359,3378" coordsize="10,20">
              <v:shape style="position:absolute;left:4359;top:3378;width:10;height:20" coordorigin="4359,3378" coordsize="10,20" path="m4359,3398l4369,3398,4369,3378,4359,3378,4359,3398xe" filled="true" fillcolor="#000000" stroked="false">
                <v:path arrowok="t"/>
                <v:fill type="solid"/>
              </v:shape>
            </v:group>
            <v:group style="position:absolute;left:4359;top:3398;width:10;height:20" coordorigin="4359,3398" coordsize="10,20">
              <v:shape style="position:absolute;left:4359;top:3398;width:10;height:20" coordorigin="4359,3398" coordsize="10,20" path="m4359,3417l4369,3417,4369,3398,4359,3398,4359,3417xe" filled="true" fillcolor="#000000" stroked="false">
                <v:path arrowok="t"/>
                <v:fill type="solid"/>
              </v:shape>
            </v:group>
            <v:group style="position:absolute;left:4359;top:3417;width:10;height:20" coordorigin="4359,3417" coordsize="10,20">
              <v:shape style="position:absolute;left:4359;top:3417;width:10;height:20" coordorigin="4359,3417" coordsize="10,20" path="m4359,3436l4369,3436,4369,3417,4359,3417,4359,3436xe" filled="true" fillcolor="#000000" stroked="false">
                <v:path arrowok="t"/>
                <v:fill type="solid"/>
              </v:shape>
            </v:group>
            <v:group style="position:absolute;left:4359;top:3436;width:10;height:20" coordorigin="4359,3436" coordsize="10,20">
              <v:shape style="position:absolute;left:4359;top:3436;width:10;height:20" coordorigin="4359,3436" coordsize="10,20" path="m4359,3455l4369,3455,4369,3436,4359,3436,4359,3455xe" filled="true" fillcolor="#000000" stroked="false">
                <v:path arrowok="t"/>
                <v:fill type="solid"/>
              </v:shape>
            </v:group>
            <v:group style="position:absolute;left:5600;top:3321;width:10;height:20" coordorigin="5600,3321" coordsize="10,20">
              <v:shape style="position:absolute;left:5600;top:3321;width:10;height:20" coordorigin="5600,3321" coordsize="10,20" path="m5600,3340l5610,3340,5610,3321,5600,3321,5600,3340xe" filled="true" fillcolor="#000000" stroked="false">
                <v:path arrowok="t"/>
                <v:fill type="solid"/>
              </v:shape>
            </v:group>
            <v:group style="position:absolute;left:5600;top:3340;width:10;height:20" coordorigin="5600,3340" coordsize="10,20">
              <v:shape style="position:absolute;left:5600;top:3340;width:10;height:20" coordorigin="5600,3340" coordsize="10,20" path="m5600,3359l5610,3359,5610,3340,5600,3340,5600,3359xe" filled="true" fillcolor="#000000" stroked="false">
                <v:path arrowok="t"/>
                <v:fill type="solid"/>
              </v:shape>
            </v:group>
            <v:group style="position:absolute;left:5600;top:3359;width:10;height:20" coordorigin="5600,3359" coordsize="10,20">
              <v:shape style="position:absolute;left:5600;top:3359;width:10;height:20" coordorigin="5600,3359" coordsize="10,20" path="m5600,3378l5610,3378,5610,3359,5600,3359,5600,3378xe" filled="true" fillcolor="#000000" stroked="false">
                <v:path arrowok="t"/>
                <v:fill type="solid"/>
              </v:shape>
            </v:group>
            <v:group style="position:absolute;left:5600;top:3378;width:10;height:20" coordorigin="5600,3378" coordsize="10,20">
              <v:shape style="position:absolute;left:5600;top:3378;width:10;height:20" coordorigin="5600,3378" coordsize="10,20" path="m5600,3398l5610,3398,5610,3378,5600,3378,5600,3398xe" filled="true" fillcolor="#000000" stroked="false">
                <v:path arrowok="t"/>
                <v:fill type="solid"/>
              </v:shape>
            </v:group>
            <v:group style="position:absolute;left:5600;top:3398;width:10;height:20" coordorigin="5600,3398" coordsize="10,20">
              <v:shape style="position:absolute;left:5600;top:3398;width:10;height:20" coordorigin="5600,3398" coordsize="10,20" path="m5600,3417l5610,3417,5610,3398,5600,3398,5600,3417xe" filled="true" fillcolor="#000000" stroked="false">
                <v:path arrowok="t"/>
                <v:fill type="solid"/>
              </v:shape>
            </v:group>
            <v:group style="position:absolute;left:5600;top:3417;width:10;height:20" coordorigin="5600,3417" coordsize="10,20">
              <v:shape style="position:absolute;left:5600;top:3417;width:10;height:20" coordorigin="5600,3417" coordsize="10,20" path="m5600,3436l5610,3436,5610,3417,5600,3417,5600,3436xe" filled="true" fillcolor="#000000" stroked="false">
                <v:path arrowok="t"/>
                <v:fill type="solid"/>
              </v:shape>
            </v:group>
            <v:group style="position:absolute;left:5600;top:3436;width:10;height:20" coordorigin="5600,3436" coordsize="10,20">
              <v:shape style="position:absolute;left:5600;top:3436;width:10;height:20" coordorigin="5600,3436" coordsize="10,20" path="m5600,3455l5610,3455,5610,3436,5600,3436,5600,3455xe" filled="true" fillcolor="#000000" stroked="false">
                <v:path arrowok="t"/>
                <v:fill type="solid"/>
              </v:shape>
            </v:group>
            <v:group style="position:absolute;left:5600;top:3455;width:10;height:20" coordorigin="5600,3455" coordsize="10,20">
              <v:shape style="position:absolute;left:5600;top:3455;width:10;height:20" coordorigin="5600,3455" coordsize="10,20" path="m5600,3474l5610,3474,5610,3455,5600,3455,5600,3474xe" filled="true" fillcolor="#000000" stroked="false">
                <v:path arrowok="t"/>
                <v:fill type="solid"/>
              </v:shape>
            </v:group>
            <v:group style="position:absolute;left:5600;top:3474;width:10;height:20" coordorigin="5600,3474" coordsize="10,20">
              <v:shape style="position:absolute;left:5600;top:3474;width:10;height:20" coordorigin="5600,3474" coordsize="10,20" path="m5600,3494l5610,3494,5610,3474,5600,3474,5600,3494xe" filled="true" fillcolor="#000000" stroked="false">
                <v:path arrowok="t"/>
                <v:fill type="solid"/>
              </v:shape>
            </v:group>
            <v:group style="position:absolute;left:5600;top:3494;width:10;height:20" coordorigin="5600,3494" coordsize="10,20">
              <v:shape style="position:absolute;left:5600;top:3494;width:10;height:20" coordorigin="5600,3494" coordsize="10,20" path="m5600,3513l5610,3513,5610,3494,5600,3494,5600,3513xe" filled="true" fillcolor="#000000" stroked="false">
                <v:path arrowok="t"/>
                <v:fill type="solid"/>
              </v:shape>
            </v:group>
            <v:group style="position:absolute;left:5600;top:3513;width:10;height:20" coordorigin="5600,3513" coordsize="10,20">
              <v:shape style="position:absolute;left:5600;top:3513;width:10;height:20" coordorigin="5600,3513" coordsize="10,20" path="m5600,3532l5610,3532,5610,3513,5600,3513,5600,3532xe" filled="true" fillcolor="#000000" stroked="false">
                <v:path arrowok="t"/>
                <v:fill type="solid"/>
              </v:shape>
            </v:group>
            <v:group style="position:absolute;left:5600;top:3532;width:10;height:20" coordorigin="5600,3532" coordsize="10,20">
              <v:shape style="position:absolute;left:5600;top:3532;width:10;height:20" coordorigin="5600,3532" coordsize="10,20" path="m5600,3551l5610,3551,5610,3532,5600,3532,5600,3551xe" filled="true" fillcolor="#000000" stroked="false">
                <v:path arrowok="t"/>
                <v:fill type="solid"/>
              </v:shape>
            </v:group>
            <v:group style="position:absolute;left:7019;top:3321;width:10;height:20" coordorigin="7019,3321" coordsize="10,20">
              <v:shape style="position:absolute;left:7019;top:3321;width:10;height:20" coordorigin="7019,3321" coordsize="10,20" path="m7019,3340l7029,3340,7029,3321,7019,3321,7019,3340xe" filled="true" fillcolor="#000000" stroked="false">
                <v:path arrowok="t"/>
                <v:fill type="solid"/>
              </v:shape>
            </v:group>
            <v:group style="position:absolute;left:7019;top:3340;width:10;height:20" coordorigin="7019,3340" coordsize="10,20">
              <v:shape style="position:absolute;left:7019;top:3340;width:10;height:20" coordorigin="7019,3340" coordsize="10,20" path="m7019,3359l7029,3359,7029,3340,7019,3340,7019,3359xe" filled="true" fillcolor="#000000" stroked="false">
                <v:path arrowok="t"/>
                <v:fill type="solid"/>
              </v:shape>
            </v:group>
            <v:group style="position:absolute;left:7019;top:3359;width:10;height:20" coordorigin="7019,3359" coordsize="10,20">
              <v:shape style="position:absolute;left:7019;top:3359;width:10;height:20" coordorigin="7019,3359" coordsize="10,20" path="m7019,3378l7029,3378,7029,3359,7019,3359,7019,3378xe" filled="true" fillcolor="#000000" stroked="false">
                <v:path arrowok="t"/>
                <v:fill type="solid"/>
              </v:shape>
            </v:group>
            <v:group style="position:absolute;left:7019;top:3378;width:10;height:20" coordorigin="7019,3378" coordsize="10,20">
              <v:shape style="position:absolute;left:7019;top:3378;width:10;height:20" coordorigin="7019,3378" coordsize="10,20" path="m7019,3398l7029,3398,7029,3378,7019,3378,7019,3398xe" filled="true" fillcolor="#000000" stroked="false">
                <v:path arrowok="t"/>
                <v:fill type="solid"/>
              </v:shape>
            </v:group>
            <v:group style="position:absolute;left:7019;top:3398;width:10;height:20" coordorigin="7019,3398" coordsize="10,20">
              <v:shape style="position:absolute;left:7019;top:3398;width:10;height:20" coordorigin="7019,3398" coordsize="10,20" path="m7019,3417l7029,3417,7029,3398,7019,3398,7019,3417xe" filled="true" fillcolor="#000000" stroked="false">
                <v:path arrowok="t"/>
                <v:fill type="solid"/>
              </v:shape>
            </v:group>
            <v:group style="position:absolute;left:7019;top:3417;width:10;height:20" coordorigin="7019,3417" coordsize="10,20">
              <v:shape style="position:absolute;left:7019;top:3417;width:10;height:20" coordorigin="7019,3417" coordsize="10,20" path="m7019,3436l7029,3436,7029,3417,7019,3417,7019,3436xe" filled="true" fillcolor="#000000" stroked="false">
                <v:path arrowok="t"/>
                <v:fill type="solid"/>
              </v:shape>
            </v:group>
            <v:group style="position:absolute;left:7019;top:3436;width:10;height:20" coordorigin="7019,3436" coordsize="10,20">
              <v:shape style="position:absolute;left:7019;top:3436;width:10;height:20" coordorigin="7019,3436" coordsize="10,20" path="m7019,3455l7029,3455,7029,3436,7019,3436,7019,3455xe" filled="true" fillcolor="#000000" stroked="false">
                <v:path arrowok="t"/>
                <v:fill type="solid"/>
              </v:shape>
            </v:group>
            <v:group style="position:absolute;left:7019;top:3455;width:10;height:20" coordorigin="7019,3455" coordsize="10,20">
              <v:shape style="position:absolute;left:7019;top:3455;width:10;height:20" coordorigin="7019,3455" coordsize="10,20" path="m7019,3474l7029,3474,7029,3455,7019,3455,7019,3474xe" filled="true" fillcolor="#000000" stroked="false">
                <v:path arrowok="t"/>
                <v:fill type="solid"/>
              </v:shape>
            </v:group>
            <v:group style="position:absolute;left:7019;top:3474;width:10;height:20" coordorigin="7019,3474" coordsize="10,20">
              <v:shape style="position:absolute;left:7019;top:3474;width:10;height:20" coordorigin="7019,3474" coordsize="10,20" path="m7019,3494l7029,3494,7029,3474,7019,3474,7019,3494xe" filled="true" fillcolor="#000000" stroked="false">
                <v:path arrowok="t"/>
                <v:fill type="solid"/>
              </v:shape>
            </v:group>
            <v:group style="position:absolute;left:7019;top:3494;width:10;height:20" coordorigin="7019,3494" coordsize="10,20">
              <v:shape style="position:absolute;left:7019;top:3494;width:10;height:20" coordorigin="7019,3494" coordsize="10,20" path="m7019,3513l7029,3513,7029,3494,7019,3494,7019,3513xe" filled="true" fillcolor="#000000" stroked="false">
                <v:path arrowok="t"/>
                <v:fill type="solid"/>
              </v:shape>
            </v:group>
            <v:group style="position:absolute;left:7019;top:3513;width:10;height:20" coordorigin="7019,3513" coordsize="10,20">
              <v:shape style="position:absolute;left:7019;top:3513;width:10;height:20" coordorigin="7019,3513" coordsize="10,20" path="m7019,3532l7029,3532,7029,3513,7019,3513,7019,3532xe" filled="true" fillcolor="#000000" stroked="false">
                <v:path arrowok="t"/>
                <v:fill type="solid"/>
              </v:shape>
            </v:group>
            <v:group style="position:absolute;left:7019;top:3532;width:10;height:20" coordorigin="7019,3532" coordsize="10,20">
              <v:shape style="position:absolute;left:7019;top:3532;width:10;height:20" coordorigin="7019,3532" coordsize="10,20" path="m7019,3551l7029,3551,7029,3532,7019,3532,7019,3551xe" filled="true" fillcolor="#000000" stroked="false">
                <v:path arrowok="t"/>
                <v:fill type="solid"/>
              </v:shape>
            </v:group>
            <v:group style="position:absolute;left:8361;top:3321;width:10;height:20" coordorigin="8361,3321" coordsize="10,20">
              <v:shape style="position:absolute;left:8361;top:3321;width:10;height:20" coordorigin="8361,3321" coordsize="10,20" path="m8361,3340l8370,3340,8370,3321,8361,3321,8361,3340xe" filled="true" fillcolor="#000000" stroked="false">
                <v:path arrowok="t"/>
                <v:fill type="solid"/>
              </v:shape>
            </v:group>
            <v:group style="position:absolute;left:8361;top:3340;width:10;height:20" coordorigin="8361,3340" coordsize="10,20">
              <v:shape style="position:absolute;left:8361;top:3340;width:10;height:20" coordorigin="8361,3340" coordsize="10,20" path="m8361,3359l8370,3359,8370,3340,8361,3340,8361,3359xe" filled="true" fillcolor="#000000" stroked="false">
                <v:path arrowok="t"/>
                <v:fill type="solid"/>
              </v:shape>
            </v:group>
            <v:group style="position:absolute;left:8361;top:3359;width:10;height:20" coordorigin="8361,3359" coordsize="10,20">
              <v:shape style="position:absolute;left:8361;top:3359;width:10;height:20" coordorigin="8361,3359" coordsize="10,20" path="m8361,3378l8370,3378,8370,3359,8361,3359,8361,3378xe" filled="true" fillcolor="#000000" stroked="false">
                <v:path arrowok="t"/>
                <v:fill type="solid"/>
              </v:shape>
            </v:group>
            <v:group style="position:absolute;left:8361;top:3378;width:10;height:20" coordorigin="8361,3378" coordsize="10,20">
              <v:shape style="position:absolute;left:8361;top:3378;width:10;height:20" coordorigin="8361,3378" coordsize="10,20" path="m8361,3398l8370,3398,8370,3378,8361,3378,8361,3398xe" filled="true" fillcolor="#000000" stroked="false">
                <v:path arrowok="t"/>
                <v:fill type="solid"/>
              </v:shape>
            </v:group>
            <v:group style="position:absolute;left:8361;top:3398;width:10;height:20" coordorigin="8361,3398" coordsize="10,20">
              <v:shape style="position:absolute;left:8361;top:3398;width:10;height:20" coordorigin="8361,3398" coordsize="10,20" path="m8361,3417l8370,3417,8370,3398,8361,3398,8361,3417xe" filled="true" fillcolor="#000000" stroked="false">
                <v:path arrowok="t"/>
                <v:fill type="solid"/>
              </v:shape>
            </v:group>
            <v:group style="position:absolute;left:8361;top:3417;width:10;height:20" coordorigin="8361,3417" coordsize="10,20">
              <v:shape style="position:absolute;left:8361;top:3417;width:10;height:20" coordorigin="8361,3417" coordsize="10,20" path="m8361,3436l8370,3436,8370,3417,8361,3417,8361,3436xe" filled="true" fillcolor="#000000" stroked="false">
                <v:path arrowok="t"/>
                <v:fill type="solid"/>
              </v:shape>
            </v:group>
            <v:group style="position:absolute;left:8361;top:3436;width:10;height:20" coordorigin="8361,3436" coordsize="10,20">
              <v:shape style="position:absolute;left:8361;top:3436;width:10;height:20" coordorigin="8361,3436" coordsize="10,20" path="m8361,3455l8370,3455,8370,3436,8361,3436,8361,3455xe" filled="true" fillcolor="#000000" stroked="false">
                <v:path arrowok="t"/>
                <v:fill type="solid"/>
              </v:shape>
            </v:group>
            <v:group style="position:absolute;left:8361;top:3455;width:10;height:20" coordorigin="8361,3455" coordsize="10,20">
              <v:shape style="position:absolute;left:8361;top:3455;width:10;height:20" coordorigin="8361,3455" coordsize="10,20" path="m8361,3474l8370,3474,8370,3455,8361,3455,8361,3474xe" filled="true" fillcolor="#000000" stroked="false">
                <v:path arrowok="t"/>
                <v:fill type="solid"/>
              </v:shape>
            </v:group>
            <v:group style="position:absolute;left:8361;top:3474;width:10;height:20" coordorigin="8361,3474" coordsize="10,20">
              <v:shape style="position:absolute;left:8361;top:3474;width:10;height:20" coordorigin="8361,3474" coordsize="10,20" path="m8361,3494l8370,3494,8370,3474,8361,3474,8361,3494xe" filled="true" fillcolor="#000000" stroked="false">
                <v:path arrowok="t"/>
                <v:fill type="solid"/>
              </v:shape>
            </v:group>
            <v:group style="position:absolute;left:8361;top:3494;width:10;height:20" coordorigin="8361,3494" coordsize="10,20">
              <v:shape style="position:absolute;left:8361;top:3494;width:10;height:20" coordorigin="8361,3494" coordsize="10,20" path="m8361,3513l8370,3513,8370,3494,8361,3494,8361,3513xe" filled="true" fillcolor="#000000" stroked="false">
                <v:path arrowok="t"/>
                <v:fill type="solid"/>
              </v:shape>
            </v:group>
            <v:group style="position:absolute;left:8361;top:3513;width:10;height:20" coordorigin="8361,3513" coordsize="10,20">
              <v:shape style="position:absolute;left:8361;top:3513;width:10;height:20" coordorigin="8361,3513" coordsize="10,20" path="m8361,3532l8370,3532,8370,3513,8361,3513,8361,3532xe" filled="true" fillcolor="#000000" stroked="false">
                <v:path arrowok="t"/>
                <v:fill type="solid"/>
              </v:shape>
            </v:group>
            <v:group style="position:absolute;left:8361;top:3532;width:10;height:20" coordorigin="8361,3532" coordsize="10,20">
              <v:shape style="position:absolute;left:8361;top:3532;width:10;height:20" coordorigin="8361,3532" coordsize="10,20" path="m8361,3551l8370,3551,8370,3532,8361,3532,8361,3551xe" filled="true" fillcolor="#000000" stroked="false">
                <v:path arrowok="t"/>
                <v:fill type="solid"/>
              </v:shape>
            </v:group>
            <v:group style="position:absolute;left:9237;top:3321;width:10;height:20" coordorigin="9237,3321" coordsize="10,20">
              <v:shape style="position:absolute;left:9237;top:3321;width:10;height:20" coordorigin="9237,3321" coordsize="10,20" path="m9237,3340l9247,3340,9247,3321,9237,3321,9237,3340xe" filled="true" fillcolor="#000000" stroked="false">
                <v:path arrowok="t"/>
                <v:fill type="solid"/>
              </v:shape>
            </v:group>
            <v:group style="position:absolute;left:9237;top:3340;width:10;height:20" coordorigin="9237,3340" coordsize="10,20">
              <v:shape style="position:absolute;left:9237;top:3340;width:10;height:20" coordorigin="9237,3340" coordsize="10,20" path="m9237,3359l9247,3359,9247,3340,9237,3340,9237,3359xe" filled="true" fillcolor="#000000" stroked="false">
                <v:path arrowok="t"/>
                <v:fill type="solid"/>
              </v:shape>
            </v:group>
            <v:group style="position:absolute;left:9237;top:3359;width:10;height:20" coordorigin="9237,3359" coordsize="10,20">
              <v:shape style="position:absolute;left:9237;top:3359;width:10;height:20" coordorigin="9237,3359" coordsize="10,20" path="m9237,3378l9247,3378,9247,3359,9237,3359,9237,3378xe" filled="true" fillcolor="#000000" stroked="false">
                <v:path arrowok="t"/>
                <v:fill type="solid"/>
              </v:shape>
            </v:group>
            <v:group style="position:absolute;left:9237;top:3378;width:10;height:20" coordorigin="9237,3378" coordsize="10,20">
              <v:shape style="position:absolute;left:9237;top:3378;width:10;height:20" coordorigin="9237,3378" coordsize="10,20" path="m9237,3398l9247,3398,9247,3378,9237,3378,9237,3398xe" filled="true" fillcolor="#000000" stroked="false">
                <v:path arrowok="t"/>
                <v:fill type="solid"/>
              </v:shape>
            </v:group>
            <v:group style="position:absolute;left:9237;top:3398;width:10;height:20" coordorigin="9237,3398" coordsize="10,20">
              <v:shape style="position:absolute;left:9237;top:3398;width:10;height:20" coordorigin="9237,3398" coordsize="10,20" path="m9237,3417l9247,3417,9247,3398,9237,3398,9237,3417xe" filled="true" fillcolor="#000000" stroked="false">
                <v:path arrowok="t"/>
                <v:fill type="solid"/>
              </v:shape>
            </v:group>
            <v:group style="position:absolute;left:9237;top:3417;width:10;height:20" coordorigin="9237,3417" coordsize="10,20">
              <v:shape style="position:absolute;left:9237;top:3417;width:10;height:20" coordorigin="9237,3417" coordsize="10,20" path="m9237,3436l9247,3436,9247,3417,9237,3417,9237,3436xe" filled="true" fillcolor="#000000" stroked="false">
                <v:path arrowok="t"/>
                <v:fill type="solid"/>
              </v:shape>
            </v:group>
            <v:group style="position:absolute;left:9237;top:3436;width:10;height:20" coordorigin="9237,3436" coordsize="10,20">
              <v:shape style="position:absolute;left:9237;top:3436;width:10;height:20" coordorigin="9237,3436" coordsize="10,20" path="m9237,3455l9247,3455,9247,3436,9237,3436,9237,3455xe" filled="true" fillcolor="#000000" stroked="false">
                <v:path arrowok="t"/>
                <v:fill type="solid"/>
              </v:shape>
            </v:group>
            <v:group style="position:absolute;left:9237;top:3455;width:10;height:20" coordorigin="9237,3455" coordsize="10,20">
              <v:shape style="position:absolute;left:9237;top:3455;width:10;height:20" coordorigin="9237,3455" coordsize="10,20" path="m9237,3474l9247,3474,9247,3455,9237,3455,9237,3474xe" filled="true" fillcolor="#000000" stroked="false">
                <v:path arrowok="t"/>
                <v:fill type="solid"/>
              </v:shape>
            </v:group>
            <v:group style="position:absolute;left:9237;top:3474;width:10;height:20" coordorigin="9237,3474" coordsize="10,20">
              <v:shape style="position:absolute;left:9237;top:3474;width:10;height:20" coordorigin="9237,3474" coordsize="10,20" path="m9237,3494l9247,3494,9247,3474,9237,3474,9237,3494xe" filled="true" fillcolor="#000000" stroked="false">
                <v:path arrowok="t"/>
                <v:fill type="solid"/>
              </v:shape>
            </v:group>
            <v:group style="position:absolute;left:9237;top:3494;width:10;height:20" coordorigin="9237,3494" coordsize="10,20">
              <v:shape style="position:absolute;left:9237;top:3494;width:10;height:20" coordorigin="9237,3494" coordsize="10,20" path="m9237,3513l9247,3513,9247,3494,9237,3494,9237,3513xe" filled="true" fillcolor="#000000" stroked="false">
                <v:path arrowok="t"/>
                <v:fill type="solid"/>
              </v:shape>
            </v:group>
            <v:group style="position:absolute;left:9237;top:3513;width:10;height:20" coordorigin="9237,3513" coordsize="10,20">
              <v:shape style="position:absolute;left:9237;top:3513;width:10;height:20" coordorigin="9237,3513" coordsize="10,20" path="m9237,3532l9247,3532,9247,3513,9237,3513,9237,3532xe" filled="true" fillcolor="#000000" stroked="false">
                <v:path arrowok="t"/>
                <v:fill type="solid"/>
              </v:shape>
            </v:group>
            <v:group style="position:absolute;left:9237;top:3532;width:10;height:20" coordorigin="9237,3532" coordsize="10,20">
              <v:shape style="position:absolute;left:9237;top:3532;width:10;height:20" coordorigin="9237,3532" coordsize="10,20" path="m9237,3551l9247,3551,9247,3532,9237,3532,9237,3551xe" filled="true" fillcolor="#000000" stroked="false">
                <v:path arrowok="t"/>
                <v:fill type="solid"/>
              </v:shape>
              <v:shape style="position:absolute;left:1558;top:3455;width:2821;height:108" type="#_x0000_t75" stroked="false">
                <v:imagedata r:id="rId124" o:title=""/>
              </v:shape>
              <v:shape style="position:absolute;left:4355;top:3551;width:1255;height:12" type="#_x0000_t75" stroked="false">
                <v:imagedata r:id="rId125" o:title=""/>
              </v:shape>
              <v:shape style="position:absolute;left:5595;top:3551;width:1433;height:12" type="#_x0000_t75" stroked="false">
                <v:imagedata r:id="rId126" o:title=""/>
              </v:shape>
              <v:shape style="position:absolute;left:7014;top:3551;width:1356;height:12" type="#_x0000_t75" stroked="false">
                <v:imagedata r:id="rId127" o:title=""/>
              </v:shape>
              <v:shape style="position:absolute;left:8356;top:3551;width:891;height:12" type="#_x0000_t75" stroked="false">
                <v:imagedata r:id="rId128" o:title=""/>
              </v:shape>
              <v:shape style="position:absolute;left:9232;top:3554;width:1639;height:10" type="#_x0000_t75" stroked="false">
                <v:imagedata r:id="rId122" o:title=""/>
              </v:shape>
            </v:group>
            <v:group style="position:absolute;left:5600;top:3563;width:10;height:20" coordorigin="5600,3563" coordsize="10,20">
              <v:shape style="position:absolute;left:5600;top:3563;width:10;height:20" coordorigin="5600,3563" coordsize="10,20" path="m5600,3582l5610,3582,5610,3563,5600,3563,5600,3582xe" filled="true" fillcolor="#000000" stroked="false">
                <v:path arrowok="t"/>
                <v:fill type="solid"/>
              </v:shape>
            </v:group>
            <v:group style="position:absolute;left:5600;top:3582;width:10;height:20" coordorigin="5600,3582" coordsize="10,20">
              <v:shape style="position:absolute;left:5600;top:3582;width:10;height:20" coordorigin="5600,3582" coordsize="10,20" path="m5600,3602l5610,3602,5610,3582,5600,3582,5600,3602xe" filled="true" fillcolor="#000000" stroked="false">
                <v:path arrowok="t"/>
                <v:fill type="solid"/>
              </v:shape>
            </v:group>
            <v:group style="position:absolute;left:5600;top:3602;width:10;height:20" coordorigin="5600,3602" coordsize="10,20">
              <v:shape style="position:absolute;left:5600;top:3602;width:10;height:20" coordorigin="5600,3602" coordsize="10,20" path="m5600,3621l5610,3621,5610,3602,5600,3602,5600,3621xe" filled="true" fillcolor="#000000" stroked="false">
                <v:path arrowok="t"/>
                <v:fill type="solid"/>
              </v:shape>
            </v:group>
            <v:group style="position:absolute;left:5600;top:3621;width:10;height:20" coordorigin="5600,3621" coordsize="10,20">
              <v:shape style="position:absolute;left:5600;top:3621;width:10;height:20" coordorigin="5600,3621" coordsize="10,20" path="m5600,3640l5610,3640,5610,3621,5600,3621,5600,3640xe" filled="true" fillcolor="#000000" stroked="false">
                <v:path arrowok="t"/>
                <v:fill type="solid"/>
              </v:shape>
            </v:group>
            <v:group style="position:absolute;left:5600;top:3640;width:10;height:20" coordorigin="5600,3640" coordsize="10,20">
              <v:shape style="position:absolute;left:5600;top:3640;width:10;height:20" coordorigin="5600,3640" coordsize="10,20" path="m5600,3659l5610,3659,5610,3640,5600,3640,5600,3659xe" filled="true" fillcolor="#000000" stroked="false">
                <v:path arrowok="t"/>
                <v:fill type="solid"/>
              </v:shape>
            </v:group>
            <v:group style="position:absolute;left:5600;top:3659;width:10;height:20" coordorigin="5600,3659" coordsize="10,20">
              <v:shape style="position:absolute;left:5600;top:3659;width:10;height:20" coordorigin="5600,3659" coordsize="10,20" path="m5600,3678l5610,3678,5610,3659,5600,3659,5600,3678xe" filled="true" fillcolor="#000000" stroked="false">
                <v:path arrowok="t"/>
                <v:fill type="solid"/>
              </v:shape>
            </v:group>
            <v:group style="position:absolute;left:5600;top:3678;width:10;height:20" coordorigin="5600,3678" coordsize="10,20">
              <v:shape style="position:absolute;left:5600;top:3678;width:10;height:20" coordorigin="5600,3678" coordsize="10,20" path="m5600,3698l5610,3698,5610,3678,5600,3678,5600,3698xe" filled="true" fillcolor="#000000" stroked="false">
                <v:path arrowok="t"/>
                <v:fill type="solid"/>
              </v:shape>
            </v:group>
            <v:group style="position:absolute;left:5600;top:3698;width:10;height:20" coordorigin="5600,3698" coordsize="10,20">
              <v:shape style="position:absolute;left:5600;top:3698;width:10;height:20" coordorigin="5600,3698" coordsize="10,20" path="m5600,3717l5610,3717,5610,3698,5600,3698,5600,3717xe" filled="true" fillcolor="#000000" stroked="false">
                <v:path arrowok="t"/>
                <v:fill type="solid"/>
              </v:shape>
            </v:group>
            <v:group style="position:absolute;left:5600;top:3717;width:10;height:20" coordorigin="5600,3717" coordsize="10,20">
              <v:shape style="position:absolute;left:5600;top:3717;width:10;height:20" coordorigin="5600,3717" coordsize="10,20" path="m5600,3736l5610,3736,5610,3717,5600,3717,5600,3736xe" filled="true" fillcolor="#000000" stroked="false">
                <v:path arrowok="t"/>
                <v:fill type="solid"/>
              </v:shape>
            </v:group>
            <v:group style="position:absolute;left:5600;top:3736;width:10;height:20" coordorigin="5600,3736" coordsize="10,20">
              <v:shape style="position:absolute;left:5600;top:3736;width:10;height:20" coordorigin="5600,3736" coordsize="10,20" path="m5600,3755l5610,3755,5610,3736,5600,3736,5600,3755xe" filled="true" fillcolor="#000000" stroked="false">
                <v:path arrowok="t"/>
                <v:fill type="solid"/>
              </v:shape>
            </v:group>
            <v:group style="position:absolute;left:5600;top:3755;width:10;height:20" coordorigin="5600,3755" coordsize="10,20">
              <v:shape style="position:absolute;left:5600;top:3755;width:10;height:20" coordorigin="5600,3755" coordsize="10,20" path="m5600,3774l5610,3774,5610,3755,5600,3755,5600,3774xe" filled="true" fillcolor="#000000" stroked="false">
                <v:path arrowok="t"/>
                <v:fill type="solid"/>
              </v:shape>
            </v:group>
            <v:group style="position:absolute;left:5600;top:3774;width:10;height:20" coordorigin="5600,3774" coordsize="10,20">
              <v:shape style="position:absolute;left:5600;top:3774;width:10;height:20" coordorigin="5600,3774" coordsize="10,20" path="m5600,3794l5610,3794,5610,3774,5600,3774,5600,3794xe" filled="true" fillcolor="#000000" stroked="false">
                <v:path arrowok="t"/>
                <v:fill type="solid"/>
              </v:shape>
            </v:group>
            <v:group style="position:absolute;left:5600;top:3796;width:10;height:2" coordorigin="5600,3796" coordsize="10,2">
              <v:shape style="position:absolute;left:5600;top:3796;width:10;height:2" coordorigin="5600,3796" coordsize="10,0" path="m5600,3796l5610,3796e" filled="false" stroked="true" strokeweight=".24002pt" strokecolor="#000000">
                <v:path arrowok="t"/>
              </v:shape>
            </v:group>
            <v:group style="position:absolute;left:7019;top:3563;width:10;height:20" coordorigin="7019,3563" coordsize="10,20">
              <v:shape style="position:absolute;left:7019;top:3563;width:10;height:20" coordorigin="7019,3563" coordsize="10,20" path="m7019,3582l7029,3582,7029,3563,7019,3563,7019,3582xe" filled="true" fillcolor="#000000" stroked="false">
                <v:path arrowok="t"/>
                <v:fill type="solid"/>
              </v:shape>
            </v:group>
            <v:group style="position:absolute;left:7019;top:3582;width:10;height:20" coordorigin="7019,3582" coordsize="10,20">
              <v:shape style="position:absolute;left:7019;top:3582;width:10;height:20" coordorigin="7019,3582" coordsize="10,20" path="m7019,3602l7029,3602,7029,3582,7019,3582,7019,3602xe" filled="true" fillcolor="#000000" stroked="false">
                <v:path arrowok="t"/>
                <v:fill type="solid"/>
              </v:shape>
            </v:group>
            <v:group style="position:absolute;left:7019;top:3602;width:10;height:20" coordorigin="7019,3602" coordsize="10,20">
              <v:shape style="position:absolute;left:7019;top:3602;width:10;height:20" coordorigin="7019,3602" coordsize="10,20" path="m7019,3621l7029,3621,7029,3602,7019,3602,7019,3621xe" filled="true" fillcolor="#000000" stroked="false">
                <v:path arrowok="t"/>
                <v:fill type="solid"/>
              </v:shape>
            </v:group>
            <v:group style="position:absolute;left:7019;top:3621;width:10;height:20" coordorigin="7019,3621" coordsize="10,20">
              <v:shape style="position:absolute;left:7019;top:3621;width:10;height:20" coordorigin="7019,3621" coordsize="10,20" path="m7019,3640l7029,3640,7029,3621,7019,3621,7019,3640xe" filled="true" fillcolor="#000000" stroked="false">
                <v:path arrowok="t"/>
                <v:fill type="solid"/>
              </v:shape>
            </v:group>
            <v:group style="position:absolute;left:7019;top:3640;width:10;height:20" coordorigin="7019,3640" coordsize="10,20">
              <v:shape style="position:absolute;left:7019;top:3640;width:10;height:20" coordorigin="7019,3640" coordsize="10,20" path="m7019,3659l7029,3659,7029,3640,7019,3640,7019,3659xe" filled="true" fillcolor="#000000" stroked="false">
                <v:path arrowok="t"/>
                <v:fill type="solid"/>
              </v:shape>
            </v:group>
            <v:group style="position:absolute;left:7019;top:3659;width:10;height:20" coordorigin="7019,3659" coordsize="10,20">
              <v:shape style="position:absolute;left:7019;top:3659;width:10;height:20" coordorigin="7019,3659" coordsize="10,20" path="m7019,3678l7029,3678,7029,3659,7019,3659,7019,3678xe" filled="true" fillcolor="#000000" stroked="false">
                <v:path arrowok="t"/>
                <v:fill type="solid"/>
              </v:shape>
            </v:group>
            <v:group style="position:absolute;left:7019;top:3678;width:10;height:20" coordorigin="7019,3678" coordsize="10,20">
              <v:shape style="position:absolute;left:7019;top:3678;width:10;height:20" coordorigin="7019,3678" coordsize="10,20" path="m7019,3698l7029,3698,7029,3678,7019,3678,7019,3698xe" filled="true" fillcolor="#000000" stroked="false">
                <v:path arrowok="t"/>
                <v:fill type="solid"/>
              </v:shape>
            </v:group>
            <v:group style="position:absolute;left:7019;top:3698;width:10;height:20" coordorigin="7019,3698" coordsize="10,20">
              <v:shape style="position:absolute;left:7019;top:3698;width:10;height:20" coordorigin="7019,3698" coordsize="10,20" path="m7019,3717l7029,3717,7029,3698,7019,3698,7019,3717xe" filled="true" fillcolor="#000000" stroked="false">
                <v:path arrowok="t"/>
                <v:fill type="solid"/>
              </v:shape>
            </v:group>
            <v:group style="position:absolute;left:7019;top:3717;width:10;height:20" coordorigin="7019,3717" coordsize="10,20">
              <v:shape style="position:absolute;left:7019;top:3717;width:10;height:20" coordorigin="7019,3717" coordsize="10,20" path="m7019,3736l7029,3736,7029,3717,7019,3717,7019,3736xe" filled="true" fillcolor="#000000" stroked="false">
                <v:path arrowok="t"/>
                <v:fill type="solid"/>
              </v:shape>
            </v:group>
            <v:group style="position:absolute;left:7019;top:3736;width:10;height:20" coordorigin="7019,3736" coordsize="10,20">
              <v:shape style="position:absolute;left:7019;top:3736;width:10;height:20" coordorigin="7019,3736" coordsize="10,20" path="m7019,3755l7029,3755,7029,3736,7019,3736,7019,3755xe" filled="true" fillcolor="#000000" stroked="false">
                <v:path arrowok="t"/>
                <v:fill type="solid"/>
              </v:shape>
            </v:group>
            <v:group style="position:absolute;left:7019;top:3755;width:10;height:20" coordorigin="7019,3755" coordsize="10,20">
              <v:shape style="position:absolute;left:7019;top:3755;width:10;height:20" coordorigin="7019,3755" coordsize="10,20" path="m7019,3774l7029,3774,7029,3755,7019,3755,7019,3774xe" filled="true" fillcolor="#000000" stroked="false">
                <v:path arrowok="t"/>
                <v:fill type="solid"/>
              </v:shape>
            </v:group>
            <v:group style="position:absolute;left:7019;top:3774;width:10;height:20" coordorigin="7019,3774" coordsize="10,20">
              <v:shape style="position:absolute;left:7019;top:3774;width:10;height:20" coordorigin="7019,3774" coordsize="10,20" path="m7019,3794l7029,3794,7029,3774,7019,3774,7019,3794xe" filled="true" fillcolor="#000000" stroked="false">
                <v:path arrowok="t"/>
                <v:fill type="solid"/>
              </v:shape>
            </v:group>
            <v:group style="position:absolute;left:7019;top:3796;width:10;height:2" coordorigin="7019,3796" coordsize="10,2">
              <v:shape style="position:absolute;left:7019;top:3796;width:10;height:2" coordorigin="7019,3796" coordsize="10,0" path="m7019,3796l7029,3796e" filled="false" stroked="true" strokeweight=".24002pt" strokecolor="#000000">
                <v:path arrowok="t"/>
              </v:shape>
            </v:group>
            <v:group style="position:absolute;left:8361;top:3563;width:10;height:20" coordorigin="8361,3563" coordsize="10,20">
              <v:shape style="position:absolute;left:8361;top:3563;width:10;height:20" coordorigin="8361,3563" coordsize="10,20" path="m8361,3582l8370,3582,8370,3563,8361,3563,8361,3582xe" filled="true" fillcolor="#000000" stroked="false">
                <v:path arrowok="t"/>
                <v:fill type="solid"/>
              </v:shape>
            </v:group>
            <v:group style="position:absolute;left:8361;top:3582;width:10;height:20" coordorigin="8361,3582" coordsize="10,20">
              <v:shape style="position:absolute;left:8361;top:3582;width:10;height:20" coordorigin="8361,3582" coordsize="10,20" path="m8361,3602l8370,3602,8370,3582,8361,3582,8361,3602xe" filled="true" fillcolor="#000000" stroked="false">
                <v:path arrowok="t"/>
                <v:fill type="solid"/>
              </v:shape>
            </v:group>
            <v:group style="position:absolute;left:8361;top:3602;width:10;height:20" coordorigin="8361,3602" coordsize="10,20">
              <v:shape style="position:absolute;left:8361;top:3602;width:10;height:20" coordorigin="8361,3602" coordsize="10,20" path="m8361,3621l8370,3621,8370,3602,8361,3602,8361,3621xe" filled="true" fillcolor="#000000" stroked="false">
                <v:path arrowok="t"/>
                <v:fill type="solid"/>
              </v:shape>
            </v:group>
            <v:group style="position:absolute;left:8361;top:3621;width:10;height:20" coordorigin="8361,3621" coordsize="10,20">
              <v:shape style="position:absolute;left:8361;top:3621;width:10;height:20" coordorigin="8361,3621" coordsize="10,20" path="m8361,3640l8370,3640,8370,3621,8361,3621,8361,3640xe" filled="true" fillcolor="#000000" stroked="false">
                <v:path arrowok="t"/>
                <v:fill type="solid"/>
              </v:shape>
            </v:group>
            <v:group style="position:absolute;left:8361;top:3640;width:10;height:20" coordorigin="8361,3640" coordsize="10,20">
              <v:shape style="position:absolute;left:8361;top:3640;width:10;height:20" coordorigin="8361,3640" coordsize="10,20" path="m8361,3659l8370,3659,8370,3640,8361,3640,8361,3659xe" filled="true" fillcolor="#000000" stroked="false">
                <v:path arrowok="t"/>
                <v:fill type="solid"/>
              </v:shape>
            </v:group>
            <v:group style="position:absolute;left:8361;top:3659;width:10;height:20" coordorigin="8361,3659" coordsize="10,20">
              <v:shape style="position:absolute;left:8361;top:3659;width:10;height:20" coordorigin="8361,3659" coordsize="10,20" path="m8361,3678l8370,3678,8370,3659,8361,3659,8361,3678xe" filled="true" fillcolor="#000000" stroked="false">
                <v:path arrowok="t"/>
                <v:fill type="solid"/>
              </v:shape>
            </v:group>
            <v:group style="position:absolute;left:8361;top:3678;width:10;height:20" coordorigin="8361,3678" coordsize="10,20">
              <v:shape style="position:absolute;left:8361;top:3678;width:10;height:20" coordorigin="8361,3678" coordsize="10,20" path="m8361,3698l8370,3698,8370,3678,8361,3678,8361,3698xe" filled="true" fillcolor="#000000" stroked="false">
                <v:path arrowok="t"/>
                <v:fill type="solid"/>
              </v:shape>
            </v:group>
            <v:group style="position:absolute;left:8361;top:3698;width:10;height:20" coordorigin="8361,3698" coordsize="10,20">
              <v:shape style="position:absolute;left:8361;top:3698;width:10;height:20" coordorigin="8361,3698" coordsize="10,20" path="m8361,3717l8370,3717,8370,3698,8361,3698,8361,3717xe" filled="true" fillcolor="#000000" stroked="false">
                <v:path arrowok="t"/>
                <v:fill type="solid"/>
              </v:shape>
            </v:group>
            <v:group style="position:absolute;left:8361;top:3717;width:10;height:20" coordorigin="8361,3717" coordsize="10,20">
              <v:shape style="position:absolute;left:8361;top:3717;width:10;height:20" coordorigin="8361,3717" coordsize="10,20" path="m8361,3736l8370,3736,8370,3717,8361,3717,8361,3736xe" filled="true" fillcolor="#000000" stroked="false">
                <v:path arrowok="t"/>
                <v:fill type="solid"/>
              </v:shape>
            </v:group>
            <v:group style="position:absolute;left:8361;top:3736;width:10;height:20" coordorigin="8361,3736" coordsize="10,20">
              <v:shape style="position:absolute;left:8361;top:3736;width:10;height:20" coordorigin="8361,3736" coordsize="10,20" path="m8361,3755l8370,3755,8370,3736,8361,3736,8361,3755xe" filled="true" fillcolor="#000000" stroked="false">
                <v:path arrowok="t"/>
                <v:fill type="solid"/>
              </v:shape>
            </v:group>
            <v:group style="position:absolute;left:8361;top:3755;width:10;height:20" coordorigin="8361,3755" coordsize="10,20">
              <v:shape style="position:absolute;left:8361;top:3755;width:10;height:20" coordorigin="8361,3755" coordsize="10,20" path="m8361,3774l8370,3774,8370,3755,8361,3755,8361,3774xe" filled="true" fillcolor="#000000" stroked="false">
                <v:path arrowok="t"/>
                <v:fill type="solid"/>
              </v:shape>
            </v:group>
            <v:group style="position:absolute;left:8361;top:3774;width:10;height:20" coordorigin="8361,3774" coordsize="10,20">
              <v:shape style="position:absolute;left:8361;top:3774;width:10;height:20" coordorigin="8361,3774" coordsize="10,20" path="m8361,3794l8370,3794,8370,3774,8361,3774,8361,3794xe" filled="true" fillcolor="#000000" stroked="false">
                <v:path arrowok="t"/>
                <v:fill type="solid"/>
              </v:shape>
            </v:group>
            <v:group style="position:absolute;left:8361;top:3796;width:10;height:2" coordorigin="8361,3796" coordsize="10,2">
              <v:shape style="position:absolute;left:8361;top:3796;width:10;height:2" coordorigin="8361,3796" coordsize="10,0" path="m8361,3796l8370,3796e" filled="false" stroked="true" strokeweight=".24002pt" strokecolor="#000000">
                <v:path arrowok="t"/>
              </v:shape>
            </v:group>
            <v:group style="position:absolute;left:9237;top:3563;width:10;height:20" coordorigin="9237,3563" coordsize="10,20">
              <v:shape style="position:absolute;left:9237;top:3563;width:10;height:20" coordorigin="9237,3563" coordsize="10,20" path="m9237,3582l9247,3582,9247,3563,9237,3563,9237,3582xe" filled="true" fillcolor="#000000" stroked="false">
                <v:path arrowok="t"/>
                <v:fill type="solid"/>
              </v:shape>
            </v:group>
            <v:group style="position:absolute;left:9237;top:3582;width:10;height:20" coordorigin="9237,3582" coordsize="10,20">
              <v:shape style="position:absolute;left:9237;top:3582;width:10;height:20" coordorigin="9237,3582" coordsize="10,20" path="m9237,3602l9247,3602,9247,3582,9237,3582,9237,3602xe" filled="true" fillcolor="#000000" stroked="false">
                <v:path arrowok="t"/>
                <v:fill type="solid"/>
              </v:shape>
            </v:group>
            <v:group style="position:absolute;left:9237;top:3602;width:10;height:20" coordorigin="9237,3602" coordsize="10,20">
              <v:shape style="position:absolute;left:9237;top:3602;width:10;height:20" coordorigin="9237,3602" coordsize="10,20" path="m9237,3621l9247,3621,9247,3602,9237,3602,9237,3621xe" filled="true" fillcolor="#000000" stroked="false">
                <v:path arrowok="t"/>
                <v:fill type="solid"/>
              </v:shape>
            </v:group>
            <v:group style="position:absolute;left:9237;top:3621;width:10;height:20" coordorigin="9237,3621" coordsize="10,20">
              <v:shape style="position:absolute;left:9237;top:3621;width:10;height:20" coordorigin="9237,3621" coordsize="10,20" path="m9237,3640l9247,3640,9247,3621,9237,3621,9237,3640xe" filled="true" fillcolor="#000000" stroked="false">
                <v:path arrowok="t"/>
                <v:fill type="solid"/>
              </v:shape>
            </v:group>
            <v:group style="position:absolute;left:9237;top:3640;width:10;height:20" coordorigin="9237,3640" coordsize="10,20">
              <v:shape style="position:absolute;left:9237;top:3640;width:10;height:20" coordorigin="9237,3640" coordsize="10,20" path="m9237,3659l9247,3659,9247,3640,9237,3640,9237,3659xe" filled="true" fillcolor="#000000" stroked="false">
                <v:path arrowok="t"/>
                <v:fill type="solid"/>
              </v:shape>
            </v:group>
            <v:group style="position:absolute;left:9237;top:3659;width:10;height:20" coordorigin="9237,3659" coordsize="10,20">
              <v:shape style="position:absolute;left:9237;top:3659;width:10;height:20" coordorigin="9237,3659" coordsize="10,20" path="m9237,3678l9247,3678,9247,3659,9237,3659,9237,3678xe" filled="true" fillcolor="#000000" stroked="false">
                <v:path arrowok="t"/>
                <v:fill type="solid"/>
              </v:shape>
            </v:group>
            <v:group style="position:absolute;left:9237;top:3678;width:10;height:20" coordorigin="9237,3678" coordsize="10,20">
              <v:shape style="position:absolute;left:9237;top:3678;width:10;height:20" coordorigin="9237,3678" coordsize="10,20" path="m9237,3698l9247,3698,9247,3678,9237,3678,9237,3698xe" filled="true" fillcolor="#000000" stroked="false">
                <v:path arrowok="t"/>
                <v:fill type="solid"/>
              </v:shape>
            </v:group>
            <v:group style="position:absolute;left:9237;top:3698;width:10;height:20" coordorigin="9237,3698" coordsize="10,20">
              <v:shape style="position:absolute;left:9237;top:3698;width:10;height:20" coordorigin="9237,3698" coordsize="10,20" path="m9237,3717l9247,3717,9247,3698,9237,3698,9237,3717xe" filled="true" fillcolor="#000000" stroked="false">
                <v:path arrowok="t"/>
                <v:fill type="solid"/>
              </v:shape>
            </v:group>
            <v:group style="position:absolute;left:9237;top:3717;width:10;height:20" coordorigin="9237,3717" coordsize="10,20">
              <v:shape style="position:absolute;left:9237;top:3717;width:10;height:20" coordorigin="9237,3717" coordsize="10,20" path="m9237,3736l9247,3736,9247,3717,9237,3717,9237,3736xe" filled="true" fillcolor="#000000" stroked="false">
                <v:path arrowok="t"/>
                <v:fill type="solid"/>
              </v:shape>
            </v:group>
            <v:group style="position:absolute;left:9237;top:3736;width:10;height:20" coordorigin="9237,3736" coordsize="10,20">
              <v:shape style="position:absolute;left:9237;top:3736;width:10;height:20" coordorigin="9237,3736" coordsize="10,20" path="m9237,3755l9247,3755,9247,3736,9237,3736,9237,3755xe" filled="true" fillcolor="#000000" stroked="false">
                <v:path arrowok="t"/>
                <v:fill type="solid"/>
              </v:shape>
            </v:group>
            <v:group style="position:absolute;left:9237;top:3755;width:10;height:20" coordorigin="9237,3755" coordsize="10,20">
              <v:shape style="position:absolute;left:9237;top:3755;width:10;height:20" coordorigin="9237,3755" coordsize="10,20" path="m9237,3774l9247,3774,9247,3755,9237,3755,9237,3774xe" filled="true" fillcolor="#000000" stroked="false">
                <v:path arrowok="t"/>
                <v:fill type="solid"/>
              </v:shape>
            </v:group>
            <v:group style="position:absolute;left:9237;top:3774;width:10;height:20" coordorigin="9237,3774" coordsize="10,20">
              <v:shape style="position:absolute;left:9237;top:3774;width:10;height:20" coordorigin="9237,3774" coordsize="10,20" path="m9237,3794l9247,3794,9247,3774,9237,3774,9237,3794xe" filled="true" fillcolor="#000000" stroked="false">
                <v:path arrowok="t"/>
                <v:fill type="solid"/>
              </v:shape>
            </v:group>
            <v:group style="position:absolute;left:9237;top:3796;width:10;height:2" coordorigin="9237,3796" coordsize="10,2">
              <v:shape style="position:absolute;left:9237;top:3796;width:10;height:2" coordorigin="9237,3796" coordsize="10,0" path="m9237,3796l9247,3796e" filled="false" stroked="true" strokeweight=".24002pt" strokecolor="#000000">
                <v:path arrowok="t"/>
              </v:shape>
              <v:shape style="position:absolute;left:1558;top:3798;width:2801;height:10" type="#_x0000_t75" stroked="false">
                <v:imagedata r:id="rId123" o:title=""/>
              </v:shape>
              <v:shape style="position:absolute;left:4355;top:3798;width:1246;height:10" type="#_x0000_t75" stroked="false">
                <v:imagedata r:id="rId119" o:title=""/>
              </v:shape>
              <v:shape style="position:absolute;left:5595;top:3798;width:2765;height:10" type="#_x0000_t75" stroked="false">
                <v:imagedata r:id="rId120" o:title=""/>
              </v:shape>
              <v:shape style="position:absolute;left:8356;top:3798;width:881;height:10" type="#_x0000_t75" stroked="false">
                <v:imagedata r:id="rId121" o:title=""/>
              </v:shape>
              <v:shape style="position:absolute;left:9232;top:3798;width:1639;height:10" type="#_x0000_t75" stroked="false">
                <v:imagedata r:id="rId122" o:title=""/>
              </v:shape>
            </v:group>
            <v:group style="position:absolute;left:5600;top:3808;width:10;height:20" coordorigin="5600,3808" coordsize="10,20">
              <v:shape style="position:absolute;left:5600;top:3808;width:10;height:20" coordorigin="5600,3808" coordsize="10,20" path="m5600,3827l5610,3827,5610,3808,5600,3808,5600,3827xe" filled="true" fillcolor="#000000" stroked="false">
                <v:path arrowok="t"/>
                <v:fill type="solid"/>
              </v:shape>
            </v:group>
            <v:group style="position:absolute;left:5600;top:3827;width:10;height:20" coordorigin="5600,3827" coordsize="10,20">
              <v:shape style="position:absolute;left:5600;top:3827;width:10;height:20" coordorigin="5600,3827" coordsize="10,20" path="m5600,3846l5610,3846,5610,3827,5600,3827,5600,3846xe" filled="true" fillcolor="#000000" stroked="false">
                <v:path arrowok="t"/>
                <v:fill type="solid"/>
              </v:shape>
            </v:group>
            <v:group style="position:absolute;left:5600;top:3846;width:10;height:20" coordorigin="5600,3846" coordsize="10,20">
              <v:shape style="position:absolute;left:5600;top:3846;width:10;height:20" coordorigin="5600,3846" coordsize="10,20" path="m5600,3866l5610,3866,5610,3846,5600,3846,5600,3866xe" filled="true" fillcolor="#000000" stroked="false">
                <v:path arrowok="t"/>
                <v:fill type="solid"/>
              </v:shape>
            </v:group>
            <v:group style="position:absolute;left:5600;top:3866;width:10;height:20" coordorigin="5600,3866" coordsize="10,20">
              <v:shape style="position:absolute;left:5600;top:3866;width:10;height:20" coordorigin="5600,3866" coordsize="10,20" path="m5600,3885l5610,3885,5610,3866,5600,3866,5600,3885xe" filled="true" fillcolor="#000000" stroked="false">
                <v:path arrowok="t"/>
                <v:fill type="solid"/>
              </v:shape>
            </v:group>
            <v:group style="position:absolute;left:5600;top:3885;width:10;height:20" coordorigin="5600,3885" coordsize="10,20">
              <v:shape style="position:absolute;left:5600;top:3885;width:10;height:20" coordorigin="5600,3885" coordsize="10,20" path="m5600,3904l5610,3904,5610,3885,5600,3885,5600,3904xe" filled="true" fillcolor="#000000" stroked="false">
                <v:path arrowok="t"/>
                <v:fill type="solid"/>
              </v:shape>
            </v:group>
            <v:group style="position:absolute;left:5600;top:3904;width:10;height:20" coordorigin="5600,3904" coordsize="10,20">
              <v:shape style="position:absolute;left:5600;top:3904;width:10;height:20" coordorigin="5600,3904" coordsize="10,20" path="m5600,3923l5610,3923,5610,3904,5600,3904,5600,3923xe" filled="true" fillcolor="#000000" stroked="false">
                <v:path arrowok="t"/>
                <v:fill type="solid"/>
              </v:shape>
            </v:group>
            <v:group style="position:absolute;left:5600;top:3923;width:10;height:20" coordorigin="5600,3923" coordsize="10,20">
              <v:shape style="position:absolute;left:5600;top:3923;width:10;height:20" coordorigin="5600,3923" coordsize="10,20" path="m5600,3942l5610,3942,5610,3923,5600,3923,5600,3942xe" filled="true" fillcolor="#000000" stroked="false">
                <v:path arrowok="t"/>
                <v:fill type="solid"/>
              </v:shape>
            </v:group>
            <v:group style="position:absolute;left:5600;top:3942;width:10;height:20" coordorigin="5600,3942" coordsize="10,20">
              <v:shape style="position:absolute;left:5600;top:3942;width:10;height:20" coordorigin="5600,3942" coordsize="10,20" path="m5600,3962l5610,3962,5610,3942,5600,3942,5600,3962xe" filled="true" fillcolor="#000000" stroked="false">
                <v:path arrowok="t"/>
                <v:fill type="solid"/>
              </v:shape>
            </v:group>
            <v:group style="position:absolute;left:5600;top:3962;width:10;height:20" coordorigin="5600,3962" coordsize="10,20">
              <v:shape style="position:absolute;left:5600;top:3962;width:10;height:20" coordorigin="5600,3962" coordsize="10,20" path="m5600,3981l5610,3981,5610,3962,5600,3962,5600,3981xe" filled="true" fillcolor="#000000" stroked="false">
                <v:path arrowok="t"/>
                <v:fill type="solid"/>
              </v:shape>
            </v:group>
            <v:group style="position:absolute;left:5600;top:3981;width:10;height:20" coordorigin="5600,3981" coordsize="10,20">
              <v:shape style="position:absolute;left:5600;top:3981;width:10;height:20" coordorigin="5600,3981" coordsize="10,20" path="m5600,4000l5610,4000,5610,3981,5600,3981,5600,4000xe" filled="true" fillcolor="#000000" stroked="false">
                <v:path arrowok="t"/>
                <v:fill type="solid"/>
              </v:shape>
            </v:group>
            <v:group style="position:absolute;left:5600;top:4000;width:10;height:20" coordorigin="5600,4000" coordsize="10,20">
              <v:shape style="position:absolute;left:5600;top:4000;width:10;height:20" coordorigin="5600,4000" coordsize="10,20" path="m5600,4019l5610,4019,5610,4000,5600,4000,5600,4019xe" filled="true" fillcolor="#000000" stroked="false">
                <v:path arrowok="t"/>
                <v:fill type="solid"/>
              </v:shape>
            </v:group>
            <v:group style="position:absolute;left:5600;top:4019;width:10;height:20" coordorigin="5600,4019" coordsize="10,20">
              <v:shape style="position:absolute;left:5600;top:4019;width:10;height:20" coordorigin="5600,4019" coordsize="10,20" path="m5600,4038l5610,4038,5610,4019,5600,4019,5600,4038xe" filled="true" fillcolor="#000000" stroked="false">
                <v:path arrowok="t"/>
                <v:fill type="solid"/>
              </v:shape>
            </v:group>
            <v:group style="position:absolute;left:7019;top:3808;width:10;height:20" coordorigin="7019,3808" coordsize="10,20">
              <v:shape style="position:absolute;left:7019;top:3808;width:10;height:20" coordorigin="7019,3808" coordsize="10,20" path="m7019,3827l7029,3827,7029,3808,7019,3808,7019,3827xe" filled="true" fillcolor="#000000" stroked="false">
                <v:path arrowok="t"/>
                <v:fill type="solid"/>
              </v:shape>
            </v:group>
            <v:group style="position:absolute;left:7019;top:3827;width:10;height:20" coordorigin="7019,3827" coordsize="10,20">
              <v:shape style="position:absolute;left:7019;top:3827;width:10;height:20" coordorigin="7019,3827" coordsize="10,20" path="m7019,3846l7029,3846,7029,3827,7019,3827,7019,3846xe" filled="true" fillcolor="#000000" stroked="false">
                <v:path arrowok="t"/>
                <v:fill type="solid"/>
              </v:shape>
            </v:group>
            <v:group style="position:absolute;left:7019;top:3846;width:10;height:20" coordorigin="7019,3846" coordsize="10,20">
              <v:shape style="position:absolute;left:7019;top:3846;width:10;height:20" coordorigin="7019,3846" coordsize="10,20" path="m7019,3866l7029,3866,7029,3846,7019,3846,7019,3866xe" filled="true" fillcolor="#000000" stroked="false">
                <v:path arrowok="t"/>
                <v:fill type="solid"/>
              </v:shape>
            </v:group>
            <v:group style="position:absolute;left:7019;top:3866;width:10;height:20" coordorigin="7019,3866" coordsize="10,20">
              <v:shape style="position:absolute;left:7019;top:3866;width:10;height:20" coordorigin="7019,3866" coordsize="10,20" path="m7019,3885l7029,3885,7029,3866,7019,3866,7019,3885xe" filled="true" fillcolor="#000000" stroked="false">
                <v:path arrowok="t"/>
                <v:fill type="solid"/>
              </v:shape>
            </v:group>
            <v:group style="position:absolute;left:7019;top:3885;width:10;height:20" coordorigin="7019,3885" coordsize="10,20">
              <v:shape style="position:absolute;left:7019;top:3885;width:10;height:20" coordorigin="7019,3885" coordsize="10,20" path="m7019,3904l7029,3904,7029,3885,7019,3885,7019,3904xe" filled="true" fillcolor="#000000" stroked="false">
                <v:path arrowok="t"/>
                <v:fill type="solid"/>
              </v:shape>
            </v:group>
            <v:group style="position:absolute;left:7019;top:3904;width:10;height:20" coordorigin="7019,3904" coordsize="10,20">
              <v:shape style="position:absolute;left:7019;top:3904;width:10;height:20" coordorigin="7019,3904" coordsize="10,20" path="m7019,3923l7029,3923,7029,3904,7019,3904,7019,3923xe" filled="true" fillcolor="#000000" stroked="false">
                <v:path arrowok="t"/>
                <v:fill type="solid"/>
              </v:shape>
            </v:group>
            <v:group style="position:absolute;left:7019;top:3923;width:10;height:20" coordorigin="7019,3923" coordsize="10,20">
              <v:shape style="position:absolute;left:7019;top:3923;width:10;height:20" coordorigin="7019,3923" coordsize="10,20" path="m7019,3942l7029,3942,7029,3923,7019,3923,7019,3942xe" filled="true" fillcolor="#000000" stroked="false">
                <v:path arrowok="t"/>
                <v:fill type="solid"/>
              </v:shape>
            </v:group>
            <v:group style="position:absolute;left:7019;top:3942;width:10;height:20" coordorigin="7019,3942" coordsize="10,20">
              <v:shape style="position:absolute;left:7019;top:3942;width:10;height:20" coordorigin="7019,3942" coordsize="10,20" path="m7019,3962l7029,3962,7029,3942,7019,3942,7019,3962xe" filled="true" fillcolor="#000000" stroked="false">
                <v:path arrowok="t"/>
                <v:fill type="solid"/>
              </v:shape>
            </v:group>
            <v:group style="position:absolute;left:7019;top:3962;width:10;height:20" coordorigin="7019,3962" coordsize="10,20">
              <v:shape style="position:absolute;left:7019;top:3962;width:10;height:20" coordorigin="7019,3962" coordsize="10,20" path="m7019,3981l7029,3981,7029,3962,7019,3962,7019,3981xe" filled="true" fillcolor="#000000" stroked="false">
                <v:path arrowok="t"/>
                <v:fill type="solid"/>
              </v:shape>
            </v:group>
            <v:group style="position:absolute;left:7019;top:3981;width:10;height:20" coordorigin="7019,3981" coordsize="10,20">
              <v:shape style="position:absolute;left:7019;top:3981;width:10;height:20" coordorigin="7019,3981" coordsize="10,20" path="m7019,4000l7029,4000,7029,3981,7019,3981,7019,4000xe" filled="true" fillcolor="#000000" stroked="false">
                <v:path arrowok="t"/>
                <v:fill type="solid"/>
              </v:shape>
            </v:group>
            <v:group style="position:absolute;left:7019;top:4000;width:10;height:20" coordorigin="7019,4000" coordsize="10,20">
              <v:shape style="position:absolute;left:7019;top:4000;width:10;height:20" coordorigin="7019,4000" coordsize="10,20" path="m7019,4019l7029,4019,7029,4000,7019,4000,7019,4019xe" filled="true" fillcolor="#000000" stroked="false">
                <v:path arrowok="t"/>
                <v:fill type="solid"/>
              </v:shape>
            </v:group>
            <v:group style="position:absolute;left:7019;top:4019;width:10;height:20" coordorigin="7019,4019" coordsize="10,20">
              <v:shape style="position:absolute;left:7019;top:4019;width:10;height:20" coordorigin="7019,4019" coordsize="10,20" path="m7019,4038l7029,4038,7029,4019,7019,4019,7019,4038xe" filled="true" fillcolor="#000000" stroked="false">
                <v:path arrowok="t"/>
                <v:fill type="solid"/>
              </v:shape>
            </v:group>
            <v:group style="position:absolute;left:8361;top:3808;width:10;height:20" coordorigin="8361,3808" coordsize="10,20">
              <v:shape style="position:absolute;left:8361;top:3808;width:10;height:20" coordorigin="8361,3808" coordsize="10,20" path="m8361,3827l8370,3827,8370,3808,8361,3808,8361,3827xe" filled="true" fillcolor="#000000" stroked="false">
                <v:path arrowok="t"/>
                <v:fill type="solid"/>
              </v:shape>
            </v:group>
            <v:group style="position:absolute;left:8361;top:3827;width:10;height:20" coordorigin="8361,3827" coordsize="10,20">
              <v:shape style="position:absolute;left:8361;top:3827;width:10;height:20" coordorigin="8361,3827" coordsize="10,20" path="m8361,3846l8370,3846,8370,3827,8361,3827,8361,3846xe" filled="true" fillcolor="#000000" stroked="false">
                <v:path arrowok="t"/>
                <v:fill type="solid"/>
              </v:shape>
            </v:group>
            <v:group style="position:absolute;left:8361;top:3846;width:10;height:20" coordorigin="8361,3846" coordsize="10,20">
              <v:shape style="position:absolute;left:8361;top:3846;width:10;height:20" coordorigin="8361,3846" coordsize="10,20" path="m8361,3866l8370,3866,8370,3846,8361,3846,8361,3866xe" filled="true" fillcolor="#000000" stroked="false">
                <v:path arrowok="t"/>
                <v:fill type="solid"/>
              </v:shape>
            </v:group>
            <v:group style="position:absolute;left:8361;top:3866;width:10;height:20" coordorigin="8361,3866" coordsize="10,20">
              <v:shape style="position:absolute;left:8361;top:3866;width:10;height:20" coordorigin="8361,3866" coordsize="10,20" path="m8361,3885l8370,3885,8370,3866,8361,3866,8361,3885xe" filled="true" fillcolor="#000000" stroked="false">
                <v:path arrowok="t"/>
                <v:fill type="solid"/>
              </v:shape>
            </v:group>
            <v:group style="position:absolute;left:8361;top:3885;width:10;height:20" coordorigin="8361,3885" coordsize="10,20">
              <v:shape style="position:absolute;left:8361;top:3885;width:10;height:20" coordorigin="8361,3885" coordsize="10,20" path="m8361,3904l8370,3904,8370,3885,8361,3885,8361,3904xe" filled="true" fillcolor="#000000" stroked="false">
                <v:path arrowok="t"/>
                <v:fill type="solid"/>
              </v:shape>
            </v:group>
            <v:group style="position:absolute;left:8361;top:3904;width:10;height:20" coordorigin="8361,3904" coordsize="10,20">
              <v:shape style="position:absolute;left:8361;top:3904;width:10;height:20" coordorigin="8361,3904" coordsize="10,20" path="m8361,3923l8370,3923,8370,3904,8361,3904,8361,3923xe" filled="true" fillcolor="#000000" stroked="false">
                <v:path arrowok="t"/>
                <v:fill type="solid"/>
              </v:shape>
            </v:group>
            <v:group style="position:absolute;left:8361;top:3923;width:10;height:20" coordorigin="8361,3923" coordsize="10,20">
              <v:shape style="position:absolute;left:8361;top:3923;width:10;height:20" coordorigin="8361,3923" coordsize="10,20" path="m8361,3942l8370,3942,8370,3923,8361,3923,8361,3942xe" filled="true" fillcolor="#000000" stroked="false">
                <v:path arrowok="t"/>
                <v:fill type="solid"/>
              </v:shape>
            </v:group>
            <v:group style="position:absolute;left:8361;top:3942;width:10;height:20" coordorigin="8361,3942" coordsize="10,20">
              <v:shape style="position:absolute;left:8361;top:3942;width:10;height:20" coordorigin="8361,3942" coordsize="10,20" path="m8361,3962l8370,3962,8370,3942,8361,3942,8361,3962xe" filled="true" fillcolor="#000000" stroked="false">
                <v:path arrowok="t"/>
                <v:fill type="solid"/>
              </v:shape>
            </v:group>
            <v:group style="position:absolute;left:8361;top:3962;width:10;height:20" coordorigin="8361,3962" coordsize="10,20">
              <v:shape style="position:absolute;left:8361;top:3962;width:10;height:20" coordorigin="8361,3962" coordsize="10,20" path="m8361,3981l8370,3981,8370,3962,8361,3962,8361,3981xe" filled="true" fillcolor="#000000" stroked="false">
                <v:path arrowok="t"/>
                <v:fill type="solid"/>
              </v:shape>
            </v:group>
            <v:group style="position:absolute;left:8361;top:3981;width:10;height:20" coordorigin="8361,3981" coordsize="10,20">
              <v:shape style="position:absolute;left:8361;top:3981;width:10;height:20" coordorigin="8361,3981" coordsize="10,20" path="m8361,4000l8370,4000,8370,3981,8361,3981,8361,4000xe" filled="true" fillcolor="#000000" stroked="false">
                <v:path arrowok="t"/>
                <v:fill type="solid"/>
              </v:shape>
            </v:group>
            <v:group style="position:absolute;left:8361;top:4000;width:10;height:20" coordorigin="8361,4000" coordsize="10,20">
              <v:shape style="position:absolute;left:8361;top:4000;width:10;height:20" coordorigin="8361,4000" coordsize="10,20" path="m8361,4019l8370,4019,8370,4000,8361,4000,8361,4019xe" filled="true" fillcolor="#000000" stroked="false">
                <v:path arrowok="t"/>
                <v:fill type="solid"/>
              </v:shape>
            </v:group>
            <v:group style="position:absolute;left:8361;top:4019;width:10;height:20" coordorigin="8361,4019" coordsize="10,20">
              <v:shape style="position:absolute;left:8361;top:4019;width:10;height:20" coordorigin="8361,4019" coordsize="10,20" path="m8361,4038l8370,4038,8370,4019,8361,4019,8361,4038xe" filled="true" fillcolor="#000000" stroked="false">
                <v:path arrowok="t"/>
                <v:fill type="solid"/>
              </v:shape>
            </v:group>
            <v:group style="position:absolute;left:9237;top:3808;width:10;height:20" coordorigin="9237,3808" coordsize="10,20">
              <v:shape style="position:absolute;left:9237;top:3808;width:10;height:20" coordorigin="9237,3808" coordsize="10,20" path="m9237,3827l9247,3827,9247,3808,9237,3808,9237,3827xe" filled="true" fillcolor="#000000" stroked="false">
                <v:path arrowok="t"/>
                <v:fill type="solid"/>
              </v:shape>
            </v:group>
            <v:group style="position:absolute;left:9237;top:3827;width:10;height:20" coordorigin="9237,3827" coordsize="10,20">
              <v:shape style="position:absolute;left:9237;top:3827;width:10;height:20" coordorigin="9237,3827" coordsize="10,20" path="m9237,3846l9247,3846,9247,3827,9237,3827,9237,3846xe" filled="true" fillcolor="#000000" stroked="false">
                <v:path arrowok="t"/>
                <v:fill type="solid"/>
              </v:shape>
            </v:group>
            <v:group style="position:absolute;left:9237;top:3846;width:10;height:20" coordorigin="9237,3846" coordsize="10,20">
              <v:shape style="position:absolute;left:9237;top:3846;width:10;height:20" coordorigin="9237,3846" coordsize="10,20" path="m9237,3866l9247,3866,9247,3846,9237,3846,9237,3866xe" filled="true" fillcolor="#000000" stroked="false">
                <v:path arrowok="t"/>
                <v:fill type="solid"/>
              </v:shape>
            </v:group>
            <v:group style="position:absolute;left:9237;top:3866;width:10;height:20" coordorigin="9237,3866" coordsize="10,20">
              <v:shape style="position:absolute;left:9237;top:3866;width:10;height:20" coordorigin="9237,3866" coordsize="10,20" path="m9237,3885l9247,3885,9247,3866,9237,3866,9237,3885xe" filled="true" fillcolor="#000000" stroked="false">
                <v:path arrowok="t"/>
                <v:fill type="solid"/>
              </v:shape>
            </v:group>
            <v:group style="position:absolute;left:9237;top:3885;width:10;height:20" coordorigin="9237,3885" coordsize="10,20">
              <v:shape style="position:absolute;left:9237;top:3885;width:10;height:20" coordorigin="9237,3885" coordsize="10,20" path="m9237,3904l9247,3904,9247,3885,9237,3885,9237,3904xe" filled="true" fillcolor="#000000" stroked="false">
                <v:path arrowok="t"/>
                <v:fill type="solid"/>
              </v:shape>
            </v:group>
            <v:group style="position:absolute;left:9237;top:3904;width:10;height:20" coordorigin="9237,3904" coordsize="10,20">
              <v:shape style="position:absolute;left:9237;top:3904;width:10;height:20" coordorigin="9237,3904" coordsize="10,20" path="m9237,3923l9247,3923,9247,3904,9237,3904,9237,3923xe" filled="true" fillcolor="#000000" stroked="false">
                <v:path arrowok="t"/>
                <v:fill type="solid"/>
              </v:shape>
            </v:group>
            <v:group style="position:absolute;left:9237;top:3923;width:10;height:20" coordorigin="9237,3923" coordsize="10,20">
              <v:shape style="position:absolute;left:9237;top:3923;width:10;height:20" coordorigin="9237,3923" coordsize="10,20" path="m9237,3942l9247,3942,9247,3923,9237,3923,9237,3942xe" filled="true" fillcolor="#000000" stroked="false">
                <v:path arrowok="t"/>
                <v:fill type="solid"/>
              </v:shape>
            </v:group>
            <v:group style="position:absolute;left:9237;top:3942;width:10;height:20" coordorigin="9237,3942" coordsize="10,20">
              <v:shape style="position:absolute;left:9237;top:3942;width:10;height:20" coordorigin="9237,3942" coordsize="10,20" path="m9237,3962l9247,3962,9247,3942,9237,3942,9237,3962xe" filled="true" fillcolor="#000000" stroked="false">
                <v:path arrowok="t"/>
                <v:fill type="solid"/>
              </v:shape>
            </v:group>
            <v:group style="position:absolute;left:9237;top:3962;width:10;height:20" coordorigin="9237,3962" coordsize="10,20">
              <v:shape style="position:absolute;left:9237;top:3962;width:10;height:20" coordorigin="9237,3962" coordsize="10,20" path="m9237,3981l9247,3981,9247,3962,9237,3962,9237,3981xe" filled="true" fillcolor="#000000" stroked="false">
                <v:path arrowok="t"/>
                <v:fill type="solid"/>
              </v:shape>
            </v:group>
            <v:group style="position:absolute;left:9237;top:3981;width:10;height:20" coordorigin="9237,3981" coordsize="10,20">
              <v:shape style="position:absolute;left:9237;top:3981;width:10;height:20" coordorigin="9237,3981" coordsize="10,20" path="m9237,4000l9247,4000,9247,3981,9237,3981,9237,4000xe" filled="true" fillcolor="#000000" stroked="false">
                <v:path arrowok="t"/>
                <v:fill type="solid"/>
              </v:shape>
            </v:group>
            <v:group style="position:absolute;left:9237;top:4000;width:10;height:20" coordorigin="9237,4000" coordsize="10,20">
              <v:shape style="position:absolute;left:9237;top:4000;width:10;height:20" coordorigin="9237,4000" coordsize="10,20" path="m9237,4019l9247,4019,9247,4000,9237,4000,9237,4019xe" filled="true" fillcolor="#000000" stroked="false">
                <v:path arrowok="t"/>
                <v:fill type="solid"/>
              </v:shape>
            </v:group>
            <v:group style="position:absolute;left:9237;top:4019;width:10;height:20" coordorigin="9237,4019" coordsize="10,20">
              <v:shape style="position:absolute;left:9237;top:4019;width:10;height:20" coordorigin="9237,4019" coordsize="10,20" path="m9237,4038l9247,4038,9247,4019,9237,4019,9237,4038xe" filled="true" fillcolor="#000000" stroked="false">
                <v:path arrowok="t"/>
                <v:fill type="solid"/>
              </v:shape>
              <v:shape style="position:absolute;left:1558;top:3942;width:2821;height:108" type="#_x0000_t75" stroked="false">
                <v:imagedata r:id="rId124" o:title=""/>
              </v:shape>
              <v:shape style="position:absolute;left:4355;top:4038;width:1255;height:12" type="#_x0000_t75" stroked="false">
                <v:imagedata r:id="rId125" o:title=""/>
              </v:shape>
              <v:shape style="position:absolute;left:5595;top:4038;width:1433;height:12" type="#_x0000_t75" stroked="false">
                <v:imagedata r:id="rId126" o:title=""/>
              </v:shape>
              <v:shape style="position:absolute;left:7014;top:4038;width:1356;height:12" type="#_x0000_t75" stroked="false">
                <v:imagedata r:id="rId127" o:title=""/>
              </v:shape>
              <v:shape style="position:absolute;left:8356;top:4038;width:891;height:12" type="#_x0000_t75" stroked="false">
                <v:imagedata r:id="rId128" o:title=""/>
              </v:shape>
              <v:shape style="position:absolute;left:9232;top:4041;width:1639;height:10" type="#_x0000_t75" stroked="false">
                <v:imagedata r:id="rId122" o:title=""/>
              </v:shape>
            </v:group>
            <v:group style="position:absolute;left:5600;top:4050;width:10;height:20" coordorigin="5600,4050" coordsize="10,20">
              <v:shape style="position:absolute;left:5600;top:4050;width:10;height:20" coordorigin="5600,4050" coordsize="10,20" path="m5600,4070l5610,4070,5610,4050,5600,4050,5600,4070xe" filled="true" fillcolor="#000000" stroked="false">
                <v:path arrowok="t"/>
                <v:fill type="solid"/>
              </v:shape>
            </v:group>
            <v:group style="position:absolute;left:5600;top:4070;width:10;height:20" coordorigin="5600,4070" coordsize="10,20">
              <v:shape style="position:absolute;left:5600;top:4070;width:10;height:20" coordorigin="5600,4070" coordsize="10,20" path="m5600,4089l5610,4089,5610,4070,5600,4070,5600,4089xe" filled="true" fillcolor="#000000" stroked="false">
                <v:path arrowok="t"/>
                <v:fill type="solid"/>
              </v:shape>
            </v:group>
            <v:group style="position:absolute;left:5600;top:4089;width:10;height:20" coordorigin="5600,4089" coordsize="10,20">
              <v:shape style="position:absolute;left:5600;top:4089;width:10;height:20" coordorigin="5600,4089" coordsize="10,20" path="m5600,4108l5610,4108,5610,4089,5600,4089,5600,4108xe" filled="true" fillcolor="#000000" stroked="false">
                <v:path arrowok="t"/>
                <v:fill type="solid"/>
              </v:shape>
            </v:group>
            <v:group style="position:absolute;left:5600;top:4108;width:10;height:20" coordorigin="5600,4108" coordsize="10,20">
              <v:shape style="position:absolute;left:5600;top:4108;width:10;height:20" coordorigin="5600,4108" coordsize="10,20" path="m5600,4127l5610,4127,5610,4108,5600,4108,5600,4127xe" filled="true" fillcolor="#000000" stroked="false">
                <v:path arrowok="t"/>
                <v:fill type="solid"/>
              </v:shape>
            </v:group>
            <v:group style="position:absolute;left:5600;top:4127;width:10;height:20" coordorigin="5600,4127" coordsize="10,20">
              <v:shape style="position:absolute;left:5600;top:4127;width:10;height:20" coordorigin="5600,4127" coordsize="10,20" path="m5600,4146l5610,4146,5610,4127,5600,4127,5600,4146xe" filled="true" fillcolor="#000000" stroked="false">
                <v:path arrowok="t"/>
                <v:fill type="solid"/>
              </v:shape>
            </v:group>
            <v:group style="position:absolute;left:5600;top:4146;width:10;height:20" coordorigin="5600,4146" coordsize="10,20">
              <v:shape style="position:absolute;left:5600;top:4146;width:10;height:20" coordorigin="5600,4146" coordsize="10,20" path="m5600,4166l5610,4166,5610,4146,5600,4146,5600,4166xe" filled="true" fillcolor="#000000" stroked="false">
                <v:path arrowok="t"/>
                <v:fill type="solid"/>
              </v:shape>
            </v:group>
            <v:group style="position:absolute;left:5600;top:4166;width:10;height:20" coordorigin="5600,4166" coordsize="10,20">
              <v:shape style="position:absolute;left:5600;top:4166;width:10;height:20" coordorigin="5600,4166" coordsize="10,20" path="m5600,4185l5610,4185,5610,4166,5600,4166,5600,4185xe" filled="true" fillcolor="#000000" stroked="false">
                <v:path arrowok="t"/>
                <v:fill type="solid"/>
              </v:shape>
            </v:group>
            <v:group style="position:absolute;left:1544;top:4300;width:2816;height:2" coordorigin="1544,4300" coordsize="2816,2">
              <v:shape style="position:absolute;left:1544;top:4300;width:2816;height:2" coordorigin="1544,4300" coordsize="2816,0" path="m1544,4300l4359,4300e" filled="false" stroked="true" strokeweight="1.44pt" strokecolor="#000000">
                <v:path arrowok="t"/>
              </v:shape>
            </v:group>
            <v:group style="position:absolute;left:4359;top:4262;width:10;height:20" coordorigin="4359,4262" coordsize="10,20">
              <v:shape style="position:absolute;left:4359;top:4262;width:10;height:20" coordorigin="4359,4262" coordsize="10,20" path="m4359,4281l4369,4281,4369,4262,4359,4262,4359,4281xe" filled="true" fillcolor="#000000" stroked="false">
                <v:path arrowok="t"/>
                <v:fill type="solid"/>
              </v:shape>
              <v:shape style="position:absolute;left:4359;top:4281;width:10;height:5" type="#_x0000_t75" stroked="false">
                <v:imagedata r:id="rId134" o:title=""/>
              </v:shape>
            </v:group>
            <v:group style="position:absolute;left:4359;top:4300;width:29;height:2" coordorigin="4359,4300" coordsize="29,2">
              <v:shape style="position:absolute;left:4359;top:4300;width:29;height:2" coordorigin="4359,4300" coordsize="29,0" path="m4359,4300l4388,4300e" filled="false" stroked="true" strokeweight="1.44pt" strokecolor="#000000">
                <v:path arrowok="t"/>
              </v:shape>
            </v:group>
            <v:group style="position:absolute;left:4388;top:4300;width:1212;height:2" coordorigin="4388,4300" coordsize="1212,2">
              <v:shape style="position:absolute;left:4388;top:4300;width:1212;height:2" coordorigin="4388,4300" coordsize="1212,0" path="m4388,4300l5600,4300e" filled="false" stroked="true" strokeweight="1.44pt" strokecolor="#000000">
                <v:path arrowok="t"/>
              </v:shape>
            </v:group>
            <v:group style="position:absolute;left:5600;top:4185;width:10;height:20" coordorigin="5600,4185" coordsize="10,20">
              <v:shape style="position:absolute;left:5600;top:4185;width:10;height:20" coordorigin="5600,4185" coordsize="10,20" path="m5600,4204l5610,4204,5610,4185,5600,4185,5600,4204xe" filled="true" fillcolor="#000000" stroked="false">
                <v:path arrowok="t"/>
                <v:fill type="solid"/>
              </v:shape>
            </v:group>
            <v:group style="position:absolute;left:5600;top:4204;width:10;height:20" coordorigin="5600,4204" coordsize="10,20">
              <v:shape style="position:absolute;left:5600;top:4204;width:10;height:20" coordorigin="5600,4204" coordsize="10,20" path="m5600,4223l5610,4223,5610,4204,5600,4204,5600,4223xe" filled="true" fillcolor="#000000" stroked="false">
                <v:path arrowok="t"/>
                <v:fill type="solid"/>
              </v:shape>
            </v:group>
            <v:group style="position:absolute;left:5600;top:4223;width:10;height:20" coordorigin="5600,4223" coordsize="10,20">
              <v:shape style="position:absolute;left:5600;top:4223;width:10;height:20" coordorigin="5600,4223" coordsize="10,20" path="m5600,4242l5610,4242,5610,4223,5600,4223,5600,4242xe" filled="true" fillcolor="#000000" stroked="false">
                <v:path arrowok="t"/>
                <v:fill type="solid"/>
              </v:shape>
            </v:group>
            <v:group style="position:absolute;left:5600;top:4242;width:10;height:20" coordorigin="5600,4242" coordsize="10,20">
              <v:shape style="position:absolute;left:5600;top:4242;width:10;height:20" coordorigin="5600,4242" coordsize="10,20" path="m5600,4262l5610,4262,5610,4242,5600,4242,5600,4262xe" filled="true" fillcolor="#000000" stroked="false">
                <v:path arrowok="t"/>
                <v:fill type="solid"/>
              </v:shape>
            </v:group>
            <v:group style="position:absolute;left:5600;top:4262;width:10;height:20" coordorigin="5600,4262" coordsize="10,20">
              <v:shape style="position:absolute;left:5600;top:4262;width:10;height:20" coordorigin="5600,4262" coordsize="10,20" path="m5600,4281l5610,4281,5610,4262,5600,4262,5600,4281xe" filled="true" fillcolor="#000000" stroked="false">
                <v:path arrowok="t"/>
                <v:fill type="solid"/>
              </v:shape>
              <v:shape style="position:absolute;left:5600;top:4281;width:10;height:5" type="#_x0000_t75" stroked="false">
                <v:imagedata r:id="rId134" o:title=""/>
              </v:shape>
            </v:group>
            <v:group style="position:absolute;left:5600;top:4300;width:29;height:2" coordorigin="5600,4300" coordsize="29,2">
              <v:shape style="position:absolute;left:5600;top:4300;width:29;height:2" coordorigin="5600,4300" coordsize="29,0" path="m5600,4300l5629,4300e" filled="false" stroked="true" strokeweight="1.44pt" strokecolor="#000000">
                <v:path arrowok="t"/>
              </v:shape>
            </v:group>
            <v:group style="position:absolute;left:5629;top:4300;width:1391;height:2" coordorigin="5629,4300" coordsize="1391,2">
              <v:shape style="position:absolute;left:5629;top:4300;width:1391;height:2" coordorigin="5629,4300" coordsize="1391,0" path="m5629,4300l7019,4300e" filled="false" stroked="true" strokeweight="1.44pt" strokecolor="#000000">
                <v:path arrowok="t"/>
              </v:shape>
            </v:group>
            <v:group style="position:absolute;left:7019;top:4050;width:10;height:20" coordorigin="7019,4050" coordsize="10,20">
              <v:shape style="position:absolute;left:7019;top:4050;width:10;height:20" coordorigin="7019,4050" coordsize="10,20" path="m7019,4070l7029,4070,7029,4050,7019,4050,7019,4070xe" filled="true" fillcolor="#000000" stroked="false">
                <v:path arrowok="t"/>
                <v:fill type="solid"/>
              </v:shape>
            </v:group>
            <v:group style="position:absolute;left:7019;top:4070;width:10;height:20" coordorigin="7019,4070" coordsize="10,20">
              <v:shape style="position:absolute;left:7019;top:4070;width:10;height:20" coordorigin="7019,4070" coordsize="10,20" path="m7019,4089l7029,4089,7029,4070,7019,4070,7019,4089xe" filled="true" fillcolor="#000000" stroked="false">
                <v:path arrowok="t"/>
                <v:fill type="solid"/>
              </v:shape>
            </v:group>
            <v:group style="position:absolute;left:7019;top:4089;width:10;height:20" coordorigin="7019,4089" coordsize="10,20">
              <v:shape style="position:absolute;left:7019;top:4089;width:10;height:20" coordorigin="7019,4089" coordsize="10,20" path="m7019,4108l7029,4108,7029,4089,7019,4089,7019,4108xe" filled="true" fillcolor="#000000" stroked="false">
                <v:path arrowok="t"/>
                <v:fill type="solid"/>
              </v:shape>
            </v:group>
            <v:group style="position:absolute;left:7019;top:4108;width:10;height:20" coordorigin="7019,4108" coordsize="10,20">
              <v:shape style="position:absolute;left:7019;top:4108;width:10;height:20" coordorigin="7019,4108" coordsize="10,20" path="m7019,4127l7029,4127,7029,4108,7019,4108,7019,4127xe" filled="true" fillcolor="#000000" stroked="false">
                <v:path arrowok="t"/>
                <v:fill type="solid"/>
              </v:shape>
            </v:group>
            <v:group style="position:absolute;left:7019;top:4127;width:10;height:20" coordorigin="7019,4127" coordsize="10,20">
              <v:shape style="position:absolute;left:7019;top:4127;width:10;height:20" coordorigin="7019,4127" coordsize="10,20" path="m7019,4146l7029,4146,7029,4127,7019,4127,7019,4146xe" filled="true" fillcolor="#000000" stroked="false">
                <v:path arrowok="t"/>
                <v:fill type="solid"/>
              </v:shape>
            </v:group>
            <v:group style="position:absolute;left:7019;top:4146;width:10;height:20" coordorigin="7019,4146" coordsize="10,20">
              <v:shape style="position:absolute;left:7019;top:4146;width:10;height:20" coordorigin="7019,4146" coordsize="10,20" path="m7019,4166l7029,4166,7029,4146,7019,4146,7019,4166xe" filled="true" fillcolor="#000000" stroked="false">
                <v:path arrowok="t"/>
                <v:fill type="solid"/>
              </v:shape>
            </v:group>
            <v:group style="position:absolute;left:7019;top:4166;width:10;height:20" coordorigin="7019,4166" coordsize="10,20">
              <v:shape style="position:absolute;left:7019;top:4166;width:10;height:20" coordorigin="7019,4166" coordsize="10,20" path="m7019,4185l7029,4185,7029,4166,7019,4166,7019,4185xe" filled="true" fillcolor="#000000" stroked="false">
                <v:path arrowok="t"/>
                <v:fill type="solid"/>
              </v:shape>
            </v:group>
            <v:group style="position:absolute;left:7019;top:4185;width:10;height:20" coordorigin="7019,4185" coordsize="10,20">
              <v:shape style="position:absolute;left:7019;top:4185;width:10;height:20" coordorigin="7019,4185" coordsize="10,20" path="m7019,4204l7029,4204,7029,4185,7019,4185,7019,4204xe" filled="true" fillcolor="#000000" stroked="false">
                <v:path arrowok="t"/>
                <v:fill type="solid"/>
              </v:shape>
            </v:group>
            <v:group style="position:absolute;left:7019;top:4204;width:10;height:20" coordorigin="7019,4204" coordsize="10,20">
              <v:shape style="position:absolute;left:7019;top:4204;width:10;height:20" coordorigin="7019,4204" coordsize="10,20" path="m7019,4223l7029,4223,7029,4204,7019,4204,7019,4223xe" filled="true" fillcolor="#000000" stroked="false">
                <v:path arrowok="t"/>
                <v:fill type="solid"/>
              </v:shape>
            </v:group>
            <v:group style="position:absolute;left:7019;top:4223;width:10;height:20" coordorigin="7019,4223" coordsize="10,20">
              <v:shape style="position:absolute;left:7019;top:4223;width:10;height:20" coordorigin="7019,4223" coordsize="10,20" path="m7019,4242l7029,4242,7029,4223,7019,4223,7019,4242xe" filled="true" fillcolor="#000000" stroked="false">
                <v:path arrowok="t"/>
                <v:fill type="solid"/>
              </v:shape>
            </v:group>
            <v:group style="position:absolute;left:7019;top:4242;width:10;height:20" coordorigin="7019,4242" coordsize="10,20">
              <v:shape style="position:absolute;left:7019;top:4242;width:10;height:20" coordorigin="7019,4242" coordsize="10,20" path="m7019,4262l7029,4262,7029,4242,7019,4242,7019,4262xe" filled="true" fillcolor="#000000" stroked="false">
                <v:path arrowok="t"/>
                <v:fill type="solid"/>
              </v:shape>
            </v:group>
            <v:group style="position:absolute;left:7019;top:4262;width:10;height:20" coordorigin="7019,4262" coordsize="10,20">
              <v:shape style="position:absolute;left:7019;top:4262;width:10;height:20" coordorigin="7019,4262" coordsize="10,20" path="m7019,4281l7029,4281,7029,4262,7019,4262,7019,4281xe" filled="true" fillcolor="#000000" stroked="false">
                <v:path arrowok="t"/>
                <v:fill type="solid"/>
              </v:shape>
              <v:shape style="position:absolute;left:7019;top:4281;width:10;height:5" type="#_x0000_t75" stroked="false">
                <v:imagedata r:id="rId134" o:title=""/>
              </v:shape>
            </v:group>
            <v:group style="position:absolute;left:7019;top:4300;width:29;height:2" coordorigin="7019,4300" coordsize="29,2">
              <v:shape style="position:absolute;left:7019;top:4300;width:29;height:2" coordorigin="7019,4300" coordsize="29,0" path="m7019,4300l7048,4300e" filled="false" stroked="true" strokeweight="1.44pt" strokecolor="#000000">
                <v:path arrowok="t"/>
              </v:shape>
            </v:group>
            <v:group style="position:absolute;left:7048;top:4300;width:1313;height:2" coordorigin="7048,4300" coordsize="1313,2">
              <v:shape style="position:absolute;left:7048;top:4300;width:1313;height:2" coordorigin="7048,4300" coordsize="1313,0" path="m7048,4300l8361,4300e" filled="false" stroked="true" strokeweight="1.44pt" strokecolor="#000000">
                <v:path arrowok="t"/>
              </v:shape>
            </v:group>
            <v:group style="position:absolute;left:8361;top:4050;width:10;height:20" coordorigin="8361,4050" coordsize="10,20">
              <v:shape style="position:absolute;left:8361;top:4050;width:10;height:20" coordorigin="8361,4050" coordsize="10,20" path="m8361,4070l8370,4070,8370,4050,8361,4050,8361,4070xe" filled="true" fillcolor="#000000" stroked="false">
                <v:path arrowok="t"/>
                <v:fill type="solid"/>
              </v:shape>
            </v:group>
            <v:group style="position:absolute;left:8361;top:4070;width:10;height:20" coordorigin="8361,4070" coordsize="10,20">
              <v:shape style="position:absolute;left:8361;top:4070;width:10;height:20" coordorigin="8361,4070" coordsize="10,20" path="m8361,4089l8370,4089,8370,4070,8361,4070,8361,4089xe" filled="true" fillcolor="#000000" stroked="false">
                <v:path arrowok="t"/>
                <v:fill type="solid"/>
              </v:shape>
            </v:group>
            <v:group style="position:absolute;left:8361;top:4089;width:10;height:20" coordorigin="8361,4089" coordsize="10,20">
              <v:shape style="position:absolute;left:8361;top:4089;width:10;height:20" coordorigin="8361,4089" coordsize="10,20" path="m8361,4108l8370,4108,8370,4089,8361,4089,8361,4108xe" filled="true" fillcolor="#000000" stroked="false">
                <v:path arrowok="t"/>
                <v:fill type="solid"/>
              </v:shape>
            </v:group>
            <v:group style="position:absolute;left:8361;top:4108;width:10;height:20" coordorigin="8361,4108" coordsize="10,20">
              <v:shape style="position:absolute;left:8361;top:4108;width:10;height:20" coordorigin="8361,4108" coordsize="10,20" path="m8361,4127l8370,4127,8370,4108,8361,4108,8361,4127xe" filled="true" fillcolor="#000000" stroked="false">
                <v:path arrowok="t"/>
                <v:fill type="solid"/>
              </v:shape>
            </v:group>
            <v:group style="position:absolute;left:8361;top:4127;width:10;height:20" coordorigin="8361,4127" coordsize="10,20">
              <v:shape style="position:absolute;left:8361;top:4127;width:10;height:20" coordorigin="8361,4127" coordsize="10,20" path="m8361,4146l8370,4146,8370,4127,8361,4127,8361,4146xe" filled="true" fillcolor="#000000" stroked="false">
                <v:path arrowok="t"/>
                <v:fill type="solid"/>
              </v:shape>
            </v:group>
            <v:group style="position:absolute;left:8361;top:4146;width:10;height:20" coordorigin="8361,4146" coordsize="10,20">
              <v:shape style="position:absolute;left:8361;top:4146;width:10;height:20" coordorigin="8361,4146" coordsize="10,20" path="m8361,4166l8370,4166,8370,4146,8361,4146,8361,4166xe" filled="true" fillcolor="#000000" stroked="false">
                <v:path arrowok="t"/>
                <v:fill type="solid"/>
              </v:shape>
            </v:group>
            <v:group style="position:absolute;left:8361;top:4166;width:10;height:20" coordorigin="8361,4166" coordsize="10,20">
              <v:shape style="position:absolute;left:8361;top:4166;width:10;height:20" coordorigin="8361,4166" coordsize="10,20" path="m8361,4185l8370,4185,8370,4166,8361,4166,8361,4185xe" filled="true" fillcolor="#000000" stroked="false">
                <v:path arrowok="t"/>
                <v:fill type="solid"/>
              </v:shape>
            </v:group>
            <v:group style="position:absolute;left:8361;top:4185;width:10;height:20" coordorigin="8361,4185" coordsize="10,20">
              <v:shape style="position:absolute;left:8361;top:4185;width:10;height:20" coordorigin="8361,4185" coordsize="10,20" path="m8361,4204l8370,4204,8370,4185,8361,4185,8361,4204xe" filled="true" fillcolor="#000000" stroked="false">
                <v:path arrowok="t"/>
                <v:fill type="solid"/>
              </v:shape>
            </v:group>
            <v:group style="position:absolute;left:8361;top:4204;width:10;height:20" coordorigin="8361,4204" coordsize="10,20">
              <v:shape style="position:absolute;left:8361;top:4204;width:10;height:20" coordorigin="8361,4204" coordsize="10,20" path="m8361,4223l8370,4223,8370,4204,8361,4204,8361,4223xe" filled="true" fillcolor="#000000" stroked="false">
                <v:path arrowok="t"/>
                <v:fill type="solid"/>
              </v:shape>
            </v:group>
            <v:group style="position:absolute;left:8361;top:4223;width:10;height:20" coordorigin="8361,4223" coordsize="10,20">
              <v:shape style="position:absolute;left:8361;top:4223;width:10;height:20" coordorigin="8361,4223" coordsize="10,20" path="m8361,4242l8370,4242,8370,4223,8361,4223,8361,4242xe" filled="true" fillcolor="#000000" stroked="false">
                <v:path arrowok="t"/>
                <v:fill type="solid"/>
              </v:shape>
            </v:group>
            <v:group style="position:absolute;left:8361;top:4242;width:10;height:20" coordorigin="8361,4242" coordsize="10,20">
              <v:shape style="position:absolute;left:8361;top:4242;width:10;height:20" coordorigin="8361,4242" coordsize="10,20" path="m8361,4262l8370,4262,8370,4242,8361,4242,8361,4262xe" filled="true" fillcolor="#000000" stroked="false">
                <v:path arrowok="t"/>
                <v:fill type="solid"/>
              </v:shape>
            </v:group>
            <v:group style="position:absolute;left:8361;top:4262;width:10;height:20" coordorigin="8361,4262" coordsize="10,20">
              <v:shape style="position:absolute;left:8361;top:4262;width:10;height:20" coordorigin="8361,4262" coordsize="10,20" path="m8361,4281l8370,4281,8370,4262,8361,4262,8361,4281xe" filled="true" fillcolor="#000000" stroked="false">
                <v:path arrowok="t"/>
                <v:fill type="solid"/>
              </v:shape>
              <v:shape style="position:absolute;left:8361;top:4281;width:10;height:5" type="#_x0000_t75" stroked="false">
                <v:imagedata r:id="rId134" o:title=""/>
              </v:shape>
            </v:group>
            <v:group style="position:absolute;left:8361;top:4300;width:29;height:2" coordorigin="8361,4300" coordsize="29,2">
              <v:shape style="position:absolute;left:8361;top:4300;width:29;height:2" coordorigin="8361,4300" coordsize="29,0" path="m8361,4300l8389,4300e" filled="false" stroked="true" strokeweight="1.44pt" strokecolor="#000000">
                <v:path arrowok="t"/>
              </v:shape>
            </v:group>
            <v:group style="position:absolute;left:8389;top:4300;width:848;height:2" coordorigin="8389,4300" coordsize="848,2">
              <v:shape style="position:absolute;left:8389;top:4300;width:848;height:2" coordorigin="8389,4300" coordsize="848,0" path="m8389,4300l9237,4300e" filled="false" stroked="true" strokeweight="1.44pt" strokecolor="#000000">
                <v:path arrowok="t"/>
              </v:shape>
            </v:group>
            <v:group style="position:absolute;left:9237;top:4050;width:10;height:20" coordorigin="9237,4050" coordsize="10,20">
              <v:shape style="position:absolute;left:9237;top:4050;width:10;height:20" coordorigin="9237,4050" coordsize="10,20" path="m9237,4070l9247,4070,9247,4050,9237,4050,9237,4070xe" filled="true" fillcolor="#000000" stroked="false">
                <v:path arrowok="t"/>
                <v:fill type="solid"/>
              </v:shape>
            </v:group>
            <v:group style="position:absolute;left:9237;top:4070;width:10;height:20" coordorigin="9237,4070" coordsize="10,20">
              <v:shape style="position:absolute;left:9237;top:4070;width:10;height:20" coordorigin="9237,4070" coordsize="10,20" path="m9237,4089l9247,4089,9247,4070,9237,4070,9237,4089xe" filled="true" fillcolor="#000000" stroked="false">
                <v:path arrowok="t"/>
                <v:fill type="solid"/>
              </v:shape>
            </v:group>
            <v:group style="position:absolute;left:9237;top:4089;width:10;height:20" coordorigin="9237,4089" coordsize="10,20">
              <v:shape style="position:absolute;left:9237;top:4089;width:10;height:20" coordorigin="9237,4089" coordsize="10,20" path="m9237,4108l9247,4108,9247,4089,9237,4089,9237,4108xe" filled="true" fillcolor="#000000" stroked="false">
                <v:path arrowok="t"/>
                <v:fill type="solid"/>
              </v:shape>
            </v:group>
            <v:group style="position:absolute;left:9237;top:4108;width:10;height:20" coordorigin="9237,4108" coordsize="10,20">
              <v:shape style="position:absolute;left:9237;top:4108;width:10;height:20" coordorigin="9237,4108" coordsize="10,20" path="m9237,4127l9247,4127,9247,4108,9237,4108,9237,4127xe" filled="true" fillcolor="#000000" stroked="false">
                <v:path arrowok="t"/>
                <v:fill type="solid"/>
              </v:shape>
            </v:group>
            <v:group style="position:absolute;left:9237;top:4127;width:10;height:20" coordorigin="9237,4127" coordsize="10,20">
              <v:shape style="position:absolute;left:9237;top:4127;width:10;height:20" coordorigin="9237,4127" coordsize="10,20" path="m9237,4146l9247,4146,9247,4127,9237,4127,9237,4146xe" filled="true" fillcolor="#000000" stroked="false">
                <v:path arrowok="t"/>
                <v:fill type="solid"/>
              </v:shape>
            </v:group>
            <v:group style="position:absolute;left:9237;top:4146;width:10;height:20" coordorigin="9237,4146" coordsize="10,20">
              <v:shape style="position:absolute;left:9237;top:4146;width:10;height:20" coordorigin="9237,4146" coordsize="10,20" path="m9237,4166l9247,4166,9247,4146,9237,4146,9237,4166xe" filled="true" fillcolor="#000000" stroked="false">
                <v:path arrowok="t"/>
                <v:fill type="solid"/>
              </v:shape>
            </v:group>
            <v:group style="position:absolute;left:9237;top:4166;width:10;height:20" coordorigin="9237,4166" coordsize="10,20">
              <v:shape style="position:absolute;left:9237;top:4166;width:10;height:20" coordorigin="9237,4166" coordsize="10,20" path="m9237,4185l9247,4185,9247,4166,9237,4166,9237,4185xe" filled="true" fillcolor="#000000" stroked="false">
                <v:path arrowok="t"/>
                <v:fill type="solid"/>
              </v:shape>
            </v:group>
            <v:group style="position:absolute;left:9237;top:4185;width:10;height:20" coordorigin="9237,4185" coordsize="10,20">
              <v:shape style="position:absolute;left:9237;top:4185;width:10;height:20" coordorigin="9237,4185" coordsize="10,20" path="m9237,4204l9247,4204,9247,4185,9237,4185,9237,4204xe" filled="true" fillcolor="#000000" stroked="false">
                <v:path arrowok="t"/>
                <v:fill type="solid"/>
              </v:shape>
            </v:group>
            <v:group style="position:absolute;left:9237;top:4204;width:10;height:20" coordorigin="9237,4204" coordsize="10,20">
              <v:shape style="position:absolute;left:9237;top:4204;width:10;height:20" coordorigin="9237,4204" coordsize="10,20" path="m9237,4223l9247,4223,9247,4204,9237,4204,9237,4223xe" filled="true" fillcolor="#000000" stroked="false">
                <v:path arrowok="t"/>
                <v:fill type="solid"/>
              </v:shape>
            </v:group>
            <v:group style="position:absolute;left:9237;top:4223;width:10;height:20" coordorigin="9237,4223" coordsize="10,20">
              <v:shape style="position:absolute;left:9237;top:4223;width:10;height:20" coordorigin="9237,4223" coordsize="10,20" path="m9237,4242l9247,4242,9247,4223,9237,4223,9237,4242xe" filled="true" fillcolor="#000000" stroked="false">
                <v:path arrowok="t"/>
                <v:fill type="solid"/>
              </v:shape>
            </v:group>
            <v:group style="position:absolute;left:9237;top:4242;width:10;height:20" coordorigin="9237,4242" coordsize="10,20">
              <v:shape style="position:absolute;left:9237;top:4242;width:10;height:20" coordorigin="9237,4242" coordsize="10,20" path="m9237,4262l9247,4262,9247,4242,9237,4242,9237,4262xe" filled="true" fillcolor="#000000" stroked="false">
                <v:path arrowok="t"/>
                <v:fill type="solid"/>
              </v:shape>
            </v:group>
            <v:group style="position:absolute;left:9237;top:4262;width:10;height:20" coordorigin="9237,4262" coordsize="10,20">
              <v:shape style="position:absolute;left:9237;top:4262;width:10;height:20" coordorigin="9237,4262" coordsize="10,20" path="m9237,4281l9247,4281,9247,4262,9237,4262,9237,4281xe" filled="true" fillcolor="#000000" stroked="false">
                <v:path arrowok="t"/>
                <v:fill type="solid"/>
              </v:shape>
              <v:shape style="position:absolute;left:9237;top:4281;width:10;height:5" type="#_x0000_t75" stroked="false">
                <v:imagedata r:id="rId134" o:title=""/>
              </v:shape>
            </v:group>
            <v:group style="position:absolute;left:9237;top:4300;width:29;height:2" coordorigin="9237,4300" coordsize="29,2">
              <v:shape style="position:absolute;left:9237;top:4300;width:29;height:2" coordorigin="9237,4300" coordsize="29,0" path="m9237,4300l9266,4300e" filled="false" stroked="true" strokeweight="1.44pt" strokecolor="#000000">
                <v:path arrowok="t"/>
              </v:shape>
            </v:group>
            <v:group style="position:absolute;left:9266;top:4300;width:1606;height:2" coordorigin="9266,4300" coordsize="1606,2">
              <v:shape style="position:absolute;left:9266;top:4300;width:1606;height:2" coordorigin="9266,4300" coordsize="1606,0" path="m9266,4300l10872,4300e" filled="false" stroked="true" strokeweight="1.44pt" strokecolor="#000000">
                <v:path arrowok="t"/>
              </v:shape>
              <v:shape style="position:absolute;left:2511;top:99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承租方名称</w:t>
                      </w:r>
                    </w:p>
                  </w:txbxContent>
                </v:textbox>
                <w10:wrap type="none"/>
              </v:shape>
              <v:shape style="position:absolute;left:4626;top:9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签订时间</w:t>
                      </w:r>
                    </w:p>
                  </w:txbxContent>
                </v:textbox>
                <w10:wrap type="none"/>
              </v:shape>
              <v:shape style="position:absolute;left:6625;top:84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租金总额</w:t>
                      </w:r>
                    </w:p>
                  </w:txbxContent>
                </v:textbox>
                <w10:wrap type="none"/>
              </v:shape>
              <v:shape style="position:absolute;left:1666;top:1409;width:2520;height:42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p>
                      <w:pPr>
                        <w:spacing w:before="7"/>
                        <w:ind w:left="0" w:right="0" w:firstLine="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p>
                  </w:txbxContent>
                </v:textbox>
                <w10:wrap type="none"/>
              </v:shape>
              <v:shape style="position:absolute;left:4554;top:1409;width:948;height:433"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line="24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xbxContent>
                </v:textbox>
                <w10:wrap type="none"/>
              </v:shape>
              <v:shape style="position:absolute;left:5787;top:1138;width:1126;height:702" type="#_x0000_t202" filled="false" stroked="false">
                <v:textbox inset="0,0,0,0">
                  <w:txbxContent>
                    <w:p>
                      <w:pPr>
                        <w:spacing w:line="180" w:lineRule="exact" w:before="0"/>
                        <w:ind w:left="-75" w:right="0" w:firstLine="0"/>
                        <w:jc w:val="center"/>
                        <w:rPr>
                          <w:rFonts w:ascii="宋体" w:hAnsi="宋体" w:cs="宋体" w:eastAsia="宋体" w:hint="default"/>
                          <w:sz w:val="18"/>
                          <w:szCs w:val="18"/>
                        </w:rPr>
                      </w:pPr>
                      <w:r>
                        <w:rPr>
                          <w:rFonts w:ascii="宋体" w:hAnsi="宋体" w:cs="宋体" w:eastAsia="宋体" w:hint="default"/>
                          <w:sz w:val="18"/>
                          <w:szCs w:val="18"/>
                        </w:rPr>
                        <w:t>本金</w:t>
                      </w:r>
                    </w:p>
                    <w:p>
                      <w:pPr>
                        <w:spacing w:before="73"/>
                        <w:ind w:left="-1" w:right="0" w:firstLine="0"/>
                        <w:jc w:val="center"/>
                        <w:rPr>
                          <w:rFonts w:ascii="Times New Roman" w:hAnsi="Times New Roman" w:cs="Times New Roman" w:eastAsia="Times New Roman" w:hint="default"/>
                          <w:sz w:val="18"/>
                          <w:szCs w:val="18"/>
                        </w:rPr>
                      </w:pPr>
                      <w:r>
                        <w:rPr>
                          <w:rFonts w:ascii="Times New Roman"/>
                          <w:spacing w:val="-1"/>
                          <w:sz w:val="18"/>
                        </w:rPr>
                        <w:t>200,000,000.00</w:t>
                      </w:r>
                    </w:p>
                    <w:p>
                      <w:pPr>
                        <w:spacing w:line="203" w:lineRule="exact" w:before="38"/>
                        <w:ind w:left="-1" w:right="0" w:firstLine="0"/>
                        <w:jc w:val="center"/>
                        <w:rPr>
                          <w:rFonts w:ascii="Times New Roman" w:hAnsi="Times New Roman" w:cs="Times New Roman" w:eastAsia="Times New Roman" w:hint="default"/>
                          <w:sz w:val="18"/>
                          <w:szCs w:val="18"/>
                        </w:rPr>
                      </w:pPr>
                      <w:r>
                        <w:rPr>
                          <w:rFonts w:ascii="Times New Roman"/>
                          <w:spacing w:val="-1"/>
                          <w:sz w:val="18"/>
                        </w:rPr>
                        <w:t>370,989,597.60</w:t>
                      </w:r>
                    </w:p>
                  </w:txbxContent>
                </v:textbox>
                <w10:wrap type="none"/>
              </v:shape>
              <v:shape style="position:absolute;left:7221;top:1114;width:1035;height:726" type="#_x0000_t202" filled="false" stroked="false">
                <v:textbox inset="0,0,0,0">
                  <w:txbxContent>
                    <w:p>
                      <w:pPr>
                        <w:spacing w:line="180" w:lineRule="exact" w:before="0"/>
                        <w:ind w:left="-94" w:right="0" w:firstLine="0"/>
                        <w:jc w:val="center"/>
                        <w:rPr>
                          <w:rFonts w:ascii="宋体" w:hAnsi="宋体" w:cs="宋体" w:eastAsia="宋体" w:hint="default"/>
                          <w:sz w:val="18"/>
                          <w:szCs w:val="18"/>
                        </w:rPr>
                      </w:pPr>
                      <w:r>
                        <w:rPr>
                          <w:rFonts w:ascii="宋体" w:hAnsi="宋体" w:cs="宋体" w:eastAsia="宋体" w:hint="default"/>
                          <w:sz w:val="18"/>
                          <w:szCs w:val="18"/>
                        </w:rPr>
                        <w:t>利息</w:t>
                      </w:r>
                    </w:p>
                    <w:p>
                      <w:pPr>
                        <w:spacing w:before="97"/>
                        <w:ind w:left="0" w:right="0" w:firstLine="0"/>
                        <w:jc w:val="center"/>
                        <w:rPr>
                          <w:rFonts w:ascii="Times New Roman" w:hAnsi="Times New Roman" w:cs="Times New Roman" w:eastAsia="Times New Roman" w:hint="default"/>
                          <w:sz w:val="18"/>
                          <w:szCs w:val="18"/>
                        </w:rPr>
                      </w:pPr>
                      <w:r>
                        <w:rPr>
                          <w:rFonts w:ascii="Times New Roman"/>
                          <w:spacing w:val="-1"/>
                          <w:sz w:val="18"/>
                        </w:rPr>
                        <w:t>47,552,777.78</w:t>
                      </w:r>
                    </w:p>
                    <w:p>
                      <w:pPr>
                        <w:spacing w:line="203" w:lineRule="exact" w:before="38"/>
                        <w:ind w:left="0" w:right="0" w:firstLine="0"/>
                        <w:jc w:val="center"/>
                        <w:rPr>
                          <w:rFonts w:ascii="Times New Roman" w:hAnsi="Times New Roman" w:cs="Times New Roman" w:eastAsia="Times New Roman" w:hint="default"/>
                          <w:sz w:val="18"/>
                          <w:szCs w:val="18"/>
                        </w:rPr>
                      </w:pPr>
                      <w:r>
                        <w:rPr>
                          <w:rFonts w:ascii="Times New Roman"/>
                          <w:spacing w:val="-1"/>
                          <w:sz w:val="18"/>
                        </w:rPr>
                        <w:t>82,851,047.42</w:t>
                      </w:r>
                    </w:p>
                  </w:txbxContent>
                </v:textbox>
                <w10:wrap type="none"/>
              </v:shape>
              <v:shape style="position:absolute;left:8533;top:874;width:540;height:96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租赁期</w:t>
                      </w: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限</w:t>
                      </w:r>
                    </w:p>
                    <w:p>
                      <w:pPr>
                        <w:spacing w:line="246" w:lineRule="exact" w:before="64"/>
                        <w:ind w:left="2"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2" w:lineRule="exact" w:before="0"/>
                        <w:ind w:left="2"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9516;top:99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本期支付金额</w:t>
                      </w:r>
                    </w:p>
                  </w:txbxContent>
                </v:textbox>
                <w10:wrap type="none"/>
              </v:shape>
              <v:shape style="position:absolute;left:9729;top:1414;width:1035;height:425"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30,303,888.89</w:t>
                      </w:r>
                    </w:p>
                    <w:p>
                      <w:pPr>
                        <w:spacing w:line="203" w:lineRule="exact" w:before="38"/>
                        <w:ind w:left="0" w:right="0" w:firstLine="0"/>
                        <w:jc w:val="left"/>
                        <w:rPr>
                          <w:rFonts w:ascii="Times New Roman" w:hAnsi="Times New Roman" w:cs="Times New Roman" w:eastAsia="Times New Roman" w:hint="default"/>
                          <w:sz w:val="18"/>
                          <w:szCs w:val="18"/>
                        </w:rPr>
                      </w:pPr>
                      <w:r>
                        <w:rPr>
                          <w:rFonts w:ascii="Times New Roman"/>
                          <w:spacing w:val="-1"/>
                          <w:sz w:val="18"/>
                        </w:rPr>
                        <w:t>80,162,951.34</w:t>
                      </w:r>
                    </w:p>
                  </w:txbxContent>
                </v:textbox>
                <w10:wrap type="none"/>
              </v:shape>
            </v:group>
            <w10:wrap type="none"/>
          </v:group>
        </w:pict>
      </w:r>
      <w:r>
        <w:rPr/>
        <w:t>√适用</w:t>
      </w:r>
      <w:r>
        <w:rPr>
          <w:spacing w:val="-2"/>
        </w:rPr>
        <w:t> </w:t>
      </w:r>
      <w:r>
        <w:rPr/>
        <w:t>□不适用</w:t>
      </w:r>
      <w:r>
        <w:rPr>
          <w:w w:val="100"/>
        </w:rPr>
        <w:t> </w:t>
      </w:r>
      <w:r>
        <w:rPr>
          <w:spacing w:val="-2"/>
        </w:rPr>
        <w:t>本公司作为承租人与南京华虹融资租赁有限公司签订的融资租赁合同：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196" w:type="dxa"/>
        <w:tblLayout w:type="fixed"/>
        <w:tblCellMar>
          <w:top w:w="0" w:type="dxa"/>
          <w:left w:w="0" w:type="dxa"/>
          <w:bottom w:w="0" w:type="dxa"/>
          <w:right w:w="0" w:type="dxa"/>
        </w:tblCellMar>
        <w:tblLook w:val="01E0"/>
      </w:tblPr>
      <w:tblGrid>
        <w:gridCol w:w="2768"/>
        <w:gridCol w:w="1241"/>
        <w:gridCol w:w="1419"/>
        <w:gridCol w:w="1342"/>
        <w:gridCol w:w="877"/>
        <w:gridCol w:w="1592"/>
      </w:tblGrid>
      <w:tr>
        <w:trPr>
          <w:trHeight w:val="720"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hAnsi="宋体" w:cs="宋体" w:eastAsia="宋体" w:hint="default"/>
                <w:sz w:val="18"/>
                <w:szCs w:val="18"/>
              </w:rPr>
              <w:t>围场满族蒙古族自治县风阳光伏</w:t>
            </w:r>
          </w:p>
          <w:p>
            <w:pPr>
              <w:pStyle w:val="TableParagraph"/>
              <w:spacing w:line="247" w:lineRule="auto"/>
              <w:ind w:left="70" w:right="531"/>
              <w:jc w:val="left"/>
              <w:rPr>
                <w:rFonts w:ascii="宋体" w:hAnsi="宋体" w:cs="宋体" w:eastAsia="宋体" w:hint="default"/>
                <w:sz w:val="18"/>
                <w:szCs w:val="18"/>
              </w:rPr>
            </w:pPr>
            <w:r>
              <w:rPr>
                <w:rFonts w:ascii="宋体" w:hAnsi="宋体" w:cs="宋体" w:eastAsia="宋体" w:hint="default"/>
                <w:sz w:val="18"/>
                <w:szCs w:val="18"/>
              </w:rPr>
              <w:t>发电有限公司 合肥盛康电力有限责任公司</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1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1" w:right="0"/>
              <w:jc w:val="center"/>
              <w:rPr>
                <w:rFonts w:ascii="Times New Roman" w:hAnsi="Times New Roman" w:cs="Times New Roman" w:eastAsia="Times New Roman" w:hint="default"/>
                <w:sz w:val="18"/>
                <w:szCs w:val="18"/>
              </w:rPr>
            </w:pPr>
            <w:r>
              <w:rPr>
                <w:rFonts w:ascii="Times New Roman"/>
                <w:sz w:val="18"/>
              </w:rPr>
              <w:t>168,165,769.44</w:t>
            </w:r>
          </w:p>
          <w:p>
            <w:pPr>
              <w:pStyle w:val="TableParagraph"/>
              <w:spacing w:line="240" w:lineRule="auto" w:before="153"/>
              <w:ind w:left="251" w:right="0"/>
              <w:jc w:val="center"/>
              <w:rPr>
                <w:rFonts w:ascii="Times New Roman" w:hAnsi="Times New Roman" w:cs="Times New Roman" w:eastAsia="Times New Roman" w:hint="default"/>
                <w:sz w:val="18"/>
                <w:szCs w:val="18"/>
              </w:rPr>
            </w:pPr>
            <w:r>
              <w:rPr>
                <w:rFonts w:ascii="Times New Roman"/>
                <w:sz w:val="18"/>
              </w:rPr>
              <w:t>6,694,083.33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96" w:right="0"/>
              <w:jc w:val="left"/>
              <w:rPr>
                <w:rFonts w:ascii="Times New Roman" w:hAnsi="Times New Roman" w:cs="Times New Roman" w:eastAsia="Times New Roman" w:hint="default"/>
                <w:sz w:val="18"/>
                <w:szCs w:val="18"/>
              </w:rPr>
            </w:pPr>
            <w:r>
              <w:rPr>
                <w:rFonts w:ascii="Times New Roman"/>
                <w:sz w:val="18"/>
              </w:rPr>
              <w:t>36,400,606.54</w:t>
            </w:r>
          </w:p>
          <w:p>
            <w:pPr>
              <w:pStyle w:val="TableParagraph"/>
              <w:spacing w:line="240" w:lineRule="auto" w:before="153"/>
              <w:ind w:left="285" w:right="0"/>
              <w:jc w:val="left"/>
              <w:rPr>
                <w:rFonts w:ascii="Times New Roman" w:hAnsi="Times New Roman" w:cs="Times New Roman" w:eastAsia="Times New Roman" w:hint="default"/>
                <w:sz w:val="18"/>
                <w:szCs w:val="18"/>
              </w:rPr>
            </w:pPr>
            <w:r>
              <w:rPr>
                <w:rFonts w:ascii="Times New Roman"/>
                <w:sz w:val="18"/>
              </w:rPr>
              <w:t>1,213,246.82</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11"/>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25" w:right="0"/>
              <w:jc w:val="center"/>
              <w:rPr>
                <w:rFonts w:ascii="Times New Roman" w:hAnsi="Times New Roman" w:cs="Times New Roman" w:eastAsia="Times New Roman" w:hint="default"/>
                <w:sz w:val="18"/>
                <w:szCs w:val="18"/>
              </w:rPr>
            </w:pPr>
            <w:r>
              <w:rPr>
                <w:rFonts w:ascii="Times New Roman"/>
                <w:sz w:val="18"/>
              </w:rPr>
              <w:t>110,680,567.64</w:t>
            </w:r>
          </w:p>
          <w:p>
            <w:pPr>
              <w:pStyle w:val="TableParagraph"/>
              <w:spacing w:line="240" w:lineRule="auto" w:before="153"/>
              <w:ind w:left="505" w:right="0"/>
              <w:jc w:val="center"/>
              <w:rPr>
                <w:rFonts w:ascii="Times New Roman" w:hAnsi="Times New Roman" w:cs="Times New Roman" w:eastAsia="Times New Roman" w:hint="default"/>
                <w:sz w:val="18"/>
                <w:szCs w:val="18"/>
              </w:rPr>
            </w:pPr>
            <w:r>
              <w:rPr>
                <w:rFonts w:ascii="Times New Roman"/>
                <w:sz w:val="18"/>
              </w:rPr>
              <w:t>6,680,270.84</w:t>
            </w:r>
          </w:p>
        </w:tc>
      </w:tr>
      <w:tr>
        <w:trPr>
          <w:trHeight w:val="244"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08" w:lineRule="exact"/>
              <w:ind w:left="70" w:right="0"/>
              <w:jc w:val="left"/>
              <w:rPr>
                <w:rFonts w:ascii="宋体" w:hAnsi="宋体" w:cs="宋体" w:eastAsia="宋体" w:hint="default"/>
                <w:sz w:val="18"/>
                <w:szCs w:val="18"/>
              </w:rPr>
            </w:pPr>
            <w:r>
              <w:rPr>
                <w:rFonts w:ascii="宋体" w:hAnsi="宋体" w:cs="宋体" w:eastAsia="宋体" w:hint="default"/>
                <w:sz w:val="18"/>
                <w:szCs w:val="18"/>
              </w:rPr>
              <w:t>肥东县金润新能源有限公司</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22"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8,857,833.33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1,605,408.48</w:t>
            </w:r>
          </w:p>
        </w:tc>
        <w:tc>
          <w:tcPr>
            <w:tcW w:w="877" w:type="dxa"/>
            <w:tcBorders>
              <w:top w:val="nil" w:sz="6" w:space="0" w:color="auto"/>
              <w:left w:val="nil" w:sz="6" w:space="0" w:color="auto"/>
              <w:bottom w:val="nil" w:sz="6" w:space="0" w:color="auto"/>
              <w:right w:val="nil" w:sz="6" w:space="0" w:color="auto"/>
            </w:tcBorders>
          </w:tcPr>
          <w:p>
            <w:pPr>
              <w:pStyle w:val="TableParagraph"/>
              <w:spacing w:line="222"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8,839,558.33</w:t>
            </w:r>
          </w:p>
        </w:tc>
      </w:tr>
      <w:tr>
        <w:trPr>
          <w:trHeight w:val="242"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肥西绿辉光伏科技工程有限公司</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20"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17,955,343.25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5,032,499.29</w:t>
            </w:r>
          </w:p>
        </w:tc>
        <w:tc>
          <w:tcPr>
            <w:tcW w:w="877" w:type="dxa"/>
            <w:tcBorders>
              <w:top w:val="nil" w:sz="6" w:space="0" w:color="auto"/>
              <w:left w:val="nil" w:sz="6" w:space="0" w:color="auto"/>
              <w:bottom w:val="nil" w:sz="6" w:space="0" w:color="auto"/>
              <w:right w:val="nil" w:sz="6" w:space="0" w:color="auto"/>
            </w:tcBorders>
          </w:tcPr>
          <w:p>
            <w:pPr>
              <w:pStyle w:val="TableParagraph"/>
              <w:spacing w:line="220"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17,386,289.79</w:t>
            </w:r>
          </w:p>
        </w:tc>
      </w:tr>
      <w:tr>
        <w:trPr>
          <w:trHeight w:val="24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合肥恒科光伏科技有限公司</w:t>
            </w:r>
          </w:p>
        </w:tc>
        <w:tc>
          <w:tcPr>
            <w:tcW w:w="1241" w:type="dxa"/>
            <w:tcBorders>
              <w:top w:val="nil" w:sz="6" w:space="0" w:color="auto"/>
              <w:left w:val="nil" w:sz="6" w:space="0" w:color="auto"/>
              <w:bottom w:val="nil" w:sz="6" w:space="0" w:color="auto"/>
              <w:right w:val="nil" w:sz="6" w:space="0" w:color="auto"/>
            </w:tcBorders>
          </w:tcPr>
          <w:p>
            <w:pPr>
              <w:pStyle w:val="TableParagraph"/>
              <w:spacing w:line="220"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7,910,497.69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2,217,143.58</w:t>
            </w:r>
          </w:p>
        </w:tc>
        <w:tc>
          <w:tcPr>
            <w:tcW w:w="877" w:type="dxa"/>
            <w:tcBorders>
              <w:top w:val="nil" w:sz="6" w:space="0" w:color="auto"/>
              <w:left w:val="nil" w:sz="6" w:space="0" w:color="auto"/>
              <w:bottom w:val="nil" w:sz="6" w:space="0" w:color="auto"/>
              <w:right w:val="nil" w:sz="6" w:space="0" w:color="auto"/>
            </w:tcBorders>
          </w:tcPr>
          <w:p>
            <w:pPr>
              <w:pStyle w:val="TableParagraph"/>
              <w:spacing w:line="220"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7,659,791.59</w:t>
            </w:r>
          </w:p>
        </w:tc>
      </w:tr>
      <w:tr>
        <w:trPr>
          <w:trHeight w:val="245"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07" w:lineRule="exact"/>
              <w:ind w:left="70" w:right="0"/>
              <w:jc w:val="left"/>
              <w:rPr>
                <w:rFonts w:ascii="宋体" w:hAnsi="宋体" w:cs="宋体" w:eastAsia="宋体" w:hint="default"/>
                <w:sz w:val="18"/>
                <w:szCs w:val="18"/>
              </w:rPr>
            </w:pPr>
            <w:r>
              <w:rPr>
                <w:rFonts w:ascii="宋体" w:hAnsi="宋体" w:cs="宋体" w:eastAsia="宋体" w:hint="default"/>
                <w:sz w:val="18"/>
                <w:szCs w:val="18"/>
              </w:rPr>
              <w:t>灌云中森太阳能科技有限公司</w:t>
            </w:r>
          </w:p>
        </w:tc>
        <w:tc>
          <w:tcPr>
            <w:tcW w:w="1241" w:type="dxa"/>
            <w:tcBorders>
              <w:top w:val="nil" w:sz="6" w:space="0" w:color="auto"/>
              <w:left w:val="nil" w:sz="6" w:space="0" w:color="auto"/>
              <w:bottom w:val="nil" w:sz="6" w:space="0" w:color="auto"/>
              <w:right w:val="nil" w:sz="6" w:space="0" w:color="auto"/>
            </w:tcBorders>
          </w:tcPr>
          <w:p>
            <w:pPr>
              <w:pStyle w:val="TableParagraph"/>
              <w:spacing w:line="221"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14,953,666.67</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4,191,193.44</w:t>
            </w:r>
          </w:p>
        </w:tc>
        <w:tc>
          <w:tcPr>
            <w:tcW w:w="877" w:type="dxa"/>
            <w:tcBorders>
              <w:top w:val="nil" w:sz="6" w:space="0" w:color="auto"/>
              <w:left w:val="nil" w:sz="6" w:space="0" w:color="auto"/>
              <w:bottom w:val="nil" w:sz="6" w:space="0" w:color="auto"/>
              <w:right w:val="nil" w:sz="6" w:space="0" w:color="auto"/>
            </w:tcBorders>
          </w:tcPr>
          <w:p>
            <w:pPr>
              <w:pStyle w:val="TableParagraph"/>
              <w:spacing w:line="221"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14,479,744.46</w:t>
            </w:r>
          </w:p>
        </w:tc>
      </w:tr>
      <w:tr>
        <w:trPr>
          <w:trHeight w:val="243"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hAnsi="宋体" w:cs="宋体" w:eastAsia="宋体" w:hint="default"/>
                <w:sz w:val="18"/>
                <w:szCs w:val="18"/>
              </w:rPr>
              <w:t>连云港易睐珂新能源有限公司</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19"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9,757,770.49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2,734,894.70</w:t>
            </w:r>
          </w:p>
        </w:tc>
        <w:tc>
          <w:tcPr>
            <w:tcW w:w="877" w:type="dxa"/>
            <w:tcBorders>
              <w:top w:val="nil" w:sz="6" w:space="0" w:color="auto"/>
              <w:left w:val="nil" w:sz="6" w:space="0" w:color="auto"/>
              <w:bottom w:val="nil" w:sz="6" w:space="0" w:color="auto"/>
              <w:right w:val="nil" w:sz="6" w:space="0" w:color="auto"/>
            </w:tcBorders>
          </w:tcPr>
          <w:p>
            <w:pPr>
              <w:pStyle w:val="TableParagraph"/>
              <w:spacing w:line="219"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9,448,520.31</w:t>
            </w:r>
          </w:p>
        </w:tc>
      </w:tr>
      <w:tr>
        <w:trPr>
          <w:trHeight w:val="245"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07" w:lineRule="exact"/>
              <w:ind w:left="70" w:right="0"/>
              <w:jc w:val="left"/>
              <w:rPr>
                <w:rFonts w:ascii="宋体" w:hAnsi="宋体" w:cs="宋体" w:eastAsia="宋体" w:hint="default"/>
                <w:sz w:val="18"/>
                <w:szCs w:val="18"/>
              </w:rPr>
            </w:pPr>
            <w:r>
              <w:rPr>
                <w:rFonts w:ascii="宋体" w:hAnsi="宋体" w:cs="宋体" w:eastAsia="宋体" w:hint="default"/>
                <w:sz w:val="18"/>
                <w:szCs w:val="18"/>
              </w:rPr>
              <w:t>泗洪润晖新能源有限公司</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21"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8,245,522.48</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2,311,043.87</w:t>
            </w:r>
          </w:p>
        </w:tc>
        <w:tc>
          <w:tcPr>
            <w:tcW w:w="877" w:type="dxa"/>
            <w:tcBorders>
              <w:top w:val="nil" w:sz="6" w:space="0" w:color="auto"/>
              <w:left w:val="nil" w:sz="6" w:space="0" w:color="auto"/>
              <w:bottom w:val="nil" w:sz="6" w:space="0" w:color="auto"/>
              <w:right w:val="nil" w:sz="6" w:space="0" w:color="auto"/>
            </w:tcBorders>
          </w:tcPr>
          <w:p>
            <w:pPr>
              <w:pStyle w:val="TableParagraph"/>
              <w:spacing w:line="221"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7,984,199.54</w:t>
            </w:r>
          </w:p>
        </w:tc>
      </w:tr>
      <w:tr>
        <w:trPr>
          <w:trHeight w:val="250"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hAnsi="宋体" w:cs="宋体" w:eastAsia="宋体" w:hint="default"/>
                <w:sz w:val="18"/>
                <w:szCs w:val="18"/>
              </w:rPr>
              <w:t>淄博青意光伏发电有限公司</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19"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26,549,376.14</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7,441,223.16</w:t>
            </w:r>
          </w:p>
        </w:tc>
        <w:tc>
          <w:tcPr>
            <w:tcW w:w="877" w:type="dxa"/>
            <w:tcBorders>
              <w:top w:val="nil" w:sz="6" w:space="0" w:color="auto"/>
              <w:left w:val="nil" w:sz="6" w:space="0" w:color="auto"/>
              <w:bottom w:val="nil" w:sz="6" w:space="0" w:color="auto"/>
              <w:right w:val="nil" w:sz="6" w:space="0" w:color="auto"/>
            </w:tcBorders>
          </w:tcPr>
          <w:p>
            <w:pPr>
              <w:pStyle w:val="TableParagraph"/>
              <w:spacing w:line="219" w:lineRule="exact"/>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25,707,954.50</w:t>
            </w:r>
          </w:p>
        </w:tc>
      </w:tr>
    </w:tbl>
    <w:p>
      <w:pPr>
        <w:spacing w:line="240" w:lineRule="auto" w:before="6"/>
        <w:rPr>
          <w:rFonts w:ascii="宋体" w:hAnsi="宋体" w:cs="宋体" w:eastAsia="宋体" w:hint="default"/>
          <w:sz w:val="5"/>
          <w:szCs w:val="5"/>
        </w:rPr>
      </w:pPr>
    </w:p>
    <w:p>
      <w:pPr>
        <w:pStyle w:val="BodyText"/>
        <w:spacing w:line="331" w:lineRule="auto" w:before="36"/>
        <w:ind w:left="398" w:right="48"/>
        <w:jc w:val="left"/>
      </w:pPr>
      <w:r>
        <w:rPr/>
        <w:t>注 </w:t>
      </w:r>
      <w:r>
        <w:rPr>
          <w:rFonts w:ascii="Times New Roman" w:hAnsi="Times New Roman" w:cs="Times New Roman" w:eastAsia="Times New Roman" w:hint="default"/>
          <w:spacing w:val="-2"/>
        </w:rPr>
        <w:t>1</w:t>
      </w:r>
      <w:r>
        <w:rPr>
          <w:spacing w:val="-2"/>
        </w:rPr>
        <w:t>：合肥盛康电力有限责任公司、肥东县金润新能源有限公司分别与南京华虹融资租赁有限公</w:t>
      </w:r>
      <w:r>
        <w:rPr>
          <w:spacing w:val="-80"/>
        </w:rPr>
        <w:t> </w:t>
      </w:r>
      <w:r>
        <w:rPr>
          <w:spacing w:val="-80"/>
        </w:rPr>
      </w:r>
      <w:r>
        <w:rPr>
          <w:w w:val="100"/>
        </w:rPr>
        <w:t>司于</w:t>
      </w:r>
      <w:r>
        <w:rPr>
          <w:spacing w:val="-51"/>
          <w:w w:val="100"/>
        </w:rPr>
        <w:t> </w:t>
      </w:r>
      <w:r>
        <w:rPr>
          <w:rFonts w:ascii="Times New Roman" w:hAnsi="Times New Roman" w:cs="Times New Roman" w:eastAsia="Times New Roman" w:hint="default"/>
          <w:spacing w:val="-1"/>
          <w:w w:val="100"/>
        </w:rPr>
        <w:t>2018 </w:t>
      </w:r>
      <w:r>
        <w:rPr>
          <w:w w:val="100"/>
        </w:rPr>
        <w:t>年</w:t>
      </w:r>
      <w:r>
        <w:rPr>
          <w:spacing w:val="-51"/>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1"/>
          <w:w w:val="100"/>
        </w:rPr>
        <w:t> </w:t>
      </w:r>
      <w:r>
        <w:rPr>
          <w:spacing w:val="-7"/>
          <w:w w:val="100"/>
        </w:rPr>
        <w:t>日签订《融资租赁合同终止协议》，合同终止。</w:t>
      </w:r>
    </w:p>
    <w:p>
      <w:pPr>
        <w:pStyle w:val="BodyText"/>
        <w:spacing w:line="340" w:lineRule="auto" w:before="19"/>
        <w:ind w:left="398" w:right="247"/>
        <w:jc w:val="both"/>
      </w:pPr>
      <w:r>
        <w:rPr/>
        <w:t>注</w:t>
      </w:r>
      <w:r>
        <w:rPr>
          <w:spacing w:val="-54"/>
        </w:rPr>
        <w:t> </w:t>
      </w:r>
      <w:r>
        <w:rPr>
          <w:rFonts w:ascii="Times New Roman" w:hAnsi="Times New Roman" w:cs="Times New Roman" w:eastAsia="Times New Roman" w:hint="default"/>
        </w:rPr>
        <w:t>2</w:t>
      </w:r>
      <w:r>
        <w:rPr/>
        <w:t>：肥西绿辉光伏科技工程有限公司、合肥恒科光伏科技有限公司、灌云中森太阳能科技有限</w:t>
      </w:r>
      <w:r>
        <w:rPr>
          <w:w w:val="100"/>
        </w:rPr>
        <w:t> </w:t>
      </w:r>
      <w:r>
        <w:rPr/>
        <w:t>公司、连云港易睐珂新能源有限公司、泗洪润晖新能源有限公司、淄博青意光伏发电有限公司分</w:t>
      </w:r>
      <w:r>
        <w:rPr>
          <w:w w:val="100"/>
        </w:rPr>
        <w:t> </w:t>
      </w:r>
      <w:r>
        <w:rPr>
          <w:spacing w:val="-2"/>
          <w:w w:val="100"/>
        </w:rPr>
        <w:t>别与南京华虹融资租赁有限公司于</w:t>
      </w:r>
      <w:r>
        <w:rPr>
          <w:spacing w:val="-52"/>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
          <w:w w:val="100"/>
        </w:rPr>
        <w:t> </w:t>
      </w:r>
      <w:r>
        <w:rPr>
          <w:spacing w:val="-6"/>
          <w:w w:val="100"/>
        </w:rPr>
        <w:t>日签订《融资租赁合同终止协议》，合同终止。</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580" w:bottom="280" w:left="1400" w:right="920"/>
        </w:sectPr>
      </w:pPr>
    </w:p>
    <w:p>
      <w:pPr>
        <w:pStyle w:val="Heading2"/>
        <w:spacing w:line="290" w:lineRule="auto"/>
        <w:ind w:left="39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spacing w:line="240" w:lineRule="auto" w:before="14"/>
        <w:ind w:left="3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9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400" w:right="920"/>
          <w:cols w:num="2" w:equalWidth="0">
            <w:col w:w="2724" w:space="4218"/>
            <w:col w:w="2648"/>
          </w:cols>
        </w:sectPr>
      </w:pPr>
    </w:p>
    <w:p>
      <w:pPr>
        <w:spacing w:line="240" w:lineRule="auto" w:before="7"/>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281"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33"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仪表有限公司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57,687,525.78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sz w:val="21"/>
              </w:rPr>
              <w:t>6,872,715.78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81,189,925.37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7" w:right="0"/>
              <w:jc w:val="left"/>
              <w:rPr>
                <w:rFonts w:ascii="宋体" w:hAnsi="宋体" w:cs="宋体" w:eastAsia="宋体" w:hint="default"/>
                <w:sz w:val="21"/>
                <w:szCs w:val="21"/>
              </w:rPr>
            </w:pPr>
            <w:r>
              <w:rPr>
                <w:rFonts w:ascii="宋体"/>
                <w:sz w:val="21"/>
              </w:rPr>
              <w:t>7,399,142.00</w:t>
            </w:r>
          </w:p>
        </w:tc>
      </w:tr>
      <w:tr>
        <w:trPr>
          <w:trHeight w:val="55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仪表有限公司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700,000.00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上海精鼎电力</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194,916.00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40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28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35"/>
          <w:pgSz w:w="11910" w:h="16840"/>
          <w:pgMar w:footer="974" w:header="728" w:top="1120" w:bottom="1160" w:left="1580" w:right="1040"/>
          <w:pgNumType w:start="181"/>
        </w:sectPr>
      </w:pPr>
    </w:p>
    <w:p>
      <w:pPr>
        <w:pStyle w:val="Heading2"/>
        <w:spacing w:line="240" w:lineRule="auto"/>
        <w:ind w:right="-18"/>
        <w:jc w:val="left"/>
        <w:rPr>
          <w:b w:val="0"/>
          <w:bCs w:val="0"/>
        </w:rPr>
      </w:pPr>
      <w:r>
        <w:rPr>
          <w:rFonts w:ascii="宋体" w:hAnsi="宋体" w:cs="宋体" w:eastAsia="宋体" w:hint="default"/>
        </w:rPr>
        <w:t>(2).</w:t>
      </w:r>
      <w:r>
        <w:rPr/>
        <w:t>应付项目</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1795" w:space="5146"/>
            <w:col w:w="234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上海精鼎电力科技有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3,785,976.66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4,072,250.31</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江苏华源仪器仪表有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676,398.65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406,502.72</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南通林洋交通建设工</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3,433,841.06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2,632,302.24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南京华虹融资租赁有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226,415.10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江苏林洋现代农业有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537.63</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南通林洋交通建设工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南京华虹融资租赁有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339,622.64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南通华虹生态园艺有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158,796.00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南京华虹融资租赁有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540,556,982.34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南京华虹融资租赁有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24,749,378.67</w:t>
            </w:r>
          </w:p>
        </w:tc>
      </w:tr>
    </w:tbl>
    <w:p>
      <w:pPr>
        <w:spacing w:line="240" w:lineRule="auto" w:before="2"/>
        <w:rPr>
          <w:rFonts w:ascii="宋体" w:hAnsi="宋体" w:cs="宋体" w:eastAsia="宋体" w:hint="default"/>
          <w:sz w:val="20"/>
          <w:szCs w:val="20"/>
        </w:rPr>
      </w:pPr>
    </w:p>
    <w:p>
      <w:pPr>
        <w:pStyle w:val="Heading2"/>
        <w:spacing w:line="240" w:lineRule="auto"/>
        <w:ind w:right="241"/>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right="241"/>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before="0"/>
        <w:ind w:left="218" w:right="241"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8"/>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tabs>
          <w:tab w:pos="1057" w:val="left" w:leader="none"/>
        </w:tabs>
        <w:spacing w:line="240" w:lineRule="auto"/>
        <w:ind w:right="-20"/>
        <w:jc w:val="left"/>
        <w:rPr>
          <w:b w:val="0"/>
          <w:bCs w:val="0"/>
        </w:rPr>
      </w:pPr>
      <w:r>
        <w:rPr/>
        <w:t>十三、</w:t>
        <w:tab/>
        <w:t>股份支付</w:t>
      </w:r>
      <w:r>
        <w:rPr>
          <w:b w:val="0"/>
          <w:bCs w:val="0"/>
        </w:rPr>
      </w:r>
    </w:p>
    <w:p>
      <w:pPr>
        <w:pStyle w:val="Heading2"/>
        <w:spacing w:line="240" w:lineRule="auto" w:before="57"/>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单位：股币种：人民币</w:t>
      </w:r>
    </w:p>
    <w:p>
      <w:pPr>
        <w:spacing w:after="0" w:line="240" w:lineRule="auto"/>
        <w:jc w:val="left"/>
        <w:sectPr>
          <w:type w:val="continuous"/>
          <w:pgSz w:w="11910" w:h="16840"/>
          <w:pgMar w:top="1580" w:bottom="280" w:left="1580" w:right="1040"/>
          <w:cols w:num="2" w:equalWidth="0">
            <w:col w:w="2333" w:space="440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6,333,600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41"/>
        <w:jc w:val="left"/>
      </w:pPr>
      <w:r>
        <w:rPr/>
        <w:t>其他说明</w:t>
      </w:r>
    </w:p>
    <w:p>
      <w:pPr>
        <w:pStyle w:val="BodyText"/>
        <w:spacing w:line="331" w:lineRule="auto" w:before="124"/>
        <w:ind w:right="224" w:firstLine="4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日公司召开</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年第七次临时股东大会审议通过关于《第二期限制性股票</w:t>
      </w:r>
      <w:r>
        <w:rPr>
          <w:w w:val="100"/>
        </w:rPr>
        <w:t> </w:t>
      </w:r>
      <w:r>
        <w:rPr>
          <w:spacing w:val="-6"/>
          <w:w w:val="100"/>
        </w:rPr>
        <w:t>激励计划（草案）》及其摘要等相关议案，公司计划向部分董事、高级管理人员以及中层管理人员</w:t>
      </w:r>
    </w:p>
    <w:p>
      <w:pPr>
        <w:spacing w:after="0" w:line="331"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117"/>
        <w:jc w:val="left"/>
      </w:pPr>
      <w:r>
        <w:rPr>
          <w:spacing w:val="-5"/>
        </w:rPr>
        <w:t>及核心技术（业务）人员</w:t>
      </w:r>
      <w:r>
        <w:rPr>
          <w:spacing w:val="-41"/>
        </w:rPr>
        <w:t> </w:t>
      </w:r>
      <w:r>
        <w:rPr>
          <w:rFonts w:ascii="Times New Roman" w:hAnsi="Times New Roman" w:cs="Times New Roman" w:eastAsia="Times New Roman" w:hint="default"/>
        </w:rPr>
        <w:t>229</w:t>
      </w:r>
      <w:r>
        <w:rPr>
          <w:rFonts w:ascii="Times New Roman" w:hAnsi="Times New Roman" w:cs="Times New Roman" w:eastAsia="Times New Roman" w:hint="default"/>
          <w:spacing w:val="11"/>
        </w:rPr>
        <w:t> </w:t>
      </w:r>
      <w:r>
        <w:rPr>
          <w:spacing w:val="-4"/>
        </w:rPr>
        <w:t>人、授予的限制性股票</w:t>
      </w:r>
      <w:r>
        <w:rPr>
          <w:spacing w:val="-44"/>
        </w:rPr>
        <w:t> </w:t>
      </w:r>
      <w:r>
        <w:rPr>
          <w:rFonts w:ascii="Times New Roman" w:hAnsi="Times New Roman" w:cs="Times New Roman" w:eastAsia="Times New Roman" w:hint="default"/>
        </w:rPr>
        <w:t>2,360</w:t>
      </w:r>
      <w:r>
        <w:rPr>
          <w:rFonts w:ascii="Times New Roman" w:hAnsi="Times New Roman" w:cs="Times New Roman" w:eastAsia="Times New Roman" w:hint="default"/>
          <w:spacing w:val="7"/>
        </w:rPr>
        <w:t> </w:t>
      </w:r>
      <w:r>
        <w:rPr>
          <w:spacing w:val="-4"/>
        </w:rPr>
        <w:t>万股，其中首次授予</w:t>
      </w:r>
      <w:r>
        <w:rPr>
          <w:spacing w:val="-44"/>
        </w:rPr>
        <w:t> </w:t>
      </w:r>
      <w:r>
        <w:rPr>
          <w:rFonts w:ascii="Times New Roman" w:hAnsi="Times New Roman" w:cs="Times New Roman" w:eastAsia="Times New Roman" w:hint="default"/>
        </w:rPr>
        <w:t>2,200</w:t>
      </w:r>
      <w:r>
        <w:rPr>
          <w:rFonts w:ascii="Times New Roman" w:hAnsi="Times New Roman" w:cs="Times New Roman" w:eastAsia="Times New Roman" w:hint="default"/>
          <w:spacing w:val="7"/>
        </w:rPr>
        <w:t> </w:t>
      </w:r>
      <w:r>
        <w:rPr>
          <w:spacing w:val="-5"/>
        </w:rPr>
        <w:t>万股，预留</w:t>
      </w:r>
    </w:p>
    <w:p>
      <w:pPr>
        <w:pStyle w:val="BodyText"/>
        <w:spacing w:line="240" w:lineRule="auto" w:before="110"/>
        <w:ind w:right="241"/>
        <w:jc w:val="left"/>
      </w:pPr>
      <w:r>
        <w:rPr>
          <w:rFonts w:ascii="Times New Roman" w:hAnsi="Times New Roman" w:cs="Times New Roman" w:eastAsia="Times New Roman" w:hint="default"/>
        </w:rPr>
        <w:t>160</w:t>
      </w:r>
      <w:r>
        <w:rPr>
          <w:rFonts w:ascii="Times New Roman" w:hAnsi="Times New Roman" w:cs="Times New Roman" w:eastAsia="Times New Roman" w:hint="default"/>
          <w:spacing w:val="-3"/>
        </w:rPr>
        <w:t> </w:t>
      </w:r>
      <w:r>
        <w:rPr/>
        <w:t>万股，授予价格为</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pStyle w:val="BodyText"/>
        <w:spacing w:line="240" w:lineRule="auto" w:before="110"/>
        <w:ind w:left="638" w:right="117"/>
        <w:jc w:val="left"/>
      </w:pPr>
      <w:r>
        <w:rPr>
          <w:w w:val="100"/>
        </w:rPr>
        <w:t>本激</w:t>
      </w:r>
      <w:r>
        <w:rPr>
          <w:spacing w:val="-3"/>
          <w:w w:val="100"/>
        </w:rPr>
        <w:t>励</w:t>
      </w:r>
      <w:r>
        <w:rPr>
          <w:w w:val="100"/>
        </w:rPr>
        <w:t>计</w:t>
      </w:r>
      <w:r>
        <w:rPr>
          <w:spacing w:val="-3"/>
          <w:w w:val="100"/>
        </w:rPr>
        <w:t>划</w:t>
      </w:r>
      <w:r>
        <w:rPr>
          <w:w w:val="100"/>
        </w:rPr>
        <w:t>有</w:t>
      </w:r>
      <w:r>
        <w:rPr>
          <w:spacing w:val="-3"/>
          <w:w w:val="100"/>
        </w:rPr>
        <w:t>效</w:t>
      </w:r>
      <w:r>
        <w:rPr>
          <w:w w:val="100"/>
        </w:rPr>
        <w:t>期</w:t>
      </w:r>
      <w:r>
        <w:rPr>
          <w:spacing w:val="-3"/>
          <w:w w:val="100"/>
        </w:rPr>
        <w:t>为</w:t>
      </w:r>
      <w:r>
        <w:rPr>
          <w:w w:val="100"/>
        </w:rPr>
        <w:t>限</w:t>
      </w:r>
      <w:r>
        <w:rPr>
          <w:spacing w:val="-3"/>
          <w:w w:val="100"/>
        </w:rPr>
        <w:t>制</w:t>
      </w:r>
      <w:r>
        <w:rPr>
          <w:w w:val="100"/>
        </w:rPr>
        <w:t>性股</w:t>
      </w:r>
      <w:r>
        <w:rPr>
          <w:spacing w:val="-3"/>
          <w:w w:val="100"/>
        </w:rPr>
        <w:t>票</w:t>
      </w:r>
      <w:r>
        <w:rPr>
          <w:w w:val="100"/>
        </w:rPr>
        <w:t>首</w:t>
      </w:r>
      <w:r>
        <w:rPr>
          <w:spacing w:val="-3"/>
          <w:w w:val="100"/>
        </w:rPr>
        <w:t>次</w:t>
      </w:r>
      <w:r>
        <w:rPr>
          <w:w w:val="100"/>
        </w:rPr>
        <w:t>授</w:t>
      </w:r>
      <w:r>
        <w:rPr>
          <w:spacing w:val="-3"/>
          <w:w w:val="100"/>
        </w:rPr>
        <w:t>予</w:t>
      </w:r>
      <w:r>
        <w:rPr>
          <w:w w:val="100"/>
        </w:rPr>
        <w:t>之</w:t>
      </w:r>
      <w:r>
        <w:rPr>
          <w:spacing w:val="-3"/>
          <w:w w:val="100"/>
        </w:rPr>
        <w:t>日</w:t>
      </w:r>
      <w:r>
        <w:rPr>
          <w:w w:val="100"/>
        </w:rPr>
        <w:t>起</w:t>
      </w:r>
      <w:r>
        <w:rPr>
          <w:spacing w:val="-52"/>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个</w:t>
      </w:r>
      <w:r>
        <w:rPr>
          <w:spacing w:val="-3"/>
          <w:w w:val="100"/>
        </w:rPr>
        <w:t>月</w:t>
      </w:r>
      <w:r>
        <w:rPr>
          <w:spacing w:val="-92"/>
          <w:w w:val="100"/>
        </w:rPr>
        <w:t>，</w:t>
      </w:r>
      <w:r>
        <w:rPr>
          <w:spacing w:val="-3"/>
          <w:w w:val="100"/>
        </w:rPr>
        <w:t>本</w:t>
      </w:r>
      <w:r>
        <w:rPr>
          <w:w w:val="100"/>
        </w:rPr>
        <w:t>计</w:t>
      </w:r>
      <w:r>
        <w:rPr>
          <w:spacing w:val="-3"/>
          <w:w w:val="100"/>
        </w:rPr>
        <w:t>划</w:t>
      </w:r>
      <w:r>
        <w:rPr>
          <w:w w:val="100"/>
        </w:rPr>
        <w:t>授</w:t>
      </w:r>
      <w:r>
        <w:rPr>
          <w:spacing w:val="-3"/>
          <w:w w:val="100"/>
        </w:rPr>
        <w:t>予</w:t>
      </w:r>
      <w:r>
        <w:rPr>
          <w:w w:val="100"/>
        </w:rPr>
        <w:t>的</w:t>
      </w:r>
      <w:r>
        <w:rPr>
          <w:spacing w:val="-3"/>
          <w:w w:val="100"/>
        </w:rPr>
        <w:t>限</w:t>
      </w:r>
      <w:r>
        <w:rPr>
          <w:w w:val="100"/>
        </w:rPr>
        <w:t>制</w:t>
      </w:r>
      <w:r>
        <w:rPr>
          <w:spacing w:val="-3"/>
          <w:w w:val="100"/>
        </w:rPr>
        <w:t>性</w:t>
      </w:r>
      <w:r>
        <w:rPr>
          <w:w w:val="100"/>
        </w:rPr>
        <w:t>股票</w:t>
      </w:r>
      <w:r>
        <w:rPr>
          <w:spacing w:val="-3"/>
          <w:w w:val="100"/>
        </w:rPr>
        <w:t>自</w:t>
      </w:r>
      <w:r>
        <w:rPr>
          <w:w w:val="100"/>
        </w:rPr>
        <w:t>授</w:t>
      </w:r>
      <w:r>
        <w:rPr>
          <w:spacing w:val="-3"/>
          <w:w w:val="100"/>
        </w:rPr>
        <w:t>予</w:t>
      </w:r>
      <w:r>
        <w:rPr>
          <w:w w:val="100"/>
        </w:rPr>
        <w:t>之</w:t>
      </w:r>
    </w:p>
    <w:p>
      <w:pPr>
        <w:pStyle w:val="BodyText"/>
        <w:spacing w:line="240" w:lineRule="auto" w:before="107"/>
        <w:ind w:right="117"/>
        <w:jc w:val="left"/>
      </w:pPr>
      <w:r>
        <w:rPr/>
        <w:t>日起满</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个月后，满足解锁条件的，激励对象可以在未来</w:t>
      </w:r>
      <w:r>
        <w:rPr>
          <w:spacing w:val="-40"/>
        </w:rPr>
        <w:t> </w:t>
      </w:r>
      <w:r>
        <w:rPr>
          <w:rFonts w:ascii="Times New Roman" w:hAnsi="Times New Roman" w:cs="Times New Roman" w:eastAsia="Times New Roman" w:hint="default"/>
        </w:rPr>
        <w:t>48</w:t>
      </w:r>
      <w:r>
        <w:rPr>
          <w:rFonts w:ascii="Times New Roman" w:hAnsi="Times New Roman" w:cs="Times New Roman" w:eastAsia="Times New Roman" w:hint="default"/>
          <w:spacing w:val="9"/>
        </w:rPr>
        <w:t> </w:t>
      </w:r>
      <w:r>
        <w:rPr/>
        <w:t>个月内按</w:t>
      </w:r>
      <w:r>
        <w:rPr>
          <w:spacing w:val="-41"/>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的比例</w:t>
      </w:r>
    </w:p>
    <w:p>
      <w:pPr>
        <w:pStyle w:val="BodyText"/>
        <w:spacing w:line="240" w:lineRule="auto" w:before="110"/>
        <w:ind w:right="117"/>
        <w:jc w:val="left"/>
        <w:rPr>
          <w:rFonts w:ascii="Times New Roman" w:hAnsi="Times New Roman" w:cs="Times New Roman" w:eastAsia="Times New Roman" w:hint="default"/>
        </w:rPr>
      </w:pPr>
      <w:r>
        <w:rPr/>
        <w:t>分三期解锁。预留限制性股票自授予之日起满</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个月后</w:t>
      </w:r>
      <w:r>
        <w:rPr>
          <w:rFonts w:ascii="Times New Roman" w:hAnsi="Times New Roman" w:cs="Times New Roman" w:eastAsia="Times New Roman" w:hint="default"/>
        </w:rPr>
        <w:t>,</w:t>
      </w:r>
      <w:r>
        <w:rPr/>
        <w:t>满足解锁件的，激励对象可以在未来</w:t>
      </w:r>
      <w:r>
        <w:rPr>
          <w:spacing w:val="-52"/>
        </w:rPr>
        <w:t> </w:t>
      </w:r>
      <w:r>
        <w:rPr>
          <w:rFonts w:ascii="Times New Roman" w:hAnsi="Times New Roman" w:cs="Times New Roman" w:eastAsia="Times New Roman" w:hint="default"/>
        </w:rPr>
        <w:t>36</w:t>
      </w:r>
    </w:p>
    <w:p>
      <w:pPr>
        <w:pStyle w:val="BodyText"/>
        <w:spacing w:line="240" w:lineRule="auto" w:before="110"/>
        <w:ind w:right="241"/>
        <w:jc w:val="left"/>
      </w:pPr>
      <w:r>
        <w:rPr/>
        <w:t>个月内按</w:t>
      </w:r>
      <w:r>
        <w:rPr>
          <w:spacing w:val="-55"/>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的比例分两期解锁。</w:t>
      </w:r>
    </w:p>
    <w:p>
      <w:pPr>
        <w:pStyle w:val="BodyText"/>
        <w:spacing w:line="331" w:lineRule="auto" w:before="107"/>
        <w:ind w:right="227" w:firstLine="419"/>
        <w:jc w:val="both"/>
      </w:pPr>
      <w:r>
        <w:rPr/>
        <w:t>本激励计划中限制性股票解锁的公司业绩条件为：以 </w:t>
      </w:r>
      <w:r>
        <w:rPr>
          <w:rFonts w:ascii="Times New Roman" w:hAnsi="Times New Roman" w:cs="Times New Roman" w:eastAsia="Times New Roman" w:hint="default"/>
        </w:rPr>
        <w:t>2015 </w:t>
      </w:r>
      <w:r>
        <w:rPr/>
        <w:t>年净利润为基数，</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0"/>
        </w:rPr>
        <w:t> </w:t>
      </w:r>
      <w:r>
        <w:rPr/>
        <w:t>年的各年度实现的净利润较</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spacing w:val="-3"/>
        </w:rPr>
        <w:t>年相比，增长比例分别不低于</w:t>
      </w:r>
      <w:r>
        <w:rPr>
          <w:spacing w:val="-43"/>
        </w:rPr>
        <w:t> </w:t>
      </w:r>
      <w:r>
        <w:rPr>
          <w:rFonts w:ascii="Times New Roman" w:hAnsi="Times New Roman" w:cs="Times New Roman" w:eastAsia="Times New Roman" w:hint="default"/>
          <w:spacing w:val="-6"/>
        </w:rPr>
        <w:t>43%</w:t>
      </w:r>
      <w:r>
        <w:rPr>
          <w:spacing w:val="-6"/>
        </w:rPr>
        <w:t>、</w:t>
      </w:r>
      <w:r>
        <w:rPr>
          <w:rFonts w:ascii="Times New Roman" w:hAnsi="Times New Roman" w:cs="Times New Roman" w:eastAsia="Times New Roman" w:hint="default"/>
          <w:spacing w:val="-6"/>
        </w:rPr>
        <w:t>67%</w:t>
      </w:r>
      <w:r>
        <w:rPr>
          <w:spacing w:val="-6"/>
        </w:rPr>
        <w:t>、</w:t>
      </w:r>
      <w:r>
        <w:rPr>
          <w:rFonts w:ascii="Times New Roman" w:hAnsi="Times New Roman" w:cs="Times New Roman" w:eastAsia="Times New Roman" w:hint="default"/>
          <w:spacing w:val="-6"/>
        </w:rPr>
        <w:t>88%</w:t>
      </w:r>
      <w:r>
        <w:rPr>
          <w:spacing w:val="-6"/>
        </w:rPr>
        <w:t>，即绝</w:t>
      </w:r>
      <w:r>
        <w:rPr>
          <w:spacing w:val="-101"/>
        </w:rPr>
        <w:t> </w:t>
      </w:r>
      <w:r>
        <w:rPr>
          <w:spacing w:val="-101"/>
        </w:rPr>
      </w:r>
      <w:r>
        <w:rPr/>
        <w:t>对数额分别不低于 </w:t>
      </w:r>
      <w:r>
        <w:rPr>
          <w:rFonts w:ascii="Times New Roman" w:hAnsi="Times New Roman" w:cs="Times New Roman" w:eastAsia="Times New Roman" w:hint="default"/>
        </w:rPr>
        <w:t>7.0 </w:t>
      </w:r>
      <w:r>
        <w:rPr/>
        <w:t>亿元、</w:t>
      </w:r>
      <w:r>
        <w:rPr>
          <w:rFonts w:ascii="Times New Roman" w:hAnsi="Times New Roman" w:cs="Times New Roman" w:eastAsia="Times New Roman" w:hint="default"/>
        </w:rPr>
        <w:t>8.2 </w:t>
      </w:r>
      <w:r>
        <w:rPr/>
        <w:t>亿元、</w:t>
      </w:r>
      <w:r>
        <w:rPr>
          <w:rFonts w:ascii="Times New Roman" w:hAnsi="Times New Roman" w:cs="Times New Roman" w:eastAsia="Times New Roman" w:hint="default"/>
        </w:rPr>
        <w:t>9.2</w:t>
      </w:r>
      <w:r>
        <w:rPr>
          <w:rFonts w:ascii="Times New Roman" w:hAnsi="Times New Roman" w:cs="Times New Roman" w:eastAsia="Times New Roman" w:hint="default"/>
          <w:spacing w:val="4"/>
        </w:rPr>
        <w:t> </w:t>
      </w:r>
      <w:r>
        <w:rPr/>
        <w:t>亿元。以扣除非经常性损益并剔除本次及其他激励计</w:t>
      </w:r>
      <w:r>
        <w:rPr>
          <w:w w:val="100"/>
        </w:rPr>
        <w:t> </w:t>
      </w:r>
      <w:r>
        <w:rPr/>
        <w:t>划激励成本影响的经审计的净利润为计算依据。</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28" w:footer="974" w:top="1120" w:bottom="1160" w:left="1580" w:right="1040"/>
        </w:sectPr>
      </w:pPr>
    </w:p>
    <w:p>
      <w:pPr>
        <w:pStyle w:val="Heading2"/>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单位：万元币种：人民币</w:t>
      </w:r>
    </w:p>
    <w:p>
      <w:pPr>
        <w:spacing w:after="0" w:line="240" w:lineRule="auto"/>
        <w:jc w:val="left"/>
        <w:sectPr>
          <w:type w:val="continuous"/>
          <w:pgSz w:w="11910" w:h="16840"/>
          <w:pgMar w:top="1580" w:bottom="2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5"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按公司股票的市场价格计量，同时考虑授予股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份所依据的条款和条件进行调整</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4533.08</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pStyle w:val="BodyText"/>
        <w:spacing w:line="241" w:lineRule="exact"/>
        <w:ind w:right="241"/>
        <w:jc w:val="left"/>
      </w:pPr>
      <w:r>
        <w:rPr/>
        <w:t>其他说明</w:t>
      </w:r>
    </w:p>
    <w:p>
      <w:pPr>
        <w:pStyle w:val="BodyText"/>
        <w:spacing w:line="350" w:lineRule="auto" w:before="123"/>
        <w:ind w:right="117" w:firstLine="419"/>
        <w:jc w:val="left"/>
      </w:pP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2</w:t>
      </w:r>
      <w:r>
        <w:rPr>
          <w:rFonts w:ascii="宋体" w:hAnsi="宋体" w:cs="宋体" w:eastAsia="宋体" w:hint="default"/>
          <w:spacing w:val="-47"/>
        </w:rPr>
        <w:t> </w:t>
      </w:r>
      <w:r>
        <w:rPr/>
        <w:t>月</w:t>
      </w:r>
      <w:r>
        <w:rPr>
          <w:spacing w:val="-45"/>
        </w:rPr>
        <w:t> </w:t>
      </w:r>
      <w:r>
        <w:rPr>
          <w:rFonts w:ascii="宋体" w:hAnsi="宋体" w:cs="宋体" w:eastAsia="宋体" w:hint="default"/>
        </w:rPr>
        <w:t>7</w:t>
      </w:r>
      <w:r>
        <w:rPr>
          <w:rFonts w:ascii="宋体" w:hAnsi="宋体" w:cs="宋体" w:eastAsia="宋体" w:hint="default"/>
          <w:spacing w:val="-47"/>
        </w:rPr>
        <w:t> </w:t>
      </w:r>
      <w:r>
        <w:rPr>
          <w:spacing w:val="-3"/>
        </w:rPr>
        <w:t>日公司召开第三届董事会第十四次会议审议并通过了《关于调整公司第二期限</w:t>
      </w:r>
      <w:r>
        <w:rPr>
          <w:w w:val="100"/>
        </w:rPr>
        <w:t> </w:t>
      </w:r>
      <w:r>
        <w:rPr>
          <w:spacing w:val="-9"/>
          <w:w w:val="100"/>
        </w:rPr>
        <w:t>制性股票激励计划激励对象和授予数量的议案》及《关于向激励对象首次授予限制性股票的议案》，</w:t>
      </w:r>
      <w:r>
        <w:rPr>
          <w:spacing w:val="-73"/>
          <w:w w:val="100"/>
        </w:rPr>
        <w:t> </w:t>
      </w:r>
      <w:r>
        <w:rPr>
          <w:spacing w:val="-73"/>
          <w:w w:val="100"/>
        </w:rPr>
      </w:r>
      <w:r>
        <w:rPr/>
        <w:t>对第二期限制性股票激励计划激励对象和授予数量进行调整，公司激励对象人数由</w:t>
      </w:r>
      <w:r>
        <w:rPr>
          <w:spacing w:val="-53"/>
        </w:rPr>
        <w:t> </w:t>
      </w:r>
      <w:r>
        <w:rPr>
          <w:rFonts w:ascii="宋体" w:hAnsi="宋体" w:cs="宋体" w:eastAsia="宋体" w:hint="default"/>
        </w:rPr>
        <w:t>229</w:t>
      </w:r>
      <w:r>
        <w:rPr>
          <w:rFonts w:ascii="宋体" w:hAnsi="宋体" w:cs="宋体" w:eastAsia="宋体" w:hint="default"/>
          <w:spacing w:val="-56"/>
        </w:rPr>
        <w:t> </w:t>
      </w:r>
      <w:r>
        <w:rPr/>
        <w:t>名变更为</w:t>
      </w:r>
    </w:p>
    <w:p>
      <w:pPr>
        <w:pStyle w:val="BodyText"/>
        <w:spacing w:line="240" w:lineRule="auto" w:before="27"/>
        <w:ind w:right="241"/>
        <w:jc w:val="left"/>
      </w:pPr>
      <w:r>
        <w:rPr>
          <w:rFonts w:ascii="宋体" w:hAnsi="宋体" w:cs="宋体" w:eastAsia="宋体" w:hint="default"/>
        </w:rPr>
        <w:t>221</w:t>
      </w:r>
      <w:r>
        <w:rPr>
          <w:rFonts w:ascii="宋体" w:hAnsi="宋体" w:cs="宋体" w:eastAsia="宋体" w:hint="default"/>
          <w:spacing w:val="-54"/>
        </w:rPr>
        <w:t> </w:t>
      </w:r>
      <w:r>
        <w:rPr/>
        <w:t>名；授予的限制性股票数量由</w:t>
      </w:r>
      <w:r>
        <w:rPr>
          <w:spacing w:val="-54"/>
        </w:rPr>
        <w:t> </w:t>
      </w:r>
      <w:r>
        <w:rPr>
          <w:rFonts w:ascii="宋体" w:hAnsi="宋体" w:cs="宋体" w:eastAsia="宋体" w:hint="default"/>
        </w:rPr>
        <w:t>2,360</w:t>
      </w:r>
      <w:r>
        <w:rPr>
          <w:rFonts w:ascii="宋体" w:hAnsi="宋体" w:cs="宋体" w:eastAsia="宋体" w:hint="default"/>
          <w:spacing w:val="-56"/>
        </w:rPr>
        <w:t> </w:t>
      </w:r>
      <w:r>
        <w:rPr/>
        <w:t>万股变更为</w:t>
      </w:r>
      <w:r>
        <w:rPr>
          <w:spacing w:val="-53"/>
        </w:rPr>
        <w:t> </w:t>
      </w:r>
      <w:r>
        <w:rPr>
          <w:rFonts w:ascii="宋体" w:hAnsi="宋体" w:cs="宋体" w:eastAsia="宋体" w:hint="default"/>
        </w:rPr>
        <w:t>2,316</w:t>
      </w:r>
      <w:r>
        <w:rPr>
          <w:rFonts w:ascii="宋体" w:hAnsi="宋体" w:cs="宋体" w:eastAsia="宋体" w:hint="default"/>
          <w:spacing w:val="-54"/>
        </w:rPr>
        <w:t> </w:t>
      </w:r>
      <w:r>
        <w:rPr/>
        <w:t>万股，首次授予的限制性股票数量由</w:t>
      </w:r>
    </w:p>
    <w:p>
      <w:pPr>
        <w:pStyle w:val="BodyText"/>
        <w:spacing w:line="240" w:lineRule="auto" w:before="126"/>
        <w:ind w:right="117"/>
        <w:jc w:val="left"/>
      </w:pPr>
      <w:r>
        <w:rPr>
          <w:rFonts w:ascii="宋体" w:hAnsi="宋体" w:cs="宋体" w:eastAsia="宋体" w:hint="default"/>
        </w:rPr>
        <w:t>2,200</w:t>
      </w:r>
      <w:r>
        <w:rPr>
          <w:rFonts w:ascii="宋体" w:hAnsi="宋体" w:cs="宋体" w:eastAsia="宋体" w:hint="default"/>
          <w:spacing w:val="-52"/>
        </w:rPr>
        <w:t> </w:t>
      </w:r>
      <w:r>
        <w:rPr/>
        <w:t>万股变更为</w:t>
      </w:r>
      <w:r>
        <w:rPr>
          <w:spacing w:val="-50"/>
        </w:rPr>
        <w:t> </w:t>
      </w:r>
      <w:r>
        <w:rPr>
          <w:rFonts w:ascii="宋体" w:hAnsi="宋体" w:cs="宋体" w:eastAsia="宋体" w:hint="default"/>
        </w:rPr>
        <w:t>2,156</w:t>
      </w:r>
      <w:r>
        <w:rPr>
          <w:rFonts w:ascii="宋体" w:hAnsi="宋体" w:cs="宋体" w:eastAsia="宋体" w:hint="default"/>
          <w:spacing w:val="-52"/>
        </w:rPr>
        <w:t> </w:t>
      </w:r>
      <w:r>
        <w:rPr>
          <w:spacing w:val="-4"/>
        </w:rPr>
        <w:t>万股，预留授予数量</w:t>
      </w:r>
      <w:r>
        <w:rPr>
          <w:spacing w:val="-50"/>
        </w:rPr>
        <w:t> </w:t>
      </w:r>
      <w:r>
        <w:rPr>
          <w:rFonts w:ascii="宋体" w:hAnsi="宋体" w:cs="宋体" w:eastAsia="宋体" w:hint="default"/>
        </w:rPr>
        <w:t>160</w:t>
      </w:r>
      <w:r>
        <w:rPr>
          <w:rFonts w:ascii="宋体" w:hAnsi="宋体" w:cs="宋体" w:eastAsia="宋体" w:hint="default"/>
          <w:spacing w:val="-52"/>
        </w:rPr>
        <w:t> </w:t>
      </w:r>
      <w:r>
        <w:rPr>
          <w:spacing w:val="-4"/>
        </w:rPr>
        <w:t>万股不变；同时确定以</w:t>
      </w:r>
      <w:r>
        <w:rPr>
          <w:spacing w:val="-52"/>
        </w:rPr>
        <w:t> </w:t>
      </w: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rPr>
        <w:t>2</w:t>
      </w:r>
      <w:r>
        <w:rPr>
          <w:rFonts w:ascii="宋体" w:hAnsi="宋体" w:cs="宋体" w:eastAsia="宋体" w:hint="default"/>
          <w:spacing w:val="-52"/>
        </w:rPr>
        <w:t> </w:t>
      </w:r>
      <w:r>
        <w:rPr/>
        <w:t>月</w:t>
      </w:r>
      <w:r>
        <w:rPr>
          <w:spacing w:val="-50"/>
        </w:rPr>
        <w:t> </w:t>
      </w:r>
      <w:r>
        <w:rPr>
          <w:rFonts w:ascii="宋体" w:hAnsi="宋体" w:cs="宋体" w:eastAsia="宋体" w:hint="default"/>
        </w:rPr>
        <w:t>7</w:t>
      </w:r>
      <w:r>
        <w:rPr>
          <w:rFonts w:ascii="宋体" w:hAnsi="宋体" w:cs="宋体" w:eastAsia="宋体" w:hint="default"/>
          <w:spacing w:val="-52"/>
        </w:rPr>
        <w:t> </w:t>
      </w:r>
      <w:r>
        <w:rPr/>
        <w:t>日为授予</w:t>
      </w:r>
    </w:p>
    <w:p>
      <w:pPr>
        <w:pStyle w:val="BodyText"/>
        <w:spacing w:line="240" w:lineRule="auto" w:before="126"/>
        <w:ind w:right="241"/>
        <w:jc w:val="left"/>
      </w:pPr>
      <w:r>
        <w:rPr/>
        <w:t>日，向</w:t>
      </w:r>
      <w:r>
        <w:rPr>
          <w:spacing w:val="-54"/>
        </w:rPr>
        <w:t> </w:t>
      </w:r>
      <w:r>
        <w:rPr>
          <w:rFonts w:ascii="宋体" w:hAnsi="宋体" w:cs="宋体" w:eastAsia="宋体" w:hint="default"/>
        </w:rPr>
        <w:t>221</w:t>
      </w:r>
      <w:r>
        <w:rPr>
          <w:rFonts w:ascii="宋体" w:hAnsi="宋体" w:cs="宋体" w:eastAsia="宋体" w:hint="default"/>
          <w:spacing w:val="-56"/>
        </w:rPr>
        <w:t> </w:t>
      </w:r>
      <w:r>
        <w:rPr/>
        <w:t>名激励对象授予</w:t>
      </w:r>
      <w:r>
        <w:rPr>
          <w:spacing w:val="-53"/>
        </w:rPr>
        <w:t> </w:t>
      </w:r>
      <w:r>
        <w:rPr>
          <w:rFonts w:ascii="宋体" w:hAnsi="宋体" w:cs="宋体" w:eastAsia="宋体" w:hint="default"/>
        </w:rPr>
        <w:t>2,156</w:t>
      </w:r>
      <w:r>
        <w:rPr>
          <w:rFonts w:ascii="宋体" w:hAnsi="宋体" w:cs="宋体" w:eastAsia="宋体" w:hint="default"/>
          <w:spacing w:val="-54"/>
        </w:rPr>
        <w:t> </w:t>
      </w:r>
      <w:r>
        <w:rPr/>
        <w:t>万股限制性股票。</w:t>
      </w:r>
    </w:p>
    <w:p>
      <w:pPr>
        <w:pStyle w:val="BodyText"/>
        <w:spacing w:line="240" w:lineRule="auto" w:before="124"/>
        <w:ind w:left="638" w:right="117"/>
        <w:jc w:val="left"/>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2"/>
        </w:rPr>
        <w:t> </w:t>
      </w:r>
      <w:r>
        <w:rPr>
          <w:spacing w:val="-3"/>
        </w:rPr>
        <w:t>日公司召开第三届董事会第二十六次会议审议并通过了《关于向激励对象授</w:t>
      </w:r>
    </w:p>
    <w:p>
      <w:pPr>
        <w:pStyle w:val="BodyText"/>
        <w:spacing w:line="240" w:lineRule="auto" w:before="126"/>
        <w:ind w:right="117"/>
        <w:jc w:val="left"/>
      </w:pPr>
      <w:r>
        <w:rPr/>
        <w:t>予第二期预留限制性股票的议案》，确定以</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日为授予日，向</w:t>
      </w:r>
      <w:r>
        <w:rPr>
          <w:spacing w:val="-52"/>
        </w:rPr>
        <w:t> </w:t>
      </w:r>
      <w:r>
        <w:rPr>
          <w:rFonts w:ascii="宋体" w:hAnsi="宋体" w:cs="宋体" w:eastAsia="宋体" w:hint="default"/>
        </w:rPr>
        <w:t>20</w:t>
      </w:r>
      <w:r>
        <w:rPr>
          <w:rFonts w:ascii="宋体" w:hAnsi="宋体" w:cs="宋体" w:eastAsia="宋体" w:hint="default"/>
          <w:spacing w:val="-55"/>
        </w:rPr>
        <w:t> </w:t>
      </w:r>
      <w:r>
        <w:rPr/>
        <w:t>名激励对象授予</w:t>
      </w:r>
    </w:p>
    <w:p>
      <w:pPr>
        <w:pStyle w:val="BodyText"/>
        <w:spacing w:line="240" w:lineRule="auto" w:before="126"/>
        <w:ind w:right="241"/>
        <w:jc w:val="left"/>
      </w:pPr>
      <w:r>
        <w:rPr>
          <w:rFonts w:ascii="宋体" w:hAnsi="宋体" w:cs="宋体" w:eastAsia="宋体" w:hint="default"/>
        </w:rPr>
        <w:t>160</w:t>
      </w:r>
      <w:r>
        <w:rPr>
          <w:rFonts w:ascii="宋体" w:hAnsi="宋体" w:cs="宋体" w:eastAsia="宋体" w:hint="default"/>
          <w:spacing w:val="-55"/>
        </w:rPr>
        <w:t> </w:t>
      </w:r>
      <w:r>
        <w:rPr/>
        <w:t>万股预留限制性股票。</w:t>
      </w:r>
    </w:p>
    <w:p>
      <w:pPr>
        <w:pStyle w:val="BodyText"/>
        <w:spacing w:line="240" w:lineRule="auto" w:before="123"/>
        <w:ind w:left="638" w:right="241"/>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日，公司第三届董事会第二十七次会议审议通过了《关于回购注销部分激励</w:t>
      </w:r>
    </w:p>
    <w:p>
      <w:pPr>
        <w:pStyle w:val="BodyText"/>
        <w:spacing w:line="240" w:lineRule="auto" w:before="126"/>
        <w:ind w:right="117"/>
        <w:jc w:val="left"/>
      </w:pPr>
      <w:r>
        <w:rPr/>
        <w:t>对象已获授但尚未解锁的第二期限制性股票的议案》，对于已不符合激励条件的激励对象</w:t>
      </w:r>
      <w:r>
        <w:rPr>
          <w:spacing w:val="-53"/>
        </w:rPr>
        <w:t> </w:t>
      </w:r>
      <w:r>
        <w:rPr>
          <w:rFonts w:ascii="宋体" w:hAnsi="宋体" w:cs="宋体" w:eastAsia="宋体" w:hint="default"/>
        </w:rPr>
        <w:t>3</w:t>
      </w:r>
      <w:r>
        <w:rPr>
          <w:rFonts w:ascii="宋体" w:hAnsi="宋体" w:cs="宋体" w:eastAsia="宋体" w:hint="default"/>
          <w:spacing w:val="-56"/>
        </w:rPr>
        <w:t> </w:t>
      </w:r>
      <w:r>
        <w:rPr/>
        <w:t>人，</w:t>
      </w:r>
    </w:p>
    <w:p>
      <w:pPr>
        <w:pStyle w:val="BodyText"/>
        <w:spacing w:line="240" w:lineRule="auto" w:before="126"/>
        <w:ind w:right="117"/>
        <w:jc w:val="left"/>
      </w:pPr>
      <w:r>
        <w:rPr>
          <w:w w:val="100"/>
        </w:rPr>
        <w:t>根据</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第</w:t>
      </w:r>
      <w:r>
        <w:rPr>
          <w:w w:val="100"/>
        </w:rPr>
        <w:t>七</w:t>
      </w:r>
      <w:r>
        <w:rPr>
          <w:spacing w:val="-3"/>
          <w:w w:val="100"/>
        </w:rPr>
        <w:t>次</w:t>
      </w:r>
      <w:r>
        <w:rPr>
          <w:w w:val="100"/>
        </w:rPr>
        <w:t>临</w:t>
      </w:r>
      <w:r>
        <w:rPr>
          <w:spacing w:val="-3"/>
          <w:w w:val="100"/>
        </w:rPr>
        <w:t>时股</w:t>
      </w:r>
      <w:r>
        <w:rPr>
          <w:w w:val="100"/>
        </w:rPr>
        <w:t>东大</w:t>
      </w:r>
      <w:r>
        <w:rPr>
          <w:spacing w:val="-3"/>
          <w:w w:val="100"/>
        </w:rPr>
        <w:t>会</w:t>
      </w:r>
      <w:r>
        <w:rPr>
          <w:w w:val="100"/>
        </w:rPr>
        <w:t>授</w:t>
      </w:r>
      <w:r>
        <w:rPr>
          <w:spacing w:val="-3"/>
          <w:w w:val="100"/>
        </w:rPr>
        <w:t>权</w:t>
      </w:r>
      <w:r>
        <w:rPr>
          <w:spacing w:val="-94"/>
          <w:w w:val="100"/>
        </w:rPr>
        <w:t>，</w:t>
      </w:r>
      <w:r>
        <w:rPr>
          <w:w w:val="100"/>
        </w:rPr>
        <w:t>公</w:t>
      </w:r>
      <w:r>
        <w:rPr>
          <w:spacing w:val="-3"/>
          <w:w w:val="100"/>
        </w:rPr>
        <w:t>司</w:t>
      </w:r>
      <w:r>
        <w:rPr>
          <w:w w:val="100"/>
        </w:rPr>
        <w:t>董</w:t>
      </w:r>
      <w:r>
        <w:rPr>
          <w:spacing w:val="-3"/>
          <w:w w:val="100"/>
        </w:rPr>
        <w:t>事</w:t>
      </w:r>
      <w:r>
        <w:rPr>
          <w:w w:val="100"/>
        </w:rPr>
        <w:t>会</w:t>
      </w:r>
      <w:r>
        <w:rPr>
          <w:spacing w:val="-3"/>
          <w:w w:val="100"/>
        </w:rPr>
        <w:t>办</w:t>
      </w:r>
      <w:r>
        <w:rPr>
          <w:w w:val="100"/>
        </w:rPr>
        <w:t>理回</w:t>
      </w:r>
      <w:r>
        <w:rPr>
          <w:spacing w:val="-3"/>
          <w:w w:val="100"/>
        </w:rPr>
        <w:t>购</w:t>
      </w:r>
      <w:r>
        <w:rPr>
          <w:w w:val="100"/>
        </w:rPr>
        <w:t>注</w:t>
      </w:r>
      <w:r>
        <w:rPr>
          <w:spacing w:val="-3"/>
          <w:w w:val="100"/>
        </w:rPr>
        <w:t>销</w:t>
      </w:r>
      <w:r>
        <w:rPr>
          <w:w w:val="100"/>
        </w:rPr>
        <w:t>其</w:t>
      </w:r>
      <w:r>
        <w:rPr>
          <w:spacing w:val="-3"/>
          <w:w w:val="100"/>
        </w:rPr>
        <w:t>已</w:t>
      </w:r>
      <w:r>
        <w:rPr>
          <w:w w:val="100"/>
        </w:rPr>
        <w:t>获</w:t>
      </w:r>
      <w:r>
        <w:rPr>
          <w:spacing w:val="-3"/>
          <w:w w:val="100"/>
        </w:rPr>
        <w:t>授</w:t>
      </w:r>
      <w:r>
        <w:rPr>
          <w:w w:val="100"/>
        </w:rPr>
        <w:t>但</w:t>
      </w:r>
      <w:r>
        <w:rPr>
          <w:spacing w:val="-3"/>
          <w:w w:val="100"/>
        </w:rPr>
        <w:t>尚</w:t>
      </w:r>
      <w:r>
        <w:rPr>
          <w:w w:val="100"/>
        </w:rPr>
        <w:t>未解</w:t>
      </w:r>
      <w:r>
        <w:rPr>
          <w:spacing w:val="-3"/>
          <w:w w:val="100"/>
        </w:rPr>
        <w:t>锁</w:t>
      </w:r>
      <w:r>
        <w:rPr>
          <w:w w:val="100"/>
        </w:rPr>
        <w:t>的</w:t>
      </w:r>
      <w:r>
        <w:rPr>
          <w:spacing w:val="-3"/>
          <w:w w:val="100"/>
        </w:rPr>
        <w:t>限</w:t>
      </w:r>
      <w:r>
        <w:rPr>
          <w:w w:val="100"/>
        </w:rPr>
        <w:t>制</w:t>
      </w:r>
      <w:r>
        <w:rPr>
          <w:spacing w:val="-3"/>
          <w:w w:val="100"/>
        </w:rPr>
        <w:t>性</w:t>
      </w:r>
      <w:r>
        <w:rPr>
          <w:w w:val="100"/>
        </w:rPr>
        <w:t>股</w:t>
      </w:r>
    </w:p>
    <w:p>
      <w:pPr>
        <w:pStyle w:val="BodyText"/>
        <w:spacing w:line="240" w:lineRule="auto" w:before="123"/>
        <w:ind w:right="241"/>
        <w:jc w:val="left"/>
      </w:pPr>
      <w:r>
        <w:rPr/>
        <w:t>票</w:t>
      </w:r>
      <w:r>
        <w:rPr>
          <w:spacing w:val="-53"/>
        </w:rPr>
        <w:t> </w:t>
      </w:r>
      <w:r>
        <w:rPr>
          <w:rFonts w:ascii="宋体" w:hAnsi="宋体" w:cs="宋体" w:eastAsia="宋体" w:hint="default"/>
        </w:rPr>
        <w:t>280,000</w:t>
      </w:r>
      <w:r>
        <w:rPr>
          <w:rFonts w:ascii="宋体" w:hAnsi="宋体" w:cs="宋体" w:eastAsia="宋体" w:hint="default"/>
          <w:spacing w:val="-55"/>
        </w:rPr>
        <w:t> </w:t>
      </w:r>
      <w:r>
        <w:rPr/>
        <w:t>股等相关事项。</w:t>
      </w:r>
    </w:p>
    <w:p>
      <w:pPr>
        <w:pStyle w:val="BodyText"/>
        <w:spacing w:line="240" w:lineRule="auto" w:before="126"/>
        <w:ind w:left="638" w:right="241"/>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日，公司第三届董事会第三十次会议审议通过了《关于回购注销部分激励对</w:t>
      </w:r>
    </w:p>
    <w:p>
      <w:pPr>
        <w:pStyle w:val="BodyText"/>
        <w:spacing w:line="240" w:lineRule="auto" w:before="126"/>
        <w:ind w:right="117"/>
        <w:jc w:val="left"/>
      </w:pPr>
      <w:r>
        <w:rPr/>
        <w:t>象已获授但尚未解锁的第二期限制性股票的议案》，对于已不符合激励条件的激励对象</w:t>
      </w:r>
      <w:r>
        <w:rPr>
          <w:spacing w:val="-54"/>
        </w:rPr>
        <w:t> </w:t>
      </w:r>
      <w:r>
        <w:rPr>
          <w:rFonts w:ascii="宋体" w:hAnsi="宋体" w:cs="宋体" w:eastAsia="宋体" w:hint="default"/>
        </w:rPr>
        <w:t>5</w:t>
      </w:r>
      <w:r>
        <w:rPr>
          <w:rFonts w:ascii="宋体" w:hAnsi="宋体" w:cs="宋体" w:eastAsia="宋体" w:hint="default"/>
          <w:spacing w:val="-55"/>
        </w:rPr>
        <w:t> </w:t>
      </w:r>
      <w:r>
        <w:rPr/>
        <w:t>人，根</w:t>
      </w:r>
    </w:p>
    <w:p>
      <w:pPr>
        <w:pStyle w:val="BodyText"/>
        <w:spacing w:line="240" w:lineRule="auto" w:before="124"/>
        <w:ind w:right="117"/>
        <w:jc w:val="left"/>
      </w:pPr>
      <w:r>
        <w:rPr>
          <w:w w:val="100"/>
        </w:rPr>
        <w:t>据</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第</w:t>
      </w:r>
      <w:r>
        <w:rPr>
          <w:spacing w:val="-3"/>
          <w:w w:val="100"/>
        </w:rPr>
        <w:t>七</w:t>
      </w:r>
      <w:r>
        <w:rPr>
          <w:w w:val="100"/>
        </w:rPr>
        <w:t>次</w:t>
      </w:r>
      <w:r>
        <w:rPr>
          <w:spacing w:val="-3"/>
          <w:w w:val="100"/>
        </w:rPr>
        <w:t>临</w:t>
      </w:r>
      <w:r>
        <w:rPr>
          <w:w w:val="100"/>
        </w:rPr>
        <w:t>时</w:t>
      </w:r>
      <w:r>
        <w:rPr>
          <w:spacing w:val="-3"/>
          <w:w w:val="100"/>
        </w:rPr>
        <w:t>股东</w:t>
      </w:r>
      <w:r>
        <w:rPr>
          <w:w w:val="100"/>
        </w:rPr>
        <w:t>大会</w:t>
      </w:r>
      <w:r>
        <w:rPr>
          <w:spacing w:val="-3"/>
          <w:w w:val="100"/>
        </w:rPr>
        <w:t>授权</w:t>
      </w:r>
      <w:r>
        <w:rPr>
          <w:spacing w:val="-92"/>
          <w:w w:val="100"/>
        </w:rPr>
        <w:t>，</w:t>
      </w:r>
      <w:r>
        <w:rPr>
          <w:spacing w:val="-3"/>
          <w:w w:val="100"/>
        </w:rPr>
        <w:t>公</w:t>
      </w:r>
      <w:r>
        <w:rPr>
          <w:w w:val="100"/>
        </w:rPr>
        <w:t>司</w:t>
      </w:r>
      <w:r>
        <w:rPr>
          <w:spacing w:val="-3"/>
          <w:w w:val="100"/>
        </w:rPr>
        <w:t>董</w:t>
      </w:r>
      <w:r>
        <w:rPr>
          <w:w w:val="100"/>
        </w:rPr>
        <w:t>事</w:t>
      </w:r>
      <w:r>
        <w:rPr>
          <w:spacing w:val="-3"/>
          <w:w w:val="100"/>
        </w:rPr>
        <w:t>会</w:t>
      </w:r>
      <w:r>
        <w:rPr>
          <w:w w:val="100"/>
        </w:rPr>
        <w:t>办</w:t>
      </w:r>
      <w:r>
        <w:rPr>
          <w:spacing w:val="-3"/>
          <w:w w:val="100"/>
        </w:rPr>
        <w:t>理</w:t>
      </w:r>
      <w:r>
        <w:rPr>
          <w:w w:val="100"/>
        </w:rPr>
        <w:t>回购</w:t>
      </w:r>
      <w:r>
        <w:rPr>
          <w:spacing w:val="-3"/>
          <w:w w:val="100"/>
        </w:rPr>
        <w:t>注</w:t>
      </w:r>
      <w:r>
        <w:rPr>
          <w:w w:val="100"/>
        </w:rPr>
        <w:t>销</w:t>
      </w:r>
      <w:r>
        <w:rPr>
          <w:spacing w:val="-3"/>
          <w:w w:val="100"/>
        </w:rPr>
        <w:t>上</w:t>
      </w:r>
      <w:r>
        <w:rPr>
          <w:w w:val="100"/>
        </w:rPr>
        <w:t>述</w:t>
      </w:r>
      <w:r>
        <w:rPr>
          <w:spacing w:val="-3"/>
          <w:w w:val="100"/>
        </w:rPr>
        <w:t>部</w:t>
      </w:r>
      <w:r>
        <w:rPr>
          <w:w w:val="100"/>
        </w:rPr>
        <w:t>分</w:t>
      </w:r>
      <w:r>
        <w:rPr>
          <w:spacing w:val="-3"/>
          <w:w w:val="100"/>
        </w:rPr>
        <w:t>已</w:t>
      </w:r>
      <w:r>
        <w:rPr>
          <w:w w:val="100"/>
        </w:rPr>
        <w:t>获</w:t>
      </w:r>
      <w:r>
        <w:rPr>
          <w:spacing w:val="-3"/>
          <w:w w:val="100"/>
        </w:rPr>
        <w:t>授</w:t>
      </w:r>
      <w:r>
        <w:rPr>
          <w:w w:val="100"/>
        </w:rPr>
        <w:t>但尚</w:t>
      </w:r>
      <w:r>
        <w:rPr>
          <w:spacing w:val="-3"/>
          <w:w w:val="100"/>
        </w:rPr>
        <w:t>未</w:t>
      </w:r>
      <w:r>
        <w:rPr>
          <w:w w:val="100"/>
        </w:rPr>
        <w:t>解</w:t>
      </w:r>
      <w:r>
        <w:rPr>
          <w:spacing w:val="-3"/>
          <w:w w:val="100"/>
        </w:rPr>
        <w:t>锁</w:t>
      </w:r>
      <w:r>
        <w:rPr>
          <w:w w:val="100"/>
        </w:rPr>
        <w:t>的</w:t>
      </w:r>
      <w:r>
        <w:rPr>
          <w:spacing w:val="-3"/>
          <w:w w:val="100"/>
        </w:rPr>
        <w:t>限</w:t>
      </w:r>
      <w:r>
        <w:rPr>
          <w:w w:val="100"/>
        </w:rPr>
        <w:t>制</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258" w:right="93"/>
        <w:jc w:val="left"/>
      </w:pPr>
      <w:r>
        <w:rPr/>
        <w:t>性股票共计</w:t>
      </w:r>
      <w:r>
        <w:rPr>
          <w:spacing w:val="-53"/>
        </w:rPr>
        <w:t> </w:t>
      </w:r>
      <w:r>
        <w:rPr>
          <w:rFonts w:ascii="宋体" w:hAnsi="宋体" w:cs="宋体" w:eastAsia="宋体" w:hint="default"/>
        </w:rPr>
        <w:t>85,400</w:t>
      </w:r>
      <w:r>
        <w:rPr>
          <w:rFonts w:ascii="宋体" w:hAnsi="宋体" w:cs="宋体" w:eastAsia="宋体" w:hint="default"/>
          <w:spacing w:val="-55"/>
        </w:rPr>
        <w:t> </w:t>
      </w:r>
      <w:r>
        <w:rPr/>
        <w:t>股等相关事项。</w:t>
      </w:r>
    </w:p>
    <w:p>
      <w:pPr>
        <w:pStyle w:val="BodyText"/>
        <w:spacing w:line="240" w:lineRule="auto" w:before="126"/>
        <w:ind w:left="678" w:right="93"/>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日，公司第三届董事会第三十九次会议审议通过了《关于回购注销部分激励</w:t>
      </w:r>
    </w:p>
    <w:p>
      <w:pPr>
        <w:pStyle w:val="BodyText"/>
        <w:spacing w:line="240" w:lineRule="auto" w:before="126"/>
        <w:ind w:left="258" w:right="0"/>
        <w:jc w:val="left"/>
      </w:pPr>
      <w:r>
        <w:rPr/>
        <w:t>对象已获授但尚未解锁的第二期限制性股票的议案》，对于已不符合激励条件的激励对象</w:t>
      </w:r>
      <w:r>
        <w:rPr>
          <w:spacing w:val="-52"/>
        </w:rPr>
        <w:t> </w:t>
      </w:r>
      <w:r>
        <w:rPr>
          <w:rFonts w:ascii="宋体" w:hAnsi="宋体" w:cs="宋体" w:eastAsia="宋体" w:hint="default"/>
        </w:rPr>
        <w:t>11</w:t>
      </w:r>
      <w:r>
        <w:rPr>
          <w:rFonts w:ascii="宋体" w:hAnsi="宋体" w:cs="宋体" w:eastAsia="宋体" w:hint="default"/>
          <w:spacing w:val="-50"/>
        </w:rPr>
        <w:t> </w:t>
      </w:r>
      <w:r>
        <w:rPr/>
        <w:t>人，</w:t>
      </w:r>
    </w:p>
    <w:p>
      <w:pPr>
        <w:pStyle w:val="BodyText"/>
        <w:spacing w:line="240" w:lineRule="auto" w:before="123"/>
        <w:ind w:left="258" w:right="93"/>
        <w:jc w:val="left"/>
      </w:pPr>
      <w:r>
        <w:rPr>
          <w:w w:val="100"/>
        </w:rPr>
        <w:t>根据</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第</w:t>
      </w:r>
      <w:r>
        <w:rPr>
          <w:w w:val="100"/>
        </w:rPr>
        <w:t>七</w:t>
      </w:r>
      <w:r>
        <w:rPr>
          <w:spacing w:val="-3"/>
          <w:w w:val="100"/>
        </w:rPr>
        <w:t>次</w:t>
      </w:r>
      <w:r>
        <w:rPr>
          <w:w w:val="100"/>
        </w:rPr>
        <w:t>临</w:t>
      </w:r>
      <w:r>
        <w:rPr>
          <w:spacing w:val="-3"/>
          <w:w w:val="100"/>
        </w:rPr>
        <w:t>时股</w:t>
      </w:r>
      <w:r>
        <w:rPr>
          <w:w w:val="100"/>
        </w:rPr>
        <w:t>东大</w:t>
      </w:r>
      <w:r>
        <w:rPr>
          <w:spacing w:val="-3"/>
          <w:w w:val="100"/>
        </w:rPr>
        <w:t>会</w:t>
      </w:r>
      <w:r>
        <w:rPr>
          <w:w w:val="100"/>
        </w:rPr>
        <w:t>授</w:t>
      </w:r>
      <w:r>
        <w:rPr>
          <w:spacing w:val="-3"/>
          <w:w w:val="100"/>
        </w:rPr>
        <w:t>权</w:t>
      </w:r>
      <w:r>
        <w:rPr>
          <w:spacing w:val="-94"/>
          <w:w w:val="100"/>
        </w:rPr>
        <w:t>，</w:t>
      </w:r>
      <w:r>
        <w:rPr>
          <w:w w:val="100"/>
        </w:rPr>
        <w:t>公</w:t>
      </w:r>
      <w:r>
        <w:rPr>
          <w:spacing w:val="-3"/>
          <w:w w:val="100"/>
        </w:rPr>
        <w:t>司</w:t>
      </w:r>
      <w:r>
        <w:rPr>
          <w:w w:val="100"/>
        </w:rPr>
        <w:t>董</w:t>
      </w:r>
      <w:r>
        <w:rPr>
          <w:spacing w:val="-3"/>
          <w:w w:val="100"/>
        </w:rPr>
        <w:t>事</w:t>
      </w:r>
      <w:r>
        <w:rPr>
          <w:w w:val="100"/>
        </w:rPr>
        <w:t>会</w:t>
      </w:r>
      <w:r>
        <w:rPr>
          <w:spacing w:val="-3"/>
          <w:w w:val="100"/>
        </w:rPr>
        <w:t>办</w:t>
      </w:r>
      <w:r>
        <w:rPr>
          <w:w w:val="100"/>
        </w:rPr>
        <w:t>理回</w:t>
      </w:r>
      <w:r>
        <w:rPr>
          <w:spacing w:val="-3"/>
          <w:w w:val="100"/>
        </w:rPr>
        <w:t>购</w:t>
      </w:r>
      <w:r>
        <w:rPr>
          <w:w w:val="100"/>
        </w:rPr>
        <w:t>注</w:t>
      </w:r>
      <w:r>
        <w:rPr>
          <w:spacing w:val="-3"/>
          <w:w w:val="100"/>
        </w:rPr>
        <w:t>销</w:t>
      </w:r>
      <w:r>
        <w:rPr>
          <w:w w:val="100"/>
        </w:rPr>
        <w:t>其</w:t>
      </w:r>
      <w:r>
        <w:rPr>
          <w:spacing w:val="-3"/>
          <w:w w:val="100"/>
        </w:rPr>
        <w:t>已</w:t>
      </w:r>
      <w:r>
        <w:rPr>
          <w:w w:val="100"/>
        </w:rPr>
        <w:t>获</w:t>
      </w:r>
      <w:r>
        <w:rPr>
          <w:spacing w:val="-3"/>
          <w:w w:val="100"/>
        </w:rPr>
        <w:t>授</w:t>
      </w:r>
      <w:r>
        <w:rPr>
          <w:w w:val="100"/>
        </w:rPr>
        <w:t>但</w:t>
      </w:r>
      <w:r>
        <w:rPr>
          <w:spacing w:val="-3"/>
          <w:w w:val="100"/>
        </w:rPr>
        <w:t>尚</w:t>
      </w:r>
      <w:r>
        <w:rPr>
          <w:w w:val="100"/>
        </w:rPr>
        <w:t>未解</w:t>
      </w:r>
      <w:r>
        <w:rPr>
          <w:spacing w:val="-3"/>
          <w:w w:val="100"/>
        </w:rPr>
        <w:t>锁</w:t>
      </w:r>
      <w:r>
        <w:rPr>
          <w:w w:val="100"/>
        </w:rPr>
        <w:t>的</w:t>
      </w:r>
      <w:r>
        <w:rPr>
          <w:spacing w:val="-3"/>
          <w:w w:val="100"/>
        </w:rPr>
        <w:t>限</w:t>
      </w:r>
      <w:r>
        <w:rPr>
          <w:w w:val="100"/>
        </w:rPr>
        <w:t>制</w:t>
      </w:r>
      <w:r>
        <w:rPr>
          <w:spacing w:val="-3"/>
          <w:w w:val="100"/>
        </w:rPr>
        <w:t>性</w:t>
      </w:r>
      <w:r>
        <w:rPr>
          <w:w w:val="100"/>
        </w:rPr>
        <w:t>股</w:t>
      </w:r>
    </w:p>
    <w:p>
      <w:pPr>
        <w:pStyle w:val="BodyText"/>
        <w:spacing w:line="240" w:lineRule="auto" w:before="126"/>
        <w:ind w:left="258" w:right="93"/>
        <w:jc w:val="left"/>
      </w:pPr>
      <w:r>
        <w:rPr/>
        <w:t>票</w:t>
      </w:r>
      <w:r>
        <w:rPr>
          <w:spacing w:val="-53"/>
        </w:rPr>
        <w:t> </w:t>
      </w:r>
      <w:r>
        <w:rPr>
          <w:rFonts w:ascii="宋体" w:hAnsi="宋体" w:cs="宋体" w:eastAsia="宋体" w:hint="default"/>
        </w:rPr>
        <w:t>448,000</w:t>
      </w:r>
      <w:r>
        <w:rPr>
          <w:rFonts w:ascii="宋体" w:hAnsi="宋体" w:cs="宋体" w:eastAsia="宋体" w:hint="default"/>
          <w:spacing w:val="-55"/>
        </w:rPr>
        <w:t> </w:t>
      </w:r>
      <w:r>
        <w:rPr/>
        <w:t>股等相关事项。</w:t>
      </w:r>
    </w:p>
    <w:p>
      <w:pPr>
        <w:pStyle w:val="BodyText"/>
        <w:spacing w:line="240" w:lineRule="auto" w:before="126"/>
        <w:ind w:left="678" w:right="93"/>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日，公司第四届董事会第二次会议审议通过了《关于回购注销部分第二期股</w:t>
      </w:r>
    </w:p>
    <w:p>
      <w:pPr>
        <w:pStyle w:val="BodyText"/>
        <w:spacing w:line="350" w:lineRule="auto" w:before="123"/>
        <w:ind w:left="258" w:right="93"/>
        <w:jc w:val="left"/>
      </w:pPr>
      <w:r>
        <w:rPr>
          <w:spacing w:val="-4"/>
        </w:rPr>
        <w:t>权激励计划限制性股票的议案》，对于已不符合激励条件的激励对象</w:t>
      </w:r>
      <w:r>
        <w:rPr>
          <w:spacing w:val="-39"/>
        </w:rPr>
        <w:t> </w:t>
      </w:r>
      <w:r>
        <w:rPr>
          <w:rFonts w:ascii="宋体" w:hAnsi="宋体" w:cs="宋体" w:eastAsia="宋体" w:hint="default"/>
        </w:rPr>
        <w:t>6</w:t>
      </w:r>
      <w:r>
        <w:rPr>
          <w:rFonts w:ascii="宋体" w:hAnsi="宋体" w:cs="宋体" w:eastAsia="宋体" w:hint="default"/>
          <w:spacing w:val="-42"/>
        </w:rPr>
        <w:t> </w:t>
      </w:r>
      <w:r>
        <w:rPr>
          <w:spacing w:val="-9"/>
        </w:rPr>
        <w:t>人，根据</w:t>
      </w:r>
      <w:r>
        <w:rPr>
          <w:spacing w:val="-38"/>
        </w:rPr>
        <w:t> </w:t>
      </w:r>
      <w:r>
        <w:rPr>
          <w:rFonts w:ascii="宋体" w:hAnsi="宋体" w:cs="宋体" w:eastAsia="宋体" w:hint="default"/>
        </w:rPr>
        <w:t>2016</w:t>
      </w:r>
      <w:r>
        <w:rPr>
          <w:rFonts w:ascii="宋体" w:hAnsi="宋体" w:cs="宋体" w:eastAsia="宋体" w:hint="default"/>
          <w:spacing w:val="-42"/>
        </w:rPr>
        <w:t> </w:t>
      </w:r>
      <w:r>
        <w:rPr/>
        <w:t>年第七次临</w:t>
      </w:r>
      <w:r>
        <w:rPr>
          <w:spacing w:val="-100"/>
        </w:rPr>
        <w:t> </w:t>
      </w:r>
      <w:r>
        <w:rPr>
          <w:spacing w:val="-100"/>
        </w:rPr>
      </w:r>
      <w:r>
        <w:rPr/>
        <w:t>时股东大会授权，公司董事会将办理回购注销上述部分已获授但尚未解锁的限制性股票共计</w:t>
      </w:r>
      <w:r>
        <w:rPr>
          <w:w w:val="100"/>
        </w:rPr>
        <w:t> </w:t>
      </w:r>
      <w:r>
        <w:rPr>
          <w:rFonts w:ascii="宋体" w:hAnsi="宋体" w:cs="宋体" w:eastAsia="宋体" w:hint="default"/>
        </w:rPr>
        <w:t>452,000</w:t>
      </w:r>
      <w:r>
        <w:rPr>
          <w:rFonts w:ascii="宋体" w:hAnsi="宋体" w:cs="宋体" w:eastAsia="宋体" w:hint="default"/>
          <w:spacing w:val="-53"/>
        </w:rPr>
        <w:t> </w:t>
      </w:r>
      <w:r>
        <w:rPr/>
        <w:t>股等相关事项。</w:t>
      </w:r>
    </w:p>
    <w:p>
      <w:pPr>
        <w:pStyle w:val="BodyText"/>
        <w:spacing w:line="350" w:lineRule="auto" w:before="27"/>
        <w:ind w:left="258" w:right="212"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日，公司第三届董事会第三十次会议审议通过了《关于第二期限制性股票激</w:t>
      </w:r>
      <w:r>
        <w:rPr>
          <w:w w:val="100"/>
        </w:rPr>
        <w:t> </w:t>
      </w:r>
      <w:r>
        <w:rPr>
          <w:spacing w:val="-2"/>
        </w:rPr>
        <w:t>励计划之首次授予限制性股票第一次解锁事宜的议案》，同意对第二期限制性股票激励计划符合</w:t>
      </w:r>
      <w:r>
        <w:rPr>
          <w:spacing w:val="-25"/>
        </w:rPr>
        <w:t> </w:t>
      </w:r>
      <w:r>
        <w:rPr>
          <w:spacing w:val="-25"/>
        </w:rPr>
      </w:r>
      <w:r>
        <w:rPr>
          <w:spacing w:val="-1"/>
          <w:w w:val="100"/>
        </w:rPr>
        <w:t>解锁条件的</w:t>
      </w:r>
      <w:r>
        <w:rPr>
          <w:spacing w:val="-70"/>
          <w:w w:val="100"/>
        </w:rPr>
        <w:t> </w:t>
      </w:r>
      <w:r>
        <w:rPr>
          <w:rFonts w:ascii="宋体" w:hAnsi="宋体" w:cs="宋体" w:eastAsia="宋体" w:hint="default"/>
          <w:spacing w:val="-1"/>
          <w:w w:val="100"/>
        </w:rPr>
        <w:t>216</w:t>
      </w:r>
      <w:r>
        <w:rPr>
          <w:rFonts w:ascii="宋体" w:hAnsi="宋体" w:cs="宋体" w:eastAsia="宋体" w:hint="default"/>
          <w:spacing w:val="-70"/>
          <w:w w:val="100"/>
        </w:rPr>
        <w:t> </w:t>
      </w:r>
      <w:r>
        <w:rPr>
          <w:spacing w:val="-6"/>
          <w:w w:val="100"/>
        </w:rPr>
        <w:t>名激励对象首次授予的限制性股票进行第一次解锁，解锁数量共计</w:t>
      </w:r>
      <w:r>
        <w:rPr>
          <w:spacing w:val="-69"/>
          <w:w w:val="100"/>
        </w:rPr>
        <w:t> </w:t>
      </w:r>
      <w:r>
        <w:rPr>
          <w:rFonts w:ascii="宋体" w:hAnsi="宋体" w:cs="宋体" w:eastAsia="宋体" w:hint="default"/>
          <w:spacing w:val="-1"/>
          <w:w w:val="100"/>
        </w:rPr>
        <w:t>6,333,600</w:t>
      </w:r>
      <w:r>
        <w:rPr>
          <w:rFonts w:ascii="宋体" w:hAnsi="宋体" w:cs="宋体" w:eastAsia="宋体" w:hint="default"/>
          <w:spacing w:val="-70"/>
          <w:w w:val="100"/>
        </w:rPr>
        <w:t> </w:t>
      </w:r>
      <w:r>
        <w:rPr>
          <w:spacing w:val="-3"/>
          <w:w w:val="100"/>
        </w:rPr>
        <w:t>股。</w:t>
      </w:r>
      <w:r>
        <w:rPr>
          <w:w w:val="100"/>
        </w:rPr>
      </w:r>
    </w:p>
    <w:p>
      <w:pPr>
        <w:pStyle w:val="BodyText"/>
        <w:spacing w:line="240" w:lineRule="auto" w:before="27"/>
        <w:ind w:left="258" w:right="93"/>
        <w:jc w:val="left"/>
      </w:pP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23</w:t>
      </w:r>
      <w:r>
        <w:rPr>
          <w:rFonts w:ascii="宋体" w:hAnsi="宋体" w:cs="宋体" w:eastAsia="宋体" w:hint="default"/>
          <w:spacing w:val="-54"/>
        </w:rPr>
        <w:t> </w:t>
      </w:r>
      <w:r>
        <w:rPr/>
        <w:t>日，上述限制性股票上市流通。</w:t>
      </w:r>
    </w:p>
    <w:p>
      <w:pPr>
        <w:pStyle w:val="BodyText"/>
        <w:spacing w:line="348" w:lineRule="auto" w:before="126"/>
        <w:ind w:left="258" w:right="208" w:firstLine="419"/>
        <w:jc w:val="both"/>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日，公司第四届董事会第二次会议审议通过了《关于回购注销部分第二期股</w:t>
      </w:r>
      <w:r>
        <w:rPr>
          <w:w w:val="100"/>
        </w:rPr>
        <w:t> </w:t>
      </w:r>
      <w:r>
        <w:rPr>
          <w:spacing w:val="-2"/>
        </w:rPr>
        <w:t>权激励计划限制性股票的议案》，对未达到解锁条件的第二期股权激励计划限制性股票予以回购</w:t>
      </w:r>
      <w:r>
        <w:rPr>
          <w:spacing w:val="-25"/>
        </w:rPr>
        <w:t> </w:t>
      </w:r>
      <w:r>
        <w:rPr>
          <w:spacing w:val="-25"/>
        </w:rPr>
      </w:r>
      <w:r>
        <w:rPr>
          <w:spacing w:val="-11"/>
        </w:rPr>
        <w:t>注销，根据 </w:t>
      </w:r>
      <w:r>
        <w:rPr>
          <w:rFonts w:ascii="宋体" w:hAnsi="宋体" w:cs="宋体" w:eastAsia="宋体" w:hint="default"/>
        </w:rPr>
        <w:t>2016</w:t>
      </w:r>
      <w:r>
        <w:rPr>
          <w:rFonts w:ascii="宋体" w:hAnsi="宋体" w:cs="宋体" w:eastAsia="宋体" w:hint="default"/>
          <w:spacing w:val="-37"/>
        </w:rPr>
        <w:t> </w:t>
      </w:r>
      <w:r>
        <w:rPr>
          <w:spacing w:val="-3"/>
        </w:rPr>
        <w:t>年第七次临时股东大会授权，公司董事会将办理回购注销上述部分已获授但尚未</w:t>
      </w:r>
    </w:p>
    <w:p>
      <w:pPr>
        <w:pStyle w:val="BodyText"/>
        <w:spacing w:line="240" w:lineRule="auto" w:before="32"/>
        <w:ind w:left="258" w:right="93"/>
        <w:jc w:val="left"/>
      </w:pPr>
      <w:r>
        <w:rPr/>
        <w:t>解锁的限制性股票共计</w:t>
      </w:r>
      <w:r>
        <w:rPr>
          <w:spacing w:val="-55"/>
        </w:rPr>
        <w:t> </w:t>
      </w:r>
      <w:r>
        <w:rPr>
          <w:rFonts w:ascii="宋体" w:hAnsi="宋体" w:cs="宋体" w:eastAsia="宋体" w:hint="default"/>
        </w:rPr>
        <w:t>6,769,000</w:t>
      </w:r>
      <w:r>
        <w:rPr>
          <w:rFonts w:ascii="宋体" w:hAnsi="宋体" w:cs="宋体" w:eastAsia="宋体" w:hint="default"/>
          <w:spacing w:val="-55"/>
        </w:rPr>
        <w:t> </w:t>
      </w:r>
      <w:r>
        <w:rPr/>
        <w:t>股等相关事项。</w:t>
      </w:r>
    </w:p>
    <w:p>
      <w:pPr>
        <w:spacing w:line="240" w:lineRule="auto" w:before="3"/>
        <w:rPr>
          <w:rFonts w:ascii="宋体" w:hAnsi="宋体" w:cs="宋体" w:eastAsia="宋体" w:hint="default"/>
          <w:sz w:val="25"/>
          <w:szCs w:val="25"/>
        </w:rPr>
      </w:pPr>
    </w:p>
    <w:p>
      <w:pPr>
        <w:pStyle w:val="Heading2"/>
        <w:spacing w:line="240" w:lineRule="auto" w:before="0"/>
        <w:ind w:left="258" w:right="93"/>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58" w:right="9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58" w:right="93"/>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258" w:right="9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58" w:right="93"/>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258" w:right="9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97" w:val="left" w:leader="none"/>
        </w:tabs>
        <w:spacing w:line="290" w:lineRule="auto" w:before="0"/>
        <w:ind w:left="258" w:right="67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258" w:right="3382"/>
        <w:jc w:val="left"/>
      </w:pPr>
      <w:r>
        <w:rPr/>
        <w:t>√适用</w:t>
      </w:r>
      <w:r>
        <w:rPr>
          <w:spacing w:val="-2"/>
        </w:rPr>
        <w:t> </w:t>
      </w:r>
      <w:r>
        <w:rPr/>
        <w:t>□不适用</w:t>
      </w:r>
      <w:r>
        <w:rPr>
          <w:w w:val="100"/>
        </w:rPr>
        <w:t> </w:t>
      </w:r>
      <w:r>
        <w:rPr>
          <w:spacing w:val="-2"/>
        </w:rPr>
        <w:t>资产负债表日存在的对外重要承诺、性质、金额</w:t>
      </w:r>
    </w:p>
    <w:p>
      <w:pPr>
        <w:pStyle w:val="BodyText"/>
        <w:spacing w:line="350" w:lineRule="auto" w:before="104"/>
        <w:ind w:left="258" w:right="216"/>
        <w:jc w:val="left"/>
      </w:pPr>
      <w:r>
        <w:rPr/>
        <w:pict>
          <v:shape style="position:absolute;margin-left:82.823997pt;margin-top:41.583675pt;width:452.5pt;height:86.2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0"/>
                    <w:gridCol w:w="1298"/>
                    <w:gridCol w:w="1299"/>
                    <w:gridCol w:w="1150"/>
                    <w:gridCol w:w="958"/>
                    <w:gridCol w:w="1505"/>
                  </w:tblGrid>
                  <w:tr>
                    <w:trPr>
                      <w:trHeight w:val="382" w:hRule="exact"/>
                    </w:trPr>
                    <w:tc>
                      <w:tcPr>
                        <w:tcW w:w="2840" w:type="dxa"/>
                        <w:tcBorders>
                          <w:top w:val="single" w:sz="12" w:space="0" w:color="000000"/>
                          <w:left w:val="nil" w:sz="6" w:space="0" w:color="auto"/>
                          <w:bottom w:val="nil" w:sz="6" w:space="0" w:color="auto"/>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土地使用权及房产名称</w:t>
                        </w:r>
                      </w:p>
                      <w:p>
                        <w:pPr>
                          <w:pStyle w:val="TableParagraph"/>
                          <w:spacing w:line="202" w:lineRule="exact"/>
                          <w:ind w:left="4" w:right="0"/>
                          <w:jc w:val="center"/>
                          <w:rPr>
                            <w:rFonts w:ascii="宋体" w:hAnsi="宋体" w:cs="宋体" w:eastAsia="宋体" w:hint="default"/>
                            <w:sz w:val="18"/>
                            <w:szCs w:val="18"/>
                          </w:rPr>
                        </w:pPr>
                        <w:r>
                          <w:rPr>
                            <w:rFonts w:ascii="宋体" w:hAnsi="宋体" w:cs="宋体" w:eastAsia="宋体" w:hint="default"/>
                            <w:sz w:val="18"/>
                            <w:szCs w:val="18"/>
                          </w:rPr>
                          <w:t>及座落</w:t>
                        </w:r>
                      </w:p>
                    </w:tc>
                    <w:tc>
                      <w:tcPr>
                        <w:tcW w:w="12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资产原值</w:t>
                        </w:r>
                      </w:p>
                    </w:tc>
                    <w:tc>
                      <w:tcPr>
                        <w:tcW w:w="12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资产净值</w:t>
                        </w:r>
                      </w:p>
                    </w:tc>
                    <w:tc>
                      <w:tcPr>
                        <w:tcW w:w="1150" w:type="dxa"/>
                        <w:vMerge w:val="restart"/>
                        <w:tcBorders>
                          <w:top w:val="single" w:sz="12" w:space="0" w:color="000000"/>
                          <w:left w:val="single" w:sz="4" w:space="0" w:color="000000"/>
                          <w:right w:val="single" w:sz="4" w:space="0" w:color="000000"/>
                        </w:tcBorders>
                      </w:tcPr>
                      <w:p>
                        <w:pPr>
                          <w:pStyle w:val="TableParagraph"/>
                          <w:spacing w:line="205" w:lineRule="exact"/>
                          <w:ind w:left="103" w:right="0" w:firstLine="16"/>
                          <w:jc w:val="left"/>
                          <w:rPr>
                            <w:rFonts w:ascii="宋体" w:hAnsi="宋体" w:cs="宋体" w:eastAsia="宋体" w:hint="default"/>
                            <w:sz w:val="18"/>
                            <w:szCs w:val="18"/>
                          </w:rPr>
                        </w:pPr>
                        <w:r>
                          <w:rPr>
                            <w:rFonts w:ascii="宋体" w:hAnsi="宋体" w:cs="宋体" w:eastAsia="宋体" w:hint="default"/>
                            <w:sz w:val="18"/>
                            <w:szCs w:val="18"/>
                          </w:rPr>
                          <w:t>最高额授信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金额（万元）</w:t>
                        </w:r>
                      </w:p>
                    </w:tc>
                    <w:tc>
                      <w:tcPr>
                        <w:tcW w:w="958" w:type="dxa"/>
                        <w:vMerge w:val="restart"/>
                        <w:tcBorders>
                          <w:top w:val="single" w:sz="12" w:space="0" w:color="000000"/>
                          <w:left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贷款余额</w:t>
                        </w: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05"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136" w:hRule="exact"/>
                    </w:trPr>
                    <w:tc>
                      <w:tcPr>
                        <w:tcW w:w="284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single" w:sz="4" w:space="0" w:color="000000"/>
                        </w:tcBorders>
                      </w:tcPr>
                      <w:p>
                        <w:pPr/>
                      </w:p>
                    </w:tc>
                    <w:tc>
                      <w:tcPr>
                        <w:tcW w:w="1299"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bottom w:val="nil" w:sz="6" w:space="0" w:color="auto"/>
                          <w:right w:val="single" w:sz="4" w:space="0" w:color="000000"/>
                        </w:tcBorders>
                      </w:tcPr>
                      <w:p>
                        <w:pPr/>
                      </w:p>
                    </w:tc>
                    <w:tc>
                      <w:tcPr>
                        <w:tcW w:w="958" w:type="dxa"/>
                        <w:vMerge/>
                        <w:tcBorders>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217"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13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298" w:type="dxa"/>
                        <w:tcBorders>
                          <w:top w:val="nil" w:sz="6" w:space="0" w:color="auto"/>
                          <w:left w:val="nil" w:sz="6" w:space="0" w:color="auto"/>
                          <w:bottom w:val="nil" w:sz="6" w:space="0" w:color="auto"/>
                          <w:right w:val="single" w:sz="4" w:space="0" w:color="000000"/>
                        </w:tcBorders>
                      </w:tcPr>
                      <w:p>
                        <w:pPr/>
                      </w:p>
                    </w:tc>
                    <w:tc>
                      <w:tcPr>
                        <w:tcW w:w="1299"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tc>
                    <w:tc>
                      <w:tcPr>
                        <w:tcW w:w="150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tc>
                  </w:tr>
                  <w:tr>
                    <w:trPr>
                      <w:trHeight w:val="477" w:hRule="exact"/>
                    </w:trPr>
                    <w:tc>
                      <w:tcPr>
                        <w:tcW w:w="2840" w:type="dxa"/>
                        <w:tcBorders>
                          <w:top w:val="nil" w:sz="6" w:space="0" w:color="auto"/>
                          <w:left w:val="nil" w:sz="6" w:space="0" w:color="auto"/>
                          <w:bottom w:val="nil" w:sz="6" w:space="0" w:color="auto"/>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启东市汇龙镇华石村土地使用权</w:t>
                        </w: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39,835.00 </w:t>
                        </w:r>
                        <w:r>
                          <w:rPr>
                            <w:rFonts w:ascii="宋体" w:hAnsi="宋体" w:cs="宋体" w:eastAsia="宋体" w:hint="default"/>
                            <w:sz w:val="18"/>
                            <w:szCs w:val="18"/>
                          </w:rPr>
                          <w:t>平方米</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239" w:right="0"/>
                          <w:jc w:val="left"/>
                          <w:rPr>
                            <w:rFonts w:ascii="Times New Roman" w:hAnsi="Times New Roman" w:cs="Times New Roman" w:eastAsia="Times New Roman" w:hint="default"/>
                            <w:sz w:val="18"/>
                            <w:szCs w:val="18"/>
                          </w:rPr>
                        </w:pPr>
                        <w:r>
                          <w:rPr>
                            <w:rFonts w:ascii="Times New Roman"/>
                            <w:sz w:val="18"/>
                          </w:rPr>
                          <w:t>5,994,630.68</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36" w:right="0"/>
                          <w:jc w:val="center"/>
                          <w:rPr>
                            <w:rFonts w:ascii="Times New Roman" w:hAnsi="Times New Roman" w:cs="Times New Roman" w:eastAsia="Times New Roman" w:hint="default"/>
                            <w:sz w:val="18"/>
                            <w:szCs w:val="18"/>
                          </w:rPr>
                        </w:pPr>
                        <w:r>
                          <w:rPr>
                            <w:rFonts w:ascii="Times New Roman"/>
                            <w:sz w:val="18"/>
                          </w:rPr>
                          <w:t>4,433,029.43</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60,000.00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15,000.00</w:t>
                        </w:r>
                      </w:p>
                    </w:tc>
                    <w:tc>
                      <w:tcPr>
                        <w:tcW w:w="150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2015.11-2018.12</w:t>
                        </w:r>
                      </w:p>
                    </w:tc>
                  </w:tr>
                  <w:tr>
                    <w:trPr>
                      <w:trHeight w:val="484" w:hRule="exact"/>
                    </w:trPr>
                    <w:tc>
                      <w:tcPr>
                        <w:tcW w:w="2840" w:type="dxa"/>
                        <w:tcBorders>
                          <w:top w:val="nil" w:sz="6" w:space="0" w:color="auto"/>
                          <w:left w:val="nil" w:sz="6" w:space="0" w:color="auto"/>
                          <w:bottom w:val="single" w:sz="12"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启东市汇龙镇华石村土地使用权</w:t>
                        </w:r>
                      </w:p>
                      <w:p>
                        <w:pPr>
                          <w:pStyle w:val="TableParagraph"/>
                          <w:spacing w:line="24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11,801.60 </w:t>
                        </w:r>
                        <w:r>
                          <w:rPr>
                            <w:rFonts w:ascii="宋体" w:hAnsi="宋体" w:cs="宋体" w:eastAsia="宋体" w:hint="default"/>
                            <w:sz w:val="18"/>
                            <w:szCs w:val="18"/>
                          </w:rPr>
                          <w:t>平方米</w:t>
                        </w:r>
                      </w:p>
                    </w:tc>
                    <w:tc>
                      <w:tcPr>
                        <w:tcW w:w="12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6"/>
                          <w:ind w:left="239" w:right="0"/>
                          <w:jc w:val="left"/>
                          <w:rPr>
                            <w:rFonts w:ascii="Times New Roman" w:hAnsi="Times New Roman" w:cs="Times New Roman" w:eastAsia="Times New Roman" w:hint="default"/>
                            <w:sz w:val="18"/>
                            <w:szCs w:val="18"/>
                          </w:rPr>
                        </w:pPr>
                        <w:r>
                          <w:rPr>
                            <w:rFonts w:ascii="Times New Roman"/>
                            <w:sz w:val="18"/>
                          </w:rPr>
                          <w:t>1,587,956.00</w:t>
                        </w:r>
                      </w:p>
                    </w:tc>
                    <w:tc>
                      <w:tcPr>
                        <w:tcW w:w="12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6"/>
                          <w:ind w:left="136" w:right="0"/>
                          <w:jc w:val="center"/>
                          <w:rPr>
                            <w:rFonts w:ascii="Times New Roman" w:hAnsi="Times New Roman" w:cs="Times New Roman" w:eastAsia="Times New Roman" w:hint="default"/>
                            <w:sz w:val="18"/>
                            <w:szCs w:val="18"/>
                          </w:rPr>
                        </w:pPr>
                        <w:r>
                          <w:rPr>
                            <w:rFonts w:ascii="Times New Roman"/>
                            <w:sz w:val="18"/>
                          </w:rPr>
                          <w:t>1,188,152.05</w:t>
                        </w:r>
                      </w:p>
                    </w:tc>
                    <w:tc>
                      <w:tcPr>
                        <w:tcW w:w="1150" w:type="dxa"/>
                        <w:tcBorders>
                          <w:top w:val="nil" w:sz="6" w:space="0" w:color="auto"/>
                          <w:left w:val="single" w:sz="4" w:space="0" w:color="000000"/>
                          <w:bottom w:val="single" w:sz="12" w:space="0" w:color="000000"/>
                          <w:right w:val="single" w:sz="4" w:space="0" w:color="000000"/>
                        </w:tcBorders>
                      </w:tcPr>
                      <w:p>
                        <w:pPr/>
                      </w:p>
                    </w:tc>
                    <w:tc>
                      <w:tcPr>
                        <w:tcW w:w="958" w:type="dxa"/>
                        <w:tcBorders>
                          <w:top w:val="nil" w:sz="6" w:space="0" w:color="auto"/>
                          <w:left w:val="single" w:sz="4" w:space="0" w:color="000000"/>
                          <w:bottom w:val="single" w:sz="12" w:space="0" w:color="000000"/>
                          <w:right w:val="single" w:sz="4" w:space="0" w:color="000000"/>
                        </w:tcBorders>
                      </w:tcPr>
                      <w:p>
                        <w:pPr/>
                      </w:p>
                    </w:tc>
                    <w:tc>
                      <w:tcPr>
                        <w:tcW w:w="1505"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rPr>
        <w:t>1</w:t>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日，公司以下列土地使用权、房产及固定资产抵押给银行，为取得银行</w:t>
      </w:r>
      <w:r>
        <w:rPr>
          <w:w w:val="100"/>
        </w:rPr>
        <w:t> </w:t>
      </w:r>
      <w:r>
        <w:rPr/>
        <w:t>最高额授信作担保：</w:t>
      </w:r>
    </w:p>
    <w:p>
      <w:pPr>
        <w:tabs>
          <w:tab w:pos="4249" w:val="left" w:leader="none"/>
          <w:tab w:pos="5548" w:val="left" w:leader="none"/>
          <w:tab w:pos="6698" w:val="left" w:leader="none"/>
          <w:tab w:pos="7656" w:val="left" w:leader="none"/>
        </w:tabs>
        <w:spacing w:line="20" w:lineRule="exact"/>
        <w:ind w:left="2951"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21" name="image59.png" descr=""/>
            <wp:cNvGraphicFramePr>
              <a:graphicFrameLocks noChangeAspect="1"/>
            </wp:cNvGraphicFramePr>
            <a:graphic>
              <a:graphicData uri="http://schemas.openxmlformats.org/drawingml/2006/picture">
                <pic:pic>
                  <pic:nvPicPr>
                    <pic:cNvPr id="22" name="image59.png"/>
                    <pic:cNvPicPr/>
                  </pic:nvPicPr>
                  <pic:blipFill>
                    <a:blip r:embed="rId134"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3" name="image59.png" descr=""/>
            <wp:cNvGraphicFramePr>
              <a:graphicFrameLocks noChangeAspect="1"/>
            </wp:cNvGraphicFramePr>
            <a:graphic>
              <a:graphicData uri="http://schemas.openxmlformats.org/drawingml/2006/picture">
                <pic:pic>
                  <pic:nvPicPr>
                    <pic:cNvPr id="24" name="image59.png"/>
                    <pic:cNvPicPr/>
                  </pic:nvPicPr>
                  <pic:blipFill>
                    <a:blip r:embed="rId134"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5" name="image59.png" descr=""/>
            <wp:cNvGraphicFramePr>
              <a:graphicFrameLocks noChangeAspect="1"/>
            </wp:cNvGraphicFramePr>
            <a:graphic>
              <a:graphicData uri="http://schemas.openxmlformats.org/drawingml/2006/picture">
                <pic:pic>
                  <pic:nvPicPr>
                    <pic:cNvPr id="26" name="image59.png"/>
                    <pic:cNvPicPr/>
                  </pic:nvPicPr>
                  <pic:blipFill>
                    <a:blip r:embed="rId134"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7" name="image59.png" descr=""/>
            <wp:cNvGraphicFramePr>
              <a:graphicFrameLocks noChangeAspect="1"/>
            </wp:cNvGraphicFramePr>
            <a:graphic>
              <a:graphicData uri="http://schemas.openxmlformats.org/drawingml/2006/picture">
                <pic:pic>
                  <pic:nvPicPr>
                    <pic:cNvPr id="28" name="image59.png"/>
                    <pic:cNvPicPr/>
                  </pic:nvPicPr>
                  <pic:blipFill>
                    <a:blip r:embed="rId134"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9" name="image59.png" descr=""/>
            <wp:cNvGraphicFramePr>
              <a:graphicFrameLocks noChangeAspect="1"/>
            </wp:cNvGraphicFramePr>
            <a:graphic>
              <a:graphicData uri="http://schemas.openxmlformats.org/drawingml/2006/picture">
                <pic:pic>
                  <pic:nvPicPr>
                    <pic:cNvPr id="30" name="image59.png"/>
                    <pic:cNvPicPr/>
                  </pic:nvPicPr>
                  <pic:blipFill>
                    <a:blip r:embed="rId134" cstate="print"/>
                    <a:stretch>
                      <a:fillRect/>
                    </a:stretch>
                  </pic:blipFill>
                  <pic:spPr>
                    <a:xfrm>
                      <a:off x="0" y="0"/>
                      <a:ext cx="6095" cy="1524"/>
                    </a:xfrm>
                    <a:prstGeom prst="rect">
                      <a:avLst/>
                    </a:prstGeom>
                  </pic:spPr>
                </pic:pic>
              </a:graphicData>
            </a:graphic>
          </wp:inline>
        </w:drawing>
      </w:r>
      <w:r>
        <w:rPr>
          <w:rFonts w:ascii="宋体"/>
          <w:sz w:val="2"/>
        </w:rPr>
      </w:r>
    </w:p>
    <w:p>
      <w:pPr>
        <w:spacing w:line="240" w:lineRule="auto" w:before="7"/>
        <w:rPr>
          <w:rFonts w:ascii="宋体" w:hAnsi="宋体" w:cs="宋体" w:eastAsia="宋体" w:hint="default"/>
          <w:sz w:val="26"/>
          <w:szCs w:val="26"/>
        </w:rPr>
      </w:pPr>
    </w:p>
    <w:p>
      <w:pPr>
        <w:spacing w:line="110" w:lineRule="exact"/>
        <w:ind w:left="116"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52.5pt;height:5.55pt;mso-position-horizontal-relative:char;mso-position-vertical-relative:line" coordorigin="0,0" coordsize="9050,111">
            <v:shape style="position:absolute;left:0;top:0;width:2854;height:110" type="#_x0000_t75" stroked="false">
              <v:imagedata r:id="rId136" o:title=""/>
            </v:shape>
            <v:shape style="position:absolute;left:2830;top:101;width:1303;height:10" type="#_x0000_t75" stroked="false">
              <v:imagedata r:id="rId137" o:title=""/>
            </v:shape>
            <v:shape style="position:absolute;left:4129;top:101;width:1304;height:10" type="#_x0000_t75" stroked="false">
              <v:imagedata r:id="rId137" o:title=""/>
            </v:shape>
            <v:shape style="position:absolute;left:5427;top:96;width:1164;height:14" type="#_x0000_t75" stroked="false">
              <v:imagedata r:id="rId138" o:title=""/>
            </v:shape>
            <v:shape style="position:absolute;left:6577;top:101;width:963;height:10" type="#_x0000_t75" stroked="false">
              <v:imagedata r:id="rId139" o:title=""/>
            </v:shape>
            <v:shape style="position:absolute;left:7535;top:101;width:1514;height:10" type="#_x0000_t75" stroked="false">
              <v:imagedata r:id="rId140" o:title=""/>
            </v:shape>
          </v:group>
        </w:pict>
      </w:r>
      <w:r>
        <w:rPr>
          <w:rFonts w:ascii="宋体" w:hAnsi="宋体" w:cs="宋体" w:eastAsia="宋体" w:hint="default"/>
          <w:position w:val="-1"/>
          <w:sz w:val="11"/>
          <w:szCs w:val="11"/>
        </w:rPr>
      </w:r>
    </w:p>
    <w:p>
      <w:pPr>
        <w:spacing w:line="240" w:lineRule="auto" w:before="4"/>
        <w:rPr>
          <w:rFonts w:ascii="宋体" w:hAnsi="宋体" w:cs="宋体" w:eastAsia="宋体" w:hint="default"/>
          <w:sz w:val="10"/>
          <w:szCs w:val="10"/>
        </w:rPr>
      </w:pPr>
    </w:p>
    <w:p>
      <w:pPr>
        <w:tabs>
          <w:tab w:pos="6698" w:val="left" w:leader="none"/>
          <w:tab w:pos="7656" w:val="left" w:leader="none"/>
        </w:tabs>
        <w:spacing w:line="108" w:lineRule="exact"/>
        <w:ind w:left="116" w:right="0" w:firstLine="0"/>
        <w:rPr>
          <w:rFonts w:ascii="宋体" w:hAnsi="宋体" w:cs="宋体" w:eastAsia="宋体" w:hint="default"/>
          <w:sz w:val="2"/>
          <w:szCs w:val="2"/>
        </w:rPr>
      </w:pPr>
      <w:r>
        <w:rPr>
          <w:rFonts w:ascii="宋体"/>
          <w:position w:val="-1"/>
          <w:sz w:val="10"/>
        </w:rPr>
        <w:pict>
          <v:group style="width:272.1pt;height:5.4pt;mso-position-horizontal-relative:char;mso-position-vertical-relative:line" coordorigin="0,0" coordsize="5442,108">
            <v:shape style="position:absolute;left:0;top:0;width:2854;height:108" type="#_x0000_t75" stroked="false">
              <v:imagedata r:id="rId141" o:title=""/>
            </v:shape>
            <v:shape style="position:absolute;left:2830;top:96;width:1313;height:12" type="#_x0000_t75" stroked="false">
              <v:imagedata r:id="rId142" o:title=""/>
            </v:shape>
            <v:shape style="position:absolute;left:4129;top:96;width:1313;height:12" type="#_x0000_t75" stroked="false">
              <v:imagedata r:id="rId142" o:title=""/>
            </v:shape>
          </v:group>
        </w:pict>
      </w:r>
      <w:r>
        <w:rPr>
          <w:rFonts w:ascii="宋体"/>
          <w:position w:val="-1"/>
          <w:sz w:val="10"/>
        </w:rPr>
      </w:r>
      <w:r>
        <w:rPr>
          <w:rFonts w:ascii="宋体"/>
          <w:position w:val="-1"/>
          <w:sz w:val="10"/>
        </w:rPr>
        <w:tab/>
      </w:r>
      <w:r>
        <w:rPr>
          <w:rFonts w:ascii="宋体"/>
          <w:position w:val="0"/>
          <w:sz w:val="2"/>
        </w:rPr>
        <w:drawing>
          <wp:inline distT="0" distB="0" distL="0" distR="0">
            <wp:extent cx="6096" cy="1524"/>
            <wp:effectExtent l="0" t="0" r="0" b="0"/>
            <wp:docPr id="31" name="image59.png" descr=""/>
            <wp:cNvGraphicFramePr>
              <a:graphicFrameLocks noChangeAspect="1"/>
            </wp:cNvGraphicFramePr>
            <a:graphic>
              <a:graphicData uri="http://schemas.openxmlformats.org/drawingml/2006/picture">
                <pic:pic>
                  <pic:nvPicPr>
                    <pic:cNvPr id="32" name="image59.png"/>
                    <pic:cNvPicPr/>
                  </pic:nvPicPr>
                  <pic:blipFill>
                    <a:blip r:embed="rId134" cstate="print"/>
                    <a:stretch>
                      <a:fillRect/>
                    </a:stretch>
                  </pic:blipFill>
                  <pic:spPr>
                    <a:xfrm>
                      <a:off x="0" y="0"/>
                      <a:ext cx="6096" cy="1524"/>
                    </a:xfrm>
                    <a:prstGeom prst="rect">
                      <a:avLst/>
                    </a:prstGeom>
                  </pic:spPr>
                </pic:pic>
              </a:graphicData>
            </a:graphic>
          </wp:inline>
        </w:drawing>
      </w:r>
      <w:r>
        <w:rPr>
          <w:rFonts w:ascii="宋体"/>
          <w:position w:val="0"/>
          <w:sz w:val="2"/>
        </w:rPr>
      </w:r>
      <w:r>
        <w:rPr>
          <w:rFonts w:ascii="宋体"/>
          <w:position w:val="0"/>
          <w:sz w:val="2"/>
        </w:rPr>
        <w:tab/>
      </w:r>
      <w:r>
        <w:rPr>
          <w:rFonts w:ascii="宋体"/>
          <w:position w:val="0"/>
          <w:sz w:val="2"/>
        </w:rPr>
        <w:drawing>
          <wp:inline distT="0" distB="0" distL="0" distR="0">
            <wp:extent cx="6095" cy="1524"/>
            <wp:effectExtent l="0" t="0" r="0" b="0"/>
            <wp:docPr id="33" name="image59.png" descr=""/>
            <wp:cNvGraphicFramePr>
              <a:graphicFrameLocks noChangeAspect="1"/>
            </wp:cNvGraphicFramePr>
            <a:graphic>
              <a:graphicData uri="http://schemas.openxmlformats.org/drawingml/2006/picture">
                <pic:pic>
                  <pic:nvPicPr>
                    <pic:cNvPr id="34" name="image59.png"/>
                    <pic:cNvPicPr/>
                  </pic:nvPicPr>
                  <pic:blipFill>
                    <a:blip r:embed="rId134" cstate="print"/>
                    <a:stretch>
                      <a:fillRect/>
                    </a:stretch>
                  </pic:blipFill>
                  <pic:spPr>
                    <a:xfrm>
                      <a:off x="0" y="0"/>
                      <a:ext cx="6095" cy="1524"/>
                    </a:xfrm>
                    <a:prstGeom prst="rect">
                      <a:avLst/>
                    </a:prstGeom>
                  </pic:spPr>
                </pic:pic>
              </a:graphicData>
            </a:graphic>
          </wp:inline>
        </w:drawing>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271.650pt;height:.5pt;mso-position-horizontal-relative:char;mso-position-vertical-relative:line" coordorigin="0,0" coordsize="5433,10">
            <v:shape style="position:absolute;left:0;top:0;width:4133;height:10" type="#_x0000_t75" stroked="false">
              <v:imagedata r:id="rId143" o:title=""/>
            </v:shape>
            <v:shape style="position:absolute;left:4129;top:0;width:1304;height:10" type="#_x0000_t75" stroked="false">
              <v:imagedata r:id="rId137"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28" w:footer="974" w:top="1120" w:bottom="1160" w:left="1540" w:right="1060"/>
        </w:sectPr>
      </w:pPr>
    </w:p>
    <w:p>
      <w:pPr>
        <w:spacing w:line="240" w:lineRule="auto" w:before="0"/>
        <w:rPr>
          <w:rFonts w:ascii="宋体" w:hAnsi="宋体" w:cs="宋体" w:eastAsia="宋体" w:hint="default"/>
          <w:sz w:val="20"/>
          <w:szCs w:val="20"/>
        </w:rPr>
      </w:pPr>
      <w:r>
        <w:rPr/>
        <w:pict>
          <v:shape style="position:absolute;margin-left:224.570007pt;margin-top:77.639984pt;width:.48001pt;height:.12pt;mso-position-horizontal-relative:page;mso-position-vertical-relative:page;z-index:-1111624" type="#_x0000_t75" stroked="false">
            <v:imagedata r:id="rId144" o:title=""/>
          </v:shape>
        </w:pict>
      </w:r>
      <w:r>
        <w:rPr/>
        <w:pict>
          <v:shape style="position:absolute;margin-left:289.489990pt;margin-top:77.639984pt;width:.47998pt;height:.12pt;mso-position-horizontal-relative:page;mso-position-vertical-relative:page;z-index:-1111600" type="#_x0000_t75" stroked="false">
            <v:imagedata r:id="rId144" o:title=""/>
          </v:shape>
        </w:pict>
      </w:r>
      <w:r>
        <w:rPr/>
        <w:pict>
          <v:shape style="position:absolute;margin-left:354.429993pt;margin-top:77.639984pt;width:.47998pt;height:.12pt;mso-position-horizontal-relative:page;mso-position-vertical-relative:page;z-index:-1111576" type="#_x0000_t75" stroked="false">
            <v:imagedata r:id="rId144" o:title=""/>
          </v:shape>
        </w:pict>
      </w:r>
      <w:r>
        <w:rPr/>
        <w:pict>
          <v:shape style="position:absolute;margin-left:411.910004pt;margin-top:77.639984pt;width:.48001pt;height:.12pt;mso-position-horizontal-relative:page;mso-position-vertical-relative:page;z-index:-1111552" type="#_x0000_t75" stroked="false">
            <v:imagedata r:id="rId144" o:title=""/>
          </v:shape>
        </w:pict>
      </w:r>
      <w:r>
        <w:rPr/>
        <w:pict>
          <v:shape style="position:absolute;margin-left:459.820007pt;margin-top:77.639984pt;width:.47998pt;height:.12pt;mso-position-horizontal-relative:page;mso-position-vertical-relative:page;z-index:-1111528" type="#_x0000_t75" stroked="false">
            <v:imagedata r:id="rId144" o:title=""/>
          </v:shape>
        </w:pict>
      </w:r>
      <w:r>
        <w:rPr/>
        <w:pict>
          <v:group style="position:absolute;margin-left:82.823997pt;margin-top:101.060005pt;width:452.5pt;height:.5pt;mso-position-horizontal-relative:page;mso-position-vertical-relative:page;z-index:-1111504" coordorigin="1656,2021" coordsize="9050,10">
            <v:shape style="position:absolute;left:1656;top:2021;width:4133;height:10" type="#_x0000_t75" stroked="false">
              <v:imagedata r:id="rId143" o:title=""/>
            </v:shape>
            <v:shape style="position:absolute;left:5785;top:2021;width:1304;height:10" type="#_x0000_t75" stroked="false">
              <v:imagedata r:id="rId145" o:title=""/>
            </v:shape>
            <v:shape style="position:absolute;left:7084;top:2021;width:2113;height:10" type="#_x0000_t75" stroked="false">
              <v:imagedata r:id="rId146" o:title=""/>
            </v:shape>
            <v:shape style="position:absolute;left:9192;top:2021;width:1514;height:10" type="#_x0000_t75" stroked="false">
              <v:imagedata r:id="rId147" o:title=""/>
            </v:shape>
            <w10:wrap type="none"/>
          </v:group>
        </w:pict>
      </w:r>
      <w:r>
        <w:rPr/>
        <w:pict>
          <v:group style="position:absolute;margin-left:82.823997pt;margin-top:124.940002pt;width:271.650pt;height:.5pt;mso-position-horizontal-relative:page;mso-position-vertical-relative:page;z-index:-1111480" coordorigin="1656,2499" coordsize="5433,10">
            <v:shape style="position:absolute;left:1656;top:2499;width:4133;height:10" type="#_x0000_t75" stroked="false">
              <v:imagedata r:id="rId143" o:title=""/>
            </v:shape>
            <v:shape style="position:absolute;left:5785;top:2499;width:1304;height:10" type="#_x0000_t75" stroked="false">
              <v:imagedata r:id="rId137" o:title=""/>
            </v:shape>
            <w10:wrap type="none"/>
          </v:group>
        </w:pict>
      </w:r>
      <w:r>
        <w:rPr/>
        <w:pict>
          <v:shape style="position:absolute;margin-left:411.910004pt;margin-top:136.939987pt;width:.48003pt;height:.24pt;mso-position-horizontal-relative:page;mso-position-vertical-relative:page;z-index:-1111456" type="#_x0000_t75" stroked="false">
            <v:imagedata r:id="rId144" o:title=""/>
          </v:shape>
        </w:pict>
      </w:r>
      <w:r>
        <w:rPr/>
        <w:pict>
          <v:group style="position:absolute;margin-left:82.823997pt;margin-top:132.139969pt;width:271.650pt;height:5.55pt;mso-position-horizontal-relative:page;mso-position-vertical-relative:page;z-index:-1111432" coordorigin="1656,2643" coordsize="5433,111">
            <v:shape style="position:absolute;left:1656;top:2643;width:2854;height:110" type="#_x0000_t75" stroked="false">
              <v:imagedata r:id="rId136" o:title=""/>
            </v:shape>
            <v:shape style="position:absolute;left:4487;top:2744;width:1303;height:10" type="#_x0000_t75" stroked="false">
              <v:imagedata r:id="rId137" o:title=""/>
            </v:shape>
            <v:shape style="position:absolute;left:5785;top:2744;width:1304;height:10" type="#_x0000_t75" stroked="false">
              <v:imagedata r:id="rId137" o:title=""/>
            </v:shape>
            <w10:wrap type="none"/>
          </v:group>
        </w:pict>
      </w: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854"/>
        <w:gridCol w:w="1298"/>
        <w:gridCol w:w="1299"/>
        <w:gridCol w:w="1150"/>
        <w:gridCol w:w="958"/>
        <w:gridCol w:w="1505"/>
      </w:tblGrid>
      <w:tr>
        <w:trPr>
          <w:trHeight w:val="488" w:hRule="exact"/>
        </w:trPr>
        <w:tc>
          <w:tcPr>
            <w:tcW w:w="2854" w:type="dxa"/>
            <w:tcBorders>
              <w:top w:val="single" w:sz="12" w:space="0" w:color="000000"/>
              <w:left w:val="nil" w:sz="6" w:space="0" w:color="auto"/>
              <w:bottom w:val="nil" w:sz="6" w:space="0" w:color="auto"/>
              <w:right w:val="single" w:sz="4" w:space="0" w:color="000000"/>
            </w:tcBorders>
          </w:tcPr>
          <w:p>
            <w:pPr>
              <w:pStyle w:val="TableParagraph"/>
              <w:spacing w:line="207" w:lineRule="exact"/>
              <w:ind w:left="16" w:right="0"/>
              <w:jc w:val="center"/>
              <w:rPr>
                <w:rFonts w:ascii="宋体" w:hAnsi="宋体" w:cs="宋体" w:eastAsia="宋体" w:hint="default"/>
                <w:sz w:val="18"/>
                <w:szCs w:val="18"/>
              </w:rPr>
            </w:pPr>
            <w:r>
              <w:rPr>
                <w:rFonts w:ascii="宋体" w:hAnsi="宋体" w:cs="宋体" w:eastAsia="宋体" w:hint="default"/>
                <w:sz w:val="18"/>
                <w:szCs w:val="18"/>
              </w:rPr>
              <w:t>土地使用权及房产名称</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及座落</w:t>
            </w:r>
          </w:p>
        </w:tc>
        <w:tc>
          <w:tcPr>
            <w:tcW w:w="12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0"/>
              <w:ind w:left="283" w:right="0"/>
              <w:jc w:val="left"/>
              <w:rPr>
                <w:rFonts w:ascii="宋体" w:hAnsi="宋体" w:cs="宋体" w:eastAsia="宋体" w:hint="default"/>
                <w:sz w:val="18"/>
                <w:szCs w:val="18"/>
              </w:rPr>
            </w:pPr>
            <w:r>
              <w:rPr>
                <w:rFonts w:ascii="宋体" w:hAnsi="宋体" w:cs="宋体" w:eastAsia="宋体" w:hint="default"/>
                <w:sz w:val="18"/>
                <w:szCs w:val="18"/>
              </w:rPr>
              <w:t>资产原值</w:t>
            </w:r>
          </w:p>
        </w:tc>
        <w:tc>
          <w:tcPr>
            <w:tcW w:w="12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资产净值</w:t>
            </w:r>
          </w:p>
        </w:tc>
        <w:tc>
          <w:tcPr>
            <w:tcW w:w="1150" w:type="dxa"/>
            <w:tcBorders>
              <w:top w:val="single" w:sz="12" w:space="0" w:color="000000"/>
              <w:left w:val="single" w:sz="4" w:space="0" w:color="000000"/>
              <w:bottom w:val="nil" w:sz="6" w:space="0" w:color="auto"/>
              <w:right w:val="single" w:sz="4" w:space="0" w:color="000000"/>
            </w:tcBorders>
          </w:tcPr>
          <w:p>
            <w:pPr>
              <w:pStyle w:val="TableParagraph"/>
              <w:spacing w:line="207" w:lineRule="exact"/>
              <w:ind w:left="103" w:right="0" w:firstLine="16"/>
              <w:jc w:val="left"/>
              <w:rPr>
                <w:rFonts w:ascii="宋体" w:hAnsi="宋体" w:cs="宋体" w:eastAsia="宋体" w:hint="default"/>
                <w:sz w:val="18"/>
                <w:szCs w:val="18"/>
              </w:rPr>
            </w:pPr>
            <w:r>
              <w:rPr>
                <w:rFonts w:ascii="宋体" w:hAnsi="宋体" w:cs="宋体" w:eastAsia="宋体" w:hint="default"/>
                <w:sz w:val="18"/>
                <w:szCs w:val="18"/>
              </w:rPr>
              <w:t>最高额授信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金额（万元）</w:t>
            </w:r>
          </w:p>
        </w:tc>
        <w:tc>
          <w:tcPr>
            <w:tcW w:w="958" w:type="dxa"/>
            <w:tcBorders>
              <w:top w:val="single" w:sz="12" w:space="0" w:color="000000"/>
              <w:left w:val="single" w:sz="4" w:space="0" w:color="000000"/>
              <w:bottom w:val="nil" w:sz="6" w:space="0" w:color="auto"/>
              <w:right w:val="single" w:sz="4"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hAnsi="宋体" w:cs="宋体" w:eastAsia="宋体" w:hint="default"/>
                <w:sz w:val="18"/>
                <w:szCs w:val="18"/>
              </w:rPr>
              <w:t>贷款余额</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05" w:type="dxa"/>
            <w:tcBorders>
              <w:top w:val="single" w:sz="12" w:space="0" w:color="000000"/>
              <w:left w:val="single" w:sz="4" w:space="0" w:color="000000"/>
              <w:bottom w:val="nil" w:sz="6" w:space="0" w:color="auto"/>
              <w:right w:val="nil" w:sz="6" w:space="0" w:color="auto"/>
            </w:tcBorders>
          </w:tcPr>
          <w:p>
            <w:pPr>
              <w:pStyle w:val="TableParagraph"/>
              <w:spacing w:line="240" w:lineRule="auto" w:before="90"/>
              <w:ind w:right="2"/>
              <w:jc w:val="center"/>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481"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启东市汇龙镇华石村土地使用权</w:t>
            </w:r>
          </w:p>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29,829.00 </w:t>
            </w:r>
            <w:r>
              <w:rPr>
                <w:rFonts w:ascii="宋体" w:hAnsi="宋体" w:cs="宋体" w:eastAsia="宋体" w:hint="default"/>
                <w:sz w:val="18"/>
                <w:szCs w:val="18"/>
              </w:rPr>
              <w:t>平方米</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4,526,467.00</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136" w:right="0"/>
              <w:jc w:val="center"/>
              <w:rPr>
                <w:rFonts w:ascii="Times New Roman" w:hAnsi="Times New Roman" w:cs="Times New Roman" w:eastAsia="Times New Roman" w:hint="default"/>
                <w:sz w:val="18"/>
                <w:szCs w:val="18"/>
              </w:rPr>
            </w:pPr>
            <w:r>
              <w:rPr>
                <w:rFonts w:ascii="Times New Roman"/>
                <w:sz w:val="18"/>
              </w:rPr>
              <w:t>3,349,585.78</w:t>
            </w: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135"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17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房产：</w:t>
            </w:r>
            <w:r>
              <w:rPr>
                <w:rFonts w:ascii="宋体" w:hAnsi="宋体" w:cs="宋体" w:eastAsia="宋体" w:hint="default"/>
                <w:sz w:val="18"/>
                <w:szCs w:val="18"/>
              </w:rPr>
            </w:r>
          </w:p>
        </w:tc>
        <w:tc>
          <w:tcPr>
            <w:tcW w:w="1298" w:type="dxa"/>
            <w:tcBorders>
              <w:top w:val="nil" w:sz="6" w:space="0" w:color="auto"/>
              <w:left w:val="single" w:sz="4" w:space="0" w:color="000000"/>
              <w:bottom w:val="nil" w:sz="6" w:space="0" w:color="auto"/>
              <w:right w:val="single" w:sz="4" w:space="0" w:color="000000"/>
            </w:tcBorders>
          </w:tcPr>
          <w:p>
            <w:pPr/>
          </w:p>
        </w:tc>
        <w:tc>
          <w:tcPr>
            <w:tcW w:w="1299"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71" w:hRule="exact"/>
        </w:trPr>
        <w:tc>
          <w:tcPr>
            <w:tcW w:w="285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single" w:sz="4" w:space="0" w:color="000000"/>
            </w:tcBorders>
          </w:tcPr>
          <w:p>
            <w:pPr/>
          </w:p>
        </w:tc>
        <w:tc>
          <w:tcPr>
            <w:tcW w:w="1299"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39" w:hRule="exact"/>
        </w:trPr>
        <w:tc>
          <w:tcPr>
            <w:tcW w:w="285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single" w:sz="4" w:space="0" w:color="000000"/>
            </w:tcBorders>
          </w:tcPr>
          <w:p>
            <w:pPr/>
          </w:p>
        </w:tc>
        <w:tc>
          <w:tcPr>
            <w:tcW w:w="1299"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469"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启东经济开发区林洋路 </w:t>
            </w:r>
            <w:r>
              <w:rPr>
                <w:rFonts w:ascii="Times New Roman" w:hAnsi="Times New Roman" w:cs="Times New Roman" w:eastAsia="Times New Roman" w:hint="default"/>
                <w:sz w:val="18"/>
                <w:szCs w:val="18"/>
              </w:rPr>
              <w:t>666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号电</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表楼</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46,176,575.74</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47" w:right="0"/>
              <w:jc w:val="center"/>
              <w:rPr>
                <w:rFonts w:ascii="Times New Roman" w:hAnsi="Times New Roman" w:cs="Times New Roman" w:eastAsia="Times New Roman" w:hint="default"/>
                <w:sz w:val="18"/>
                <w:szCs w:val="18"/>
              </w:rPr>
            </w:pPr>
            <w:r>
              <w:rPr>
                <w:rFonts w:ascii="Times New Roman"/>
                <w:sz w:val="18"/>
              </w:rPr>
              <w:t>17,248,303.05</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tc>
        <w:tc>
          <w:tcPr>
            <w:tcW w:w="1505" w:type="dxa"/>
            <w:tcBorders>
              <w:top w:val="nil" w:sz="6" w:space="0" w:color="auto"/>
              <w:left w:val="single" w:sz="4" w:space="0" w:color="000000"/>
              <w:bottom w:val="nil" w:sz="6" w:space="0" w:color="auto"/>
              <w:right w:val="nil" w:sz="6" w:space="0" w:color="auto"/>
            </w:tcBorders>
          </w:tcPr>
          <w:p>
            <w:pPr/>
          </w:p>
        </w:tc>
      </w:tr>
      <w:tr>
        <w:trPr>
          <w:trHeight w:val="478"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启东经济开发区林洋路 </w:t>
            </w:r>
            <w:r>
              <w:rPr>
                <w:rFonts w:ascii="Times New Roman" w:hAnsi="Times New Roman" w:cs="Times New Roman" w:eastAsia="Times New Roman" w:hint="default"/>
                <w:sz w:val="18"/>
                <w:szCs w:val="18"/>
              </w:rPr>
              <w:t>666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号行</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政楼</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46,606,508.59</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47" w:right="0"/>
              <w:jc w:val="center"/>
              <w:rPr>
                <w:rFonts w:ascii="Times New Roman" w:hAnsi="Times New Roman" w:cs="Times New Roman" w:eastAsia="Times New Roman" w:hint="default"/>
                <w:sz w:val="18"/>
                <w:szCs w:val="18"/>
              </w:rPr>
            </w:pPr>
            <w:r>
              <w:rPr>
                <w:rFonts w:ascii="Times New Roman"/>
                <w:sz w:val="18"/>
              </w:rPr>
              <w:t>22,428,395.41</w:t>
            </w: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476"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223" w:lineRule="auto"/>
              <w:ind w:left="122" w:right="5"/>
              <w:jc w:val="left"/>
              <w:rPr>
                <w:rFonts w:ascii="宋体" w:hAnsi="宋体" w:cs="宋体" w:eastAsia="宋体" w:hint="default"/>
                <w:sz w:val="18"/>
                <w:szCs w:val="18"/>
              </w:rPr>
            </w:pPr>
            <w:r>
              <w:rPr>
                <w:rFonts w:ascii="宋体" w:hAnsi="宋体" w:cs="宋体" w:eastAsia="宋体" w:hint="default"/>
                <w:sz w:val="18"/>
                <w:szCs w:val="18"/>
              </w:rPr>
              <w:t>启东经济开发区林洋路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666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号生产 车间</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27,141,659.58</w:t>
            </w:r>
          </w:p>
        </w:tc>
        <w:tc>
          <w:tcPr>
            <w:tcW w:w="12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47" w:right="0"/>
              <w:jc w:val="center"/>
              <w:rPr>
                <w:rFonts w:ascii="Times New Roman" w:hAnsi="Times New Roman" w:cs="Times New Roman" w:eastAsia="Times New Roman" w:hint="default"/>
                <w:sz w:val="18"/>
                <w:szCs w:val="18"/>
              </w:rPr>
            </w:pPr>
            <w:r>
              <w:rPr>
                <w:rFonts w:ascii="Times New Roman"/>
                <w:sz w:val="18"/>
              </w:rPr>
              <w:t>16,202,308.55</w:t>
            </w: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249"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光伏电站</w:t>
            </w:r>
            <w:r>
              <w:rPr>
                <w:rFonts w:ascii="宋体" w:hAnsi="宋体" w:cs="宋体" w:eastAsia="宋体" w:hint="default"/>
                <w:sz w:val="18"/>
                <w:szCs w:val="18"/>
              </w:rPr>
              <w:t>：</w:t>
            </w:r>
          </w:p>
        </w:tc>
        <w:tc>
          <w:tcPr>
            <w:tcW w:w="1298" w:type="dxa"/>
            <w:tcBorders>
              <w:top w:val="nil" w:sz="6" w:space="0" w:color="auto"/>
              <w:left w:val="single" w:sz="4" w:space="0" w:color="000000"/>
              <w:bottom w:val="nil" w:sz="6" w:space="0" w:color="auto"/>
              <w:right w:val="single" w:sz="4" w:space="0" w:color="000000"/>
            </w:tcBorders>
          </w:tcPr>
          <w:p>
            <w:pPr/>
          </w:p>
        </w:tc>
        <w:tc>
          <w:tcPr>
            <w:tcW w:w="1299"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483" w:hRule="exact"/>
        </w:trPr>
        <w:tc>
          <w:tcPr>
            <w:tcW w:w="2854" w:type="dxa"/>
            <w:tcBorders>
              <w:top w:val="nil" w:sz="6" w:space="0" w:color="auto"/>
              <w:left w:val="nil" w:sz="6" w:space="0" w:color="auto"/>
              <w:bottom w:val="single" w:sz="12" w:space="0" w:color="000000"/>
              <w:right w:val="single"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金东纸业厂房屋顶一期</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分布</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式光伏发电项目设备</w:t>
            </w:r>
          </w:p>
        </w:tc>
        <w:tc>
          <w:tcPr>
            <w:tcW w:w="12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130,754,110.8</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0</w:t>
            </w:r>
          </w:p>
        </w:tc>
        <w:tc>
          <w:tcPr>
            <w:tcW w:w="12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114,290,943.1</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9</w:t>
            </w:r>
          </w:p>
        </w:tc>
        <w:tc>
          <w:tcPr>
            <w:tcW w:w="11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left="208" w:right="0"/>
              <w:jc w:val="left"/>
              <w:rPr>
                <w:rFonts w:ascii="Times New Roman" w:hAnsi="Times New Roman" w:cs="Times New Roman" w:eastAsia="Times New Roman" w:hint="default"/>
                <w:sz w:val="18"/>
                <w:szCs w:val="18"/>
              </w:rPr>
            </w:pPr>
            <w:r>
              <w:rPr>
                <w:rFonts w:ascii="Times New Roman"/>
                <w:sz w:val="18"/>
              </w:rPr>
              <w:t>12,000.00</w:t>
            </w:r>
          </w:p>
        </w:tc>
        <w:tc>
          <w:tcPr>
            <w:tcW w:w="9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left="158" w:right="0"/>
              <w:jc w:val="left"/>
              <w:rPr>
                <w:rFonts w:ascii="Times New Roman" w:hAnsi="Times New Roman" w:cs="Times New Roman" w:eastAsia="Times New Roman" w:hint="default"/>
                <w:sz w:val="18"/>
                <w:szCs w:val="18"/>
              </w:rPr>
            </w:pPr>
            <w:r>
              <w:rPr>
                <w:rFonts w:ascii="Times New Roman"/>
                <w:sz w:val="18"/>
              </w:rPr>
              <w:t>6,525.00</w:t>
            </w:r>
          </w:p>
        </w:tc>
        <w:tc>
          <w:tcPr>
            <w:tcW w:w="150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2016.3-2026.3</w:t>
            </w:r>
          </w:p>
        </w:tc>
      </w:tr>
    </w:tbl>
    <w:p>
      <w:pPr>
        <w:pStyle w:val="BodyText"/>
        <w:spacing w:line="350" w:lineRule="auto" w:before="74"/>
        <w:ind w:left="975" w:right="0"/>
        <w:jc w:val="left"/>
      </w:pPr>
      <w:r>
        <w:rPr/>
        <w:pict>
          <v:group style="position:absolute;margin-left:82.823997pt;margin-top:-85.226334pt;width:271.650pt;height:.5pt;mso-position-horizontal-relative:page;mso-position-vertical-relative:paragraph;z-index:-1111408" coordorigin="1656,-1705" coordsize="5433,10">
            <v:shape style="position:absolute;left:1656;top:-1705;width:4133;height:10" type="#_x0000_t75" stroked="false">
              <v:imagedata r:id="rId143" o:title=""/>
            </v:shape>
            <v:shape style="position:absolute;left:5785;top:-1705;width:1304;height:10" type="#_x0000_t75" stroked="false">
              <v:imagedata r:id="rId137" o:title=""/>
            </v:shape>
            <w10:wrap type="none"/>
          </v:group>
        </w:pict>
      </w:r>
      <w:r>
        <w:rPr/>
        <w:pict>
          <v:group style="position:absolute;margin-left:82.823997pt;margin-top:-61.346329pt;width:271.650pt;height:.5pt;mso-position-horizontal-relative:page;mso-position-vertical-relative:paragraph;z-index:-1111384" coordorigin="1656,-1227" coordsize="5433,10">
            <v:shape style="position:absolute;left:1656;top:-1227;width:4133;height:10" type="#_x0000_t75" stroked="false">
              <v:imagedata r:id="rId143" o:title=""/>
            </v:shape>
            <v:shape style="position:absolute;left:5785;top:-1227;width:1304;height:10" type="#_x0000_t75" stroked="false">
              <v:imagedata r:id="rId137" o:title=""/>
            </v:shape>
            <w10:wrap type="none"/>
          </v:group>
        </w:pict>
      </w:r>
      <w:r>
        <w:rPr/>
        <w:pict>
          <v:group style="position:absolute;margin-left:82.823997pt;margin-top:-37.466389pt;width:452.5pt;height:.5pt;mso-position-horizontal-relative:page;mso-position-vertical-relative:paragraph;z-index:-1111360" coordorigin="1656,-749" coordsize="9050,10">
            <v:shape style="position:absolute;left:1656;top:-749;width:4133;height:10" type="#_x0000_t75" stroked="false">
              <v:imagedata r:id="rId143" o:title=""/>
            </v:shape>
            <v:shape style="position:absolute;left:5785;top:-749;width:1304;height:10" type="#_x0000_t75" stroked="false">
              <v:imagedata r:id="rId145" o:title=""/>
            </v:shape>
            <v:shape style="position:absolute;left:7084;top:-749;width:2113;height:10" type="#_x0000_t75" stroked="false">
              <v:imagedata r:id="rId146" o:title=""/>
            </v:shape>
            <v:shape style="position:absolute;left:9192;top:-749;width:1514;height:10" type="#_x0000_t75" stroked="false">
              <v:imagedata r:id="rId147" o:title=""/>
            </v:shape>
            <w10:wrap type="none"/>
          </v:group>
        </w:pict>
      </w:r>
      <w:r>
        <w:rPr/>
        <w:pict>
          <v:group style="position:absolute;margin-left:82.823997pt;margin-top:-30.266371pt;width:452.5pt;height:5.4pt;mso-position-horizontal-relative:page;mso-position-vertical-relative:paragraph;z-index:-1111336" coordorigin="1656,-605" coordsize="9050,108">
            <v:shape style="position:absolute;left:1656;top:-605;width:2854;height:108" type="#_x0000_t75" stroked="false">
              <v:imagedata r:id="rId148" o:title=""/>
            </v:shape>
            <v:shape style="position:absolute;left:4487;top:-509;width:1313;height:12" type="#_x0000_t75" stroked="false">
              <v:imagedata r:id="rId149" o:title=""/>
            </v:shape>
            <v:shape style="position:absolute;left:5785;top:-509;width:1313;height:12" type="#_x0000_t75" stroked="false">
              <v:imagedata r:id="rId149" o:title=""/>
            </v:shape>
            <v:shape style="position:absolute;left:7084;top:-509;width:1164;height:12" type="#_x0000_t75" stroked="false">
              <v:imagedata r:id="rId150" o:title=""/>
            </v:shape>
            <v:shape style="position:absolute;left:8233;top:-509;width:973;height:12" type="#_x0000_t75" stroked="false">
              <v:imagedata r:id="rId151" o:title=""/>
            </v:shape>
            <v:shape style="position:absolute;left:9192;top:-507;width:1514;height:10" type="#_x0000_t75" stroked="false">
              <v:imagedata r:id="rId140" o:title=""/>
            </v:shape>
            <w10:wrap type="none"/>
          </v:group>
        </w:pict>
      </w:r>
      <w:r>
        <w:rPr/>
        <w:pict>
          <v:shape style="position:absolute;margin-left:90.264pt;margin-top:40.083649pt;width:440.25pt;height:357.65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5"/>
                    <w:gridCol w:w="1585"/>
                    <w:gridCol w:w="1332"/>
                    <w:gridCol w:w="1267"/>
                    <w:gridCol w:w="1138"/>
                    <w:gridCol w:w="1558"/>
                  </w:tblGrid>
                  <w:tr>
                    <w:trPr>
                      <w:trHeight w:val="485" w:hRule="exact"/>
                    </w:trPr>
                    <w:tc>
                      <w:tcPr>
                        <w:tcW w:w="1925"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其他质押资产名称</w:t>
                        </w:r>
                      </w:p>
                    </w:tc>
                    <w:tc>
                      <w:tcPr>
                        <w:tcW w:w="15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42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32"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评估价值（万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67"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103" w:right="0" w:firstLine="74"/>
                          <w:jc w:val="left"/>
                          <w:rPr>
                            <w:rFonts w:ascii="宋体" w:hAnsi="宋体" w:cs="宋体" w:eastAsia="宋体" w:hint="default"/>
                            <w:sz w:val="18"/>
                            <w:szCs w:val="18"/>
                          </w:rPr>
                        </w:pPr>
                        <w:r>
                          <w:rPr>
                            <w:rFonts w:ascii="宋体" w:hAnsi="宋体" w:cs="宋体" w:eastAsia="宋体" w:hint="default"/>
                            <w:sz w:val="18"/>
                            <w:szCs w:val="18"/>
                          </w:rPr>
                          <w:t>最高额授信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1138"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201" w:right="0"/>
                          <w:jc w:val="left"/>
                          <w:rPr>
                            <w:rFonts w:ascii="宋体" w:hAnsi="宋体" w:cs="宋体" w:eastAsia="宋体" w:hint="default"/>
                            <w:sz w:val="18"/>
                            <w:szCs w:val="18"/>
                          </w:rPr>
                        </w:pPr>
                        <w:r>
                          <w:rPr>
                            <w:rFonts w:ascii="宋体" w:hAnsi="宋体" w:cs="宋体" w:eastAsia="宋体" w:hint="default"/>
                            <w:sz w:val="18"/>
                            <w:szCs w:val="18"/>
                          </w:rPr>
                          <w:t>贷款余额</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58"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372"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204"/>
                          <w:jc w:val="left"/>
                          <w:rPr>
                            <w:rFonts w:ascii="宋体" w:hAnsi="宋体" w:cs="宋体" w:eastAsia="宋体" w:hint="default"/>
                            <w:sz w:val="18"/>
                            <w:szCs w:val="18"/>
                          </w:rPr>
                        </w:pPr>
                        <w:r>
                          <w:rPr>
                            <w:rFonts w:ascii="宋体" w:hAnsi="宋体" w:cs="宋体" w:eastAsia="宋体" w:hint="default"/>
                            <w:sz w:val="18"/>
                            <w:szCs w:val="18"/>
                          </w:rPr>
                          <w:t>乾华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光伏发 电项目电费收费权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101" w:right="211"/>
                          <w:jc w:val="left"/>
                          <w:rPr>
                            <w:rFonts w:ascii="宋体" w:hAnsi="宋体" w:cs="宋体" w:eastAsia="宋体" w:hint="default"/>
                            <w:sz w:val="18"/>
                            <w:szCs w:val="18"/>
                          </w:rPr>
                        </w:pPr>
                        <w:r>
                          <w:rPr>
                            <w:rFonts w:ascii="宋体" w:hAnsi="宋体" w:cs="宋体" w:eastAsia="宋体" w:hint="default"/>
                            <w:sz w:val="18"/>
                            <w:szCs w:val="18"/>
                          </w:rPr>
                          <w:t>内蒙古乾华农业 发展有限公司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337,702.50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60,000.00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42,600.00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2015.9-2023.9</w:t>
                        </w:r>
                      </w:p>
                    </w:tc>
                  </w:tr>
                  <w:tr>
                    <w:trPr>
                      <w:trHeight w:val="106" w:hRule="exact"/>
                    </w:trPr>
                    <w:tc>
                      <w:tcPr>
                        <w:tcW w:w="192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476"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75"/>
                          <w:jc w:val="left"/>
                          <w:rPr>
                            <w:rFonts w:ascii="宋体" w:hAnsi="宋体" w:cs="宋体" w:eastAsia="宋体" w:hint="default"/>
                            <w:sz w:val="18"/>
                            <w:szCs w:val="18"/>
                          </w:rPr>
                        </w:pPr>
                        <w:r>
                          <w:rPr>
                            <w:rFonts w:ascii="宋体" w:hAnsi="宋体" w:cs="宋体" w:eastAsia="宋体" w:hint="default"/>
                            <w:sz w:val="18"/>
                            <w:szCs w:val="18"/>
                          </w:rPr>
                          <w:t>中国工商银行银行定 期存单</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101" w:right="211"/>
                          <w:jc w:val="left"/>
                          <w:rPr>
                            <w:rFonts w:ascii="宋体" w:hAnsi="宋体" w:cs="宋体" w:eastAsia="宋体" w:hint="default"/>
                            <w:sz w:val="18"/>
                            <w:szCs w:val="18"/>
                          </w:rPr>
                        </w:pPr>
                        <w:r>
                          <w:rPr>
                            <w:rFonts w:ascii="宋体" w:hAnsi="宋体" w:cs="宋体" w:eastAsia="宋体" w:hint="default"/>
                            <w:sz w:val="18"/>
                            <w:szCs w:val="18"/>
                          </w:rPr>
                          <w:t>内蒙古乾华农业 发展有限公司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5"/>
                            <w:sz w:val="18"/>
                          </w:rPr>
                          <w:t>3,500.00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w w:val="95"/>
                            <w:sz w:val="18"/>
                          </w:rPr>
                          <w:t>3,500.00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5"/>
                            <w:sz w:val="18"/>
                          </w:rPr>
                          <w:t>3,000.00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2017.1-2020.1</w:t>
                        </w:r>
                      </w:p>
                    </w:tc>
                  </w:tr>
                  <w:tr>
                    <w:trPr>
                      <w:trHeight w:val="710"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17"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灵璧浍沟凤山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20MW</w:t>
                        </w:r>
                      </w:p>
                      <w:p>
                        <w:pPr>
                          <w:pStyle w:val="TableParagraph"/>
                          <w:spacing w:line="236" w:lineRule="exact" w:before="13"/>
                          <w:ind w:left="122" w:right="175"/>
                          <w:jc w:val="left"/>
                          <w:rPr>
                            <w:rFonts w:ascii="宋体" w:hAnsi="宋体" w:cs="宋体" w:eastAsia="宋体" w:hint="default"/>
                            <w:sz w:val="18"/>
                            <w:szCs w:val="18"/>
                          </w:rPr>
                        </w:pPr>
                        <w:r>
                          <w:rPr>
                            <w:rFonts w:ascii="宋体" w:hAnsi="宋体" w:cs="宋体" w:eastAsia="宋体" w:hint="default"/>
                            <w:sz w:val="18"/>
                            <w:szCs w:val="18"/>
                          </w:rPr>
                          <w:t>地面分布式光伏发电 项目电费收费权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8"/>
                          <w:ind w:left="101" w:right="211"/>
                          <w:jc w:val="left"/>
                          <w:rPr>
                            <w:rFonts w:ascii="宋体" w:hAnsi="宋体" w:cs="宋体" w:eastAsia="宋体" w:hint="default"/>
                            <w:sz w:val="18"/>
                            <w:szCs w:val="18"/>
                          </w:rPr>
                        </w:pPr>
                        <w:r>
                          <w:rPr>
                            <w:rFonts w:ascii="宋体" w:hAnsi="宋体" w:cs="宋体" w:eastAsia="宋体" w:hint="default"/>
                            <w:sz w:val="18"/>
                            <w:szCs w:val="18"/>
                          </w:rPr>
                          <w:t>灵璧华浍新能源 科技有限公司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19,559.00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9,255.00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2016.12-2027.1</w:t>
                        </w:r>
                      </w:p>
                    </w:tc>
                  </w:tr>
                  <w:tr>
                    <w:trPr>
                      <w:trHeight w:val="711"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25" w:lineRule="auto"/>
                          <w:ind w:left="122" w:right="115"/>
                          <w:jc w:val="left"/>
                          <w:rPr>
                            <w:rFonts w:ascii="宋体" w:hAnsi="宋体" w:cs="宋体" w:eastAsia="宋体" w:hint="default"/>
                            <w:sz w:val="18"/>
                            <w:szCs w:val="18"/>
                          </w:rPr>
                        </w:pPr>
                        <w:r>
                          <w:rPr>
                            <w:rFonts w:ascii="宋体" w:hAnsi="宋体" w:cs="宋体" w:eastAsia="宋体" w:hint="default"/>
                            <w:sz w:val="18"/>
                            <w:szCs w:val="18"/>
                          </w:rPr>
                          <w:t>灵璧浍沟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 分布式光伏发电项目</w:t>
                        </w:r>
                      </w:p>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电费收费权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8"/>
                          <w:ind w:left="101" w:right="211"/>
                          <w:jc w:val="left"/>
                          <w:rPr>
                            <w:rFonts w:ascii="宋体" w:hAnsi="宋体" w:cs="宋体" w:eastAsia="宋体" w:hint="default"/>
                            <w:sz w:val="18"/>
                            <w:szCs w:val="18"/>
                          </w:rPr>
                        </w:pPr>
                        <w:r>
                          <w:rPr>
                            <w:rFonts w:ascii="宋体" w:hAnsi="宋体" w:cs="宋体" w:eastAsia="宋体" w:hint="default"/>
                            <w:sz w:val="18"/>
                            <w:szCs w:val="18"/>
                          </w:rPr>
                          <w:t>灵璧灵阳新能源 科技有限公司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20,225.00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8,905.00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2016.12-2027.1</w:t>
                        </w:r>
                      </w:p>
                    </w:tc>
                  </w:tr>
                  <w:tr>
                    <w:trPr>
                      <w:trHeight w:val="943"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阜阳市颖东区新乌江</w:t>
                        </w:r>
                      </w:p>
                      <w:p>
                        <w:pPr>
                          <w:pStyle w:val="TableParagraph"/>
                          <w:spacing w:line="232" w:lineRule="auto" w:before="5"/>
                          <w:ind w:left="122" w:right="115"/>
                          <w:jc w:val="left"/>
                          <w:rPr>
                            <w:rFonts w:ascii="宋体" w:hAnsi="宋体" w:cs="宋体" w:eastAsia="宋体" w:hint="default"/>
                            <w:sz w:val="18"/>
                            <w:szCs w:val="18"/>
                          </w:rPr>
                        </w:pPr>
                        <w:r>
                          <w:rPr>
                            <w:rFonts w:ascii="宋体" w:hAnsi="宋体" w:cs="宋体" w:eastAsia="宋体" w:hint="default"/>
                            <w:sz w:val="18"/>
                            <w:szCs w:val="18"/>
                          </w:rPr>
                          <w:t>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农光互补分 布式光伏发电项目电 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8"/>
                          <w:ind w:left="101" w:right="211"/>
                          <w:jc w:val="both"/>
                          <w:rPr>
                            <w:rFonts w:ascii="宋体" w:hAnsi="宋体" w:cs="宋体" w:eastAsia="宋体" w:hint="default"/>
                            <w:sz w:val="18"/>
                            <w:szCs w:val="18"/>
                          </w:rPr>
                        </w:pPr>
                        <w:r>
                          <w:rPr>
                            <w:rFonts w:ascii="宋体" w:hAnsi="宋体" w:cs="宋体" w:eastAsia="宋体" w:hint="default"/>
                            <w:sz w:val="18"/>
                            <w:szCs w:val="18"/>
                          </w:rPr>
                          <w:t>阜阳永明农业太 阳能发电有限公 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19,892.00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w w:val="95"/>
                            <w:sz w:val="18"/>
                          </w:rPr>
                          <w:t>8,900.00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3"/>
                          <w:jc w:val="right"/>
                          <w:rPr>
                            <w:rFonts w:ascii="Times New Roman" w:hAnsi="Times New Roman" w:cs="Times New Roman" w:eastAsia="Times New Roman" w:hint="default"/>
                            <w:sz w:val="18"/>
                            <w:szCs w:val="18"/>
                          </w:rPr>
                        </w:pPr>
                        <w:r>
                          <w:rPr>
                            <w:rFonts w:ascii="Times New Roman"/>
                            <w:w w:val="95"/>
                            <w:sz w:val="18"/>
                          </w:rPr>
                          <w:t>7,820.00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
                          <w:jc w:val="center"/>
                          <w:rPr>
                            <w:rFonts w:ascii="Times New Roman" w:hAnsi="Times New Roman" w:cs="Times New Roman" w:eastAsia="Times New Roman" w:hint="default"/>
                            <w:sz w:val="18"/>
                            <w:szCs w:val="18"/>
                          </w:rPr>
                        </w:pPr>
                        <w:r>
                          <w:rPr>
                            <w:rFonts w:ascii="Times New Roman"/>
                            <w:sz w:val="18"/>
                          </w:rPr>
                          <w:t>2016.12-2026.11</w:t>
                        </w:r>
                      </w:p>
                    </w:tc>
                  </w:tr>
                  <w:tr>
                    <w:trPr>
                      <w:trHeight w:val="944"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阜阳市颖泉区伍明镇</w:t>
                        </w:r>
                      </w:p>
                      <w:p>
                        <w:pPr>
                          <w:pStyle w:val="TableParagraph"/>
                          <w:spacing w:line="232" w:lineRule="exact" w:before="24"/>
                          <w:ind w:left="122" w:right="115"/>
                          <w:jc w:val="left"/>
                          <w:rPr>
                            <w:rFonts w:ascii="宋体" w:hAnsi="宋体" w:cs="宋体" w:eastAsia="宋体" w:hint="default"/>
                            <w:sz w:val="18"/>
                            <w:szCs w:val="18"/>
                          </w:rPr>
                        </w:pPr>
                        <w:r>
                          <w:rPr>
                            <w:rFonts w:ascii="宋体" w:hAnsi="宋体" w:cs="宋体" w:eastAsia="宋体" w:hint="default"/>
                            <w:sz w:val="18"/>
                            <w:szCs w:val="18"/>
                          </w:rPr>
                          <w:t>梁营村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农光互 补分布式光伏发电项 目电费收费权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101" w:right="211"/>
                          <w:jc w:val="left"/>
                          <w:rPr>
                            <w:rFonts w:ascii="宋体" w:hAnsi="宋体" w:cs="宋体" w:eastAsia="宋体" w:hint="default"/>
                            <w:sz w:val="18"/>
                            <w:szCs w:val="18"/>
                          </w:rPr>
                        </w:pPr>
                        <w:r>
                          <w:rPr>
                            <w:rFonts w:ascii="宋体" w:hAnsi="宋体" w:cs="宋体" w:eastAsia="宋体" w:hint="default"/>
                            <w:sz w:val="18"/>
                            <w:szCs w:val="18"/>
                          </w:rPr>
                          <w:t>阜阳金明太阳能 发电有限公司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1"/>
                            <w:sz w:val="18"/>
                          </w:rPr>
                          <w:t>23,078.00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1"/>
                            <w:sz w:val="18"/>
                          </w:rPr>
                          <w:t>19,900.00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3"/>
                          <w:jc w:val="right"/>
                          <w:rPr>
                            <w:rFonts w:ascii="Times New Roman" w:hAnsi="Times New Roman" w:cs="Times New Roman" w:eastAsia="Times New Roman" w:hint="default"/>
                            <w:sz w:val="18"/>
                            <w:szCs w:val="18"/>
                          </w:rPr>
                        </w:pPr>
                        <w:r>
                          <w:rPr>
                            <w:rFonts w:ascii="Times New Roman"/>
                            <w:spacing w:val="-1"/>
                            <w:sz w:val="18"/>
                          </w:rPr>
                          <w:t>17,790.00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
                          <w:jc w:val="center"/>
                          <w:rPr>
                            <w:rFonts w:ascii="Times New Roman" w:hAnsi="Times New Roman" w:cs="Times New Roman" w:eastAsia="Times New Roman" w:hint="default"/>
                            <w:sz w:val="18"/>
                            <w:szCs w:val="18"/>
                          </w:rPr>
                        </w:pPr>
                        <w:r>
                          <w:rPr>
                            <w:rFonts w:ascii="Times New Roman"/>
                            <w:sz w:val="18"/>
                          </w:rPr>
                          <w:t>2016.12-2026.11</w:t>
                        </w:r>
                      </w:p>
                    </w:tc>
                  </w:tr>
                  <w:tr>
                    <w:trPr>
                      <w:trHeight w:val="710"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15"/>
                          <w:jc w:val="left"/>
                          <w:rPr>
                            <w:rFonts w:ascii="宋体" w:hAnsi="宋体" w:cs="宋体" w:eastAsia="宋体" w:hint="default"/>
                            <w:sz w:val="18"/>
                            <w:szCs w:val="18"/>
                          </w:rPr>
                        </w:pPr>
                        <w:r>
                          <w:rPr>
                            <w:rFonts w:ascii="宋体" w:hAnsi="宋体" w:cs="宋体" w:eastAsia="宋体" w:hint="default"/>
                            <w:sz w:val="18"/>
                            <w:szCs w:val="18"/>
                          </w:rPr>
                          <w:t>萧县西瓣山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 面分布式光伏发电项 目电费收费权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01" w:right="211"/>
                          <w:jc w:val="left"/>
                          <w:rPr>
                            <w:rFonts w:ascii="宋体" w:hAnsi="宋体" w:cs="宋体" w:eastAsia="宋体" w:hint="default"/>
                            <w:sz w:val="18"/>
                            <w:szCs w:val="18"/>
                          </w:rPr>
                        </w:pPr>
                        <w:r>
                          <w:rPr>
                            <w:rFonts w:ascii="宋体" w:hAnsi="宋体" w:cs="宋体" w:eastAsia="宋体" w:hint="default"/>
                            <w:sz w:val="18"/>
                            <w:szCs w:val="18"/>
                          </w:rPr>
                          <w:t>萧县裕晟新能源 科技有限公司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20,225.00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9,930.00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2017.4-2027.4</w:t>
                        </w:r>
                      </w:p>
                    </w:tc>
                  </w:tr>
                  <w:tr>
                    <w:trPr>
                      <w:trHeight w:val="711"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颍上耿棚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农光</w:t>
                        </w:r>
                      </w:p>
                      <w:p>
                        <w:pPr>
                          <w:pStyle w:val="TableParagraph"/>
                          <w:spacing w:line="232" w:lineRule="exact" w:before="16"/>
                          <w:ind w:left="122" w:right="175"/>
                          <w:jc w:val="left"/>
                          <w:rPr>
                            <w:rFonts w:ascii="宋体" w:hAnsi="宋体" w:cs="宋体" w:eastAsia="宋体" w:hint="default"/>
                            <w:sz w:val="18"/>
                            <w:szCs w:val="18"/>
                          </w:rPr>
                        </w:pPr>
                        <w:r>
                          <w:rPr>
                            <w:rFonts w:ascii="宋体" w:hAnsi="宋体" w:cs="宋体" w:eastAsia="宋体" w:hint="default"/>
                            <w:sz w:val="18"/>
                            <w:szCs w:val="18"/>
                          </w:rPr>
                          <w:t>互补分布式光伏发电 项目电费收费权</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7"/>
                          <w:ind w:left="101" w:right="211"/>
                          <w:jc w:val="left"/>
                          <w:rPr>
                            <w:rFonts w:ascii="宋体" w:hAnsi="宋体" w:cs="宋体" w:eastAsia="宋体" w:hint="default"/>
                            <w:sz w:val="18"/>
                            <w:szCs w:val="18"/>
                          </w:rPr>
                        </w:pPr>
                        <w:r>
                          <w:rPr>
                            <w:rFonts w:ascii="宋体" w:hAnsi="宋体" w:cs="宋体" w:eastAsia="宋体" w:hint="default"/>
                            <w:sz w:val="18"/>
                            <w:szCs w:val="18"/>
                          </w:rPr>
                          <w:t>颍上永阳新能源 科技有限公司</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30,217.00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4,060.00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9"/>
                          <w:jc w:val="center"/>
                          <w:rPr>
                            <w:rFonts w:ascii="Times New Roman" w:hAnsi="Times New Roman" w:cs="Times New Roman" w:eastAsia="Times New Roman" w:hint="default"/>
                            <w:sz w:val="18"/>
                            <w:szCs w:val="18"/>
                          </w:rPr>
                        </w:pPr>
                        <w:r>
                          <w:rPr>
                            <w:rFonts w:ascii="Times New Roman"/>
                            <w:sz w:val="18"/>
                          </w:rPr>
                          <w:t>2017.8-2023.8</w:t>
                        </w:r>
                      </w:p>
                    </w:tc>
                  </w:tr>
                  <w:tr>
                    <w:trPr>
                      <w:trHeight w:val="955" w:hRule="exact"/>
                    </w:trPr>
                    <w:tc>
                      <w:tcPr>
                        <w:tcW w:w="1925" w:type="dxa"/>
                        <w:tcBorders>
                          <w:top w:val="nil" w:sz="6" w:space="0" w:color="auto"/>
                          <w:left w:val="nil" w:sz="6" w:space="0" w:color="auto"/>
                          <w:bottom w:val="single" w:sz="12" w:space="0" w:color="000000"/>
                          <w:right w:val="single" w:sz="4" w:space="0" w:color="000000"/>
                        </w:tcBorders>
                      </w:tcPr>
                      <w:p>
                        <w:pPr>
                          <w:pStyle w:val="TableParagraph"/>
                          <w:spacing w:line="232" w:lineRule="exact" w:before="1"/>
                          <w:ind w:left="122" w:right="175"/>
                          <w:jc w:val="both"/>
                          <w:rPr>
                            <w:rFonts w:ascii="宋体" w:hAnsi="宋体" w:cs="宋体" w:eastAsia="宋体" w:hint="default"/>
                            <w:sz w:val="18"/>
                            <w:szCs w:val="18"/>
                          </w:rPr>
                        </w:pPr>
                        <w:r>
                          <w:rPr>
                            <w:rFonts w:ascii="宋体" w:hAnsi="宋体" w:cs="宋体" w:eastAsia="宋体" w:hint="default"/>
                            <w:sz w:val="18"/>
                            <w:szCs w:val="18"/>
                          </w:rPr>
                          <w:t>江苏林洋新能源科技 有限公司享有的江苏 昆瑞新能源有限公司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1" w:right="211"/>
                          <w:jc w:val="left"/>
                          <w:rPr>
                            <w:rFonts w:ascii="宋体" w:hAnsi="宋体" w:cs="宋体" w:eastAsia="宋体" w:hint="default"/>
                            <w:sz w:val="18"/>
                            <w:szCs w:val="18"/>
                          </w:rPr>
                        </w:pPr>
                        <w:r>
                          <w:rPr>
                            <w:rFonts w:ascii="宋体" w:hAnsi="宋体" w:cs="宋体" w:eastAsia="宋体" w:hint="default"/>
                            <w:sz w:val="18"/>
                            <w:szCs w:val="18"/>
                          </w:rPr>
                          <w:t>江苏昆瑞新能源 有限公司</w:t>
                        </w:r>
                      </w:p>
                    </w:tc>
                    <w:tc>
                      <w:tcPr>
                        <w:tcW w:w="133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16,882.00</w:t>
                        </w:r>
                      </w:p>
                    </w:tc>
                    <w:tc>
                      <w:tcPr>
                        <w:tcW w:w="126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113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5"/>
                            <w:sz w:val="18"/>
                          </w:rPr>
                          <w:t>6,525.00</w:t>
                        </w:r>
                      </w:p>
                    </w:tc>
                    <w:tc>
                      <w:tcPr>
                        <w:tcW w:w="1558"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2016.3-2026.3</w:t>
                        </w:r>
                      </w:p>
                    </w:tc>
                  </w:tr>
                </w:tbl>
                <w:p>
                  <w:pPr/>
                </w:p>
              </w:txbxContent>
            </v:textbox>
            <w10:wrap type="none"/>
          </v:shape>
        </w:pict>
      </w:r>
      <w:r>
        <w:rPr>
          <w:rFonts w:ascii="宋体" w:hAnsi="宋体" w:cs="宋体" w:eastAsia="宋体" w:hint="default"/>
          <w:spacing w:val="-7"/>
        </w:rPr>
        <w:t>2</w:t>
      </w:r>
      <w:r>
        <w:rPr>
          <w:spacing w:val="-7"/>
        </w:rPr>
        <w:t>、截至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日，公司以下列其他资产质押给银行，为取得银行最高额授信作</w:t>
      </w:r>
      <w:r>
        <w:rPr>
          <w:spacing w:val="-101"/>
        </w:rPr>
        <w:t> </w:t>
      </w:r>
      <w:r>
        <w:rPr>
          <w:spacing w:val="-101"/>
        </w:rPr>
      </w:r>
      <w:r>
        <w:rPr/>
        <w:t>担保：</w:t>
      </w:r>
    </w:p>
    <w:p>
      <w:pPr>
        <w:tabs>
          <w:tab w:pos="3769" w:val="left" w:leader="none"/>
          <w:tab w:pos="5102" w:val="left" w:leader="none"/>
          <w:tab w:pos="6369" w:val="left" w:leader="none"/>
          <w:tab w:pos="7507" w:val="left" w:leader="none"/>
        </w:tabs>
        <w:spacing w:line="20" w:lineRule="exact"/>
        <w:ind w:left="2185" w:right="0" w:firstLine="0"/>
        <w:rPr>
          <w:rFonts w:ascii="宋体" w:hAnsi="宋体" w:cs="宋体" w:eastAsia="宋体" w:hint="default"/>
          <w:sz w:val="2"/>
          <w:szCs w:val="2"/>
        </w:rPr>
      </w:pPr>
      <w:r>
        <w:rPr>
          <w:rFonts w:ascii="宋体"/>
          <w:sz w:val="2"/>
        </w:rPr>
        <w:drawing>
          <wp:inline distT="0" distB="0" distL="0" distR="0">
            <wp:extent cx="6092" cy="1524"/>
            <wp:effectExtent l="0" t="0" r="0" b="0"/>
            <wp:docPr id="35" name="image68.png" descr=""/>
            <wp:cNvGraphicFramePr>
              <a:graphicFrameLocks noChangeAspect="1"/>
            </wp:cNvGraphicFramePr>
            <a:graphic>
              <a:graphicData uri="http://schemas.openxmlformats.org/drawingml/2006/picture">
                <pic:pic>
                  <pic:nvPicPr>
                    <pic:cNvPr id="36" name="image68.png"/>
                    <pic:cNvPicPr/>
                  </pic:nvPicPr>
                  <pic:blipFill>
                    <a:blip r:embed="rId144" cstate="print"/>
                    <a:stretch>
                      <a:fillRect/>
                    </a:stretch>
                  </pic:blipFill>
                  <pic:spPr>
                    <a:xfrm>
                      <a:off x="0" y="0"/>
                      <a:ext cx="6092"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2" cy="1524"/>
            <wp:effectExtent l="0" t="0" r="0" b="0"/>
            <wp:docPr id="37" name="image68.png" descr=""/>
            <wp:cNvGraphicFramePr>
              <a:graphicFrameLocks noChangeAspect="1"/>
            </wp:cNvGraphicFramePr>
            <a:graphic>
              <a:graphicData uri="http://schemas.openxmlformats.org/drawingml/2006/picture">
                <pic:pic>
                  <pic:nvPicPr>
                    <pic:cNvPr id="38" name="image68.png"/>
                    <pic:cNvPicPr/>
                  </pic:nvPicPr>
                  <pic:blipFill>
                    <a:blip r:embed="rId144" cstate="print"/>
                    <a:stretch>
                      <a:fillRect/>
                    </a:stretch>
                  </pic:blipFill>
                  <pic:spPr>
                    <a:xfrm>
                      <a:off x="0" y="0"/>
                      <a:ext cx="6092"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3" cy="1524"/>
            <wp:effectExtent l="0" t="0" r="0" b="0"/>
            <wp:docPr id="39" name="image68.png" descr=""/>
            <wp:cNvGraphicFramePr>
              <a:graphicFrameLocks noChangeAspect="1"/>
            </wp:cNvGraphicFramePr>
            <a:graphic>
              <a:graphicData uri="http://schemas.openxmlformats.org/drawingml/2006/picture">
                <pic:pic>
                  <pic:nvPicPr>
                    <pic:cNvPr id="40" name="image68.png"/>
                    <pic:cNvPicPr/>
                  </pic:nvPicPr>
                  <pic:blipFill>
                    <a:blip r:embed="rId144" cstate="print"/>
                    <a:stretch>
                      <a:fillRect/>
                    </a:stretch>
                  </pic:blipFill>
                  <pic:spPr>
                    <a:xfrm>
                      <a:off x="0" y="0"/>
                      <a:ext cx="6093"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3" cy="1524"/>
            <wp:effectExtent l="0" t="0" r="0" b="0"/>
            <wp:docPr id="41" name="image68.png" descr=""/>
            <wp:cNvGraphicFramePr>
              <a:graphicFrameLocks noChangeAspect="1"/>
            </wp:cNvGraphicFramePr>
            <a:graphic>
              <a:graphicData uri="http://schemas.openxmlformats.org/drawingml/2006/picture">
                <pic:pic>
                  <pic:nvPicPr>
                    <pic:cNvPr id="42" name="image68.png"/>
                    <pic:cNvPicPr/>
                  </pic:nvPicPr>
                  <pic:blipFill>
                    <a:blip r:embed="rId144" cstate="print"/>
                    <a:stretch>
                      <a:fillRect/>
                    </a:stretch>
                  </pic:blipFill>
                  <pic:spPr>
                    <a:xfrm>
                      <a:off x="0" y="0"/>
                      <a:ext cx="6093"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2" cy="1524"/>
            <wp:effectExtent l="0" t="0" r="0" b="0"/>
            <wp:docPr id="43" name="image68.png" descr=""/>
            <wp:cNvGraphicFramePr>
              <a:graphicFrameLocks noChangeAspect="1"/>
            </wp:cNvGraphicFramePr>
            <a:graphic>
              <a:graphicData uri="http://schemas.openxmlformats.org/drawingml/2006/picture">
                <pic:pic>
                  <pic:nvPicPr>
                    <pic:cNvPr id="44" name="image68.png"/>
                    <pic:cNvPicPr/>
                  </pic:nvPicPr>
                  <pic:blipFill>
                    <a:blip r:embed="rId144" cstate="print"/>
                    <a:stretch>
                      <a:fillRect/>
                    </a:stretch>
                  </pic:blipFill>
                  <pic:spPr>
                    <a:xfrm>
                      <a:off x="0" y="0"/>
                      <a:ext cx="6092"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53" o:title=""/>
            </v:shape>
            <v:shape style="position:absolute;left:7223;top:0;width:1567;height:10" type="#_x0000_t75" stroked="false">
              <v:imagedata r:id="rId154" o:title=""/>
            </v:shape>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line="110" w:lineRule="exact"/>
        <w:ind w:left="279"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39.55pt;height:5.55pt;mso-position-horizontal-relative:char;mso-position-vertical-relative:line" coordorigin="0,0" coordsize="8791,111">
            <v:shape style="position:absolute;left:0;top:0;width:1925;height:110" type="#_x0000_t75" stroked="false">
              <v:imagedata r:id="rId155" o:title=""/>
            </v:shape>
            <v:shape style="position:absolute;left:1901;top:96;width:1599;height:14" type="#_x0000_t75" stroked="false">
              <v:imagedata r:id="rId156" o:title=""/>
            </v:shape>
            <v:shape style="position:absolute;left:3485;top:96;width:1347;height:14" type="#_x0000_t75" stroked="false">
              <v:imagedata r:id="rId157" o:title=""/>
            </v:shape>
            <v:shape style="position:absolute;left:4818;top:96;width:1282;height:14" type="#_x0000_t75" stroked="false">
              <v:imagedata r:id="rId158" o:title=""/>
            </v:shape>
            <v:shape style="position:absolute;left:6085;top:96;width:1153;height:14" type="#_x0000_t75" stroked="false">
              <v:imagedata r:id="rId159" o:title=""/>
            </v:shape>
            <v:shape style="position:absolute;left:7223;top:101;width:1567;height:10" type="#_x0000_t75" stroked="false">
              <v:imagedata r:id="rId160" o:title=""/>
            </v:shape>
          </v:group>
        </w:pict>
      </w:r>
      <w:r>
        <w:rPr>
          <w:rFonts w:ascii="宋体" w:hAnsi="宋体" w:cs="宋体" w:eastAsia="宋体" w:hint="default"/>
          <w:position w:val="-1"/>
          <w:sz w:val="11"/>
          <w:szCs w:val="11"/>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53" o:title=""/>
            </v:shape>
            <v:shape style="position:absolute;left:7223;top:0;width:1567;height:10" type="#_x0000_t75" stroked="false">
              <v:imagedata r:id="rId154"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61" o:title=""/>
            </v:shape>
            <v:shape style="position:absolute;left:7223;top:0;width:1567;height:10" type="#_x0000_t75" stroked="false">
              <v:imagedata r:id="rId16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61" o:title=""/>
            </v:shape>
            <v:shape style="position:absolute;left:7223;top:0;width:1567;height:10" type="#_x0000_t75" stroked="false">
              <v:imagedata r:id="rId16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61" o:title=""/>
            </v:shape>
            <v:shape style="position:absolute;left:7223;top:0;width:1567;height:10" type="#_x0000_t75" stroked="false">
              <v:imagedata r:id="rId16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61" o:title=""/>
            </v:shape>
            <v:shape style="position:absolute;left:7223;top:0;width:1567;height:10" type="#_x0000_t75" stroked="false">
              <v:imagedata r:id="rId16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53" o:title=""/>
            </v:shape>
            <v:shape style="position:absolute;left:7223;top:0;width:1567;height:10" type="#_x0000_t75" stroked="false">
              <v:imagedata r:id="rId154"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p>
      <w:pPr>
        <w:spacing w:line="20" w:lineRule="exact"/>
        <w:ind w:left="279" w:right="0" w:firstLine="0"/>
        <w:rPr>
          <w:rFonts w:ascii="宋体" w:hAnsi="宋体" w:cs="宋体" w:eastAsia="宋体" w:hint="default"/>
          <w:sz w:val="2"/>
          <w:szCs w:val="2"/>
        </w:rPr>
      </w:pPr>
      <w:r>
        <w:rPr>
          <w:rFonts w:ascii="宋体" w:hAnsi="宋体" w:cs="宋体" w:eastAsia="宋体" w:hint="default"/>
          <w:sz w:val="2"/>
          <w:szCs w:val="2"/>
        </w:rPr>
        <w:pict>
          <v:group style="width:439.55pt;height:.5pt;mso-position-horizontal-relative:char;mso-position-vertical-relative:line" coordorigin="0,0" coordsize="8791,10">
            <v:shape style="position:absolute;left:0;top:0;width:1906;height:10" type="#_x0000_t75" stroked="false">
              <v:imagedata r:id="rId152" o:title=""/>
            </v:shape>
            <v:shape style="position:absolute;left:1901;top:0;width:5327;height:10" type="#_x0000_t75" stroked="false">
              <v:imagedata r:id="rId161" o:title=""/>
            </v:shape>
            <v:shape style="position:absolute;left:7223;top:0;width:1567;height:10" type="#_x0000_t75" stroked="false">
              <v:imagedata r:id="rId16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678" w:right="0"/>
        <w:jc w:val="left"/>
      </w:pPr>
      <w:r>
        <w:rPr/>
        <w:t>其他说明：</w:t>
      </w:r>
    </w:p>
    <w:p>
      <w:pPr>
        <w:pStyle w:val="BodyText"/>
        <w:spacing w:line="240" w:lineRule="auto" w:before="126"/>
        <w:ind w:left="678"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日，公司为内蒙古乾华农业发展有限公司向中国工商银行启东支行抵押贷</w:t>
      </w:r>
    </w:p>
    <w:p>
      <w:pPr>
        <w:pStyle w:val="BodyText"/>
        <w:spacing w:line="240" w:lineRule="auto" w:before="107"/>
        <w:ind w:left="258" w:right="0"/>
        <w:jc w:val="left"/>
      </w:pPr>
      <w:r>
        <w:rPr>
          <w:w w:val="100"/>
        </w:rPr>
        <w:t>款</w:t>
      </w:r>
      <w:r>
        <w:rPr>
          <w:spacing w:val="-53"/>
        </w:rPr>
        <w:t> </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w w:val="100"/>
        </w:rPr>
        <w:t>万</w:t>
      </w:r>
      <w:r>
        <w:rPr>
          <w:spacing w:val="-3"/>
          <w:w w:val="100"/>
        </w:rPr>
        <w:t>元</w:t>
      </w:r>
      <w:r>
        <w:rPr>
          <w:w w:val="100"/>
        </w:rPr>
        <w:t>中的</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9,3</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万元</w:t>
      </w:r>
      <w:r>
        <w:rPr>
          <w:spacing w:val="-3"/>
          <w:w w:val="100"/>
        </w:rPr>
        <w:t>提</w:t>
      </w:r>
      <w:r>
        <w:rPr>
          <w:w w:val="100"/>
        </w:rPr>
        <w:t>供</w:t>
      </w:r>
      <w:r>
        <w:rPr>
          <w:spacing w:val="-3"/>
          <w:w w:val="100"/>
        </w:rPr>
        <w:t>连</w:t>
      </w:r>
      <w:r>
        <w:rPr>
          <w:w w:val="100"/>
        </w:rPr>
        <w:t>带</w:t>
      </w:r>
      <w:r>
        <w:rPr>
          <w:spacing w:val="-3"/>
          <w:w w:val="100"/>
        </w:rPr>
        <w:t>责</w:t>
      </w:r>
      <w:r>
        <w:rPr>
          <w:w w:val="100"/>
        </w:rPr>
        <w:t>任</w:t>
      </w:r>
      <w:r>
        <w:rPr>
          <w:spacing w:val="-3"/>
          <w:w w:val="100"/>
        </w:rPr>
        <w:t>保</w:t>
      </w:r>
      <w:r>
        <w:rPr>
          <w:w w:val="100"/>
        </w:rPr>
        <w:t>证</w:t>
      </w:r>
      <w:r>
        <w:rPr>
          <w:spacing w:val="-3"/>
          <w:w w:val="100"/>
        </w:rPr>
        <w:t>担</w:t>
      </w:r>
      <w:r>
        <w:rPr>
          <w:w w:val="100"/>
        </w:rPr>
        <w:t>保</w:t>
      </w:r>
      <w:r>
        <w:rPr>
          <w:spacing w:val="-94"/>
          <w:w w:val="100"/>
        </w:rPr>
        <w:t>，</w:t>
      </w:r>
      <w:r>
        <w:rPr>
          <w:w w:val="100"/>
        </w:rPr>
        <w:t>同</w:t>
      </w:r>
      <w:r>
        <w:rPr>
          <w:spacing w:val="-3"/>
          <w:w w:val="100"/>
        </w:rPr>
        <w:t>时</w:t>
      </w:r>
      <w:r>
        <w:rPr>
          <w:w w:val="100"/>
        </w:rPr>
        <w:t>内</w:t>
      </w:r>
      <w:r>
        <w:rPr>
          <w:spacing w:val="-3"/>
          <w:w w:val="100"/>
        </w:rPr>
        <w:t>蒙</w:t>
      </w:r>
      <w:r>
        <w:rPr>
          <w:w w:val="100"/>
        </w:rPr>
        <w:t>古</w:t>
      </w:r>
      <w:r>
        <w:rPr>
          <w:spacing w:val="-3"/>
          <w:w w:val="100"/>
        </w:rPr>
        <w:t>乾</w:t>
      </w:r>
      <w:r>
        <w:rPr>
          <w:w w:val="100"/>
        </w:rPr>
        <w:t>华</w:t>
      </w:r>
      <w:r>
        <w:rPr>
          <w:spacing w:val="-3"/>
          <w:w w:val="100"/>
        </w:rPr>
        <w:t>农</w:t>
      </w:r>
      <w:r>
        <w:rPr>
          <w:w w:val="100"/>
        </w:rPr>
        <w:t>业</w:t>
      </w:r>
      <w:r>
        <w:rPr>
          <w:spacing w:val="-3"/>
          <w:w w:val="100"/>
        </w:rPr>
        <w:t>发</w:t>
      </w:r>
      <w:r>
        <w:rPr>
          <w:w w:val="100"/>
        </w:rPr>
        <w:t>展有</w:t>
      </w:r>
      <w:r>
        <w:rPr>
          <w:spacing w:val="-3"/>
          <w:w w:val="100"/>
        </w:rPr>
        <w:t>限</w:t>
      </w:r>
      <w:r>
        <w:rPr>
          <w:w w:val="100"/>
        </w:rPr>
        <w:t>公</w:t>
      </w:r>
      <w:r>
        <w:rPr>
          <w:spacing w:val="-3"/>
          <w:w w:val="100"/>
        </w:rPr>
        <w:t>司</w:t>
      </w:r>
      <w:r>
        <w:rPr>
          <w:w w:val="100"/>
        </w:rPr>
        <w:t>以</w:t>
      </w:r>
      <w:r>
        <w:rPr>
          <w:spacing w:val="-3"/>
          <w:w w:val="100"/>
        </w:rPr>
        <w:t>公</w:t>
      </w:r>
      <w:r>
        <w:rPr>
          <w:w w:val="100"/>
        </w:rPr>
        <w:t>司</w:t>
      </w:r>
    </w:p>
    <w:p>
      <w:pPr>
        <w:pStyle w:val="BodyText"/>
        <w:spacing w:line="240" w:lineRule="auto" w:before="110"/>
        <w:ind w:left="258" w:right="0"/>
        <w:jc w:val="left"/>
      </w:pPr>
      <w:r>
        <w:rPr>
          <w:w w:val="100"/>
        </w:rPr>
        <w:t>项目</w:t>
      </w:r>
      <w:r>
        <w:rPr>
          <w:spacing w:val="-3"/>
          <w:w w:val="100"/>
        </w:rPr>
        <w:t>光</w:t>
      </w:r>
      <w:r>
        <w:rPr>
          <w:w w:val="100"/>
        </w:rPr>
        <w:t>伏</w:t>
      </w:r>
      <w:r>
        <w:rPr>
          <w:spacing w:val="-3"/>
          <w:w w:val="100"/>
        </w:rPr>
        <w:t>电</w:t>
      </w:r>
      <w:r>
        <w:rPr>
          <w:w w:val="100"/>
        </w:rPr>
        <w:t>站</w:t>
      </w:r>
      <w:r>
        <w:rPr>
          <w:spacing w:val="-3"/>
          <w:w w:val="100"/>
        </w:rPr>
        <w:t>的</w:t>
      </w:r>
      <w:r>
        <w:rPr>
          <w:w w:val="100"/>
        </w:rPr>
        <w:t>电</w:t>
      </w:r>
      <w:r>
        <w:rPr>
          <w:spacing w:val="-3"/>
          <w:w w:val="100"/>
        </w:rPr>
        <w:t>费</w:t>
      </w:r>
      <w:r>
        <w:rPr>
          <w:w w:val="100"/>
        </w:rPr>
        <w:t>收</w:t>
      </w:r>
      <w:r>
        <w:rPr>
          <w:spacing w:val="-3"/>
          <w:w w:val="100"/>
        </w:rPr>
        <w:t>益</w:t>
      </w:r>
      <w:r>
        <w:rPr>
          <w:w w:val="100"/>
        </w:rPr>
        <w:t>权项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4"/>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内蒙</w:t>
      </w:r>
      <w:r>
        <w:rPr>
          <w:w w:val="100"/>
        </w:rPr>
        <w:t>古乾</w:t>
      </w:r>
      <w:r>
        <w:rPr>
          <w:spacing w:val="-3"/>
          <w:w w:val="100"/>
        </w:rPr>
        <w:t>华</w:t>
      </w:r>
      <w:r>
        <w:rPr>
          <w:w w:val="100"/>
        </w:rPr>
        <w:t>农</w:t>
      </w:r>
      <w:r>
        <w:rPr>
          <w:spacing w:val="-3"/>
          <w:w w:val="100"/>
        </w:rPr>
        <w:t>业</w:t>
      </w:r>
      <w:r>
        <w:rPr>
          <w:w w:val="100"/>
        </w:rPr>
        <w:t>发</w:t>
      </w:r>
      <w:r>
        <w:rPr>
          <w:spacing w:val="-3"/>
          <w:w w:val="100"/>
        </w:rPr>
        <w:t>展</w:t>
      </w:r>
      <w:r>
        <w:rPr>
          <w:w w:val="100"/>
        </w:rPr>
        <w:t>有限</w:t>
      </w:r>
    </w:p>
    <w:p>
      <w:pPr>
        <w:pStyle w:val="BodyText"/>
        <w:spacing w:line="240" w:lineRule="auto" w:before="110"/>
        <w:ind w:left="258" w:right="0"/>
        <w:jc w:val="left"/>
      </w:pPr>
      <w:r>
        <w:rPr/>
        <w:t>公司取得贷款余额</w:t>
      </w:r>
      <w:r>
        <w:rPr>
          <w:spacing w:val="-55"/>
        </w:rPr>
        <w:t> </w:t>
      </w:r>
      <w:r>
        <w:rPr>
          <w:rFonts w:ascii="Times New Roman" w:hAnsi="Times New Roman" w:cs="Times New Roman" w:eastAsia="Times New Roman" w:hint="default"/>
        </w:rPr>
        <w:t>42,600.00</w:t>
      </w:r>
      <w:r>
        <w:rPr>
          <w:rFonts w:ascii="Times New Roman" w:hAnsi="Times New Roman" w:cs="Times New Roman" w:eastAsia="Times New Roman" w:hint="default"/>
          <w:spacing w:val="-2"/>
        </w:rPr>
        <w:t> </w:t>
      </w:r>
      <w:r>
        <w:rPr/>
        <w:t>万元。</w:t>
      </w:r>
    </w:p>
    <w:p>
      <w:pPr>
        <w:spacing w:after="0" w:line="240" w:lineRule="auto"/>
        <w:jc w:val="left"/>
        <w:sectPr>
          <w:pgSz w:w="11910" w:h="16840"/>
          <w:pgMar w:header="728" w:footer="974" w:top="1120" w:bottom="1160" w:left="1540" w:right="11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598"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日，公司为江苏昆瑞新能源有限公司向中国工商银行南京江宁支行申请不</w:t>
      </w:r>
    </w:p>
    <w:p>
      <w:pPr>
        <w:pStyle w:val="BodyText"/>
        <w:spacing w:line="331" w:lineRule="auto" w:before="110"/>
        <w:ind w:left="178" w:right="127"/>
        <w:jc w:val="both"/>
      </w:pPr>
      <w:r>
        <w:rPr>
          <w:w w:val="100"/>
        </w:rPr>
        <w:t>超过</w:t>
      </w:r>
      <w:r>
        <w:rPr>
          <w:spacing w:val="-52"/>
          <w:w w:val="100"/>
        </w:rPr>
        <w:t> </w:t>
      </w:r>
      <w:r>
        <w:rPr>
          <w:rFonts w:ascii="Times New Roman" w:hAnsi="Times New Roman" w:cs="Times New Roman" w:eastAsia="Times New Roman" w:hint="default"/>
          <w:spacing w:val="-1"/>
          <w:w w:val="100"/>
        </w:rPr>
        <w:t>12,000.00</w:t>
      </w:r>
      <w:r>
        <w:rPr>
          <w:rFonts w:ascii="Times New Roman" w:hAnsi="Times New Roman" w:cs="Times New Roman" w:eastAsia="Times New Roman" w:hint="default"/>
          <w:spacing w:val="-2"/>
          <w:w w:val="100"/>
        </w:rPr>
        <w:t> </w:t>
      </w:r>
      <w:r>
        <w:rPr>
          <w:spacing w:val="-4"/>
          <w:w w:val="100"/>
        </w:rPr>
        <w:t>万元的贷款提供连带责任保证担保，同时江苏昆瑞新能源有限公司以其所有的光伏</w:t>
      </w:r>
      <w:r>
        <w:rPr>
          <w:w w:val="100"/>
        </w:rPr>
        <w:t> </w:t>
      </w:r>
      <w:r>
        <w:rPr/>
        <w:t>电站全部设备和江苏林洋新能源科技有限公司享有的江苏昆瑞新能源有限公司</w:t>
      </w:r>
      <w:r>
        <w:rPr>
          <w:spacing w:val="45"/>
        </w:rPr>
        <w:t> </w:t>
      </w:r>
      <w:r>
        <w:rPr>
          <w:rFonts w:ascii="Times New Roman" w:hAnsi="Times New Roman" w:cs="Times New Roman" w:eastAsia="Times New Roman" w:hint="default"/>
        </w:rPr>
        <w:t>100%</w:t>
      </w:r>
      <w:r>
        <w:rPr/>
        <w:t>股权为本次</w:t>
      </w:r>
      <w:r>
        <w:rPr>
          <w:spacing w:val="-101"/>
        </w:rPr>
        <w:t> </w:t>
      </w:r>
      <w:r>
        <w:rPr>
          <w:spacing w:val="-101"/>
        </w:rPr>
      </w:r>
      <w:r>
        <w:rPr>
          <w:spacing w:val="-10"/>
          <w:w w:val="100"/>
        </w:rPr>
        <w:t>贷款提供抵质押担保，截至</w:t>
      </w:r>
      <w:r>
        <w:rPr>
          <w:spacing w:val="-75"/>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21"/>
          <w:w w:val="100"/>
        </w:rPr>
        <w:t> </w:t>
      </w:r>
      <w:r>
        <w:rPr>
          <w:w w:val="100"/>
        </w:rPr>
        <w:t>年</w:t>
      </w:r>
      <w:r>
        <w:rPr>
          <w:spacing w:val="-7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1"/>
          <w:w w:val="100"/>
        </w:rPr>
        <w:t> </w:t>
      </w:r>
      <w:r>
        <w:rPr>
          <w:w w:val="100"/>
        </w:rPr>
        <w:t>月</w:t>
      </w:r>
      <w:r>
        <w:rPr>
          <w:spacing w:val="-76"/>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1"/>
          <w:w w:val="100"/>
        </w:rPr>
        <w:t> </w:t>
      </w:r>
      <w:r>
        <w:rPr>
          <w:spacing w:val="-2"/>
          <w:w w:val="100"/>
        </w:rPr>
        <w:t>日江苏昆瑞新能源有限公司取得银行贷款余额</w:t>
      </w:r>
      <w:r>
        <w:rPr>
          <w:spacing w:val="-73"/>
          <w:w w:val="100"/>
        </w:rPr>
        <w:t> </w:t>
      </w:r>
      <w:r>
        <w:rPr>
          <w:rFonts w:ascii="Times New Roman" w:hAnsi="Times New Roman" w:cs="Times New Roman" w:eastAsia="Times New Roman" w:hint="default"/>
          <w:spacing w:val="-1"/>
          <w:w w:val="100"/>
        </w:rPr>
        <w:t>6,525.00</w:t>
      </w:r>
      <w:r>
        <w:rPr>
          <w:rFonts w:ascii="Times New Roman" w:hAnsi="Times New Roman" w:cs="Times New Roman" w:eastAsia="Times New Roman" w:hint="default"/>
          <w:w w:val="100"/>
        </w:rPr>
        <w:t> </w:t>
      </w:r>
      <w:r>
        <w:rPr/>
        <w:t>万元。</w:t>
      </w:r>
    </w:p>
    <w:p>
      <w:pPr>
        <w:pStyle w:val="BodyText"/>
        <w:spacing w:line="240" w:lineRule="auto" w:before="46"/>
        <w:ind w:left="598"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spacing w:val="-3"/>
        </w:rPr>
        <w:t>日，公司及林洋能源科技（上海）有限公司、江苏林洋光伏科技有限公司</w:t>
      </w:r>
    </w:p>
    <w:p>
      <w:pPr>
        <w:pStyle w:val="BodyText"/>
        <w:spacing w:line="240" w:lineRule="auto" w:before="107"/>
        <w:ind w:left="178" w:right="0"/>
        <w:jc w:val="both"/>
      </w:pPr>
      <w:r>
        <w:rPr/>
        <w:t>共同向花旗银行（中国）有限公司申请综合授信额度不超过等额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万美元，公司及上述两家</w:t>
      </w:r>
    </w:p>
    <w:p>
      <w:pPr>
        <w:pStyle w:val="BodyText"/>
        <w:spacing w:line="240" w:lineRule="auto" w:before="110"/>
        <w:ind w:left="178" w:right="0"/>
        <w:jc w:val="both"/>
      </w:pPr>
      <w:r>
        <w:rPr>
          <w:w w:val="100"/>
        </w:rPr>
        <w:t>下属</w:t>
      </w:r>
      <w:r>
        <w:rPr>
          <w:spacing w:val="-3"/>
          <w:w w:val="100"/>
        </w:rPr>
        <w:t>公</w:t>
      </w:r>
      <w:r>
        <w:rPr>
          <w:w w:val="100"/>
        </w:rPr>
        <w:t>司</w:t>
      </w:r>
      <w:r>
        <w:rPr>
          <w:spacing w:val="-3"/>
          <w:w w:val="100"/>
        </w:rPr>
        <w:t>就</w:t>
      </w:r>
      <w:r>
        <w:rPr>
          <w:w w:val="100"/>
        </w:rPr>
        <w:t>使</w:t>
      </w:r>
      <w:r>
        <w:rPr>
          <w:spacing w:val="-3"/>
          <w:w w:val="100"/>
        </w:rPr>
        <w:t>用</w:t>
      </w:r>
      <w:r>
        <w:rPr>
          <w:w w:val="100"/>
        </w:rPr>
        <w:t>该</w:t>
      </w:r>
      <w:r>
        <w:rPr>
          <w:spacing w:val="-3"/>
          <w:w w:val="100"/>
        </w:rPr>
        <w:t>综</w:t>
      </w:r>
      <w:r>
        <w:rPr>
          <w:w w:val="100"/>
        </w:rPr>
        <w:t>合</w:t>
      </w:r>
      <w:r>
        <w:rPr>
          <w:spacing w:val="-3"/>
          <w:w w:val="100"/>
        </w:rPr>
        <w:t>授</w:t>
      </w:r>
      <w:r>
        <w:rPr>
          <w:w w:val="100"/>
        </w:rPr>
        <w:t>信额</w:t>
      </w:r>
      <w:r>
        <w:rPr>
          <w:spacing w:val="-3"/>
          <w:w w:val="100"/>
        </w:rPr>
        <w:t>度</w:t>
      </w:r>
      <w:r>
        <w:rPr>
          <w:w w:val="100"/>
        </w:rPr>
        <w:t>相</w:t>
      </w:r>
      <w:r>
        <w:rPr>
          <w:spacing w:val="-3"/>
          <w:w w:val="100"/>
        </w:rPr>
        <w:t>互</w:t>
      </w:r>
      <w:r>
        <w:rPr>
          <w:w w:val="100"/>
        </w:rPr>
        <w:t>承</w:t>
      </w:r>
      <w:r>
        <w:rPr>
          <w:spacing w:val="-3"/>
          <w:w w:val="100"/>
        </w:rPr>
        <w:t>担</w:t>
      </w:r>
      <w:r>
        <w:rPr>
          <w:w w:val="100"/>
        </w:rPr>
        <w:t>连</w:t>
      </w:r>
      <w:r>
        <w:rPr>
          <w:spacing w:val="-3"/>
          <w:w w:val="100"/>
        </w:rPr>
        <w:t>带</w:t>
      </w:r>
      <w:r>
        <w:rPr>
          <w:w w:val="100"/>
        </w:rPr>
        <w:t>担</w:t>
      </w:r>
      <w:r>
        <w:rPr>
          <w:spacing w:val="-3"/>
          <w:w w:val="100"/>
        </w:rPr>
        <w:t>保</w:t>
      </w:r>
      <w:r>
        <w:rPr>
          <w:w w:val="100"/>
        </w:rPr>
        <w:t>责</w:t>
      </w:r>
      <w:r>
        <w:rPr>
          <w:spacing w:val="-3"/>
          <w:w w:val="100"/>
        </w:rPr>
        <w:t>任</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江</w:t>
      </w:r>
      <w:r>
        <w:rPr>
          <w:w w:val="100"/>
        </w:rPr>
        <w:t>苏</w:t>
      </w:r>
      <w:r>
        <w:rPr>
          <w:spacing w:val="-3"/>
          <w:w w:val="100"/>
        </w:rPr>
        <w:t>林</w:t>
      </w:r>
      <w:r>
        <w:rPr>
          <w:w w:val="100"/>
        </w:rPr>
        <w:t>洋</w:t>
      </w:r>
      <w:r>
        <w:rPr>
          <w:spacing w:val="-3"/>
          <w:w w:val="100"/>
        </w:rPr>
        <w:t>光伏</w:t>
      </w:r>
      <w:r>
        <w:rPr>
          <w:w w:val="100"/>
        </w:rPr>
        <w:t>科</w:t>
      </w:r>
    </w:p>
    <w:p>
      <w:pPr>
        <w:pStyle w:val="BodyText"/>
        <w:spacing w:line="240" w:lineRule="auto" w:before="110"/>
        <w:ind w:left="178" w:right="0"/>
        <w:jc w:val="both"/>
      </w:pPr>
      <w:r>
        <w:rPr/>
        <w:t>技有限公司取得银行贷款余额</w:t>
      </w:r>
      <w:r>
        <w:rPr>
          <w:spacing w:val="-54"/>
        </w:rPr>
        <w:t> </w:t>
      </w:r>
      <w:r>
        <w:rPr>
          <w:rFonts w:ascii="Times New Roman" w:hAnsi="Times New Roman" w:cs="Times New Roman" w:eastAsia="Times New Roman" w:hint="default"/>
        </w:rPr>
        <w:t>4,155.00</w:t>
      </w:r>
      <w:r>
        <w:rPr>
          <w:rFonts w:ascii="Times New Roman" w:hAnsi="Times New Roman" w:cs="Times New Roman" w:eastAsia="Times New Roman" w:hint="default"/>
          <w:spacing w:val="-1"/>
        </w:rPr>
        <w:t> </w:t>
      </w:r>
      <w:r>
        <w:rPr/>
        <w:t>万元。</w:t>
      </w:r>
    </w:p>
    <w:p>
      <w:pPr>
        <w:pStyle w:val="BodyText"/>
        <w:spacing w:line="240" w:lineRule="auto" w:before="107"/>
        <w:ind w:left="598" w:right="0"/>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37"/>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spacing w:val="-3"/>
        </w:rPr>
        <w:t>日，公司及江苏林洋照明科技有限公司为启东市华虹新能源电力有限公司</w:t>
      </w:r>
    </w:p>
    <w:p>
      <w:pPr>
        <w:pStyle w:val="BodyText"/>
        <w:spacing w:line="240" w:lineRule="auto" w:before="110"/>
        <w:ind w:left="178" w:right="0"/>
        <w:jc w:val="both"/>
      </w:pPr>
      <w:r>
        <w:rPr/>
        <w:t>向中国农业银行启东支行申请不超过 </w:t>
      </w:r>
      <w:r>
        <w:rPr>
          <w:rFonts w:ascii="Times New Roman" w:hAnsi="Times New Roman" w:cs="Times New Roman" w:eastAsia="Times New Roman" w:hint="default"/>
        </w:rPr>
        <w:t>8,000.00 </w:t>
      </w:r>
      <w:r>
        <w:rPr/>
        <w:t>万元的贷款提供连带责任保证担保，截至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p>
    <w:p>
      <w:pPr>
        <w:pStyle w:val="BodyText"/>
        <w:spacing w:line="240" w:lineRule="auto" w:before="110"/>
        <w:ind w:left="178"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日启东市华虹新能源电力有限公司取得银行贷款余额</w:t>
      </w:r>
      <w:r>
        <w:rPr>
          <w:spacing w:val="-54"/>
        </w:rPr>
        <w:t> </w:t>
      </w:r>
      <w:r>
        <w:rPr>
          <w:rFonts w:ascii="Times New Roman" w:hAnsi="Times New Roman" w:cs="Times New Roman" w:eastAsia="Times New Roman" w:hint="default"/>
        </w:rPr>
        <w:t>6,200.00</w:t>
      </w:r>
      <w:r>
        <w:rPr>
          <w:rFonts w:ascii="Times New Roman" w:hAnsi="Times New Roman" w:cs="Times New Roman" w:eastAsia="Times New Roman" w:hint="default"/>
          <w:spacing w:val="-4"/>
        </w:rPr>
        <w:t> </w:t>
      </w:r>
      <w:r>
        <w:rPr/>
        <w:t>万元。</w:t>
      </w:r>
    </w:p>
    <w:p>
      <w:pPr>
        <w:pStyle w:val="BodyText"/>
        <w:spacing w:line="240" w:lineRule="auto" w:before="107"/>
        <w:ind w:left="598" w:right="0"/>
        <w:jc w:val="left"/>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spacing w:val="-3"/>
        </w:rPr>
        <w:t>日，公司为启东市华虹新能源电力有限公司向中国银行启东支行申请不超</w:t>
      </w:r>
      <w:r>
        <w:rPr/>
      </w:r>
    </w:p>
    <w:p>
      <w:pPr>
        <w:pStyle w:val="BodyText"/>
        <w:spacing w:line="240" w:lineRule="auto" w:before="110"/>
        <w:ind w:left="178" w:right="0"/>
        <w:jc w:val="both"/>
      </w:pPr>
      <w:r>
        <w:rPr/>
        <w:t>过</w:t>
      </w:r>
      <w:r>
        <w:rPr>
          <w:spacing w:val="-51"/>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万元的贷款提供连带责任保证担保，截至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日启东市华虹新能源电力</w:t>
      </w:r>
    </w:p>
    <w:p>
      <w:pPr>
        <w:pStyle w:val="BodyText"/>
        <w:spacing w:line="240" w:lineRule="auto" w:before="110"/>
        <w:ind w:left="178" w:right="0"/>
        <w:jc w:val="both"/>
      </w:pPr>
      <w:r>
        <w:rPr/>
        <w:t>有限公司取得银行贷款余额</w:t>
      </w:r>
      <w:r>
        <w:rPr>
          <w:spacing w:val="-53"/>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3"/>
        </w:rPr>
        <w:t> </w:t>
      </w:r>
      <w:r>
        <w:rPr/>
        <w:t>万元。</w:t>
      </w:r>
    </w:p>
    <w:p>
      <w:pPr>
        <w:pStyle w:val="BodyText"/>
        <w:spacing w:line="240" w:lineRule="auto" w:before="107"/>
        <w:ind w:left="598"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日，公司及江苏林洋光伏科技有限公司共同向比利时联合股份有限公司</w:t>
      </w:r>
    </w:p>
    <w:p>
      <w:pPr>
        <w:pStyle w:val="BodyText"/>
        <w:spacing w:line="331" w:lineRule="auto" w:before="110"/>
        <w:ind w:left="178" w:right="0"/>
        <w:jc w:val="left"/>
      </w:pPr>
      <w:r>
        <w:rPr>
          <w:spacing w:val="-2"/>
          <w:w w:val="100"/>
        </w:rPr>
        <w:t>上海分行申请综合授信额度不超过等额</w:t>
      </w:r>
      <w:r>
        <w:rPr>
          <w:spacing w:val="-45"/>
          <w:w w:val="100"/>
        </w:rPr>
        <w:t> </w:t>
      </w:r>
      <w:r>
        <w:rPr>
          <w:rFonts w:ascii="Times New Roman" w:hAnsi="Times New Roman" w:cs="Times New Roman" w:eastAsia="Times New Roman" w:hint="default"/>
          <w:spacing w:val="-1"/>
          <w:w w:val="100"/>
        </w:rPr>
        <w:t>22,000.00</w:t>
      </w:r>
      <w:r>
        <w:rPr>
          <w:rFonts w:ascii="Times New Roman" w:hAnsi="Times New Roman" w:cs="Times New Roman" w:eastAsia="Times New Roman" w:hint="default"/>
          <w:spacing w:val="5"/>
          <w:w w:val="100"/>
        </w:rPr>
        <w:t> </w:t>
      </w:r>
      <w:r>
        <w:rPr>
          <w:spacing w:val="-6"/>
          <w:w w:val="100"/>
        </w:rPr>
        <w:t>万元，公司及上述下属公司就使用该综合授信额</w:t>
      </w:r>
      <w:r>
        <w:rPr>
          <w:spacing w:val="-103"/>
          <w:w w:val="100"/>
        </w:rPr>
        <w:t> </w:t>
      </w:r>
      <w:r>
        <w:rPr>
          <w:spacing w:val="-103"/>
          <w:w w:val="100"/>
        </w:rPr>
      </w:r>
      <w:r>
        <w:rPr/>
        <w:t>度相互承担连带担保责任。</w:t>
      </w:r>
    </w:p>
    <w:p>
      <w:pPr>
        <w:pStyle w:val="BodyText"/>
        <w:spacing w:line="240" w:lineRule="auto" w:before="43"/>
        <w:ind w:left="598"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日，公司为灵璧华浍新能源科技有限公司向中国工商银行启东分行和宿</w:t>
      </w:r>
    </w:p>
    <w:p>
      <w:pPr>
        <w:pStyle w:val="BodyText"/>
        <w:spacing w:line="240" w:lineRule="auto" w:before="110"/>
        <w:ind w:left="178" w:right="0"/>
        <w:jc w:val="both"/>
      </w:pPr>
      <w:r>
        <w:rPr>
          <w:w w:val="100"/>
        </w:rPr>
        <w:t>州分</w:t>
      </w:r>
      <w:r>
        <w:rPr>
          <w:spacing w:val="-3"/>
          <w:w w:val="100"/>
        </w:rPr>
        <w:t>行</w:t>
      </w:r>
      <w:r>
        <w:rPr>
          <w:w w:val="100"/>
        </w:rPr>
        <w:t>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元</w:t>
      </w:r>
      <w:r>
        <w:rPr>
          <w:spacing w:val="-3"/>
          <w:w w:val="100"/>
        </w:rPr>
        <w:t>的</w:t>
      </w:r>
      <w:r>
        <w:rPr>
          <w:w w:val="100"/>
        </w:rPr>
        <w:t>贷</w:t>
      </w:r>
      <w:r>
        <w:rPr>
          <w:spacing w:val="-3"/>
          <w:w w:val="100"/>
        </w:rPr>
        <w:t>款</w:t>
      </w:r>
      <w:r>
        <w:rPr>
          <w:w w:val="100"/>
        </w:rPr>
        <w:t>提</w:t>
      </w:r>
      <w:r>
        <w:rPr>
          <w:spacing w:val="-3"/>
          <w:w w:val="100"/>
        </w:rPr>
        <w:t>供</w:t>
      </w:r>
      <w:r>
        <w:rPr>
          <w:w w:val="100"/>
        </w:rPr>
        <w:t>连</w:t>
      </w:r>
      <w:r>
        <w:rPr>
          <w:spacing w:val="-3"/>
          <w:w w:val="100"/>
        </w:rPr>
        <w:t>带责</w:t>
      </w:r>
      <w:r>
        <w:rPr>
          <w:w w:val="100"/>
        </w:rPr>
        <w:t>任保</w:t>
      </w:r>
      <w:r>
        <w:rPr>
          <w:spacing w:val="-3"/>
          <w:w w:val="100"/>
        </w:rPr>
        <w:t>证</w:t>
      </w:r>
      <w:r>
        <w:rPr>
          <w:w w:val="100"/>
        </w:rPr>
        <w:t>担</w:t>
      </w:r>
      <w:r>
        <w:rPr>
          <w:spacing w:val="-3"/>
          <w:w w:val="100"/>
        </w:rPr>
        <w:t>保</w:t>
      </w:r>
      <w:r>
        <w:rPr>
          <w:spacing w:val="-94"/>
          <w:w w:val="100"/>
        </w:rPr>
        <w:t>，</w:t>
      </w:r>
      <w:r>
        <w:rPr>
          <w:w w:val="100"/>
        </w:rPr>
        <w:t>同</w:t>
      </w:r>
      <w:r>
        <w:rPr>
          <w:spacing w:val="-3"/>
          <w:w w:val="100"/>
        </w:rPr>
        <w:t>时</w:t>
      </w:r>
      <w:r>
        <w:rPr>
          <w:w w:val="100"/>
        </w:rPr>
        <w:t>灵</w:t>
      </w:r>
      <w:r>
        <w:rPr>
          <w:spacing w:val="-3"/>
          <w:w w:val="100"/>
        </w:rPr>
        <w:t>璧</w:t>
      </w:r>
      <w:r>
        <w:rPr>
          <w:w w:val="100"/>
        </w:rPr>
        <w:t>华</w:t>
      </w:r>
      <w:r>
        <w:rPr>
          <w:spacing w:val="-3"/>
          <w:w w:val="100"/>
        </w:rPr>
        <w:t>浍</w:t>
      </w:r>
      <w:r>
        <w:rPr>
          <w:w w:val="100"/>
        </w:rPr>
        <w:t>新能</w:t>
      </w:r>
      <w:r>
        <w:rPr>
          <w:spacing w:val="-3"/>
          <w:w w:val="100"/>
        </w:rPr>
        <w:t>源</w:t>
      </w:r>
      <w:r>
        <w:rPr>
          <w:w w:val="100"/>
        </w:rPr>
        <w:t>科</w:t>
      </w:r>
      <w:r>
        <w:rPr>
          <w:spacing w:val="-3"/>
          <w:w w:val="100"/>
        </w:rPr>
        <w:t>技</w:t>
      </w:r>
      <w:r>
        <w:rPr>
          <w:w w:val="100"/>
        </w:rPr>
        <w:t>有</w:t>
      </w:r>
      <w:r>
        <w:rPr>
          <w:spacing w:val="-3"/>
          <w:w w:val="100"/>
        </w:rPr>
        <w:t>限</w:t>
      </w:r>
      <w:r>
        <w:rPr>
          <w:w w:val="100"/>
        </w:rPr>
        <w:t>公</w:t>
      </w:r>
    </w:p>
    <w:p>
      <w:pPr>
        <w:pStyle w:val="BodyText"/>
        <w:spacing w:line="240" w:lineRule="auto" w:before="110"/>
        <w:ind w:left="178" w:right="0"/>
        <w:jc w:val="both"/>
      </w:pPr>
      <w:r>
        <w:rPr>
          <w:w w:val="100"/>
        </w:rPr>
        <w:t>司以</w:t>
      </w:r>
      <w:r>
        <w:rPr>
          <w:spacing w:val="-3"/>
          <w:w w:val="100"/>
        </w:rPr>
        <w:t>公</w:t>
      </w:r>
      <w:r>
        <w:rPr>
          <w:w w:val="100"/>
        </w:rPr>
        <w:t>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电费</w:t>
      </w:r>
      <w:r>
        <w:rPr>
          <w:spacing w:val="-3"/>
          <w:w w:val="100"/>
        </w:rPr>
        <w:t>收</w:t>
      </w:r>
      <w:r>
        <w:rPr>
          <w:w w:val="100"/>
        </w:rPr>
        <w:t>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灵</w:t>
      </w:r>
      <w:r>
        <w:rPr>
          <w:w w:val="100"/>
        </w:rPr>
        <w:t>璧</w:t>
      </w:r>
      <w:r>
        <w:rPr>
          <w:spacing w:val="-3"/>
          <w:w w:val="100"/>
        </w:rPr>
        <w:t>华</w:t>
      </w:r>
      <w:r>
        <w:rPr>
          <w:w w:val="100"/>
        </w:rPr>
        <w:t>浍</w:t>
      </w:r>
      <w:r>
        <w:rPr>
          <w:spacing w:val="-3"/>
          <w:w w:val="100"/>
        </w:rPr>
        <w:t>新能</w:t>
      </w:r>
      <w:r>
        <w:rPr>
          <w:w w:val="100"/>
        </w:rPr>
        <w:t>源</w:t>
      </w:r>
    </w:p>
    <w:p>
      <w:pPr>
        <w:pStyle w:val="BodyText"/>
        <w:spacing w:line="240" w:lineRule="auto" w:before="107"/>
        <w:ind w:left="178" w:right="0"/>
        <w:jc w:val="both"/>
      </w:pPr>
      <w:r>
        <w:rPr/>
        <w:t>科技有限公司取得银行贷款余额</w:t>
      </w:r>
      <w:r>
        <w:rPr>
          <w:spacing w:val="-53"/>
        </w:rPr>
        <w:t> </w:t>
      </w:r>
      <w:r>
        <w:rPr>
          <w:rFonts w:ascii="Times New Roman" w:hAnsi="Times New Roman" w:cs="Times New Roman" w:eastAsia="Times New Roman" w:hint="default"/>
        </w:rPr>
        <w:t>9,255.00</w:t>
      </w:r>
      <w:r>
        <w:rPr>
          <w:rFonts w:ascii="Times New Roman" w:hAnsi="Times New Roman" w:cs="Times New Roman" w:eastAsia="Times New Roman" w:hint="default"/>
          <w:spacing w:val="-3"/>
        </w:rPr>
        <w:t> </w:t>
      </w:r>
      <w:r>
        <w:rPr/>
        <w:t>万元。</w:t>
      </w:r>
    </w:p>
    <w:p>
      <w:pPr>
        <w:pStyle w:val="BodyText"/>
        <w:spacing w:line="240" w:lineRule="auto" w:before="110"/>
        <w:ind w:left="598"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日，公司为灵璧灵阳新能源科技有限公司向中国工商银行启东分行和宿</w:t>
      </w:r>
    </w:p>
    <w:p>
      <w:pPr>
        <w:pStyle w:val="BodyText"/>
        <w:spacing w:line="240" w:lineRule="auto" w:before="110"/>
        <w:ind w:left="178" w:right="0"/>
        <w:jc w:val="both"/>
      </w:pPr>
      <w:r>
        <w:rPr>
          <w:w w:val="100"/>
        </w:rPr>
        <w:t>州分</w:t>
      </w:r>
      <w:r>
        <w:rPr>
          <w:spacing w:val="-3"/>
          <w:w w:val="100"/>
        </w:rPr>
        <w:t>行</w:t>
      </w:r>
      <w:r>
        <w:rPr>
          <w:w w:val="100"/>
        </w:rPr>
        <w:t>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元</w:t>
      </w:r>
      <w:r>
        <w:rPr>
          <w:spacing w:val="-3"/>
          <w:w w:val="100"/>
        </w:rPr>
        <w:t>的</w:t>
      </w:r>
      <w:r>
        <w:rPr>
          <w:w w:val="100"/>
        </w:rPr>
        <w:t>贷</w:t>
      </w:r>
      <w:r>
        <w:rPr>
          <w:spacing w:val="-3"/>
          <w:w w:val="100"/>
        </w:rPr>
        <w:t>款</w:t>
      </w:r>
      <w:r>
        <w:rPr>
          <w:w w:val="100"/>
        </w:rPr>
        <w:t>提</w:t>
      </w:r>
      <w:r>
        <w:rPr>
          <w:spacing w:val="-3"/>
          <w:w w:val="100"/>
        </w:rPr>
        <w:t>供</w:t>
      </w:r>
      <w:r>
        <w:rPr>
          <w:w w:val="100"/>
        </w:rPr>
        <w:t>连</w:t>
      </w:r>
      <w:r>
        <w:rPr>
          <w:spacing w:val="-3"/>
          <w:w w:val="100"/>
        </w:rPr>
        <w:t>带责</w:t>
      </w:r>
      <w:r>
        <w:rPr>
          <w:w w:val="100"/>
        </w:rPr>
        <w:t>任保</w:t>
      </w:r>
      <w:r>
        <w:rPr>
          <w:spacing w:val="-3"/>
          <w:w w:val="100"/>
        </w:rPr>
        <w:t>证</w:t>
      </w:r>
      <w:r>
        <w:rPr>
          <w:w w:val="100"/>
        </w:rPr>
        <w:t>担</w:t>
      </w:r>
      <w:r>
        <w:rPr>
          <w:spacing w:val="-3"/>
          <w:w w:val="100"/>
        </w:rPr>
        <w:t>保</w:t>
      </w:r>
      <w:r>
        <w:rPr>
          <w:spacing w:val="-94"/>
          <w:w w:val="100"/>
        </w:rPr>
        <w:t>，</w:t>
      </w:r>
      <w:r>
        <w:rPr>
          <w:w w:val="100"/>
        </w:rPr>
        <w:t>同</w:t>
      </w:r>
      <w:r>
        <w:rPr>
          <w:spacing w:val="-3"/>
          <w:w w:val="100"/>
        </w:rPr>
        <w:t>时</w:t>
      </w:r>
      <w:r>
        <w:rPr>
          <w:w w:val="100"/>
        </w:rPr>
        <w:t>灵</w:t>
      </w:r>
      <w:r>
        <w:rPr>
          <w:spacing w:val="-3"/>
          <w:w w:val="100"/>
        </w:rPr>
        <w:t>璧</w:t>
      </w:r>
      <w:r>
        <w:rPr>
          <w:w w:val="100"/>
        </w:rPr>
        <w:t>灵</w:t>
      </w:r>
      <w:r>
        <w:rPr>
          <w:spacing w:val="-3"/>
          <w:w w:val="100"/>
        </w:rPr>
        <w:t>阳</w:t>
      </w:r>
      <w:r>
        <w:rPr>
          <w:w w:val="100"/>
        </w:rPr>
        <w:t>新能</w:t>
      </w:r>
      <w:r>
        <w:rPr>
          <w:spacing w:val="-3"/>
          <w:w w:val="100"/>
        </w:rPr>
        <w:t>源</w:t>
      </w:r>
      <w:r>
        <w:rPr>
          <w:w w:val="100"/>
        </w:rPr>
        <w:t>科</w:t>
      </w:r>
      <w:r>
        <w:rPr>
          <w:spacing w:val="-3"/>
          <w:w w:val="100"/>
        </w:rPr>
        <w:t>技</w:t>
      </w:r>
      <w:r>
        <w:rPr>
          <w:w w:val="100"/>
        </w:rPr>
        <w:t>有</w:t>
      </w:r>
      <w:r>
        <w:rPr>
          <w:spacing w:val="-3"/>
          <w:w w:val="100"/>
        </w:rPr>
        <w:t>限</w:t>
      </w:r>
      <w:r>
        <w:rPr>
          <w:w w:val="100"/>
        </w:rPr>
        <w:t>公</w:t>
      </w:r>
    </w:p>
    <w:p>
      <w:pPr>
        <w:pStyle w:val="BodyText"/>
        <w:spacing w:line="240" w:lineRule="auto" w:before="108"/>
        <w:ind w:left="178" w:right="0"/>
        <w:jc w:val="both"/>
      </w:pPr>
      <w:r>
        <w:rPr>
          <w:w w:val="100"/>
        </w:rPr>
        <w:t>司以</w:t>
      </w:r>
      <w:r>
        <w:rPr>
          <w:spacing w:val="-3"/>
          <w:w w:val="100"/>
        </w:rPr>
        <w:t>公</w:t>
      </w:r>
      <w:r>
        <w:rPr>
          <w:w w:val="100"/>
        </w:rPr>
        <w:t>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电费</w:t>
      </w:r>
      <w:r>
        <w:rPr>
          <w:spacing w:val="-3"/>
          <w:w w:val="100"/>
        </w:rPr>
        <w:t>收</w:t>
      </w:r>
      <w:r>
        <w:rPr>
          <w:w w:val="100"/>
        </w:rPr>
        <w:t>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灵</w:t>
      </w:r>
      <w:r>
        <w:rPr>
          <w:w w:val="100"/>
        </w:rPr>
        <w:t>璧</w:t>
      </w:r>
      <w:r>
        <w:rPr>
          <w:spacing w:val="-3"/>
          <w:w w:val="100"/>
        </w:rPr>
        <w:t>灵</w:t>
      </w:r>
      <w:r>
        <w:rPr>
          <w:w w:val="100"/>
        </w:rPr>
        <w:t>阳</w:t>
      </w:r>
      <w:r>
        <w:rPr>
          <w:spacing w:val="-3"/>
          <w:w w:val="100"/>
        </w:rPr>
        <w:t>新能</w:t>
      </w:r>
      <w:r>
        <w:rPr>
          <w:w w:val="100"/>
        </w:rPr>
        <w:t>源</w:t>
      </w:r>
    </w:p>
    <w:p>
      <w:pPr>
        <w:pStyle w:val="BodyText"/>
        <w:spacing w:line="240" w:lineRule="auto" w:before="110"/>
        <w:ind w:left="178" w:right="0"/>
        <w:jc w:val="both"/>
      </w:pPr>
      <w:r>
        <w:rPr/>
        <w:t>科技有限公司取得银行贷款余额</w:t>
      </w:r>
      <w:r>
        <w:rPr>
          <w:spacing w:val="-53"/>
        </w:rPr>
        <w:t> </w:t>
      </w:r>
      <w:r>
        <w:rPr>
          <w:rFonts w:ascii="Times New Roman" w:hAnsi="Times New Roman" w:cs="Times New Roman" w:eastAsia="Times New Roman" w:hint="default"/>
        </w:rPr>
        <w:t>8,905.00</w:t>
      </w:r>
      <w:r>
        <w:rPr>
          <w:rFonts w:ascii="Times New Roman" w:hAnsi="Times New Roman" w:cs="Times New Roman" w:eastAsia="Times New Roman" w:hint="default"/>
          <w:spacing w:val="-3"/>
        </w:rPr>
        <w:t> </w:t>
      </w:r>
      <w:r>
        <w:rPr/>
        <w:t>万元。</w:t>
      </w:r>
    </w:p>
    <w:p>
      <w:pPr>
        <w:pStyle w:val="BodyText"/>
        <w:spacing w:line="240" w:lineRule="auto" w:before="110"/>
        <w:ind w:left="598" w:right="0"/>
        <w:jc w:val="left"/>
      </w:pP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3"/>
        </w:rPr>
        <w:t>日，公司为阜阳永明农业太阳能发电有限公司向中国工商银行启东分行和</w:t>
      </w:r>
    </w:p>
    <w:p>
      <w:pPr>
        <w:pStyle w:val="BodyText"/>
        <w:spacing w:line="240" w:lineRule="auto" w:before="107"/>
        <w:ind w:left="178" w:right="0"/>
        <w:jc w:val="both"/>
      </w:pPr>
      <w:r>
        <w:rPr/>
        <w:t>阜阳分行申请不超过</w:t>
      </w:r>
      <w:r>
        <w:rPr>
          <w:spacing w:val="-50"/>
        </w:rPr>
        <w:t> </w:t>
      </w:r>
      <w:r>
        <w:rPr>
          <w:rFonts w:ascii="Times New Roman" w:hAnsi="Times New Roman" w:cs="Times New Roman" w:eastAsia="Times New Roman" w:hint="default"/>
        </w:rPr>
        <w:t>8,900.00</w:t>
      </w:r>
      <w:r>
        <w:rPr>
          <w:rFonts w:ascii="Times New Roman" w:hAnsi="Times New Roman" w:cs="Times New Roman" w:eastAsia="Times New Roman" w:hint="default"/>
          <w:spacing w:val="1"/>
        </w:rPr>
        <w:t> </w:t>
      </w:r>
      <w:r>
        <w:rPr/>
        <w:t>万元的贷款提供连带责任保证担保，同时阜阳永明农业太阳能发电</w:t>
      </w:r>
    </w:p>
    <w:p>
      <w:pPr>
        <w:pStyle w:val="BodyText"/>
        <w:spacing w:line="240" w:lineRule="auto" w:before="110"/>
        <w:ind w:left="178" w:right="0"/>
        <w:jc w:val="both"/>
      </w:pPr>
      <w:r>
        <w:rPr>
          <w:w w:val="100"/>
        </w:rPr>
        <w:t>有限</w:t>
      </w:r>
      <w:r>
        <w:rPr>
          <w:spacing w:val="-3"/>
          <w:w w:val="100"/>
        </w:rPr>
        <w:t>公</w:t>
      </w:r>
      <w:r>
        <w:rPr>
          <w:w w:val="100"/>
        </w:rPr>
        <w:t>司</w:t>
      </w:r>
      <w:r>
        <w:rPr>
          <w:spacing w:val="-3"/>
          <w:w w:val="100"/>
        </w:rPr>
        <w:t>以</w:t>
      </w:r>
      <w:r>
        <w:rPr>
          <w:w w:val="100"/>
        </w:rPr>
        <w:t>公</w:t>
      </w:r>
      <w:r>
        <w:rPr>
          <w:spacing w:val="-3"/>
          <w:w w:val="100"/>
        </w:rPr>
        <w:t>司</w:t>
      </w:r>
      <w:r>
        <w:rPr>
          <w:w w:val="100"/>
        </w:rPr>
        <w:t>项</w:t>
      </w:r>
      <w:r>
        <w:rPr>
          <w:spacing w:val="-3"/>
          <w:w w:val="100"/>
        </w:rPr>
        <w:t>目</w:t>
      </w:r>
      <w:r>
        <w:rPr>
          <w:w w:val="100"/>
        </w:rPr>
        <w:t>光</w:t>
      </w:r>
      <w:r>
        <w:rPr>
          <w:spacing w:val="-3"/>
          <w:w w:val="100"/>
        </w:rPr>
        <w:t>伏</w:t>
      </w:r>
      <w:r>
        <w:rPr>
          <w:w w:val="100"/>
        </w:rPr>
        <w:t>电站</w:t>
      </w:r>
      <w:r>
        <w:rPr>
          <w:spacing w:val="-3"/>
          <w:w w:val="100"/>
        </w:rPr>
        <w:t>的</w:t>
      </w:r>
      <w:r>
        <w:rPr>
          <w:w w:val="100"/>
        </w:rPr>
        <w:t>电</w:t>
      </w:r>
      <w:r>
        <w:rPr>
          <w:spacing w:val="-3"/>
          <w:w w:val="100"/>
        </w:rPr>
        <w:t>费</w:t>
      </w:r>
      <w:r>
        <w:rPr>
          <w:w w:val="100"/>
        </w:rPr>
        <w:t>收</w:t>
      </w:r>
      <w:r>
        <w:rPr>
          <w:spacing w:val="-3"/>
          <w:w w:val="100"/>
        </w:rPr>
        <w:t>费</w:t>
      </w:r>
      <w:r>
        <w:rPr>
          <w:w w:val="100"/>
        </w:rPr>
        <w:t>权</w:t>
      </w:r>
      <w:r>
        <w:rPr>
          <w:spacing w:val="-3"/>
          <w:w w:val="100"/>
        </w:rPr>
        <w:t>项</w:t>
      </w:r>
      <w:r>
        <w:rPr>
          <w:w w:val="100"/>
        </w:rPr>
        <w:t>下</w:t>
      </w:r>
      <w:r>
        <w:rPr>
          <w:spacing w:val="-3"/>
          <w:w w:val="100"/>
        </w:rPr>
        <w:t>权</w:t>
      </w:r>
      <w:r>
        <w:rPr>
          <w:w w:val="100"/>
        </w:rPr>
        <w:t>益为</w:t>
      </w:r>
      <w:r>
        <w:rPr>
          <w:spacing w:val="-3"/>
          <w:w w:val="100"/>
        </w:rPr>
        <w:t>质</w:t>
      </w:r>
      <w:r>
        <w:rPr>
          <w:w w:val="100"/>
        </w:rPr>
        <w:t>押</w:t>
      </w:r>
      <w:r>
        <w:rPr>
          <w:spacing w:val="-3"/>
          <w:w w:val="100"/>
        </w:rPr>
        <w:t>物</w:t>
      </w:r>
      <w:r>
        <w:rPr>
          <w:spacing w:val="-94"/>
          <w:w w:val="100"/>
        </w:rPr>
        <w:t>，</w:t>
      </w:r>
      <w:r>
        <w:rPr>
          <w:w w:val="100"/>
        </w:rPr>
        <w:t>截至</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阜</w:t>
      </w:r>
      <w:r>
        <w:rPr>
          <w:spacing w:val="-3"/>
          <w:w w:val="100"/>
        </w:rPr>
        <w:t>阳永</w:t>
      </w:r>
      <w:r>
        <w:rPr>
          <w:w w:val="100"/>
        </w:rPr>
        <w:t>明</w:t>
      </w:r>
    </w:p>
    <w:p>
      <w:pPr>
        <w:pStyle w:val="BodyText"/>
        <w:spacing w:line="240" w:lineRule="auto" w:before="110"/>
        <w:ind w:left="178" w:right="0"/>
        <w:jc w:val="both"/>
      </w:pPr>
      <w:r>
        <w:rPr/>
        <w:t>农业太阳能发电有限公司取得银行贷款余额</w:t>
      </w:r>
      <w:r>
        <w:rPr>
          <w:spacing w:val="-56"/>
        </w:rPr>
        <w:t> </w:t>
      </w:r>
      <w:r>
        <w:rPr>
          <w:rFonts w:ascii="Times New Roman" w:hAnsi="Times New Roman" w:cs="Times New Roman" w:eastAsia="Times New Roman" w:hint="default"/>
        </w:rPr>
        <w:t>7,820.00</w:t>
      </w:r>
      <w:r>
        <w:rPr>
          <w:rFonts w:ascii="Times New Roman" w:hAnsi="Times New Roman" w:cs="Times New Roman" w:eastAsia="Times New Roman" w:hint="default"/>
          <w:spacing w:val="-3"/>
        </w:rPr>
        <w:t> </w:t>
      </w:r>
      <w:r>
        <w:rPr/>
        <w:t>万元。</w:t>
      </w:r>
    </w:p>
    <w:p>
      <w:pPr>
        <w:pStyle w:val="BodyText"/>
        <w:spacing w:line="240" w:lineRule="auto" w:before="107"/>
        <w:ind w:left="598" w:right="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日，公司为阜阳金明太阳能发电有限公司向中国工商银行启东分行和阜</w:t>
      </w:r>
    </w:p>
    <w:p>
      <w:pPr>
        <w:pStyle w:val="BodyText"/>
        <w:spacing w:line="240" w:lineRule="auto" w:before="110"/>
        <w:ind w:left="178" w:right="0"/>
        <w:jc w:val="both"/>
      </w:pPr>
      <w:r>
        <w:rPr>
          <w:w w:val="100"/>
        </w:rPr>
        <w:t>阳分</w:t>
      </w:r>
      <w:r>
        <w:rPr>
          <w:spacing w:val="-3"/>
          <w:w w:val="100"/>
        </w:rPr>
        <w:t>行</w:t>
      </w:r>
      <w:r>
        <w:rPr>
          <w:w w:val="100"/>
        </w:rPr>
        <w:t>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9,90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元</w:t>
      </w:r>
      <w:r>
        <w:rPr>
          <w:spacing w:val="-3"/>
          <w:w w:val="100"/>
        </w:rPr>
        <w:t>的</w:t>
      </w:r>
      <w:r>
        <w:rPr>
          <w:w w:val="100"/>
        </w:rPr>
        <w:t>贷</w:t>
      </w:r>
      <w:r>
        <w:rPr>
          <w:spacing w:val="-3"/>
          <w:w w:val="100"/>
        </w:rPr>
        <w:t>款</w:t>
      </w:r>
      <w:r>
        <w:rPr>
          <w:w w:val="100"/>
        </w:rPr>
        <w:t>提</w:t>
      </w:r>
      <w:r>
        <w:rPr>
          <w:spacing w:val="-3"/>
          <w:w w:val="100"/>
        </w:rPr>
        <w:t>供</w:t>
      </w:r>
      <w:r>
        <w:rPr>
          <w:w w:val="100"/>
        </w:rPr>
        <w:t>连</w:t>
      </w:r>
      <w:r>
        <w:rPr>
          <w:spacing w:val="-3"/>
          <w:w w:val="100"/>
        </w:rPr>
        <w:t>带责</w:t>
      </w:r>
      <w:r>
        <w:rPr>
          <w:w w:val="100"/>
        </w:rPr>
        <w:t>任保</w:t>
      </w:r>
      <w:r>
        <w:rPr>
          <w:spacing w:val="-3"/>
          <w:w w:val="100"/>
        </w:rPr>
        <w:t>证</w:t>
      </w:r>
      <w:r>
        <w:rPr>
          <w:w w:val="100"/>
        </w:rPr>
        <w:t>担</w:t>
      </w:r>
      <w:r>
        <w:rPr>
          <w:spacing w:val="-3"/>
          <w:w w:val="100"/>
        </w:rPr>
        <w:t>保</w:t>
      </w:r>
      <w:r>
        <w:rPr>
          <w:spacing w:val="-94"/>
          <w:w w:val="100"/>
        </w:rPr>
        <w:t>，</w:t>
      </w:r>
      <w:r>
        <w:rPr>
          <w:w w:val="100"/>
        </w:rPr>
        <w:t>同</w:t>
      </w:r>
      <w:r>
        <w:rPr>
          <w:spacing w:val="-3"/>
          <w:w w:val="100"/>
        </w:rPr>
        <w:t>时</w:t>
      </w:r>
      <w:r>
        <w:rPr>
          <w:w w:val="100"/>
        </w:rPr>
        <w:t>阜</w:t>
      </w:r>
      <w:r>
        <w:rPr>
          <w:spacing w:val="-3"/>
          <w:w w:val="100"/>
        </w:rPr>
        <w:t>阳</w:t>
      </w:r>
      <w:r>
        <w:rPr>
          <w:w w:val="100"/>
        </w:rPr>
        <w:t>金</w:t>
      </w:r>
      <w:r>
        <w:rPr>
          <w:spacing w:val="-3"/>
          <w:w w:val="100"/>
        </w:rPr>
        <w:t>明</w:t>
      </w:r>
      <w:r>
        <w:rPr>
          <w:w w:val="100"/>
        </w:rPr>
        <w:t>太阳</w:t>
      </w:r>
      <w:r>
        <w:rPr>
          <w:spacing w:val="-3"/>
          <w:w w:val="100"/>
        </w:rPr>
        <w:t>能</w:t>
      </w:r>
      <w:r>
        <w:rPr>
          <w:w w:val="100"/>
        </w:rPr>
        <w:t>发</w:t>
      </w:r>
      <w:r>
        <w:rPr>
          <w:spacing w:val="-3"/>
          <w:w w:val="100"/>
        </w:rPr>
        <w:t>电</w:t>
      </w:r>
      <w:r>
        <w:rPr>
          <w:w w:val="100"/>
        </w:rPr>
        <w:t>有</w:t>
      </w:r>
      <w:r>
        <w:rPr>
          <w:spacing w:val="-3"/>
          <w:w w:val="100"/>
        </w:rPr>
        <w:t>限</w:t>
      </w:r>
      <w:r>
        <w:rPr>
          <w:w w:val="100"/>
        </w:rPr>
        <w:t>公</w:t>
      </w:r>
    </w:p>
    <w:p>
      <w:pPr>
        <w:pStyle w:val="BodyText"/>
        <w:spacing w:line="240" w:lineRule="auto" w:before="110"/>
        <w:ind w:left="178" w:right="0"/>
        <w:jc w:val="both"/>
      </w:pPr>
      <w:r>
        <w:rPr>
          <w:w w:val="100"/>
        </w:rPr>
        <w:t>司以</w:t>
      </w:r>
      <w:r>
        <w:rPr>
          <w:spacing w:val="-3"/>
          <w:w w:val="100"/>
        </w:rPr>
        <w:t>公</w:t>
      </w:r>
      <w:r>
        <w:rPr>
          <w:w w:val="100"/>
        </w:rPr>
        <w:t>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电费</w:t>
      </w:r>
      <w:r>
        <w:rPr>
          <w:spacing w:val="-3"/>
          <w:w w:val="100"/>
        </w:rPr>
        <w:t>收</w:t>
      </w:r>
      <w:r>
        <w:rPr>
          <w:w w:val="100"/>
        </w:rPr>
        <w:t>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阜</w:t>
      </w:r>
      <w:r>
        <w:rPr>
          <w:w w:val="100"/>
        </w:rPr>
        <w:t>阳</w:t>
      </w:r>
      <w:r>
        <w:rPr>
          <w:spacing w:val="-3"/>
          <w:w w:val="100"/>
        </w:rPr>
        <w:t>金</w:t>
      </w:r>
      <w:r>
        <w:rPr>
          <w:w w:val="100"/>
        </w:rPr>
        <w:t>明</w:t>
      </w:r>
      <w:r>
        <w:rPr>
          <w:spacing w:val="-3"/>
          <w:w w:val="100"/>
        </w:rPr>
        <w:t>太阳</w:t>
      </w:r>
      <w:r>
        <w:rPr>
          <w:w w:val="100"/>
        </w:rPr>
        <w:t>能</w:t>
      </w:r>
    </w:p>
    <w:p>
      <w:pPr>
        <w:pStyle w:val="BodyText"/>
        <w:spacing w:line="240" w:lineRule="auto" w:before="108"/>
        <w:ind w:left="178" w:right="0"/>
        <w:jc w:val="both"/>
      </w:pPr>
      <w:r>
        <w:rPr/>
        <w:t>发电有限公司取得银行贷款余额</w:t>
      </w:r>
      <w:r>
        <w:rPr>
          <w:spacing w:val="-54"/>
        </w:rPr>
        <w:t> </w:t>
      </w:r>
      <w:r>
        <w:rPr>
          <w:rFonts w:ascii="Times New Roman" w:hAnsi="Times New Roman" w:cs="Times New Roman" w:eastAsia="Times New Roman" w:hint="default"/>
        </w:rPr>
        <w:t>17,790.00</w:t>
      </w:r>
      <w:r>
        <w:rPr>
          <w:rFonts w:ascii="Times New Roman" w:hAnsi="Times New Roman" w:cs="Times New Roman" w:eastAsia="Times New Roman" w:hint="default"/>
          <w:spacing w:val="-1"/>
        </w:rPr>
        <w:t> </w:t>
      </w:r>
      <w:r>
        <w:rPr/>
        <w:t>万元。</w:t>
      </w:r>
    </w:p>
    <w:p>
      <w:pPr>
        <w:spacing w:after="0" w:line="240" w:lineRule="auto"/>
        <w:jc w:val="both"/>
        <w:sectPr>
          <w:pgSz w:w="11910" w:h="16840"/>
          <w:pgMar w:header="728" w:footer="974" w:top="1120" w:bottom="1160" w:left="162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598" w:right="0"/>
        <w:jc w:val="left"/>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日，公司为萧县裕晟新能源科技有限公司向中国工商银行启东分行和萧</w:t>
      </w:r>
    </w:p>
    <w:p>
      <w:pPr>
        <w:pStyle w:val="BodyText"/>
        <w:spacing w:line="240" w:lineRule="auto" w:before="110"/>
        <w:ind w:left="178" w:right="0"/>
        <w:jc w:val="left"/>
      </w:pPr>
      <w:r>
        <w:rPr>
          <w:w w:val="100"/>
        </w:rPr>
        <w:t>县分</w:t>
      </w:r>
      <w:r>
        <w:rPr>
          <w:spacing w:val="-3"/>
          <w:w w:val="100"/>
        </w:rPr>
        <w:t>行</w:t>
      </w:r>
      <w:r>
        <w:rPr>
          <w:w w:val="100"/>
        </w:rPr>
        <w:t>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元</w:t>
      </w:r>
      <w:r>
        <w:rPr>
          <w:spacing w:val="-3"/>
          <w:w w:val="100"/>
        </w:rPr>
        <w:t>的</w:t>
      </w:r>
      <w:r>
        <w:rPr>
          <w:w w:val="100"/>
        </w:rPr>
        <w:t>贷</w:t>
      </w:r>
      <w:r>
        <w:rPr>
          <w:spacing w:val="-3"/>
          <w:w w:val="100"/>
        </w:rPr>
        <w:t>款</w:t>
      </w:r>
      <w:r>
        <w:rPr>
          <w:w w:val="100"/>
        </w:rPr>
        <w:t>提</w:t>
      </w:r>
      <w:r>
        <w:rPr>
          <w:spacing w:val="-3"/>
          <w:w w:val="100"/>
        </w:rPr>
        <w:t>供</w:t>
      </w:r>
      <w:r>
        <w:rPr>
          <w:w w:val="100"/>
        </w:rPr>
        <w:t>连</w:t>
      </w:r>
      <w:r>
        <w:rPr>
          <w:spacing w:val="-3"/>
          <w:w w:val="100"/>
        </w:rPr>
        <w:t>带责</w:t>
      </w:r>
      <w:r>
        <w:rPr>
          <w:w w:val="100"/>
        </w:rPr>
        <w:t>任保</w:t>
      </w:r>
      <w:r>
        <w:rPr>
          <w:spacing w:val="-3"/>
          <w:w w:val="100"/>
        </w:rPr>
        <w:t>证</w:t>
      </w:r>
      <w:r>
        <w:rPr>
          <w:w w:val="100"/>
        </w:rPr>
        <w:t>担</w:t>
      </w:r>
      <w:r>
        <w:rPr>
          <w:spacing w:val="-3"/>
          <w:w w:val="100"/>
        </w:rPr>
        <w:t>保</w:t>
      </w:r>
      <w:r>
        <w:rPr>
          <w:spacing w:val="-94"/>
          <w:w w:val="100"/>
        </w:rPr>
        <w:t>，</w:t>
      </w:r>
      <w:r>
        <w:rPr>
          <w:w w:val="100"/>
        </w:rPr>
        <w:t>同</w:t>
      </w:r>
      <w:r>
        <w:rPr>
          <w:spacing w:val="-3"/>
          <w:w w:val="100"/>
        </w:rPr>
        <w:t>时</w:t>
      </w:r>
      <w:r>
        <w:rPr>
          <w:w w:val="100"/>
        </w:rPr>
        <w:t>萧</w:t>
      </w:r>
      <w:r>
        <w:rPr>
          <w:spacing w:val="-3"/>
          <w:w w:val="100"/>
        </w:rPr>
        <w:t>县</w:t>
      </w:r>
      <w:r>
        <w:rPr>
          <w:w w:val="100"/>
        </w:rPr>
        <w:t>裕</w:t>
      </w:r>
      <w:r>
        <w:rPr>
          <w:spacing w:val="-3"/>
          <w:w w:val="100"/>
        </w:rPr>
        <w:t>晟</w:t>
      </w:r>
      <w:r>
        <w:rPr>
          <w:w w:val="100"/>
        </w:rPr>
        <w:t>新能</w:t>
      </w:r>
      <w:r>
        <w:rPr>
          <w:spacing w:val="-3"/>
          <w:w w:val="100"/>
        </w:rPr>
        <w:t>源</w:t>
      </w:r>
      <w:r>
        <w:rPr>
          <w:w w:val="100"/>
        </w:rPr>
        <w:t>科</w:t>
      </w:r>
      <w:r>
        <w:rPr>
          <w:spacing w:val="-3"/>
          <w:w w:val="100"/>
        </w:rPr>
        <w:t>技</w:t>
      </w:r>
      <w:r>
        <w:rPr>
          <w:w w:val="100"/>
        </w:rPr>
        <w:t>有</w:t>
      </w:r>
      <w:r>
        <w:rPr>
          <w:spacing w:val="-3"/>
          <w:w w:val="100"/>
        </w:rPr>
        <w:t>限</w:t>
      </w:r>
      <w:r>
        <w:rPr>
          <w:w w:val="100"/>
        </w:rPr>
        <w:t>公</w:t>
      </w:r>
    </w:p>
    <w:p>
      <w:pPr>
        <w:pStyle w:val="BodyText"/>
        <w:spacing w:line="240" w:lineRule="auto" w:before="110"/>
        <w:ind w:left="178" w:right="0"/>
        <w:jc w:val="left"/>
      </w:pPr>
      <w:r>
        <w:rPr>
          <w:w w:val="100"/>
        </w:rPr>
        <w:t>司以</w:t>
      </w:r>
      <w:r>
        <w:rPr>
          <w:spacing w:val="-3"/>
          <w:w w:val="100"/>
        </w:rPr>
        <w:t>公</w:t>
      </w:r>
      <w:r>
        <w:rPr>
          <w:w w:val="100"/>
        </w:rPr>
        <w:t>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电费</w:t>
      </w:r>
      <w:r>
        <w:rPr>
          <w:spacing w:val="-3"/>
          <w:w w:val="100"/>
        </w:rPr>
        <w:t>收</w:t>
      </w:r>
      <w:r>
        <w:rPr>
          <w:w w:val="100"/>
        </w:rPr>
        <w:t>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萧</w:t>
      </w:r>
      <w:r>
        <w:rPr>
          <w:w w:val="100"/>
        </w:rPr>
        <w:t>县</w:t>
      </w:r>
      <w:r>
        <w:rPr>
          <w:spacing w:val="-3"/>
          <w:w w:val="100"/>
        </w:rPr>
        <w:t>裕</w:t>
      </w:r>
      <w:r>
        <w:rPr>
          <w:w w:val="100"/>
        </w:rPr>
        <w:t>晟</w:t>
      </w:r>
      <w:r>
        <w:rPr>
          <w:spacing w:val="-3"/>
          <w:w w:val="100"/>
        </w:rPr>
        <w:t>新能</w:t>
      </w:r>
      <w:r>
        <w:rPr>
          <w:w w:val="100"/>
        </w:rPr>
        <w:t>源</w:t>
      </w:r>
    </w:p>
    <w:p>
      <w:pPr>
        <w:pStyle w:val="BodyText"/>
        <w:spacing w:line="240" w:lineRule="auto" w:before="107"/>
        <w:ind w:left="178" w:right="0"/>
        <w:jc w:val="left"/>
      </w:pPr>
      <w:r>
        <w:rPr/>
        <w:t>科技有限公司取得银行贷款余额</w:t>
      </w:r>
      <w:r>
        <w:rPr>
          <w:spacing w:val="-53"/>
        </w:rPr>
        <w:t> </w:t>
      </w:r>
      <w:r>
        <w:rPr>
          <w:rFonts w:ascii="Times New Roman" w:hAnsi="Times New Roman" w:cs="Times New Roman" w:eastAsia="Times New Roman" w:hint="default"/>
        </w:rPr>
        <w:t>9,930.00</w:t>
      </w:r>
      <w:r>
        <w:rPr>
          <w:rFonts w:ascii="Times New Roman" w:hAnsi="Times New Roman" w:cs="Times New Roman" w:eastAsia="Times New Roman" w:hint="default"/>
          <w:spacing w:val="-3"/>
        </w:rPr>
        <w:t> </w:t>
      </w:r>
      <w:r>
        <w:rPr/>
        <w:t>万元。</w:t>
      </w:r>
    </w:p>
    <w:p>
      <w:pPr>
        <w:pStyle w:val="BodyText"/>
        <w:spacing w:line="240" w:lineRule="auto" w:before="110"/>
        <w:ind w:left="598" w:right="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日，公司及江苏林洋光伏科技有限公司为启东市华乐新能源电力有限公</w:t>
      </w:r>
    </w:p>
    <w:p>
      <w:pPr>
        <w:pStyle w:val="BodyText"/>
        <w:spacing w:line="240" w:lineRule="auto" w:before="110"/>
        <w:ind w:left="178" w:right="0"/>
        <w:jc w:val="left"/>
        <w:rPr>
          <w:rFonts w:ascii="Times New Roman" w:hAnsi="Times New Roman" w:cs="Times New Roman" w:eastAsia="Times New Roman" w:hint="default"/>
        </w:rPr>
      </w:pPr>
      <w:r>
        <w:rPr/>
        <w:t>司向中国农业银行启东分行申请不超过 </w:t>
      </w:r>
      <w:r>
        <w:rPr>
          <w:rFonts w:ascii="Times New Roman" w:hAnsi="Times New Roman" w:cs="Times New Roman" w:eastAsia="Times New Roman" w:hint="default"/>
        </w:rPr>
        <w:t>15,000.00 </w:t>
      </w:r>
      <w:r>
        <w:rPr/>
        <w:t>万元的贷款提供连带责任保证担保，截至</w:t>
      </w:r>
      <w:r>
        <w:rPr>
          <w:spacing w:val="-47"/>
        </w:rPr>
        <w:t> </w:t>
      </w:r>
      <w:r>
        <w:rPr>
          <w:rFonts w:ascii="Times New Roman" w:hAnsi="Times New Roman" w:cs="Times New Roman" w:eastAsia="Times New Roman" w:hint="default"/>
        </w:rPr>
        <w:t>2018</w:t>
      </w:r>
    </w:p>
    <w:p>
      <w:pPr>
        <w:pStyle w:val="BodyText"/>
        <w:spacing w:line="240" w:lineRule="auto" w:before="107"/>
        <w:ind w:left="178" w:right="0"/>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日启东市华乐新能源电力有限公司取得银行贷款余额</w:t>
      </w:r>
      <w:r>
        <w:rPr>
          <w:spacing w:val="-52"/>
        </w:rPr>
        <w:t> </w:t>
      </w:r>
      <w:r>
        <w:rPr>
          <w:rFonts w:ascii="Times New Roman" w:hAnsi="Times New Roman" w:cs="Times New Roman" w:eastAsia="Times New Roman" w:hint="default"/>
        </w:rPr>
        <w:t>6,700.00 </w:t>
      </w:r>
      <w:r>
        <w:rPr/>
        <w:t>万元。</w:t>
      </w:r>
    </w:p>
    <w:p>
      <w:pPr>
        <w:pStyle w:val="BodyText"/>
        <w:spacing w:line="240" w:lineRule="auto" w:before="110"/>
        <w:ind w:left="598" w:right="0"/>
        <w:jc w:val="left"/>
      </w:pP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spacing w:val="-3"/>
        </w:rPr>
        <w:t>日，公司为颍上永阳新能源科技有限公司向中国工商银行启东分行和阜阳</w:t>
      </w:r>
    </w:p>
    <w:p>
      <w:pPr>
        <w:pStyle w:val="BodyText"/>
        <w:spacing w:line="240" w:lineRule="auto" w:before="110"/>
        <w:ind w:left="178" w:right="0"/>
        <w:jc w:val="left"/>
      </w:pPr>
      <w:r>
        <w:rPr>
          <w:w w:val="100"/>
        </w:rPr>
        <w:t>分行</w:t>
      </w:r>
      <w:r>
        <w:rPr>
          <w:spacing w:val="-3"/>
          <w:w w:val="100"/>
        </w:rPr>
        <w:t>申</w:t>
      </w:r>
      <w:r>
        <w:rPr>
          <w:w w:val="100"/>
        </w:rPr>
        <w:t>请</w:t>
      </w:r>
      <w:r>
        <w:rPr>
          <w:spacing w:val="-3"/>
          <w:w w:val="100"/>
        </w:rPr>
        <w:t>不超</w:t>
      </w:r>
      <w:r>
        <w:rPr>
          <w:w w:val="100"/>
        </w:rPr>
        <w:t>过</w:t>
      </w:r>
      <w:r>
        <w:rPr>
          <w:spacing w:val="-53"/>
        </w:rPr>
        <w:t> </w:t>
      </w:r>
      <w:r>
        <w:rPr>
          <w:rFonts w:ascii="Times New Roman" w:hAnsi="Times New Roman" w:cs="Times New Roman" w:eastAsia="Times New Roman" w:hint="default"/>
          <w:w w:val="100"/>
        </w:rPr>
        <w:t>11,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万元</w:t>
      </w:r>
      <w:r>
        <w:rPr>
          <w:spacing w:val="-3"/>
          <w:w w:val="100"/>
        </w:rPr>
        <w:t>的</w:t>
      </w:r>
      <w:r>
        <w:rPr>
          <w:w w:val="100"/>
        </w:rPr>
        <w:t>贷</w:t>
      </w:r>
      <w:r>
        <w:rPr>
          <w:spacing w:val="-3"/>
          <w:w w:val="100"/>
        </w:rPr>
        <w:t>款</w:t>
      </w:r>
      <w:r>
        <w:rPr>
          <w:w w:val="100"/>
        </w:rPr>
        <w:t>提</w:t>
      </w:r>
      <w:r>
        <w:rPr>
          <w:spacing w:val="-3"/>
          <w:w w:val="100"/>
        </w:rPr>
        <w:t>供</w:t>
      </w:r>
      <w:r>
        <w:rPr>
          <w:w w:val="100"/>
        </w:rPr>
        <w:t>连</w:t>
      </w:r>
      <w:r>
        <w:rPr>
          <w:spacing w:val="-3"/>
          <w:w w:val="100"/>
        </w:rPr>
        <w:t>带</w:t>
      </w:r>
      <w:r>
        <w:rPr>
          <w:w w:val="100"/>
        </w:rPr>
        <w:t>责</w:t>
      </w:r>
      <w:r>
        <w:rPr>
          <w:spacing w:val="-3"/>
          <w:w w:val="100"/>
        </w:rPr>
        <w:t>任</w:t>
      </w:r>
      <w:r>
        <w:rPr>
          <w:w w:val="100"/>
        </w:rPr>
        <w:t>保证</w:t>
      </w:r>
      <w:r>
        <w:rPr>
          <w:spacing w:val="-3"/>
          <w:w w:val="100"/>
        </w:rPr>
        <w:t>担保</w:t>
      </w:r>
      <w:r>
        <w:rPr>
          <w:spacing w:val="-92"/>
          <w:w w:val="100"/>
        </w:rPr>
        <w:t>，</w:t>
      </w:r>
      <w:r>
        <w:rPr>
          <w:spacing w:val="-3"/>
          <w:w w:val="100"/>
        </w:rPr>
        <w:t>同</w:t>
      </w:r>
      <w:r>
        <w:rPr>
          <w:w w:val="100"/>
        </w:rPr>
        <w:t>时</w:t>
      </w:r>
      <w:r>
        <w:rPr>
          <w:spacing w:val="-3"/>
          <w:w w:val="100"/>
        </w:rPr>
        <w:t>颍</w:t>
      </w:r>
      <w:r>
        <w:rPr>
          <w:w w:val="100"/>
        </w:rPr>
        <w:t>上</w:t>
      </w:r>
      <w:r>
        <w:rPr>
          <w:spacing w:val="-3"/>
          <w:w w:val="100"/>
        </w:rPr>
        <w:t>永</w:t>
      </w:r>
      <w:r>
        <w:rPr>
          <w:w w:val="100"/>
        </w:rPr>
        <w:t>阳</w:t>
      </w:r>
      <w:r>
        <w:rPr>
          <w:spacing w:val="-3"/>
          <w:w w:val="100"/>
        </w:rPr>
        <w:t>新</w:t>
      </w:r>
      <w:r>
        <w:rPr>
          <w:w w:val="100"/>
        </w:rPr>
        <w:t>能源</w:t>
      </w:r>
      <w:r>
        <w:rPr>
          <w:spacing w:val="-3"/>
          <w:w w:val="100"/>
        </w:rPr>
        <w:t>科</w:t>
      </w:r>
      <w:r>
        <w:rPr>
          <w:w w:val="100"/>
        </w:rPr>
        <w:t>技</w:t>
      </w:r>
      <w:r>
        <w:rPr>
          <w:spacing w:val="-3"/>
          <w:w w:val="100"/>
        </w:rPr>
        <w:t>有</w:t>
      </w:r>
      <w:r>
        <w:rPr>
          <w:w w:val="100"/>
        </w:rPr>
        <w:t>限</w:t>
      </w:r>
      <w:r>
        <w:rPr>
          <w:spacing w:val="-3"/>
          <w:w w:val="100"/>
        </w:rPr>
        <w:t>公</w:t>
      </w:r>
      <w:r>
        <w:rPr>
          <w:w w:val="100"/>
        </w:rPr>
        <w:t>司</w:t>
      </w:r>
    </w:p>
    <w:p>
      <w:pPr>
        <w:pStyle w:val="BodyText"/>
        <w:spacing w:line="240" w:lineRule="auto" w:before="107"/>
        <w:ind w:left="178" w:right="0"/>
        <w:jc w:val="left"/>
      </w:pPr>
      <w:r>
        <w:rPr>
          <w:w w:val="100"/>
        </w:rPr>
        <w:t>以公</w:t>
      </w:r>
      <w:r>
        <w:rPr>
          <w:spacing w:val="-3"/>
          <w:w w:val="100"/>
        </w:rPr>
        <w:t>司</w:t>
      </w:r>
      <w:r>
        <w:rPr>
          <w:w w:val="100"/>
        </w:rPr>
        <w:t>项</w:t>
      </w:r>
      <w:r>
        <w:rPr>
          <w:spacing w:val="-3"/>
          <w:w w:val="100"/>
        </w:rPr>
        <w:t>目</w:t>
      </w:r>
      <w:r>
        <w:rPr>
          <w:w w:val="100"/>
        </w:rPr>
        <w:t>光</w:t>
      </w:r>
      <w:r>
        <w:rPr>
          <w:spacing w:val="-3"/>
          <w:w w:val="100"/>
        </w:rPr>
        <w:t>伏</w:t>
      </w:r>
      <w:r>
        <w:rPr>
          <w:w w:val="100"/>
        </w:rPr>
        <w:t>电</w:t>
      </w:r>
      <w:r>
        <w:rPr>
          <w:spacing w:val="-3"/>
          <w:w w:val="100"/>
        </w:rPr>
        <w:t>站</w:t>
      </w:r>
      <w:r>
        <w:rPr>
          <w:w w:val="100"/>
        </w:rPr>
        <w:t>的</w:t>
      </w:r>
      <w:r>
        <w:rPr>
          <w:spacing w:val="-3"/>
          <w:w w:val="100"/>
        </w:rPr>
        <w:t>电</w:t>
      </w:r>
      <w:r>
        <w:rPr>
          <w:w w:val="100"/>
        </w:rPr>
        <w:t>费收</w:t>
      </w:r>
      <w:r>
        <w:rPr>
          <w:spacing w:val="-3"/>
          <w:w w:val="100"/>
        </w:rPr>
        <w:t>费</w:t>
      </w:r>
      <w:r>
        <w:rPr>
          <w:w w:val="100"/>
        </w:rPr>
        <w:t>权</w:t>
      </w:r>
      <w:r>
        <w:rPr>
          <w:spacing w:val="-3"/>
          <w:w w:val="100"/>
        </w:rPr>
        <w:t>项</w:t>
      </w:r>
      <w:r>
        <w:rPr>
          <w:w w:val="100"/>
        </w:rPr>
        <w:t>下</w:t>
      </w:r>
      <w:r>
        <w:rPr>
          <w:spacing w:val="-3"/>
          <w:w w:val="100"/>
        </w:rPr>
        <w:t>权</w:t>
      </w:r>
      <w:r>
        <w:rPr>
          <w:w w:val="100"/>
        </w:rPr>
        <w:t>益</w:t>
      </w:r>
      <w:r>
        <w:rPr>
          <w:spacing w:val="-3"/>
          <w:w w:val="100"/>
        </w:rPr>
        <w:t>为</w:t>
      </w:r>
      <w:r>
        <w:rPr>
          <w:w w:val="100"/>
        </w:rPr>
        <w:t>质</w:t>
      </w:r>
      <w:r>
        <w:rPr>
          <w:spacing w:val="-3"/>
          <w:w w:val="100"/>
        </w:rPr>
        <w:t>押</w:t>
      </w:r>
      <w:r>
        <w:rPr>
          <w:w w:val="100"/>
        </w:rPr>
        <w:t>物</w:t>
      </w:r>
      <w:r>
        <w:rPr>
          <w:spacing w:val="-94"/>
          <w:w w:val="100"/>
        </w:rPr>
        <w:t>，</w:t>
      </w:r>
      <w:r>
        <w:rPr>
          <w:w w:val="100"/>
        </w:rPr>
        <w:t>截至</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日颍</w:t>
      </w:r>
      <w:r>
        <w:rPr>
          <w:spacing w:val="-3"/>
          <w:w w:val="100"/>
        </w:rPr>
        <w:t>上</w:t>
      </w:r>
      <w:r>
        <w:rPr>
          <w:w w:val="100"/>
        </w:rPr>
        <w:t>永</w:t>
      </w:r>
      <w:r>
        <w:rPr>
          <w:spacing w:val="-3"/>
          <w:w w:val="100"/>
        </w:rPr>
        <w:t>阳</w:t>
      </w:r>
      <w:r>
        <w:rPr>
          <w:w w:val="100"/>
        </w:rPr>
        <w:t>新</w:t>
      </w:r>
      <w:r>
        <w:rPr>
          <w:spacing w:val="-3"/>
          <w:w w:val="100"/>
        </w:rPr>
        <w:t>能源</w:t>
      </w:r>
      <w:r>
        <w:rPr>
          <w:w w:val="100"/>
        </w:rPr>
        <w:t>科</w:t>
      </w:r>
    </w:p>
    <w:p>
      <w:pPr>
        <w:pStyle w:val="BodyText"/>
        <w:spacing w:line="240" w:lineRule="auto" w:before="110"/>
        <w:ind w:left="178" w:right="0"/>
        <w:jc w:val="left"/>
      </w:pPr>
      <w:r>
        <w:rPr/>
        <w:t>技有限公司取得银行贷款余额</w:t>
      </w:r>
      <w:r>
        <w:rPr>
          <w:spacing w:val="-54"/>
        </w:rPr>
        <w:t> </w:t>
      </w:r>
      <w:r>
        <w:rPr>
          <w:rFonts w:ascii="Times New Roman" w:hAnsi="Times New Roman" w:cs="Times New Roman" w:eastAsia="Times New Roman" w:hint="default"/>
        </w:rPr>
        <w:t>4,060.00</w:t>
      </w:r>
      <w:r>
        <w:rPr>
          <w:rFonts w:ascii="Times New Roman" w:hAnsi="Times New Roman" w:cs="Times New Roman" w:eastAsia="Times New Roman" w:hint="default"/>
          <w:spacing w:val="-1"/>
        </w:rPr>
        <w:t> </w:t>
      </w:r>
      <w:r>
        <w:rPr/>
        <w:t>万元。</w:t>
      </w:r>
    </w:p>
    <w:p>
      <w:pPr>
        <w:pStyle w:val="BodyText"/>
        <w:spacing w:line="240" w:lineRule="auto" w:before="110"/>
        <w:ind w:left="598" w:right="0"/>
        <w:jc w:val="left"/>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日，公司为泗洪永乐新能源科技有限公司向中国银行泗洪支行申请不超</w:t>
      </w:r>
    </w:p>
    <w:p>
      <w:pPr>
        <w:pStyle w:val="BodyText"/>
        <w:spacing w:line="240" w:lineRule="auto" w:before="107"/>
        <w:ind w:left="178" w:right="0"/>
        <w:jc w:val="left"/>
      </w:pPr>
      <w:r>
        <w:rPr/>
        <w:t>过</w:t>
      </w:r>
      <w:r>
        <w:rPr>
          <w:spacing w:val="-51"/>
        </w:rPr>
        <w:t> </w:t>
      </w:r>
      <w:r>
        <w:rPr>
          <w:rFonts w:ascii="Times New Roman" w:hAnsi="Times New Roman" w:cs="Times New Roman" w:eastAsia="Times New Roman" w:hint="default"/>
        </w:rPr>
        <w:t>18,700.00</w:t>
      </w:r>
      <w:r>
        <w:rPr>
          <w:rFonts w:ascii="Times New Roman" w:hAnsi="Times New Roman" w:cs="Times New Roman" w:eastAsia="Times New Roman" w:hint="default"/>
          <w:spacing w:val="-1"/>
        </w:rPr>
        <w:t> </w:t>
      </w:r>
      <w:r>
        <w:rPr/>
        <w:t>万元的贷款提供连带责任保证担保，截至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日泗洪永乐新能源科技有</w:t>
      </w:r>
    </w:p>
    <w:p>
      <w:pPr>
        <w:pStyle w:val="BodyText"/>
        <w:spacing w:line="240" w:lineRule="auto" w:before="110"/>
        <w:ind w:left="178" w:right="0"/>
        <w:jc w:val="left"/>
      </w:pPr>
      <w:r>
        <w:rPr/>
        <w:t>限公司取得银行贷款余额</w:t>
      </w:r>
      <w:r>
        <w:rPr>
          <w:spacing w:val="-55"/>
        </w:rPr>
        <w:t> </w:t>
      </w:r>
      <w:r>
        <w:rPr>
          <w:rFonts w:ascii="Times New Roman" w:hAnsi="Times New Roman" w:cs="Times New Roman" w:eastAsia="Times New Roman" w:hint="default"/>
        </w:rPr>
        <w:t>11,750.00</w:t>
      </w:r>
      <w:r>
        <w:rPr>
          <w:rFonts w:ascii="Times New Roman" w:hAnsi="Times New Roman" w:cs="Times New Roman" w:eastAsia="Times New Roman" w:hint="default"/>
          <w:spacing w:val="-3"/>
        </w:rPr>
        <w:t> </w:t>
      </w:r>
      <w:r>
        <w:rPr/>
        <w:t>万元。</w:t>
      </w:r>
    </w:p>
    <w:p>
      <w:pPr>
        <w:pStyle w:val="BodyText"/>
        <w:spacing w:line="240" w:lineRule="auto" w:before="110"/>
        <w:ind w:left="598" w:right="0"/>
        <w:jc w:val="left"/>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日，公司为灌云林洋新能源科技有限公司向中国银行启东支行申请不超</w:t>
      </w:r>
    </w:p>
    <w:p>
      <w:pPr>
        <w:pStyle w:val="BodyText"/>
        <w:spacing w:line="240" w:lineRule="auto" w:before="107"/>
        <w:ind w:left="178" w:right="0"/>
        <w:jc w:val="left"/>
      </w:pPr>
      <w:r>
        <w:rPr>
          <w:w w:val="100"/>
        </w:rPr>
        <w:t>过</w:t>
      </w:r>
      <w:r>
        <w:rPr>
          <w:spacing w:val="-53"/>
        </w:rPr>
        <w:t> </w:t>
      </w:r>
      <w:r>
        <w:rPr>
          <w:rFonts w:ascii="Times New Roman" w:hAnsi="Times New Roman" w:cs="Times New Roman" w:eastAsia="Times New Roman" w:hint="default"/>
          <w:w w:val="100"/>
        </w:rPr>
        <w:t>8,0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w w:val="100"/>
        </w:rPr>
        <w:t>万</w:t>
      </w:r>
      <w:r>
        <w:rPr>
          <w:spacing w:val="-3"/>
          <w:w w:val="100"/>
        </w:rPr>
        <w:t>元</w:t>
      </w:r>
      <w:r>
        <w:rPr>
          <w:w w:val="100"/>
        </w:rPr>
        <w:t>的</w:t>
      </w:r>
      <w:r>
        <w:rPr>
          <w:spacing w:val="-3"/>
          <w:w w:val="100"/>
        </w:rPr>
        <w:t>贷</w:t>
      </w:r>
      <w:r>
        <w:rPr>
          <w:w w:val="100"/>
        </w:rPr>
        <w:t>款</w:t>
      </w:r>
      <w:r>
        <w:rPr>
          <w:spacing w:val="-3"/>
          <w:w w:val="100"/>
        </w:rPr>
        <w:t>提</w:t>
      </w:r>
      <w:r>
        <w:rPr>
          <w:w w:val="100"/>
        </w:rPr>
        <w:t>供连</w:t>
      </w:r>
      <w:r>
        <w:rPr>
          <w:spacing w:val="-3"/>
          <w:w w:val="100"/>
        </w:rPr>
        <w:t>带</w:t>
      </w:r>
      <w:r>
        <w:rPr>
          <w:w w:val="100"/>
        </w:rPr>
        <w:t>责</w:t>
      </w:r>
      <w:r>
        <w:rPr>
          <w:spacing w:val="-3"/>
          <w:w w:val="100"/>
        </w:rPr>
        <w:t>任</w:t>
      </w:r>
      <w:r>
        <w:rPr>
          <w:w w:val="100"/>
        </w:rPr>
        <w:t>保</w:t>
      </w:r>
      <w:r>
        <w:rPr>
          <w:spacing w:val="-3"/>
          <w:w w:val="100"/>
        </w:rPr>
        <w:t>证</w:t>
      </w:r>
      <w:r>
        <w:rPr>
          <w:w w:val="100"/>
        </w:rPr>
        <w:t>担</w:t>
      </w:r>
      <w:r>
        <w:rPr>
          <w:spacing w:val="-3"/>
          <w:w w:val="100"/>
        </w:rPr>
        <w:t>保</w:t>
      </w:r>
      <w:r>
        <w:rPr>
          <w:spacing w:val="-94"/>
          <w:w w:val="100"/>
        </w:rPr>
        <w:t>，</w:t>
      </w:r>
      <w:r>
        <w:rPr>
          <w:spacing w:val="-3"/>
          <w:w w:val="100"/>
        </w:rPr>
        <w:t>截</w:t>
      </w:r>
      <w:r>
        <w:rPr>
          <w:w w:val="100"/>
        </w:rPr>
        <w:t>至</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灌云</w:t>
      </w:r>
      <w:r>
        <w:rPr>
          <w:w w:val="100"/>
        </w:rPr>
        <w:t>林洋</w:t>
      </w:r>
      <w:r>
        <w:rPr>
          <w:spacing w:val="-3"/>
          <w:w w:val="100"/>
        </w:rPr>
        <w:t>新</w:t>
      </w:r>
      <w:r>
        <w:rPr>
          <w:w w:val="100"/>
        </w:rPr>
        <w:t>能</w:t>
      </w:r>
      <w:r>
        <w:rPr>
          <w:spacing w:val="-3"/>
          <w:w w:val="100"/>
        </w:rPr>
        <w:t>源</w:t>
      </w:r>
      <w:r>
        <w:rPr>
          <w:w w:val="100"/>
        </w:rPr>
        <w:t>科</w:t>
      </w:r>
      <w:r>
        <w:rPr>
          <w:spacing w:val="-3"/>
          <w:w w:val="100"/>
        </w:rPr>
        <w:t>技</w:t>
      </w:r>
      <w:r>
        <w:rPr>
          <w:w w:val="100"/>
        </w:rPr>
        <w:t>有限</w:t>
      </w:r>
    </w:p>
    <w:p>
      <w:pPr>
        <w:pStyle w:val="BodyText"/>
        <w:spacing w:line="240" w:lineRule="auto" w:before="110"/>
        <w:ind w:left="178" w:right="0"/>
        <w:jc w:val="left"/>
      </w:pPr>
      <w:r>
        <w:rPr/>
        <w:t>公司取得银行贷款余额</w:t>
      </w:r>
      <w:r>
        <w:rPr>
          <w:spacing w:val="-53"/>
        </w:rPr>
        <w:t> </w:t>
      </w:r>
      <w:r>
        <w:rPr>
          <w:rFonts w:ascii="Times New Roman" w:hAnsi="Times New Roman" w:cs="Times New Roman" w:eastAsia="Times New Roman" w:hint="default"/>
        </w:rPr>
        <w:t>7,600.00</w:t>
      </w:r>
      <w:r>
        <w:rPr>
          <w:rFonts w:ascii="Times New Roman" w:hAnsi="Times New Roman" w:cs="Times New Roman" w:eastAsia="Times New Roman" w:hint="default"/>
          <w:spacing w:val="-4"/>
        </w:rPr>
        <w:t> </w:t>
      </w:r>
      <w:r>
        <w:rPr/>
        <w:t>万元。</w:t>
      </w:r>
    </w:p>
    <w:p>
      <w:pPr>
        <w:pStyle w:val="BodyText"/>
        <w:spacing w:line="240" w:lineRule="auto" w:before="110"/>
        <w:ind w:left="598" w:right="0"/>
        <w:jc w:val="left"/>
      </w:pPr>
      <w:r>
        <w:rPr>
          <w:rFonts w:ascii="Times New Roman" w:hAnsi="Times New Roman" w:cs="Times New Roman" w:eastAsia="Times New Roman" w:hint="default"/>
        </w:rPr>
        <w:t>16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日，公司为泗洪华乐新能源科技有限公司向中国银行泗洪支行申请不超</w:t>
      </w:r>
    </w:p>
    <w:p>
      <w:pPr>
        <w:pStyle w:val="BodyText"/>
        <w:spacing w:line="240" w:lineRule="auto" w:before="107"/>
        <w:ind w:left="178" w:right="0"/>
        <w:jc w:val="left"/>
      </w:pPr>
      <w:r>
        <w:rPr>
          <w:w w:val="100"/>
        </w:rPr>
        <w:t>过</w:t>
      </w:r>
      <w:r>
        <w:rPr>
          <w:spacing w:val="-53"/>
        </w:rPr>
        <w:t> </w:t>
      </w:r>
      <w:r>
        <w:rPr>
          <w:rFonts w:ascii="Times New Roman" w:hAnsi="Times New Roman" w:cs="Times New Roman" w:eastAsia="Times New Roman" w:hint="default"/>
          <w:w w:val="100"/>
        </w:rPr>
        <w:t>8,0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w w:val="100"/>
        </w:rPr>
        <w:t>万</w:t>
      </w:r>
      <w:r>
        <w:rPr>
          <w:spacing w:val="-3"/>
          <w:w w:val="100"/>
        </w:rPr>
        <w:t>元</w:t>
      </w:r>
      <w:r>
        <w:rPr>
          <w:w w:val="100"/>
        </w:rPr>
        <w:t>的</w:t>
      </w:r>
      <w:r>
        <w:rPr>
          <w:spacing w:val="-3"/>
          <w:w w:val="100"/>
        </w:rPr>
        <w:t>贷</w:t>
      </w:r>
      <w:r>
        <w:rPr>
          <w:w w:val="100"/>
        </w:rPr>
        <w:t>款</w:t>
      </w:r>
      <w:r>
        <w:rPr>
          <w:spacing w:val="-3"/>
          <w:w w:val="100"/>
        </w:rPr>
        <w:t>提</w:t>
      </w:r>
      <w:r>
        <w:rPr>
          <w:w w:val="100"/>
        </w:rPr>
        <w:t>供连</w:t>
      </w:r>
      <w:r>
        <w:rPr>
          <w:spacing w:val="-3"/>
          <w:w w:val="100"/>
        </w:rPr>
        <w:t>带</w:t>
      </w:r>
      <w:r>
        <w:rPr>
          <w:w w:val="100"/>
        </w:rPr>
        <w:t>责</w:t>
      </w:r>
      <w:r>
        <w:rPr>
          <w:spacing w:val="-3"/>
          <w:w w:val="100"/>
        </w:rPr>
        <w:t>任</w:t>
      </w:r>
      <w:r>
        <w:rPr>
          <w:w w:val="100"/>
        </w:rPr>
        <w:t>保</w:t>
      </w:r>
      <w:r>
        <w:rPr>
          <w:spacing w:val="-3"/>
          <w:w w:val="100"/>
        </w:rPr>
        <w:t>证</w:t>
      </w:r>
      <w:r>
        <w:rPr>
          <w:w w:val="100"/>
        </w:rPr>
        <w:t>担</w:t>
      </w:r>
      <w:r>
        <w:rPr>
          <w:spacing w:val="-3"/>
          <w:w w:val="100"/>
        </w:rPr>
        <w:t>保</w:t>
      </w:r>
      <w:r>
        <w:rPr>
          <w:spacing w:val="-94"/>
          <w:w w:val="100"/>
        </w:rPr>
        <w:t>，</w:t>
      </w:r>
      <w:r>
        <w:rPr>
          <w:spacing w:val="-3"/>
          <w:w w:val="100"/>
        </w:rPr>
        <w:t>截</w:t>
      </w:r>
      <w:r>
        <w:rPr>
          <w:w w:val="100"/>
        </w:rPr>
        <w:t>至</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泗洪</w:t>
      </w:r>
      <w:r>
        <w:rPr>
          <w:w w:val="100"/>
        </w:rPr>
        <w:t>华乐</w:t>
      </w:r>
      <w:r>
        <w:rPr>
          <w:spacing w:val="-3"/>
          <w:w w:val="100"/>
        </w:rPr>
        <w:t>新</w:t>
      </w:r>
      <w:r>
        <w:rPr>
          <w:w w:val="100"/>
        </w:rPr>
        <w:t>能</w:t>
      </w:r>
      <w:r>
        <w:rPr>
          <w:spacing w:val="-3"/>
          <w:w w:val="100"/>
        </w:rPr>
        <w:t>源</w:t>
      </w:r>
      <w:r>
        <w:rPr>
          <w:w w:val="100"/>
        </w:rPr>
        <w:t>科</w:t>
      </w:r>
      <w:r>
        <w:rPr>
          <w:spacing w:val="-3"/>
          <w:w w:val="100"/>
        </w:rPr>
        <w:t>技</w:t>
      </w:r>
      <w:r>
        <w:rPr>
          <w:w w:val="100"/>
        </w:rPr>
        <w:t>有限</w:t>
      </w:r>
    </w:p>
    <w:p>
      <w:pPr>
        <w:pStyle w:val="BodyText"/>
        <w:spacing w:line="240" w:lineRule="auto" w:before="110"/>
        <w:ind w:left="178" w:right="0"/>
        <w:jc w:val="left"/>
      </w:pPr>
      <w:r>
        <w:rPr/>
        <w:t>公司取得银行贷款余额</w:t>
      </w:r>
      <w:r>
        <w:rPr>
          <w:spacing w:val="-53"/>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4"/>
        </w:rPr>
        <w:t> </w:t>
      </w:r>
      <w:r>
        <w:rPr/>
        <w:t>万元。</w:t>
      </w:r>
    </w:p>
    <w:p>
      <w:pPr>
        <w:pStyle w:val="BodyText"/>
        <w:spacing w:line="240" w:lineRule="auto" w:before="110"/>
        <w:ind w:left="598" w:right="0"/>
        <w:jc w:val="left"/>
      </w:pPr>
      <w:r>
        <w:rPr>
          <w:rFonts w:ascii="Times New Roman" w:hAnsi="Times New Roman" w:cs="Times New Roman" w:eastAsia="Times New Roman" w:hint="default"/>
          <w:spacing w:val="-4"/>
        </w:rPr>
        <w:t>17</w:t>
      </w:r>
      <w:r>
        <w:rPr>
          <w:spacing w:val="-4"/>
        </w:rPr>
        <w:t>、</w:t>
      </w:r>
      <w:r>
        <w:rPr>
          <w:rFonts w:ascii="Times New Roman" w:hAnsi="Times New Roman" w:cs="Times New Roman" w:eastAsia="Times New Roman" w:hint="default"/>
          <w:spacing w:val="-4"/>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29"/>
        </w:rPr>
        <w:t> </w:t>
      </w:r>
      <w:r>
        <w:rPr>
          <w:spacing w:val="-3"/>
        </w:rPr>
        <w:t>日，公司为连云港林洋新能源有限公司向中国银行启东支行申请不超过</w:t>
      </w:r>
    </w:p>
    <w:p>
      <w:pPr>
        <w:pStyle w:val="BodyText"/>
        <w:spacing w:line="240" w:lineRule="auto" w:before="107"/>
        <w:ind w:left="178" w:right="0"/>
        <w:jc w:val="left"/>
      </w:pPr>
      <w:r>
        <w:rPr>
          <w:rFonts w:ascii="Times New Roman" w:hAnsi="Times New Roman" w:cs="Times New Roman" w:eastAsia="Times New Roman" w:hint="default"/>
        </w:rPr>
        <w:t>11,200.00</w:t>
      </w:r>
      <w:r>
        <w:rPr>
          <w:rFonts w:ascii="Times New Roman" w:hAnsi="Times New Roman" w:cs="Times New Roman" w:eastAsia="Times New Roman" w:hint="default"/>
          <w:spacing w:val="7"/>
        </w:rPr>
        <w:t> </w:t>
      </w:r>
      <w:r>
        <w:rPr/>
        <w:t>万元的贷款提供连带责任保证担保，截至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日连云港林洋新能源有限公</w:t>
      </w:r>
    </w:p>
    <w:p>
      <w:pPr>
        <w:pStyle w:val="BodyText"/>
        <w:spacing w:line="240" w:lineRule="auto" w:before="110"/>
        <w:ind w:left="178" w:right="0"/>
        <w:jc w:val="left"/>
      </w:pPr>
      <w:r>
        <w:rPr/>
        <w:t>司取得银行贷款余额</w:t>
      </w:r>
      <w:r>
        <w:rPr>
          <w:spacing w:val="-54"/>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25"/>
          <w:szCs w:val="25"/>
        </w:rPr>
      </w:pPr>
    </w:p>
    <w:p>
      <w:pPr>
        <w:pStyle w:val="Heading2"/>
        <w:spacing w:line="292" w:lineRule="auto" w:before="0"/>
        <w:ind w:left="178" w:right="53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spacing w:line="290" w:lineRule="auto" w:before="10"/>
        <w:ind w:left="178" w:right="21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spacing w:val="-1"/>
          <w:sz w:val="21"/>
          <w:szCs w:val="21"/>
        </w:rPr>
      </w:r>
    </w:p>
    <w:p>
      <w:pPr>
        <w:pStyle w:val="BodyText"/>
        <w:spacing w:line="240" w:lineRule="auto" w:before="12"/>
        <w:ind w:left="17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before="0"/>
        <w:ind w:left="17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left="1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17" w:val="left" w:leader="none"/>
        </w:tabs>
        <w:spacing w:line="240" w:lineRule="auto" w:before="0"/>
        <w:ind w:left="178" w:right="0"/>
        <w:jc w:val="left"/>
        <w:rPr>
          <w:b w:val="0"/>
          <w:bCs w:val="0"/>
        </w:rPr>
      </w:pPr>
      <w:r>
        <w:rPr/>
        <w:t>十五、</w:t>
        <w:tab/>
        <w:t>资产负债表日后事项</w:t>
      </w:r>
      <w:r>
        <w:rPr>
          <w:b w:val="0"/>
          <w:bCs w:val="0"/>
        </w:rPr>
      </w:r>
    </w:p>
    <w:p>
      <w:pPr>
        <w:pStyle w:val="Heading2"/>
        <w:spacing w:line="240" w:lineRule="auto" w:before="56"/>
        <w:ind w:left="17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78" w:right="0"/>
        <w:jc w:val="left"/>
      </w:pPr>
      <w:r>
        <w:rPr/>
        <w:t>□适用</w:t>
      </w:r>
      <w:r>
        <w:rPr>
          <w:spacing w:val="-1"/>
        </w:rPr>
        <w:t> </w:t>
      </w:r>
      <w:r>
        <w:rPr/>
        <w:t>√不适用</w:t>
      </w:r>
    </w:p>
    <w:p>
      <w:pPr>
        <w:spacing w:after="0" w:line="240" w:lineRule="auto"/>
        <w:jc w:val="left"/>
        <w:sectPr>
          <w:pgSz w:w="11910" w:h="16840"/>
          <w:pgMar w:header="728" w:footer="974" w:top="1120" w:bottom="1160" w:left="162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28" w:footer="974" w:top="1120" w:bottom="1160" w:left="1580" w:right="1040"/>
        </w:sectPr>
      </w:pPr>
    </w:p>
    <w:p>
      <w:pPr>
        <w:pStyle w:val="Heading2"/>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303,763,565.88</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303,763,565.88</w:t>
            </w:r>
          </w:p>
        </w:tc>
      </w:tr>
    </w:tbl>
    <w:p>
      <w:pPr>
        <w:pStyle w:val="BodyText"/>
        <w:spacing w:line="240" w:lineRule="exact"/>
        <w:ind w:right="117" w:firstLine="419"/>
        <w:jc w:val="left"/>
      </w:pP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25</w:t>
      </w:r>
      <w:r>
        <w:rPr>
          <w:rFonts w:ascii="宋体" w:hAnsi="宋体" w:cs="宋体" w:eastAsia="宋体" w:hint="default"/>
          <w:spacing w:val="-46"/>
        </w:rPr>
        <w:t> </w:t>
      </w:r>
      <w:r>
        <w:rPr>
          <w:spacing w:val="-3"/>
        </w:rPr>
        <w:t>日，公司第四届董事会第二次会议审议通过了</w:t>
      </w:r>
      <w:r>
        <w:rPr>
          <w:spacing w:val="-44"/>
        </w:rPr>
        <w:t> </w:t>
      </w:r>
      <w:r>
        <w:rPr>
          <w:rFonts w:ascii="宋体" w:hAnsi="宋体" w:cs="宋体" w:eastAsia="宋体" w:hint="default"/>
        </w:rPr>
        <w:t>2018</w:t>
      </w:r>
      <w:r>
        <w:rPr>
          <w:rFonts w:ascii="宋体" w:hAnsi="宋体" w:cs="宋体" w:eastAsia="宋体" w:hint="default"/>
          <w:spacing w:val="-46"/>
        </w:rPr>
        <w:t> </w:t>
      </w:r>
      <w:r>
        <w:rPr>
          <w:spacing w:val="-4"/>
        </w:rPr>
        <w:t>年度利润分配预案：以本</w:t>
      </w:r>
    </w:p>
    <w:p>
      <w:pPr>
        <w:pStyle w:val="BodyText"/>
        <w:spacing w:line="272" w:lineRule="exact" w:before="27"/>
        <w:ind w:right="117"/>
        <w:jc w:val="left"/>
      </w:pPr>
      <w:r>
        <w:rPr>
          <w:w w:val="100"/>
        </w:rPr>
        <w:t>次利</w:t>
      </w:r>
      <w:r>
        <w:rPr>
          <w:spacing w:val="-3"/>
          <w:w w:val="100"/>
        </w:rPr>
        <w:t>润</w:t>
      </w:r>
      <w:r>
        <w:rPr>
          <w:w w:val="100"/>
        </w:rPr>
        <w:t>实</w:t>
      </w:r>
      <w:r>
        <w:rPr>
          <w:spacing w:val="-3"/>
          <w:w w:val="100"/>
        </w:rPr>
        <w:t>施</w:t>
      </w:r>
      <w:r>
        <w:rPr>
          <w:w w:val="100"/>
        </w:rPr>
        <w:t>方</w:t>
      </w:r>
      <w:r>
        <w:rPr>
          <w:spacing w:val="-3"/>
          <w:w w:val="100"/>
        </w:rPr>
        <w:t>案</w:t>
      </w:r>
      <w:r>
        <w:rPr>
          <w:w w:val="100"/>
        </w:rPr>
        <w:t>股</w:t>
      </w:r>
      <w:r>
        <w:rPr>
          <w:spacing w:val="-3"/>
          <w:w w:val="100"/>
        </w:rPr>
        <w:t>权</w:t>
      </w:r>
      <w:r>
        <w:rPr>
          <w:w w:val="100"/>
        </w:rPr>
        <w:t>登</w:t>
      </w:r>
      <w:r>
        <w:rPr>
          <w:spacing w:val="-3"/>
          <w:w w:val="100"/>
        </w:rPr>
        <w:t>记</w:t>
      </w:r>
      <w:r>
        <w:rPr>
          <w:w w:val="100"/>
        </w:rPr>
        <w:t>日总</w:t>
      </w:r>
      <w:r>
        <w:rPr>
          <w:spacing w:val="-3"/>
          <w:w w:val="100"/>
        </w:rPr>
        <w:t>股</w:t>
      </w:r>
      <w:r>
        <w:rPr>
          <w:w w:val="100"/>
        </w:rPr>
        <w:t>本</w:t>
      </w:r>
      <w:r>
        <w:rPr>
          <w:spacing w:val="-3"/>
          <w:w w:val="100"/>
        </w:rPr>
        <w:t>扣</w:t>
      </w:r>
      <w:r>
        <w:rPr>
          <w:w w:val="100"/>
        </w:rPr>
        <w:t>除</w:t>
      </w:r>
      <w:r>
        <w:rPr>
          <w:spacing w:val="-3"/>
          <w:w w:val="100"/>
        </w:rPr>
        <w:t>不</w:t>
      </w:r>
      <w:r>
        <w:rPr>
          <w:w w:val="100"/>
        </w:rPr>
        <w:t>参</w:t>
      </w:r>
      <w:r>
        <w:rPr>
          <w:spacing w:val="-3"/>
          <w:w w:val="100"/>
        </w:rPr>
        <w:t>与</w:t>
      </w:r>
      <w:r>
        <w:rPr>
          <w:w w:val="100"/>
        </w:rPr>
        <w:t>利</w:t>
      </w:r>
      <w:r>
        <w:rPr>
          <w:spacing w:val="-3"/>
          <w:w w:val="100"/>
        </w:rPr>
        <w:t>润</w:t>
      </w:r>
      <w:r>
        <w:rPr>
          <w:w w:val="100"/>
        </w:rPr>
        <w:t>分配</w:t>
      </w:r>
      <w:r>
        <w:rPr>
          <w:spacing w:val="-3"/>
          <w:w w:val="100"/>
        </w:rPr>
        <w:t>的</w:t>
      </w:r>
      <w:r>
        <w:rPr>
          <w:w w:val="100"/>
        </w:rPr>
        <w:t>回</w:t>
      </w:r>
      <w:r>
        <w:rPr>
          <w:spacing w:val="-3"/>
          <w:w w:val="100"/>
        </w:rPr>
        <w:t>购股</w:t>
      </w:r>
      <w:r>
        <w:rPr>
          <w:w w:val="100"/>
        </w:rPr>
        <w:t>份</w:t>
      </w:r>
      <w:r>
        <w:rPr>
          <w:spacing w:val="-53"/>
        </w:rPr>
        <w:t> </w:t>
      </w:r>
      <w:r>
        <w:rPr>
          <w:rFonts w:ascii="宋体" w:hAnsi="宋体" w:cs="宋体" w:eastAsia="宋体" w:hint="default"/>
          <w:w w:val="100"/>
        </w:rPr>
        <w:t>29</w:t>
      </w:r>
      <w:r>
        <w:rPr>
          <w:rFonts w:ascii="宋体" w:hAnsi="宋体" w:cs="宋体" w:eastAsia="宋体" w:hint="default"/>
          <w:spacing w:val="-3"/>
          <w:w w:val="100"/>
        </w:rPr>
        <w:t>,</w:t>
      </w:r>
      <w:r>
        <w:rPr>
          <w:rFonts w:ascii="宋体" w:hAnsi="宋体" w:cs="宋体" w:eastAsia="宋体" w:hint="default"/>
          <w:w w:val="100"/>
        </w:rPr>
        <w:t>177</w:t>
      </w:r>
      <w:r>
        <w:rPr>
          <w:rFonts w:ascii="宋体" w:hAnsi="宋体" w:cs="宋体" w:eastAsia="宋体" w:hint="default"/>
          <w:spacing w:val="-3"/>
          <w:w w:val="100"/>
        </w:rPr>
        <w:t>,9</w:t>
      </w:r>
      <w:r>
        <w:rPr>
          <w:rFonts w:ascii="宋体" w:hAnsi="宋体" w:cs="宋体" w:eastAsia="宋体" w:hint="default"/>
          <w:w w:val="100"/>
        </w:rPr>
        <w:t>99</w:t>
      </w:r>
      <w:r>
        <w:rPr>
          <w:rFonts w:ascii="宋体" w:hAnsi="宋体" w:cs="宋体" w:eastAsia="宋体" w:hint="default"/>
          <w:spacing w:val="-52"/>
        </w:rPr>
        <w:t> </w:t>
      </w:r>
      <w:r>
        <w:rPr>
          <w:spacing w:val="-94"/>
          <w:w w:val="100"/>
        </w:rPr>
        <w:t>股</w:t>
      </w:r>
      <w:r>
        <w:rPr>
          <w:w w:val="100"/>
        </w:rPr>
        <w:t>（</w:t>
      </w:r>
      <w:r>
        <w:rPr>
          <w:spacing w:val="-3"/>
          <w:w w:val="100"/>
        </w:rPr>
        <w:t>包</w:t>
      </w:r>
      <w:r>
        <w:rPr>
          <w:w w:val="100"/>
        </w:rPr>
        <w:t>含</w:t>
      </w:r>
      <w:r>
        <w:rPr>
          <w:spacing w:val="-3"/>
          <w:w w:val="100"/>
        </w:rPr>
        <w:t>股</w:t>
      </w:r>
      <w:r>
        <w:rPr>
          <w:w w:val="100"/>
        </w:rPr>
        <w:t>份</w:t>
      </w:r>
      <w:r>
        <w:rPr>
          <w:spacing w:val="-3"/>
          <w:w w:val="100"/>
        </w:rPr>
        <w:t>回</w:t>
      </w:r>
      <w:r>
        <w:rPr>
          <w:w w:val="100"/>
        </w:rPr>
        <w:t>购</w:t>
      </w:r>
      <w:r>
        <w:rPr>
          <w:w w:val="100"/>
        </w:rPr>
        <w:t> 计划</w:t>
      </w:r>
      <w:r>
        <w:rPr>
          <w:spacing w:val="-3"/>
          <w:w w:val="100"/>
        </w:rPr>
        <w:t>回</w:t>
      </w:r>
      <w:r>
        <w:rPr>
          <w:w w:val="100"/>
        </w:rPr>
        <w:t>购</w:t>
      </w:r>
      <w:r>
        <w:rPr>
          <w:spacing w:val="-3"/>
          <w:w w:val="100"/>
        </w:rPr>
        <w:t>专</w:t>
      </w:r>
      <w:r>
        <w:rPr>
          <w:w w:val="100"/>
        </w:rPr>
        <w:t>用</w:t>
      </w:r>
      <w:r>
        <w:rPr>
          <w:spacing w:val="-3"/>
          <w:w w:val="100"/>
        </w:rPr>
        <w:t>账</w:t>
      </w:r>
      <w:r>
        <w:rPr>
          <w:w w:val="100"/>
        </w:rPr>
        <w:t>户</w:t>
      </w:r>
      <w:r>
        <w:rPr>
          <w:spacing w:val="-77"/>
        </w:rPr>
        <w:t> </w:t>
      </w:r>
      <w:r>
        <w:rPr>
          <w:rFonts w:ascii="宋体" w:hAnsi="宋体" w:cs="宋体" w:eastAsia="宋体" w:hint="default"/>
          <w:w w:val="100"/>
        </w:rPr>
        <w:t>21</w:t>
      </w:r>
      <w:r>
        <w:rPr>
          <w:rFonts w:ascii="宋体" w:hAnsi="宋体" w:cs="宋体" w:eastAsia="宋体" w:hint="default"/>
          <w:spacing w:val="-3"/>
          <w:w w:val="100"/>
        </w:rPr>
        <w:t>,</w:t>
      </w:r>
      <w:r>
        <w:rPr>
          <w:rFonts w:ascii="宋体" w:hAnsi="宋体" w:cs="宋体" w:eastAsia="宋体" w:hint="default"/>
          <w:w w:val="100"/>
        </w:rPr>
        <w:t>956</w:t>
      </w:r>
      <w:r>
        <w:rPr>
          <w:rFonts w:ascii="宋体" w:hAnsi="宋体" w:cs="宋体" w:eastAsia="宋体" w:hint="default"/>
          <w:spacing w:val="-3"/>
          <w:w w:val="100"/>
        </w:rPr>
        <w:t>,</w:t>
      </w:r>
      <w:r>
        <w:rPr>
          <w:rFonts w:ascii="宋体" w:hAnsi="宋体" w:cs="宋体" w:eastAsia="宋体" w:hint="default"/>
          <w:w w:val="100"/>
        </w:rPr>
        <w:t>999</w:t>
      </w:r>
      <w:r>
        <w:rPr>
          <w:rFonts w:ascii="宋体" w:hAnsi="宋体" w:cs="宋体" w:eastAsia="宋体" w:hint="default"/>
          <w:spacing w:val="-76"/>
        </w:rPr>
        <w:t> </w:t>
      </w:r>
      <w:r>
        <w:rPr>
          <w:w w:val="100"/>
        </w:rPr>
        <w:t>股</w:t>
      </w:r>
      <w:r>
        <w:rPr>
          <w:spacing w:val="-3"/>
          <w:w w:val="100"/>
        </w:rPr>
        <w:t>和</w:t>
      </w:r>
      <w:r>
        <w:rPr>
          <w:w w:val="100"/>
        </w:rPr>
        <w:t>第</w:t>
      </w:r>
      <w:r>
        <w:rPr>
          <w:spacing w:val="-3"/>
          <w:w w:val="100"/>
        </w:rPr>
        <w:t>二</w:t>
      </w:r>
      <w:r>
        <w:rPr>
          <w:w w:val="100"/>
        </w:rPr>
        <w:t>期</w:t>
      </w:r>
      <w:r>
        <w:rPr>
          <w:spacing w:val="-3"/>
          <w:w w:val="100"/>
        </w:rPr>
        <w:t>股</w:t>
      </w:r>
      <w:r>
        <w:rPr>
          <w:w w:val="100"/>
        </w:rPr>
        <w:t>权</w:t>
      </w:r>
      <w:r>
        <w:rPr>
          <w:spacing w:val="-3"/>
          <w:w w:val="100"/>
        </w:rPr>
        <w:t>激</w:t>
      </w:r>
      <w:r>
        <w:rPr>
          <w:w w:val="100"/>
        </w:rPr>
        <w:t>励</w:t>
      </w:r>
      <w:r>
        <w:rPr>
          <w:spacing w:val="-3"/>
          <w:w w:val="100"/>
        </w:rPr>
        <w:t>待</w:t>
      </w:r>
      <w:r>
        <w:rPr>
          <w:w w:val="100"/>
        </w:rPr>
        <w:t>回购</w:t>
      </w:r>
      <w:r>
        <w:rPr>
          <w:spacing w:val="-3"/>
          <w:w w:val="100"/>
        </w:rPr>
        <w:t>注</w:t>
      </w:r>
      <w:r>
        <w:rPr>
          <w:w w:val="100"/>
        </w:rPr>
        <w:t>销</w:t>
      </w:r>
      <w:r>
        <w:rPr>
          <w:spacing w:val="-3"/>
          <w:w w:val="100"/>
        </w:rPr>
        <w:t>限</w:t>
      </w:r>
      <w:r>
        <w:rPr>
          <w:w w:val="100"/>
        </w:rPr>
        <w:t>制</w:t>
      </w:r>
      <w:r>
        <w:rPr>
          <w:spacing w:val="-3"/>
          <w:w w:val="100"/>
        </w:rPr>
        <w:t>性</w:t>
      </w:r>
      <w:r>
        <w:rPr>
          <w:w w:val="100"/>
        </w:rPr>
        <w:t>股份</w:t>
      </w:r>
      <w:r>
        <w:rPr>
          <w:spacing w:val="-77"/>
        </w:rPr>
        <w:t> </w:t>
      </w:r>
      <w:r>
        <w:rPr>
          <w:rFonts w:ascii="宋体" w:hAnsi="宋体" w:cs="宋体" w:eastAsia="宋体" w:hint="default"/>
          <w:spacing w:val="-3"/>
          <w:w w:val="100"/>
        </w:rPr>
        <w:t>7</w:t>
      </w:r>
      <w:r>
        <w:rPr>
          <w:rFonts w:ascii="宋体" w:hAnsi="宋体" w:cs="宋体" w:eastAsia="宋体" w:hint="default"/>
          <w:w w:val="100"/>
        </w:rPr>
        <w:t>,22</w:t>
      </w:r>
      <w:r>
        <w:rPr>
          <w:rFonts w:ascii="宋体" w:hAnsi="宋体" w:cs="宋体" w:eastAsia="宋体" w:hint="default"/>
          <w:spacing w:val="-3"/>
          <w:w w:val="100"/>
        </w:rPr>
        <w:t>1</w:t>
      </w:r>
      <w:r>
        <w:rPr>
          <w:rFonts w:ascii="宋体" w:hAnsi="宋体" w:cs="宋体" w:eastAsia="宋体" w:hint="default"/>
          <w:w w:val="100"/>
        </w:rPr>
        <w:t>,000</w:t>
      </w:r>
      <w:r>
        <w:rPr>
          <w:rFonts w:ascii="宋体" w:hAnsi="宋体" w:cs="宋体" w:eastAsia="宋体" w:hint="default"/>
          <w:spacing w:val="-76"/>
        </w:rPr>
        <w:t> </w:t>
      </w:r>
      <w:r>
        <w:rPr>
          <w:w w:val="100"/>
        </w:rPr>
        <w:t>股</w:t>
      </w:r>
      <w:r>
        <w:rPr>
          <w:spacing w:val="-108"/>
          <w:w w:val="100"/>
        </w:rPr>
        <w:t>）</w:t>
      </w:r>
      <w:r>
        <w:rPr>
          <w:w w:val="100"/>
        </w:rPr>
        <w:t>为</w:t>
      </w:r>
      <w:r>
        <w:rPr>
          <w:spacing w:val="-3"/>
          <w:w w:val="100"/>
        </w:rPr>
        <w:t>基数</w:t>
      </w:r>
      <w:r>
        <w:rPr>
          <w:w w:val="100"/>
        </w:rPr>
        <w:t>，</w:t>
      </w:r>
    </w:p>
    <w:p>
      <w:pPr>
        <w:pStyle w:val="BodyText"/>
        <w:spacing w:line="272" w:lineRule="exact" w:before="1"/>
        <w:ind w:right="241"/>
        <w:jc w:val="left"/>
      </w:pPr>
      <w:r>
        <w:rPr/>
        <w:t>向全体股东每</w:t>
      </w:r>
      <w:r>
        <w:rPr>
          <w:spacing w:val="-56"/>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5"/>
        </w:rPr>
        <w:t> </w:t>
      </w:r>
      <w:r>
        <w:rPr>
          <w:rFonts w:ascii="宋体" w:hAnsi="宋体" w:cs="宋体" w:eastAsia="宋体" w:hint="default"/>
        </w:rPr>
        <w:t>1.75</w:t>
      </w:r>
      <w:r>
        <w:rPr>
          <w:rFonts w:ascii="宋体" w:hAnsi="宋体" w:cs="宋体" w:eastAsia="宋体" w:hint="default"/>
          <w:spacing w:val="-56"/>
        </w:rPr>
        <w:t> </w:t>
      </w:r>
      <w:r>
        <w:rPr/>
        <w:t>元（含税），剩余利润结转下年度。本次利润分配不进行</w:t>
      </w:r>
      <w:r>
        <w:rPr>
          <w:w w:val="100"/>
        </w:rPr>
        <w:t> </w:t>
      </w:r>
      <w:r>
        <w:rPr/>
        <w:t>资本公积金转增股本。该利润分配预案尚待股东大会决议通过后实施。</w:t>
      </w:r>
    </w:p>
    <w:p>
      <w:pPr>
        <w:spacing w:line="240" w:lineRule="auto" w:before="4"/>
        <w:rPr>
          <w:rFonts w:ascii="宋体" w:hAnsi="宋体" w:cs="宋体" w:eastAsia="宋体" w:hint="default"/>
          <w:sz w:val="23"/>
          <w:szCs w:val="23"/>
        </w:rPr>
      </w:pPr>
    </w:p>
    <w:p>
      <w:pPr>
        <w:pStyle w:val="Heading2"/>
        <w:spacing w:line="240" w:lineRule="auto" w:before="0"/>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2"/>
        <w:ind w:right="0"/>
        <w:jc w:val="both"/>
        <w:rPr>
          <w:b w:val="0"/>
          <w:bCs w:val="0"/>
        </w:rPr>
      </w:pPr>
      <w:r>
        <w:rPr>
          <w:rFonts w:ascii="宋体" w:hAnsi="宋体" w:cs="宋体" w:eastAsia="宋体" w:hint="default"/>
        </w:rPr>
        <w:t>(1).</w:t>
      </w:r>
      <w:r>
        <w:rPr/>
        <w:t>非货币性资产交换</w:t>
      </w:r>
      <w:r>
        <w:rPr>
          <w:b w:val="0"/>
          <w:bCs w:val="0"/>
        </w:rPr>
      </w:r>
    </w:p>
    <w:p>
      <w:pPr>
        <w:spacing w:line="300" w:lineRule="auto" w:before="135"/>
        <w:ind w:left="218" w:right="73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90" w:lineRule="auto" w:before="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3"/>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2"/>
        <w:spacing w:line="240" w:lineRule="auto" w:before="12"/>
        <w:ind w:right="0"/>
        <w:jc w:val="both"/>
        <w:rPr>
          <w:b w:val="0"/>
          <w:bCs w:val="0"/>
        </w:rPr>
      </w:pPr>
      <w:r>
        <w:rPr>
          <w:rFonts w:ascii="宋体" w:hAnsi="宋体" w:cs="宋体" w:eastAsia="宋体" w:hint="default"/>
        </w:rPr>
        <w:t>(1).</w:t>
      </w:r>
      <w:r>
        <w:rPr/>
        <w:t>报告分部的确定依据与会计政策</w:t>
      </w:r>
      <w:r>
        <w:rPr>
          <w:b w:val="0"/>
          <w:bCs w:val="0"/>
        </w:rPr>
      </w:r>
    </w:p>
    <w:p>
      <w:pPr>
        <w:spacing w:line="290" w:lineRule="auto" w:before="58"/>
        <w:ind w:left="218" w:right="67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pStyle w:val="Heading2"/>
        <w:spacing w:line="290" w:lineRule="auto" w:before="14"/>
        <w:ind w:right="241"/>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2"/>
        <w:ind w:right="0"/>
        <w:jc w:val="both"/>
      </w:pPr>
      <w:r>
        <w:rPr/>
        <w:t>□适用</w:t>
      </w:r>
      <w:r>
        <w:rPr>
          <w:spacing w:val="-1"/>
        </w:rPr>
        <w:t> </w:t>
      </w:r>
      <w:r>
        <w:rPr/>
        <w:t>√不适用</w:t>
      </w:r>
    </w:p>
    <w:p>
      <w:pPr>
        <w:spacing w:after="0" w:line="240" w:lineRule="auto"/>
        <w:jc w:val="both"/>
        <w:sectPr>
          <w:type w:val="continuous"/>
          <w:pgSz w:w="11910" w:h="16840"/>
          <w:pgMar w:top="1580" w:bottom="280" w:left="1580" w:right="1040"/>
        </w:sectPr>
      </w:pPr>
    </w:p>
    <w:p>
      <w:pPr>
        <w:spacing w:line="240" w:lineRule="auto" w:before="1"/>
        <w:rPr>
          <w:rFonts w:ascii="宋体" w:hAnsi="宋体" w:cs="宋体" w:eastAsia="宋体" w:hint="default"/>
          <w:sz w:val="25"/>
          <w:szCs w:val="25"/>
        </w:rPr>
      </w:pPr>
    </w:p>
    <w:p>
      <w:pPr>
        <w:pStyle w:val="Heading2"/>
        <w:spacing w:line="240" w:lineRule="auto"/>
        <w:ind w:right="241"/>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00" w:lineRule="auto" w:before="135"/>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4"/>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28" w:footer="974" w:top="1120" w:bottom="1160" w:left="1580" w:right="1040"/>
        </w:sectPr>
      </w:pPr>
    </w:p>
    <w:p>
      <w:pPr>
        <w:pStyle w:val="Heading2"/>
        <w:tabs>
          <w:tab w:pos="105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2"/>
        <w:ind w:right="0"/>
        <w:jc w:val="left"/>
        <w:rPr>
          <w:b w:val="0"/>
          <w:bCs w:val="0"/>
        </w:rPr>
      </w:pPr>
      <w:r>
        <w:rPr/>
        <w:t>总表情况</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799" w:space="2830"/>
            <w:col w:w="266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32,581,788.52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63,251,057.23</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1,028,588,686.07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934,487,765.15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1,061,170,474.59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997,738,822.38</w:t>
            </w:r>
          </w:p>
        </w:tc>
      </w:tr>
    </w:tbl>
    <w:p>
      <w:pPr>
        <w:pStyle w:val="BodyText"/>
        <w:spacing w:line="239" w:lineRule="exact"/>
        <w:ind w:right="241"/>
        <w:jc w:val="left"/>
      </w:pPr>
      <w:r>
        <w:rPr/>
        <w:t>其他说明：</w:t>
      </w:r>
    </w:p>
    <w:p>
      <w:pPr>
        <w:pStyle w:val="BodyText"/>
        <w:spacing w:line="273" w:lineRule="exact"/>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20"/>
        <w:jc w:val="left"/>
        <w:rPr>
          <w:b w:val="0"/>
          <w:bCs w:val="0"/>
        </w:rPr>
      </w:pPr>
      <w:r>
        <w:rPr/>
        <w:t>应收票据</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436" w:space="4297"/>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18,374,194.22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11,169,495.53</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14,207,594.30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52,081,561.70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32,581,788.52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63,251,057.23</w:t>
            </w:r>
          </w:p>
        </w:tc>
      </w:tr>
    </w:tbl>
    <w:p>
      <w:pPr>
        <w:spacing w:line="240" w:lineRule="auto" w:before="12"/>
        <w:rPr>
          <w:rFonts w:ascii="宋体" w:hAnsi="宋体" w:cs="宋体" w:eastAsia="宋体" w:hint="default"/>
          <w:sz w:val="19"/>
          <w:szCs w:val="19"/>
        </w:rPr>
      </w:pPr>
    </w:p>
    <w:p>
      <w:pPr>
        <w:pStyle w:val="Heading2"/>
        <w:spacing w:line="240" w:lineRule="auto"/>
        <w:ind w:right="241"/>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6440" w:space="29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109,748,365.68</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27,675,558.36</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137,423,924.04</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1"/>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1"/>
        <w:jc w:val="left"/>
      </w:pPr>
      <w:r>
        <w:rPr/>
        <w:t>□适用</w:t>
      </w:r>
      <w:r>
        <w:rPr>
          <w:spacing w:val="-1"/>
        </w:rPr>
        <w:t> </w:t>
      </w:r>
      <w:r>
        <w:rPr/>
        <w:t>√不适用</w:t>
      </w:r>
    </w:p>
    <w:p>
      <w:pPr>
        <w:spacing w:after="0" w:line="271" w:lineRule="exact"/>
        <w:jc w:val="left"/>
        <w:sectPr>
          <w:type w:val="continuous"/>
          <w:pgSz w:w="11910" w:h="16840"/>
          <w:pgMar w:top="1580" w:bottom="280" w:left="1580" w:right="1040"/>
        </w:sectPr>
      </w:pPr>
    </w:p>
    <w:p>
      <w:pPr>
        <w:spacing w:line="240" w:lineRule="auto" w:before="7"/>
        <w:rPr>
          <w:rFonts w:ascii="宋体" w:hAnsi="宋体" w:cs="宋体" w:eastAsia="宋体" w:hint="default"/>
          <w:sz w:val="5"/>
          <w:szCs w:val="5"/>
        </w:rPr>
      </w:pPr>
    </w:p>
    <w:p>
      <w:pPr>
        <w:spacing w:line="392" w:lineRule="exact"/>
        <w:ind w:left="10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95049" cy="249364"/>
            <wp:effectExtent l="0" t="0" r="0" b="0"/>
            <wp:docPr id="45" name="image2.png" descr=""/>
            <wp:cNvGraphicFramePr>
              <a:graphicFrameLocks noChangeAspect="1"/>
            </wp:cNvGraphicFramePr>
            <a:graphic>
              <a:graphicData uri="http://schemas.openxmlformats.org/drawingml/2006/picture">
                <pic:pic>
                  <pic:nvPicPr>
                    <pic:cNvPr id="46" name="image2.png"/>
                    <pic:cNvPicPr/>
                  </pic:nvPicPr>
                  <pic:blipFill>
                    <a:blip r:embed="rId10" cstate="print"/>
                    <a:stretch>
                      <a:fillRect/>
                    </a:stretch>
                  </pic:blipFill>
                  <pic:spPr>
                    <a:xfrm>
                      <a:off x="0" y="0"/>
                      <a:ext cx="295049" cy="249364"/>
                    </a:xfrm>
                    <a:prstGeom prst="rect">
                      <a:avLst/>
                    </a:prstGeom>
                  </pic:spPr>
                </pic:pic>
              </a:graphicData>
            </a:graphic>
          </wp:inline>
        </w:drawing>
      </w:r>
      <w:r>
        <w:rPr>
          <w:rFonts w:ascii="宋体" w:hAnsi="宋体" w:cs="宋体" w:eastAsia="宋体" w:hint="default"/>
          <w:position w:val="-7"/>
          <w:sz w:val="20"/>
          <w:szCs w:val="20"/>
        </w:rPr>
      </w:r>
    </w:p>
    <w:p>
      <w:pPr>
        <w:tabs>
          <w:tab w:pos="9635" w:val="left" w:leader="none"/>
        </w:tabs>
        <w:spacing w:line="214" w:lineRule="exact" w:before="0"/>
        <w:ind w:left="3238"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62"/>
          <w:footerReference w:type="default" r:id="rId163"/>
          <w:pgSz w:w="16840" w:h="11910" w:orient="landscape"/>
          <w:pgMar w:header="0" w:footer="0" w:top="400" w:bottom="280" w:left="1360" w:right="1280"/>
        </w:sectPr>
      </w:pPr>
    </w:p>
    <w:p>
      <w:pPr>
        <w:spacing w:line="240" w:lineRule="auto" w:before="11"/>
        <w:rPr>
          <w:rFonts w:ascii="宋体" w:hAnsi="宋体" w:cs="宋体" w:eastAsia="宋体" w:hint="default"/>
          <w:sz w:val="13"/>
          <w:szCs w:val="13"/>
        </w:rPr>
      </w:pPr>
    </w:p>
    <w:p>
      <w:pPr>
        <w:pStyle w:val="Heading2"/>
        <w:spacing w:line="290" w:lineRule="auto" w:before="0"/>
        <w:ind w:left="164"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16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164" w:right="0"/>
        <w:jc w:val="left"/>
      </w:pPr>
      <w:r>
        <w:rPr/>
        <w:t>单位：元币种：人民币</w:t>
      </w:r>
    </w:p>
    <w:p>
      <w:pPr>
        <w:spacing w:after="0" w:line="240" w:lineRule="auto"/>
        <w:jc w:val="left"/>
        <w:sectPr>
          <w:type w:val="continuous"/>
          <w:pgSz w:w="16840" w:h="11910" w:orient="landscape"/>
          <w:pgMar w:top="1580" w:bottom="280" w:left="1360" w:right="1280"/>
          <w:cols w:num="2" w:equalWidth="0">
            <w:col w:w="2279" w:space="9495"/>
            <w:col w:w="2426"/>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628"/>
        <w:gridCol w:w="1742"/>
        <w:gridCol w:w="692"/>
        <w:gridCol w:w="1426"/>
        <w:gridCol w:w="578"/>
        <w:gridCol w:w="1745"/>
        <w:gridCol w:w="1742"/>
        <w:gridCol w:w="692"/>
        <w:gridCol w:w="1531"/>
        <w:gridCol w:w="631"/>
        <w:gridCol w:w="1529"/>
      </w:tblGrid>
      <w:tr>
        <w:trPr>
          <w:trHeight w:val="269" w:hRule="exact"/>
        </w:trPr>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1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628" w:type="dxa"/>
            <w:vMerge/>
            <w:tcBorders>
              <w:left w:val="single" w:sz="4" w:space="0" w:color="000000"/>
              <w:right w:val="single" w:sz="4" w:space="0" w:color="000000"/>
            </w:tcBorders>
          </w:tcPr>
          <w:p>
            <w:pP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686" w:right="686"/>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80" w:right="576"/>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1" w:hRule="exact"/>
        </w:trPr>
        <w:tc>
          <w:tcPr>
            <w:tcW w:w="1628"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15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before="21"/>
              <w:ind w:left="151"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745"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15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6" w:right="36" w:hanging="4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1529" w:type="dxa"/>
            <w:vMerge/>
            <w:tcBorders>
              <w:left w:val="single" w:sz="4" w:space="0" w:color="000000"/>
              <w:bottom w:val="single" w:sz="4" w:space="0" w:color="000000"/>
              <w:right w:val="single" w:sz="4" w:space="0" w:color="000000"/>
            </w:tcBorders>
          </w:tcPr>
          <w:p>
            <w:pPr/>
          </w:p>
        </w:tc>
      </w:tr>
      <w:tr>
        <w:trPr>
          <w:trHeight w:val="708"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32" w:lineRule="exact" w:before="23"/>
              <w:ind w:left="26" w:right="149"/>
              <w:jc w:val="left"/>
              <w:rPr>
                <w:rFonts w:ascii="宋体" w:hAnsi="宋体" w:cs="宋体" w:eastAsia="宋体" w:hint="default"/>
                <w:sz w:val="18"/>
                <w:szCs w:val="18"/>
              </w:rPr>
            </w:pPr>
            <w:r>
              <w:rPr>
                <w:rFonts w:ascii="宋体" w:hAnsi="宋体" w:cs="宋体" w:eastAsia="宋体" w:hint="default"/>
                <w:sz w:val="18"/>
                <w:szCs w:val="18"/>
              </w:rPr>
              <w:t>独计提坏账准备的 应收账款</w:t>
            </w:r>
          </w:p>
        </w:tc>
        <w:tc>
          <w:tcPr>
            <w:tcW w:w="174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32" w:lineRule="exact" w:before="23"/>
              <w:ind w:left="26" w:right="14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1,123,931,871.82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95,343,185.75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sz w:val="18"/>
              </w:rPr>
              <w:t>8.48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1,028,588,686.07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1,034,656,745.08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100.00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100,168,979.93</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sz w:val="18"/>
              </w:rPr>
              <w:t>9.68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934,487,765.15</w:t>
            </w:r>
          </w:p>
        </w:tc>
      </w:tr>
      <w:tr>
        <w:trPr>
          <w:trHeight w:val="710"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32" w:lineRule="exact" w:before="23"/>
              <w:ind w:left="26" w:right="149"/>
              <w:jc w:val="left"/>
              <w:rPr>
                <w:rFonts w:ascii="宋体" w:hAnsi="宋体" w:cs="宋体" w:eastAsia="宋体" w:hint="default"/>
                <w:sz w:val="18"/>
                <w:szCs w:val="18"/>
              </w:rPr>
            </w:pPr>
            <w:r>
              <w:rPr>
                <w:rFonts w:ascii="宋体" w:hAnsi="宋体" w:cs="宋体" w:eastAsia="宋体" w:hint="default"/>
                <w:sz w:val="18"/>
                <w:szCs w:val="18"/>
              </w:rPr>
              <w:t>单独计提坏账准备 的应收账款</w:t>
            </w:r>
          </w:p>
        </w:tc>
        <w:tc>
          <w:tcPr>
            <w:tcW w:w="174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1,123,931,871.82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95,343,185.75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9" w:right="0"/>
              <w:jc w:val="left"/>
              <w:rPr>
                <w:rFonts w:ascii="宋体" w:hAnsi="宋体" w:cs="宋体" w:eastAsia="宋体" w:hint="default"/>
                <w:sz w:val="18"/>
                <w:szCs w:val="18"/>
              </w:rPr>
            </w:pPr>
            <w:r>
              <w:rPr>
                <w:rFonts w:ascii="宋体"/>
                <w:sz w:val="18"/>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1,028,588,686.07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1,034,656,745.08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100,168,979.93</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sz w:val="18"/>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934,487,765.15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63"/>
        <w:ind w:left="6733" w:right="6732" w:firstLine="0"/>
        <w:jc w:val="center"/>
        <w:rPr>
          <w:rFonts w:ascii="Calibri" w:hAnsi="Calibri" w:cs="Calibri" w:eastAsia="Calibri" w:hint="default"/>
          <w:sz w:val="18"/>
          <w:szCs w:val="18"/>
        </w:rPr>
      </w:pPr>
      <w:r>
        <w:rPr>
          <w:rFonts w:ascii="Calibri"/>
          <w:b/>
          <w:sz w:val="18"/>
        </w:rPr>
        <w:t>189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360" w:right="12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164"/>
          <w:pgSz w:w="11910" w:h="16840"/>
          <w:pgMar w:footer="974" w:header="0" w:top="1120" w:bottom="1160" w:left="1580" w:right="1040"/>
          <w:pgNumType w:start="190"/>
        </w:sectPr>
      </w:pPr>
    </w:p>
    <w:p>
      <w:pPr>
        <w:pStyle w:val="BodyText"/>
        <w:spacing w:line="240" w:lineRule="auto" w:before="36"/>
        <w:ind w:right="0"/>
        <w:jc w:val="left"/>
      </w:pPr>
      <w:r>
        <w:rPr>
          <w:spacing w:val="-2"/>
        </w:rPr>
        <w:t>期末单项金额重大并单项计提坏账准备的应收账款：</w:t>
      </w:r>
    </w:p>
    <w:p>
      <w:pPr>
        <w:pStyle w:val="BodyText"/>
        <w:spacing w:line="290" w:lineRule="auto" w:before="58"/>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053" w:space="1680"/>
            <w:col w:w="2557"/>
          </w:cols>
        </w:sectPr>
      </w:pPr>
    </w:p>
    <w:p>
      <w:pPr>
        <w:spacing w:line="240" w:lineRule="auto" w:before="7"/>
        <w:rPr>
          <w:rFonts w:ascii="宋体" w:hAnsi="宋体" w:cs="宋体" w:eastAsia="宋体" w:hint="default"/>
          <w:sz w:val="2"/>
          <w:szCs w:val="2"/>
        </w:rPr>
      </w:pPr>
      <w:r>
        <w:rPr/>
        <w:pict>
          <v:group style="position:absolute;margin-left:89.903999pt;margin-top:700.540039pt;width:444.8pt;height:5.2pt;mso-position-horizontal-relative:page;mso-position-vertical-relative:page;z-index:-1111144" coordorigin="1798,14011" coordsize="8896,104">
            <v:shape style="position:absolute;left:1798;top:14011;width:2566;height:103" type="#_x0000_t75" stroked="false">
              <v:imagedata r:id="rId165" o:title=""/>
            </v:shape>
            <v:shape style="position:absolute;left:4340;top:14104;width:4532;height:10" type="#_x0000_t75" stroked="false">
              <v:imagedata r:id="rId166" o:title=""/>
            </v:shape>
            <v:shape style="position:absolute;left:8867;top:14104;width:1827;height:10" type="#_x0000_t75" stroked="false">
              <v:imagedata r:id="rId167" o:title=""/>
            </v:shape>
            <w10:wrap type="none"/>
          </v:group>
        </w:pict>
      </w:r>
      <w:r>
        <w:rPr/>
        <w:pict>
          <v:group style="position:absolute;margin-left:89.903999pt;margin-top:721.059998pt;width:444.8pt;height:5.2pt;mso-position-horizontal-relative:page;mso-position-vertical-relative:page;z-index:-1111120" coordorigin="1798,14421" coordsize="8896,104">
            <v:shape style="position:absolute;left:1798;top:14421;width:2566;height:103" type="#_x0000_t75" stroked="false">
              <v:imagedata r:id="rId168" o:title=""/>
            </v:shape>
            <v:shape style="position:absolute;left:4340;top:14515;width:4532;height:10" type="#_x0000_t75" stroked="false">
              <v:imagedata r:id="rId169" o:title=""/>
            </v:shape>
            <v:shape style="position:absolute;left:8867;top:14515;width:1827;height:10" type="#_x0000_t75" stroked="false">
              <v:imagedata r:id="rId170" o:title=""/>
            </v:shape>
            <w10:wrap type="none"/>
          </v:group>
        </w:pict>
      </w:r>
      <w:r>
        <w:rPr/>
        <w:pict>
          <v:group style="position:absolute;margin-left:89.903999pt;margin-top:741.599976pt;width:444.8pt;height:5.2pt;mso-position-horizontal-relative:page;mso-position-vertical-relative:page;z-index:-1111096" coordorigin="1798,14832" coordsize="8896,104">
            <v:shape style="position:absolute;left:1798;top:14832;width:2566;height:103" type="#_x0000_t75" stroked="false">
              <v:imagedata r:id="rId165" o:title=""/>
            </v:shape>
            <v:shape style="position:absolute;left:4340;top:14926;width:4532;height:10" type="#_x0000_t75" stroked="false">
              <v:imagedata r:id="rId169" o:title=""/>
            </v:shape>
            <v:shape style="position:absolute;left:8867;top:14926;width:1827;height:10" type="#_x0000_t75" stroked="false">
              <v:imagedata r:id="rId170" o:title=""/>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842,783,649.03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42,139,182.45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842,783,649.03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42,139,182.45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224,734,677.76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35" w:right="0"/>
              <w:jc w:val="left"/>
              <w:rPr>
                <w:rFonts w:ascii="宋体" w:hAnsi="宋体" w:cs="宋体" w:eastAsia="宋体" w:hint="default"/>
                <w:sz w:val="21"/>
                <w:szCs w:val="21"/>
              </w:rPr>
            </w:pPr>
            <w:r>
              <w:rPr>
                <w:rFonts w:ascii="宋体"/>
                <w:sz w:val="21"/>
              </w:rPr>
              <w:t>22,473,467.78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36,690,013.59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11,007,004.08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19,723,531.44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19,723,531.44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1,123,931,871.82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sz w:val="21"/>
              </w:rPr>
              <w:t>95,343,185.75</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1"/>
        <w:jc w:val="left"/>
      </w:pPr>
      <w:r>
        <w:rPr/>
        <w:t>组合中，采用余额百分比法计提坏账准备的应收账款：</w:t>
      </w:r>
    </w:p>
    <w:p>
      <w:pPr>
        <w:pStyle w:val="BodyText"/>
        <w:spacing w:line="240" w:lineRule="auto" w:before="56"/>
        <w:ind w:right="24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41"/>
        <w:jc w:val="left"/>
      </w:pPr>
      <w:r>
        <w:rPr/>
        <w:t>组合中，采用其他方法计提坏账准备的应收账款：</w:t>
      </w:r>
    </w:p>
    <w:p>
      <w:pPr>
        <w:pStyle w:val="BodyText"/>
        <w:spacing w:line="240" w:lineRule="auto" w:before="56"/>
        <w:ind w:right="241"/>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before="0"/>
        <w:ind w:right="241"/>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72" w:lineRule="exact" w:before="86"/>
        <w:ind w:right="1767"/>
        <w:jc w:val="left"/>
      </w:pPr>
      <w:r>
        <w:rPr/>
        <w:t>本期计提坏账准备金额</w:t>
      </w:r>
      <w:r>
        <w:rPr>
          <w:rFonts w:ascii="宋体" w:hAnsi="宋体" w:cs="宋体" w:eastAsia="宋体" w:hint="default"/>
        </w:rPr>
        <w:t>-4,825,794.18</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spacing w:val="-3"/>
          <w:w w:val="100"/>
        </w:rPr>
        <w:t> </w:t>
      </w:r>
      <w:r>
        <w:rPr/>
        <w:t>其中本期坏账准备收回或转回金额重要的：</w:t>
      </w:r>
    </w:p>
    <w:p>
      <w:pPr>
        <w:pStyle w:val="BodyText"/>
        <w:spacing w:line="249" w:lineRule="exact"/>
        <w:ind w:right="24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1"/>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right="5252"/>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24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1"/>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spacing w:line="240" w:lineRule="auto" w:before="59"/>
        <w:ind w:right="241"/>
        <w:jc w:val="left"/>
      </w:pPr>
      <w:r>
        <w:rPr/>
        <w:pict>
          <v:group style="position:absolute;margin-left:89.183998pt;margin-top:31.893679pt;width:446.25pt;height:22pt;mso-position-horizontal-relative:page;mso-position-vertical-relative:paragraph;z-index:-1111240" coordorigin="1784,638" coordsize="8925,440">
            <v:group style="position:absolute;left:1798;top:652;width:2547;height:2" coordorigin="1798,652" coordsize="2547,2">
              <v:shape style="position:absolute;left:1798;top:652;width:2547;height:2" coordorigin="1798,652" coordsize="2547,0" path="m1798,652l4345,652e" filled="false" stroked="true" strokeweight="1.44pt" strokecolor="#000000">
                <v:path arrowok="t"/>
              </v:shape>
              <v:shape style="position:absolute;left:4345;top:667;width:10;height:2" type="#_x0000_t75" stroked="false">
                <v:imagedata r:id="rId171" o:title=""/>
              </v:shape>
            </v:group>
            <v:group style="position:absolute;left:4345;top:652;width:29;height:2" coordorigin="4345,652" coordsize="29,2">
              <v:shape style="position:absolute;left:4345;top:652;width:29;height:2" coordorigin="4345,652" coordsize="29,0" path="m4345,652l4374,652e" filled="false" stroked="true" strokeweight="1.44pt" strokecolor="#000000">
                <v:path arrowok="t"/>
              </v:shape>
            </v:group>
            <v:group style="position:absolute;left:4374;top:652;width:6321;height:2" coordorigin="4374,652" coordsize="6321,2">
              <v:shape style="position:absolute;left:4374;top:652;width:6321;height:2" coordorigin="4374,652" coordsize="6321,0" path="m4374,652l10694,652e" filled="false" stroked="true" strokeweight="1.44pt" strokecolor="#000000">
                <v:path arrowok="t"/>
              </v:shape>
            </v:group>
            <v:group style="position:absolute;left:4345;top:669;width:10;height:20" coordorigin="4345,669" coordsize="10,20">
              <v:shape style="position:absolute;left:4345;top:669;width:10;height:20" coordorigin="4345,669" coordsize="10,20" path="m4345,688l4355,688,4355,669,4345,669,4345,688xe" filled="true" fillcolor="#000000" stroked="false">
                <v:path arrowok="t"/>
                <v:fill type="solid"/>
              </v:shape>
            </v:group>
            <v:group style="position:absolute;left:4345;top:688;width:10;height:20" coordorigin="4345,688" coordsize="10,20">
              <v:shape style="position:absolute;left:4345;top:688;width:10;height:20" coordorigin="4345,688" coordsize="10,20" path="m4345,707l4355,707,4355,688,4345,688,4345,707xe" filled="true" fillcolor="#000000" stroked="false">
                <v:path arrowok="t"/>
                <v:fill type="solid"/>
              </v:shape>
            </v:group>
            <v:group style="position:absolute;left:4345;top:707;width:10;height:20" coordorigin="4345,707" coordsize="10,20">
              <v:shape style="position:absolute;left:4345;top:707;width:10;height:20" coordorigin="4345,707" coordsize="10,20" path="m4345,727l4355,727,4355,707,4345,707,4345,727xe" filled="true" fillcolor="#000000" stroked="false">
                <v:path arrowok="t"/>
                <v:fill type="solid"/>
              </v:shape>
            </v:group>
            <v:group style="position:absolute;left:4345;top:727;width:10;height:20" coordorigin="4345,727" coordsize="10,20">
              <v:shape style="position:absolute;left:4345;top:727;width:10;height:20" coordorigin="4345,727" coordsize="10,20" path="m4345,746l4355,746,4355,727,4345,727,4345,746xe" filled="true" fillcolor="#000000" stroked="false">
                <v:path arrowok="t"/>
                <v:fill type="solid"/>
              </v:shape>
            </v:group>
            <v:group style="position:absolute;left:4345;top:746;width:10;height:20" coordorigin="4345,746" coordsize="10,20">
              <v:shape style="position:absolute;left:4345;top:746;width:10;height:20" coordorigin="4345,746" coordsize="10,20" path="m4345,765l4355,765,4355,746,4345,746,4345,765xe" filled="true" fillcolor="#000000" stroked="false">
                <v:path arrowok="t"/>
                <v:fill type="solid"/>
              </v:shape>
            </v:group>
            <v:group style="position:absolute;left:4345;top:765;width:10;height:20" coordorigin="4345,765" coordsize="10,20">
              <v:shape style="position:absolute;left:4345;top:765;width:10;height:20" coordorigin="4345,765" coordsize="10,20" path="m4345,784l4355,784,4355,765,4345,765,4345,784xe" filled="true" fillcolor="#000000" stroked="false">
                <v:path arrowok="t"/>
                <v:fill type="solid"/>
              </v:shape>
            </v:group>
            <v:group style="position:absolute;left:4345;top:784;width:10;height:20" coordorigin="4345,784" coordsize="10,20">
              <v:shape style="position:absolute;left:4345;top:784;width:10;height:20" coordorigin="4345,784" coordsize="10,20" path="m4345,803l4355,803,4355,784,4345,784,4345,803xe" filled="true" fillcolor="#000000" stroked="false">
                <v:path arrowok="t"/>
                <v:fill type="solid"/>
              </v:shape>
            </v:group>
            <v:group style="position:absolute;left:4345;top:803;width:10;height:20" coordorigin="4345,803" coordsize="10,20">
              <v:shape style="position:absolute;left:4345;top:803;width:10;height:20" coordorigin="4345,803" coordsize="10,20" path="m4345,823l4355,823,4355,803,4345,803,4345,823xe" filled="true" fillcolor="#000000" stroked="false">
                <v:path arrowok="t"/>
                <v:fill type="solid"/>
              </v:shape>
            </v:group>
            <v:group style="position:absolute;left:4345;top:823;width:10;height:20" coordorigin="4345,823" coordsize="10,20">
              <v:shape style="position:absolute;left:4345;top:823;width:10;height:20" coordorigin="4345,823" coordsize="10,20" path="m4345,842l4355,842,4355,823,4345,823,4345,842xe" filled="true" fillcolor="#000000" stroked="false">
                <v:path arrowok="t"/>
                <v:fill type="solid"/>
              </v:shape>
            </v:group>
            <v:group style="position:absolute;left:4345;top:842;width:10;height:20" coordorigin="4345,842" coordsize="10,20">
              <v:shape style="position:absolute;left:4345;top:842;width:10;height:20" coordorigin="4345,842" coordsize="10,20" path="m4345,861l4355,861,4355,842,4345,842,4345,861xe" filled="true" fillcolor="#000000" stroked="false">
                <v:path arrowok="t"/>
                <v:fill type="solid"/>
              </v:shape>
            </v:group>
            <v:group style="position:absolute;left:4345;top:861;width:10;height:20" coordorigin="4345,861" coordsize="10,20">
              <v:shape style="position:absolute;left:4345;top:861;width:10;height:20" coordorigin="4345,861" coordsize="10,20" path="m4345,880l4355,880,4355,861,4345,861,4345,880xe" filled="true" fillcolor="#000000" stroked="false">
                <v:path arrowok="t"/>
                <v:fill type="solid"/>
              </v:shape>
            </v:group>
            <v:group style="position:absolute;left:4345;top:880;width:10;height:20" coordorigin="4345,880" coordsize="10,20">
              <v:shape style="position:absolute;left:4345;top:880;width:10;height:20" coordorigin="4345,880" coordsize="10,20" path="m4345,899l4355,899,4355,880,4345,880,4345,899xe" filled="true" fillcolor="#000000" stroked="false">
                <v:path arrowok="t"/>
                <v:fill type="solid"/>
              </v:shape>
            </v:group>
            <v:group style="position:absolute;left:4345;top:899;width:10;height:20" coordorigin="4345,899" coordsize="10,20">
              <v:shape style="position:absolute;left:4345;top:899;width:10;height:20" coordorigin="4345,899" coordsize="10,20" path="m4345,919l4355,919,4355,899,4345,899,4345,919xe" filled="true" fillcolor="#000000" stroked="false">
                <v:path arrowok="t"/>
                <v:fill type="solid"/>
              </v:shape>
            </v:group>
            <v:group style="position:absolute;left:4345;top:919;width:10;height:20" coordorigin="4345,919" coordsize="10,20">
              <v:shape style="position:absolute;left:4345;top:919;width:10;height:20" coordorigin="4345,919" coordsize="10,20" path="m4345,938l4355,938,4355,919,4345,919,4345,938xe" filled="true" fillcolor="#000000" stroked="false">
                <v:path arrowok="t"/>
                <v:fill type="solid"/>
              </v:shape>
            </v:group>
            <v:group style="position:absolute;left:4345;top:938;width:10;height:20" coordorigin="4345,938" coordsize="10,20">
              <v:shape style="position:absolute;left:4345;top:938;width:10;height:20" coordorigin="4345,938" coordsize="10,20" path="m4345,957l4355,957,4355,938,4345,938,4345,957xe" filled="true" fillcolor="#000000" stroked="false">
                <v:path arrowok="t"/>
                <v:fill type="solid"/>
              </v:shape>
            </v:group>
            <v:group style="position:absolute;left:4345;top:957;width:10;height:20" coordorigin="4345,957" coordsize="10,20">
              <v:shape style="position:absolute;left:4345;top:957;width:10;height:20" coordorigin="4345,957" coordsize="10,20" path="m4345,976l4355,976,4355,957,4345,957,4345,976xe" filled="true" fillcolor="#000000" stroked="false">
                <v:path arrowok="t"/>
                <v:fill type="solid"/>
              </v:shape>
              <v:shape style="position:absolute;left:4335;top:976;width:4536;height:101" type="#_x0000_t75" stroked="false">
                <v:imagedata r:id="rId172" o:title=""/>
              </v:shape>
              <v:shape style="position:absolute;left:8867;top:1067;width:1827;height:10" type="#_x0000_t75" stroked="false">
                <v:imagedata r:id="rId170" o:title=""/>
              </v:shape>
              <v:shape style="position:absolute;left:7161;top:85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r>
        <w:rPr/>
        <w:pict>
          <v:group style="position:absolute;margin-left:89.903999pt;margin-top:69.213661pt;width:444.8pt;height:5.2pt;mso-position-horizontal-relative:page;mso-position-vertical-relative:paragraph;z-index:-1111216" coordorigin="1798,1384" coordsize="8896,104">
            <v:shape style="position:absolute;left:1798;top:1384;width:2566;height:103" type="#_x0000_t75" stroked="false">
              <v:imagedata r:id="rId165" o:title=""/>
            </v:shape>
            <v:shape style="position:absolute;left:4340;top:1478;width:4532;height:10" type="#_x0000_t75" stroked="false">
              <v:imagedata r:id="rId169" o:title=""/>
            </v:shape>
            <v:shape style="position:absolute;left:8867;top:1478;width:1827;height:10" type="#_x0000_t75" stroked="false">
              <v:imagedata r:id="rId170" o:title=""/>
            </v:shape>
            <w10:wrap type="none"/>
          </v:group>
        </w:pict>
      </w:r>
      <w:r>
        <w:rPr/>
        <w:pict>
          <v:group style="position:absolute;margin-left:89.903999pt;margin-top:89.733719pt;width:444.8pt;height:5.05pt;mso-position-horizontal-relative:page;mso-position-vertical-relative:paragraph;z-index:-1111192" coordorigin="1798,1795" coordsize="8896,101">
            <v:shape style="position:absolute;left:1798;top:1795;width:2566;height:101" type="#_x0000_t75" stroked="false">
              <v:imagedata r:id="rId173" o:title=""/>
            </v:shape>
            <v:shape style="position:absolute;left:4340;top:1886;width:4532;height:10" type="#_x0000_t75" stroked="false">
              <v:imagedata r:id="rId169" o:title=""/>
            </v:shape>
            <v:shape style="position:absolute;left:8867;top:1886;width:1827;height:10" type="#_x0000_t75" stroked="false">
              <v:imagedata r:id="rId170" o:title=""/>
            </v:shape>
            <w10:wrap type="none"/>
          </v:group>
        </w:pict>
      </w:r>
      <w:r>
        <w:rPr/>
        <w:pict>
          <v:group style="position:absolute;margin-left:89.903999pt;margin-top:110.133659pt;width:444.8pt;height:5.2pt;mso-position-horizontal-relative:page;mso-position-vertical-relative:paragraph;z-index:-1111168" coordorigin="1798,2203" coordsize="8896,104">
            <v:shape style="position:absolute;left:1798;top:2203;width:2566;height:103" type="#_x0000_t75" stroked="false">
              <v:imagedata r:id="rId165" o:title=""/>
            </v:shape>
            <v:shape style="position:absolute;left:4340;top:2296;width:4532;height:10" type="#_x0000_t75" stroked="false">
              <v:imagedata r:id="rId169" o:title=""/>
            </v:shape>
            <v:shape style="position:absolute;left:8867;top:2296;width:1827;height:10" type="#_x0000_t75" stroked="false">
              <v:imagedata r:id="rId170" o:title=""/>
            </v:shape>
            <w10:wrap type="none"/>
          </v:group>
        </w:pict>
      </w: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203" w:type="dxa"/>
        <w:tblLayout w:type="fixed"/>
        <w:tblCellMar>
          <w:top w:w="0" w:type="dxa"/>
          <w:left w:w="0" w:type="dxa"/>
          <w:bottom w:w="0" w:type="dxa"/>
          <w:right w:w="0" w:type="dxa"/>
        </w:tblCellMar>
        <w:tblLook w:val="01E0"/>
      </w:tblPr>
      <w:tblGrid>
        <w:gridCol w:w="796"/>
        <w:gridCol w:w="1771"/>
        <w:gridCol w:w="1985"/>
        <w:gridCol w:w="2542"/>
        <w:gridCol w:w="1817"/>
      </w:tblGrid>
      <w:tr>
        <w:trPr>
          <w:trHeight w:val="384" w:hRule="exact"/>
        </w:trPr>
        <w:tc>
          <w:tcPr>
            <w:tcW w:w="796" w:type="dxa"/>
            <w:vMerge w:val="restart"/>
            <w:tcBorders>
              <w:top w:val="nil" w:sz="6" w:space="0" w:color="auto"/>
              <w:left w:val="nil" w:sz="6" w:space="0" w:color="auto"/>
              <w:right w:val="nil" w:sz="6" w:space="0" w:color="auto"/>
            </w:tcBorders>
          </w:tcPr>
          <w:p>
            <w:pPr/>
          </w:p>
        </w:tc>
        <w:tc>
          <w:tcPr>
            <w:tcW w:w="1771" w:type="dxa"/>
            <w:tcBorders>
              <w:top w:val="nil" w:sz="6" w:space="0" w:color="auto"/>
              <w:left w:val="nil" w:sz="6" w:space="0" w:color="auto"/>
              <w:bottom w:val="nil" w:sz="6" w:space="0" w:color="auto"/>
              <w:right w:val="single" w:sz="4" w:space="0" w:color="000000"/>
            </w:tcBorders>
          </w:tcPr>
          <w:p>
            <w:pPr>
              <w:pStyle w:val="TableParagraph"/>
              <w:spacing w:line="180" w:lineRule="exact"/>
              <w:ind w:right="77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37"/>
              <w:jc w:val="righ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left="54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 w:hRule="exact"/>
        </w:trPr>
        <w:tc>
          <w:tcPr>
            <w:tcW w:w="796" w:type="dxa"/>
            <w:vMerge/>
            <w:tcBorders>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1"/>
              <w:jc w:val="right"/>
              <w:rPr>
                <w:rFonts w:ascii="宋体" w:hAnsi="宋体" w:cs="宋体" w:eastAsia="宋体" w:hint="default"/>
                <w:sz w:val="18"/>
                <w:szCs w:val="18"/>
              </w:rPr>
            </w:pPr>
            <w:r>
              <w:rPr>
                <w:rFonts w:ascii="宋体" w:hAnsi="宋体" w:cs="宋体" w:eastAsia="宋体" w:hint="default"/>
                <w:sz w:val="18"/>
                <w:szCs w:val="18"/>
              </w:rPr>
              <w:t>第一名</w:t>
            </w:r>
          </w:p>
        </w:tc>
        <w:tc>
          <w:tcPr>
            <w:tcW w:w="1771"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221,688,274.71</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19.72</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16,374,830.42</w:t>
            </w:r>
          </w:p>
        </w:tc>
      </w:tr>
      <w:tr>
        <w:trPr>
          <w:trHeight w:val="37" w:hRule="exact"/>
        </w:trPr>
        <w:tc>
          <w:tcPr>
            <w:tcW w:w="796"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373"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1"/>
              <w:jc w:val="right"/>
              <w:rPr>
                <w:rFonts w:ascii="宋体" w:hAnsi="宋体" w:cs="宋体" w:eastAsia="宋体" w:hint="default"/>
                <w:sz w:val="18"/>
                <w:szCs w:val="18"/>
              </w:rPr>
            </w:pPr>
            <w:r>
              <w:rPr>
                <w:rFonts w:ascii="宋体" w:hAnsi="宋体" w:cs="宋体" w:eastAsia="宋体" w:hint="default"/>
                <w:sz w:val="18"/>
                <w:szCs w:val="18"/>
              </w:rPr>
              <w:t>第二名</w:t>
            </w:r>
          </w:p>
        </w:tc>
        <w:tc>
          <w:tcPr>
            <w:tcW w:w="1771"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110,453,823.05</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z w:val="18"/>
              </w:rPr>
              <w:t>9.83</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3"/>
              <w:jc w:val="right"/>
              <w:rPr>
                <w:rFonts w:ascii="宋体" w:hAnsi="宋体" w:cs="宋体" w:eastAsia="宋体" w:hint="default"/>
                <w:sz w:val="18"/>
                <w:szCs w:val="18"/>
              </w:rPr>
            </w:pPr>
            <w:r>
              <w:rPr>
                <w:rFonts w:ascii="宋体"/>
                <w:spacing w:val="-1"/>
                <w:sz w:val="18"/>
              </w:rPr>
              <w:t>5,522,691.15</w:t>
            </w:r>
          </w:p>
        </w:tc>
      </w:tr>
      <w:tr>
        <w:trPr>
          <w:trHeight w:val="37" w:hRule="exact"/>
        </w:trPr>
        <w:tc>
          <w:tcPr>
            <w:tcW w:w="796"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1"/>
              <w:jc w:val="right"/>
              <w:rPr>
                <w:rFonts w:ascii="宋体" w:hAnsi="宋体" w:cs="宋体" w:eastAsia="宋体" w:hint="default"/>
                <w:sz w:val="18"/>
                <w:szCs w:val="18"/>
              </w:rPr>
            </w:pPr>
            <w:r>
              <w:rPr>
                <w:rFonts w:ascii="宋体" w:hAnsi="宋体" w:cs="宋体" w:eastAsia="宋体" w:hint="default"/>
                <w:sz w:val="18"/>
                <w:szCs w:val="18"/>
              </w:rPr>
              <w:t>第三名</w:t>
            </w:r>
          </w:p>
        </w:tc>
        <w:tc>
          <w:tcPr>
            <w:tcW w:w="1771"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67,314,533.29</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5.99</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3,365,726.66</w:t>
            </w:r>
          </w:p>
        </w:tc>
      </w:tr>
      <w:tr>
        <w:trPr>
          <w:trHeight w:val="39" w:hRule="exact"/>
        </w:trPr>
        <w:tc>
          <w:tcPr>
            <w:tcW w:w="796"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1"/>
              <w:jc w:val="right"/>
              <w:rPr>
                <w:rFonts w:ascii="宋体" w:hAnsi="宋体" w:cs="宋体" w:eastAsia="宋体" w:hint="default"/>
                <w:sz w:val="18"/>
                <w:szCs w:val="18"/>
              </w:rPr>
            </w:pPr>
            <w:r>
              <w:rPr>
                <w:rFonts w:ascii="宋体" w:hAnsi="宋体" w:cs="宋体" w:eastAsia="宋体" w:hint="default"/>
                <w:sz w:val="18"/>
                <w:szCs w:val="18"/>
              </w:rPr>
              <w:t>第四名</w:t>
            </w:r>
          </w:p>
        </w:tc>
        <w:tc>
          <w:tcPr>
            <w:tcW w:w="1771"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57,687,525.78</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5.13</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2,888,797.97</w:t>
            </w:r>
          </w:p>
        </w:tc>
      </w:tr>
      <w:tr>
        <w:trPr>
          <w:trHeight w:val="39" w:hRule="exact"/>
        </w:trPr>
        <w:tc>
          <w:tcPr>
            <w:tcW w:w="796"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1"/>
              <w:jc w:val="right"/>
              <w:rPr>
                <w:rFonts w:ascii="宋体" w:hAnsi="宋体" w:cs="宋体" w:eastAsia="宋体" w:hint="default"/>
                <w:sz w:val="18"/>
                <w:szCs w:val="18"/>
              </w:rPr>
            </w:pPr>
            <w:r>
              <w:rPr>
                <w:rFonts w:ascii="宋体" w:hAnsi="宋体" w:cs="宋体" w:eastAsia="宋体" w:hint="default"/>
                <w:sz w:val="18"/>
                <w:szCs w:val="18"/>
              </w:rPr>
              <w:t>第五名</w:t>
            </w:r>
          </w:p>
        </w:tc>
        <w:tc>
          <w:tcPr>
            <w:tcW w:w="1771"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40,484,500.59</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3.60</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2,024,225.03</w:t>
            </w:r>
          </w:p>
        </w:tc>
      </w:tr>
      <w:tr>
        <w:trPr>
          <w:trHeight w:val="39" w:hRule="exact"/>
        </w:trPr>
        <w:tc>
          <w:tcPr>
            <w:tcW w:w="796"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415" w:hRule="exact"/>
        </w:trPr>
        <w:tc>
          <w:tcPr>
            <w:tcW w:w="796" w:type="dxa"/>
            <w:tcBorders>
              <w:top w:val="nil" w:sz="6" w:space="0" w:color="auto"/>
              <w:left w:val="nil" w:sz="6" w:space="0" w:color="auto"/>
              <w:bottom w:val="single" w:sz="12" w:space="0" w:color="000000"/>
              <w:right w:val="nil" w:sz="6" w:space="0" w:color="auto"/>
            </w:tcBorders>
          </w:tcPr>
          <w:p>
            <w:pPr/>
          </w:p>
        </w:tc>
        <w:tc>
          <w:tcPr>
            <w:tcW w:w="1771"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right="777"/>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497,628,657.42</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44.27</w:t>
            </w:r>
          </w:p>
        </w:tc>
        <w:tc>
          <w:tcPr>
            <w:tcW w:w="1817" w:type="dxa"/>
            <w:tcBorders>
              <w:top w:val="nil" w:sz="6" w:space="0" w:color="auto"/>
              <w:left w:val="single" w:sz="4" w:space="0" w:color="000000"/>
              <w:bottom w:val="single" w:sz="12" w:space="0" w:color="000000"/>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30,176,271.23</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41"/>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spacing w:line="240" w:lineRule="auto" w:before="56"/>
        <w:ind w:right="241"/>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before="0"/>
        <w:ind w:right="241"/>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580" w:right="1040"/>
        </w:sectPr>
      </w:pPr>
    </w:p>
    <w:p>
      <w:pPr>
        <w:pStyle w:val="Heading2"/>
        <w:spacing w:line="290" w:lineRule="auto"/>
        <w:ind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50,000,000.00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120,700,000.00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1,088,173,040.65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1,077,723,755.97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1,138,173,040.65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1,198,423,755.97</w:t>
            </w:r>
          </w:p>
        </w:tc>
      </w:tr>
    </w:tbl>
    <w:p>
      <w:pPr>
        <w:pStyle w:val="BodyText"/>
        <w:spacing w:line="239" w:lineRule="exact"/>
        <w:ind w:right="241"/>
        <w:jc w:val="left"/>
      </w:pPr>
      <w:r>
        <w:rPr/>
        <w:t>其他说明：</w:t>
      </w:r>
    </w:p>
    <w:p>
      <w:pPr>
        <w:pStyle w:val="BodyText"/>
        <w:spacing w:line="273" w:lineRule="exact"/>
        <w:ind w:right="24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1"/>
        <w:jc w:val="left"/>
        <w:rPr>
          <w:b w:val="0"/>
          <w:bCs w:val="0"/>
        </w:rPr>
      </w:pPr>
      <w:r>
        <w:rPr/>
        <w:t>应收利息</w:t>
      </w:r>
      <w:r>
        <w:rPr>
          <w:b w:val="0"/>
          <w:bCs w:val="0"/>
        </w:rPr>
      </w:r>
    </w:p>
    <w:p>
      <w:pPr>
        <w:pStyle w:val="Heading2"/>
        <w:tabs>
          <w:tab w:pos="1069" w:val="left" w:leader="none"/>
        </w:tabs>
        <w:spacing w:line="240" w:lineRule="auto" w:before="58"/>
        <w:ind w:right="241"/>
        <w:jc w:val="left"/>
        <w:rPr>
          <w:b w:val="0"/>
          <w:bCs w:val="0"/>
        </w:rPr>
      </w:pPr>
      <w:r>
        <w:rPr>
          <w:rFonts w:ascii="宋体" w:hAnsi="宋体" w:cs="宋体" w:eastAsia="宋体" w:hint="default"/>
          <w:w w:val="95"/>
        </w:rPr>
        <w:t>(1).</w:t>
        <w:tab/>
      </w:r>
      <w:r>
        <w:rPr/>
        <w:t>应收利息分类</w:t>
      </w:r>
      <w:r>
        <w:rPr>
          <w:b w:val="0"/>
          <w:bCs w:val="0"/>
        </w:rPr>
      </w:r>
    </w:p>
    <w:p>
      <w:pPr>
        <w:spacing w:line="290" w:lineRule="auto" w:before="56"/>
        <w:ind w:left="218" w:right="73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2"/>
        <w:ind w:right="7474"/>
        <w:jc w:val="left"/>
      </w:pPr>
      <w:r>
        <w:rPr/>
        <w:t>□适用</w:t>
      </w:r>
      <w:r>
        <w:rPr>
          <w:spacing w:val="-1"/>
        </w:rPr>
        <w:t> </w:t>
      </w:r>
      <w:r>
        <w:rPr/>
        <w:t>√不适用</w:t>
      </w:r>
      <w:r>
        <w:rPr>
          <w:w w:val="100"/>
        </w:rPr>
        <w:t> </w:t>
      </w:r>
      <w:r>
        <w:rPr/>
        <w:t>其他说明：</w:t>
      </w:r>
    </w:p>
    <w:p>
      <w:pPr>
        <w:pStyle w:val="BodyText"/>
        <w:spacing w:line="249" w:lineRule="exact"/>
        <w:ind w:right="24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90" w:lineRule="auto"/>
        <w:ind w:right="290"/>
        <w:jc w:val="left"/>
        <w:rPr>
          <w:b w:val="0"/>
          <w:bCs w:val="0"/>
        </w:rPr>
      </w:pPr>
      <w:r>
        <w:rPr/>
        <w:t>应收股利</w:t>
      </w:r>
      <w:r>
        <w:rPr>
          <w:w w:val="100"/>
        </w:rPr>
        <w:t> </w:t>
      </w:r>
      <w:r>
        <w:rPr>
          <w:rFonts w:ascii="宋体" w:hAnsi="宋体" w:cs="宋体" w:eastAsia="宋体" w:hint="default"/>
        </w:rPr>
        <w:t>(3).</w:t>
      </w:r>
      <w:r>
        <w:rPr/>
        <w:t>应收股利</w:t>
      </w:r>
      <w:r>
        <w:rPr>
          <w:b w:val="0"/>
          <w:bCs w:val="0"/>
        </w:rPr>
      </w:r>
    </w:p>
    <w:p>
      <w:pPr>
        <w:pStyle w:val="BodyText"/>
        <w:spacing w:line="240" w:lineRule="auto" w:before="1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70,000,000.00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20,700,000.00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120,700,000.00</w:t>
            </w:r>
          </w:p>
        </w:tc>
      </w:tr>
    </w:tbl>
    <w:p>
      <w:pPr>
        <w:spacing w:line="240" w:lineRule="auto" w:before="2"/>
        <w:rPr>
          <w:rFonts w:ascii="宋体" w:hAnsi="宋体" w:cs="宋体" w:eastAsia="宋体" w:hint="default"/>
          <w:sz w:val="20"/>
          <w:szCs w:val="20"/>
        </w:rPr>
      </w:pPr>
    </w:p>
    <w:p>
      <w:pPr>
        <w:pStyle w:val="Heading2"/>
        <w:spacing w:line="240" w:lineRule="auto"/>
        <w:ind w:right="241"/>
        <w:jc w:val="left"/>
        <w:rPr>
          <w:b w:val="0"/>
          <w:bCs w:val="0"/>
        </w:rPr>
      </w:pPr>
      <w:r>
        <w:rPr>
          <w:rFonts w:ascii="宋体" w:hAnsi="宋体" w:cs="宋体" w:eastAsia="宋体" w:hint="default"/>
        </w:rPr>
        <w:t>(4).</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1"/>
        <w:jc w:val="left"/>
      </w:pPr>
      <w:r>
        <w:rPr/>
        <w:t>□适用</w:t>
      </w:r>
      <w:r>
        <w:rPr>
          <w:spacing w:val="-1"/>
        </w:rPr>
        <w:t> </w:t>
      </w:r>
      <w:r>
        <w:rPr/>
        <w:t>√不适用</w:t>
      </w:r>
    </w:p>
    <w:p>
      <w:pPr>
        <w:spacing w:after="0" w:line="271" w:lineRule="exact"/>
        <w:jc w:val="left"/>
        <w:sectPr>
          <w:type w:val="continuous"/>
          <w:pgSz w:w="11910" w:h="16840"/>
          <w:pgMar w:top="1580" w:bottom="280" w:left="1580" w:right="1040"/>
        </w:sectPr>
      </w:pPr>
    </w:p>
    <w:p>
      <w:pPr>
        <w:spacing w:line="240" w:lineRule="auto" w:before="7"/>
        <w:rPr>
          <w:rFonts w:ascii="宋体" w:hAnsi="宋体" w:cs="宋体" w:eastAsia="宋体" w:hint="default"/>
          <w:sz w:val="5"/>
          <w:szCs w:val="5"/>
        </w:rPr>
      </w:pPr>
    </w:p>
    <w:p>
      <w:pPr>
        <w:spacing w:line="392" w:lineRule="exact"/>
        <w:ind w:left="10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95049" cy="249364"/>
            <wp:effectExtent l="0" t="0" r="0" b="0"/>
            <wp:docPr id="47" name="image2.png" descr=""/>
            <wp:cNvGraphicFramePr>
              <a:graphicFrameLocks noChangeAspect="1"/>
            </wp:cNvGraphicFramePr>
            <a:graphic>
              <a:graphicData uri="http://schemas.openxmlformats.org/drawingml/2006/picture">
                <pic:pic>
                  <pic:nvPicPr>
                    <pic:cNvPr id="48" name="image2.png"/>
                    <pic:cNvPicPr/>
                  </pic:nvPicPr>
                  <pic:blipFill>
                    <a:blip r:embed="rId10" cstate="print"/>
                    <a:stretch>
                      <a:fillRect/>
                    </a:stretch>
                  </pic:blipFill>
                  <pic:spPr>
                    <a:xfrm>
                      <a:off x="0" y="0"/>
                      <a:ext cx="295049" cy="249364"/>
                    </a:xfrm>
                    <a:prstGeom prst="rect">
                      <a:avLst/>
                    </a:prstGeom>
                  </pic:spPr>
                </pic:pic>
              </a:graphicData>
            </a:graphic>
          </wp:inline>
        </w:drawing>
      </w:r>
      <w:r>
        <w:rPr>
          <w:rFonts w:ascii="宋体" w:hAnsi="宋体" w:cs="宋体" w:eastAsia="宋体" w:hint="default"/>
          <w:position w:val="-7"/>
          <w:sz w:val="20"/>
          <w:szCs w:val="20"/>
        </w:rPr>
      </w:r>
    </w:p>
    <w:p>
      <w:pPr>
        <w:tabs>
          <w:tab w:pos="9635" w:val="left" w:leader="none"/>
        </w:tabs>
        <w:spacing w:line="214" w:lineRule="exact" w:before="0"/>
        <w:ind w:left="3238"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74"/>
          <w:footerReference w:type="default" r:id="rId175"/>
          <w:pgSz w:w="16840" w:h="11910" w:orient="landscape"/>
          <w:pgMar w:header="0" w:footer="0" w:top="400" w:bottom="280" w:left="1360" w:right="1280"/>
        </w:sectPr>
      </w:pPr>
    </w:p>
    <w:p>
      <w:pPr>
        <w:spacing w:line="240" w:lineRule="auto" w:before="11"/>
        <w:rPr>
          <w:rFonts w:ascii="宋体" w:hAnsi="宋体" w:cs="宋体" w:eastAsia="宋体" w:hint="default"/>
          <w:sz w:val="13"/>
          <w:szCs w:val="13"/>
        </w:rPr>
      </w:pPr>
    </w:p>
    <w:p>
      <w:pPr>
        <w:pStyle w:val="Heading2"/>
        <w:spacing w:line="240" w:lineRule="auto" w:before="0"/>
        <w:ind w:left="164" w:right="-20"/>
        <w:jc w:val="left"/>
        <w:rPr>
          <w:b w:val="0"/>
          <w:bCs w:val="0"/>
        </w:rPr>
      </w:pPr>
      <w:r>
        <w:rPr/>
        <w:t>其他应收款</w:t>
      </w:r>
      <w:r>
        <w:rPr>
          <w:b w:val="0"/>
          <w:bCs w:val="0"/>
        </w:rPr>
      </w:r>
    </w:p>
    <w:p>
      <w:pPr>
        <w:pStyle w:val="Heading2"/>
        <w:spacing w:line="240" w:lineRule="auto" w:before="58"/>
        <w:ind w:left="164" w:right="-20"/>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spacing w:line="240" w:lineRule="auto" w:before="56"/>
        <w:ind w:left="16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164" w:right="0"/>
        <w:jc w:val="left"/>
      </w:pPr>
      <w:r>
        <w:rPr/>
        <w:t>单位：元币种：人民币</w:t>
      </w:r>
    </w:p>
    <w:p>
      <w:pPr>
        <w:spacing w:after="0" w:line="240" w:lineRule="auto"/>
        <w:jc w:val="left"/>
        <w:sectPr>
          <w:type w:val="continuous"/>
          <w:pgSz w:w="16840" w:h="11910" w:orient="landscape"/>
          <w:pgMar w:top="1580" w:bottom="280" w:left="1360" w:right="1280"/>
          <w:cols w:num="2" w:equalWidth="0">
            <w:col w:w="2594" w:space="9180"/>
            <w:col w:w="2426"/>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587"/>
        <w:gridCol w:w="1502"/>
        <w:gridCol w:w="968"/>
        <w:gridCol w:w="1322"/>
        <w:gridCol w:w="974"/>
        <w:gridCol w:w="1503"/>
        <w:gridCol w:w="1502"/>
        <w:gridCol w:w="922"/>
        <w:gridCol w:w="1231"/>
        <w:gridCol w:w="924"/>
        <w:gridCol w:w="1500"/>
      </w:tblGrid>
      <w:tr>
        <w:trPr>
          <w:trHeight w:val="293" w:hRule="exact"/>
        </w:trPr>
        <w:tc>
          <w:tcPr>
            <w:tcW w:w="15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62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587" w:type="dxa"/>
            <w:vMerge/>
            <w:tcBorders>
              <w:left w:val="single" w:sz="4" w:space="0" w:color="000000"/>
              <w:right w:val="single" w:sz="4" w:space="0" w:color="000000"/>
            </w:tcBorders>
          </w:tcPr>
          <w:p>
            <w:pP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32" w:lineRule="exact" w:before="117"/>
              <w:ind w:left="569" w:right="563"/>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0" w:type="dxa"/>
            <w:vMerge w:val="restart"/>
            <w:tcBorders>
              <w:top w:val="single" w:sz="4" w:space="0" w:color="000000"/>
              <w:left w:val="single" w:sz="4" w:space="0" w:color="000000"/>
              <w:right w:val="single" w:sz="4" w:space="0" w:color="000000"/>
            </w:tcBorders>
          </w:tcPr>
          <w:p>
            <w:pPr>
              <w:pStyle w:val="TableParagraph"/>
              <w:spacing w:line="232" w:lineRule="exact" w:before="117"/>
              <w:ind w:left="566" w:right="562"/>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6" w:hRule="exact"/>
        </w:trPr>
        <w:tc>
          <w:tcPr>
            <w:tcW w:w="1587"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503"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2" w:right="0"/>
              <w:jc w:val="center"/>
              <w:rPr>
                <w:rFonts w:ascii="宋体" w:hAnsi="宋体" w:cs="宋体" w:eastAsia="宋体" w:hint="default"/>
                <w:sz w:val="18"/>
                <w:szCs w:val="18"/>
              </w:rPr>
            </w:pPr>
            <w:r>
              <w:rPr>
                <w:rFonts w:ascii="宋体"/>
                <w:sz w:val="18"/>
              </w:rPr>
              <w:t>(%)</w:t>
            </w:r>
          </w:p>
        </w:tc>
        <w:tc>
          <w:tcPr>
            <w:tcW w:w="1500" w:type="dxa"/>
            <w:vMerge/>
            <w:tcBorders>
              <w:left w:val="single" w:sz="4" w:space="0" w:color="000000"/>
              <w:bottom w:val="single" w:sz="4" w:space="0" w:color="000000"/>
              <w:right w:val="single" w:sz="4" w:space="0" w:color="000000"/>
            </w:tcBorders>
          </w:tcPr>
          <w:p>
            <w:pPr/>
          </w:p>
        </w:tc>
      </w:tr>
      <w:tr>
        <w:trPr>
          <w:trHeight w:val="710"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32" w:lineRule="exact" w:before="24"/>
              <w:ind w:left="26" w:right="108"/>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15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32" w:lineRule="exact" w:before="24"/>
              <w:ind w:left="26" w:right="108"/>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1,204,897,716.75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116,724,676.10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sz w:val="18"/>
              </w:rPr>
              <w:t>9.69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1,088,173,040.65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1,136,364,896.47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58,641,140.50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18"/>
                <w:szCs w:val="18"/>
              </w:rPr>
            </w:pPr>
            <w:r>
              <w:rPr>
                <w:rFonts w:ascii="宋体"/>
                <w:sz w:val="18"/>
              </w:rPr>
              <w:t>5.16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1,077,723,755.97</w:t>
            </w:r>
          </w:p>
        </w:tc>
      </w:tr>
      <w:tr>
        <w:trPr>
          <w:trHeight w:val="710"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32" w:lineRule="exact" w:before="24"/>
              <w:ind w:left="26" w:right="108"/>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15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1,204,897,716.75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116,724,676.10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1,088,173,040.65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1,136,364,896.47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58,641,140.50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1,077,723,755.97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63"/>
        <w:ind w:left="6733" w:right="6732" w:firstLine="0"/>
        <w:jc w:val="center"/>
        <w:rPr>
          <w:rFonts w:ascii="Calibri" w:hAnsi="Calibri" w:cs="Calibri" w:eastAsia="Calibri" w:hint="default"/>
          <w:sz w:val="18"/>
          <w:szCs w:val="18"/>
        </w:rPr>
      </w:pPr>
      <w:r>
        <w:rPr>
          <w:rFonts w:ascii="Calibri"/>
          <w:b/>
          <w:sz w:val="18"/>
        </w:rPr>
        <w:t>192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360" w:right="12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176"/>
          <w:pgSz w:w="11910" w:h="16840"/>
          <w:pgMar w:footer="974" w:header="0" w:top="1120" w:bottom="1160" w:left="840" w:right="1040"/>
          <w:pgNumType w:start="193"/>
        </w:sectPr>
      </w:pPr>
    </w:p>
    <w:p>
      <w:pPr>
        <w:pStyle w:val="BodyText"/>
        <w:spacing w:line="240" w:lineRule="auto" w:before="36"/>
        <w:ind w:left="958" w:right="0"/>
        <w:jc w:val="left"/>
      </w:pPr>
      <w:r>
        <w:rPr>
          <w:spacing w:val="-2"/>
        </w:rPr>
        <w:t>期末单项金额重大并单项计提坏账准备的其他应收款：</w:t>
      </w:r>
    </w:p>
    <w:p>
      <w:pPr>
        <w:pStyle w:val="BodyText"/>
        <w:spacing w:line="290" w:lineRule="auto" w:before="58"/>
        <w:ind w:left="95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580" w:bottom="280" w:left="840" w:right="1040"/>
          <w:cols w:num="2" w:equalWidth="0">
            <w:col w:w="6004" w:space="729"/>
            <w:col w:w="3297"/>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548"/>
        <w:gridCol w:w="1896"/>
        <w:gridCol w:w="1798"/>
        <w:gridCol w:w="1807"/>
      </w:tblGrid>
      <w:tr>
        <w:trPr>
          <w:trHeight w:val="283" w:hRule="exact"/>
        </w:trPr>
        <w:tc>
          <w:tcPr>
            <w:tcW w:w="354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5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4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111,478,387.62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5,573,919.38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111,478,387.62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5,573,919.38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1,091,409,524.90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109,140,952.49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2,009,804.23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2,009,804.23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1,204,897,716.75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116,724,676.10</w:t>
            </w: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958" w:right="2731"/>
        <w:jc w:val="left"/>
      </w:pPr>
      <w:r>
        <w:rPr/>
        <w:t>组合中，采用余额百分比法计提坏账准备的其他应收款：</w:t>
      </w:r>
    </w:p>
    <w:p>
      <w:pPr>
        <w:pStyle w:val="BodyText"/>
        <w:spacing w:line="290" w:lineRule="auto" w:before="58"/>
        <w:ind w:left="958" w:right="2731"/>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40" w:lineRule="auto" w:before="14"/>
        <w:ind w:left="95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840" w:right="1040"/>
        </w:sectPr>
      </w:pPr>
    </w:p>
    <w:p>
      <w:pPr>
        <w:pStyle w:val="Heading2"/>
        <w:spacing w:line="240" w:lineRule="auto"/>
        <w:ind w:left="958"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9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580" w:bottom="280" w:left="840" w:right="1040"/>
          <w:cols w:num="2" w:equalWidth="0">
            <w:col w:w="3387" w:space="3346"/>
            <w:col w:w="3297"/>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10,856,547.22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8,583,265.18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5,762,230.21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2,288,374.71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1,656,482.43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1,397,586.34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1,186,670,570.07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1,124,095,670.24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1,204,945,829.93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1,136,364,896.47</w:t>
            </w:r>
          </w:p>
        </w:tc>
      </w:tr>
    </w:tbl>
    <w:p>
      <w:pPr>
        <w:spacing w:line="240" w:lineRule="auto" w:before="12"/>
        <w:rPr>
          <w:rFonts w:ascii="宋体" w:hAnsi="宋体" w:cs="宋体" w:eastAsia="宋体" w:hint="default"/>
          <w:sz w:val="19"/>
          <w:szCs w:val="19"/>
        </w:rPr>
      </w:pPr>
    </w:p>
    <w:p>
      <w:pPr>
        <w:pStyle w:val="Heading2"/>
        <w:spacing w:line="240" w:lineRule="auto"/>
        <w:ind w:left="958" w:right="2731"/>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958" w:right="1705"/>
        <w:jc w:val="left"/>
      </w:pPr>
      <w:r>
        <w:rPr/>
        <w:t>本期计提坏账准备金额</w:t>
      </w:r>
      <w:r>
        <w:rPr>
          <w:spacing w:val="-53"/>
        </w:rPr>
        <w:t> </w:t>
      </w:r>
      <w:r>
        <w:rPr>
          <w:rFonts w:ascii="宋体" w:hAnsi="宋体" w:cs="宋体" w:eastAsia="宋体" w:hint="default"/>
        </w:rPr>
        <w:t>58,083,535.60</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958" w:right="2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958" w:right="2731"/>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95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840" w:right="1040"/>
        </w:sectPr>
      </w:pPr>
    </w:p>
    <w:p>
      <w:pPr>
        <w:pStyle w:val="Heading2"/>
        <w:spacing w:line="240" w:lineRule="auto"/>
        <w:ind w:left="958"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8"/>
        <w:ind w:left="9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580" w:bottom="280" w:left="840" w:right="1040"/>
          <w:cols w:num="2" w:equalWidth="0">
            <w:col w:w="6126" w:space="607"/>
            <w:col w:w="32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42"/>
        <w:gridCol w:w="1239"/>
        <w:gridCol w:w="1817"/>
        <w:gridCol w:w="1212"/>
        <w:gridCol w:w="1647"/>
        <w:gridCol w:w="1560"/>
      </w:tblGrid>
      <w:tr>
        <w:trPr>
          <w:trHeight w:val="82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48" w:right="8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5" w:right="35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72" w:lineRule="exact"/>
        <w:jc w:val="left"/>
        <w:rPr>
          <w:rFonts w:ascii="宋体" w:hAnsi="宋体" w:cs="宋体" w:eastAsia="宋体" w:hint="default"/>
          <w:sz w:val="21"/>
          <w:szCs w:val="21"/>
        </w:rPr>
        <w:sectPr>
          <w:type w:val="continuous"/>
          <w:pgSz w:w="11910" w:h="16840"/>
          <w:pgMar w:top="1580" w:bottom="280" w:left="8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42"/>
        <w:gridCol w:w="1239"/>
        <w:gridCol w:w="1817"/>
        <w:gridCol w:w="1212"/>
        <w:gridCol w:w="1647"/>
        <w:gridCol w:w="1560"/>
      </w:tblGrid>
      <w:tr>
        <w:trPr>
          <w:trHeight w:val="55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江苏林洋光伏科技有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670,000,000.00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55.61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67,000,000.00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濉溪县永瑞现代农业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121,735,582.00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10.10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12,173,558.20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启东市永乐新能源电</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力有限公司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12,000,000.00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临泉永明太阳能发电</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100,006,033.80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5,000,301.69</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惠民县永正农业科技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6.64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8,000,000.00</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1,091,741,615.80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90.61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104,173,859.89</w:t>
            </w:r>
          </w:p>
        </w:tc>
      </w:tr>
    </w:tbl>
    <w:p>
      <w:pPr>
        <w:spacing w:line="240" w:lineRule="auto" w:before="13"/>
        <w:rPr>
          <w:rFonts w:ascii="宋体" w:hAnsi="宋体" w:cs="宋体" w:eastAsia="宋体" w:hint="default"/>
          <w:sz w:val="19"/>
          <w:szCs w:val="19"/>
        </w:rPr>
      </w:pPr>
    </w:p>
    <w:p>
      <w:pPr>
        <w:pStyle w:val="Heading2"/>
        <w:spacing w:line="240" w:lineRule="auto"/>
        <w:ind w:left="958" w:right="2731"/>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958" w:right="2731"/>
        <w:jc w:val="left"/>
      </w:pPr>
      <w:r>
        <w:rPr/>
        <w:t>□适用</w:t>
      </w:r>
      <w:r>
        <w:rPr>
          <w:spacing w:val="-1"/>
        </w:rPr>
        <w:t> </w:t>
      </w:r>
      <w:r>
        <w:rPr/>
        <w:t>√不适用</w:t>
      </w:r>
    </w:p>
    <w:p>
      <w:pPr>
        <w:pStyle w:val="Heading2"/>
        <w:spacing w:line="240" w:lineRule="auto" w:before="56"/>
        <w:ind w:left="958" w:right="2731"/>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spacing w:line="240" w:lineRule="auto" w:before="58"/>
        <w:ind w:left="958" w:right="2731"/>
        <w:jc w:val="left"/>
      </w:pPr>
      <w:r>
        <w:rPr/>
        <w:t>□适用</w:t>
      </w:r>
      <w:r>
        <w:rPr>
          <w:spacing w:val="-1"/>
        </w:rPr>
        <w:t> </w:t>
      </w:r>
      <w:r>
        <w:rPr/>
        <w:t>√不适用</w:t>
      </w:r>
    </w:p>
    <w:p>
      <w:pPr>
        <w:pStyle w:val="Heading2"/>
        <w:spacing w:line="240" w:lineRule="auto" w:before="56"/>
        <w:ind w:left="958" w:right="2731"/>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spacing w:line="272" w:lineRule="exact" w:before="86"/>
        <w:ind w:left="958" w:right="7474"/>
        <w:jc w:val="left"/>
      </w:pPr>
      <w:r>
        <w:rPr/>
        <w:t>□适用</w:t>
      </w:r>
      <w:r>
        <w:rPr>
          <w:spacing w:val="-1"/>
        </w:rPr>
        <w:t> </w:t>
      </w:r>
      <w:r>
        <w:rPr/>
        <w:t>√不适用</w:t>
      </w:r>
      <w:r>
        <w:rPr>
          <w:w w:val="100"/>
        </w:rPr>
        <w:t> </w:t>
      </w:r>
      <w:r>
        <w:rPr/>
        <w:t>其他说明：</w:t>
      </w:r>
    </w:p>
    <w:p>
      <w:pPr>
        <w:pStyle w:val="BodyText"/>
        <w:spacing w:line="249" w:lineRule="exact"/>
        <w:ind w:left="958" w:right="2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840" w:right="1040"/>
        </w:sectPr>
      </w:pPr>
    </w:p>
    <w:p>
      <w:pPr>
        <w:pStyle w:val="Heading2"/>
        <w:spacing w:line="240" w:lineRule="auto"/>
        <w:ind w:left="9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9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580" w:bottom="280" w:left="840" w:right="1040"/>
          <w:cols w:num="2" w:equalWidth="0">
            <w:col w:w="2651" w:space="4082"/>
            <w:col w:w="3297"/>
          </w:cols>
        </w:sectPr>
      </w:pPr>
    </w:p>
    <w:p>
      <w:pPr>
        <w:spacing w:line="240" w:lineRule="auto" w:before="4"/>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1160"/>
        <w:gridCol w:w="1741"/>
        <w:gridCol w:w="660"/>
        <w:gridCol w:w="1743"/>
        <w:gridCol w:w="1742"/>
        <w:gridCol w:w="788"/>
        <w:gridCol w:w="1740"/>
      </w:tblGrid>
      <w:tr>
        <w:trPr>
          <w:trHeight w:val="283"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160" w:type="dxa"/>
            <w:vMerge/>
            <w:tcBorders>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4,510,109,752.16</w:t>
            </w:r>
          </w:p>
        </w:tc>
        <w:tc>
          <w:tcPr>
            <w:tcW w:w="66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4,510,109,752.16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4,145,397,805.66</w:t>
            </w:r>
          </w:p>
        </w:tc>
        <w:tc>
          <w:tcPr>
            <w:tcW w:w="78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4,145,397,805.66</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营企业投资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108,539,394.75</w:t>
            </w:r>
          </w:p>
        </w:tc>
        <w:tc>
          <w:tcPr>
            <w:tcW w:w="66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108,539,394.75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75,171,816.49</w:t>
            </w:r>
          </w:p>
        </w:tc>
        <w:tc>
          <w:tcPr>
            <w:tcW w:w="78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75,171,816.49</w:t>
            </w: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4,618,649,146.91</w:t>
            </w:r>
          </w:p>
        </w:tc>
        <w:tc>
          <w:tcPr>
            <w:tcW w:w="66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4,618,649,146.91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4,220,569,622.15</w:t>
            </w:r>
          </w:p>
        </w:tc>
        <w:tc>
          <w:tcPr>
            <w:tcW w:w="78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4,220,569,622.15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840" w:right="1040"/>
        </w:sectPr>
      </w:pPr>
    </w:p>
    <w:p>
      <w:pPr>
        <w:pStyle w:val="Heading2"/>
        <w:spacing w:line="240" w:lineRule="auto"/>
        <w:ind w:left="95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9"/>
        <w:ind w:left="9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580" w:bottom="280" w:left="840" w:right="1040"/>
          <w:cols w:num="2" w:equalWidth="0">
            <w:col w:w="2754" w:space="3979"/>
            <w:col w:w="32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36"/>
        <w:gridCol w:w="1657"/>
        <w:gridCol w:w="1478"/>
        <w:gridCol w:w="1296"/>
        <w:gridCol w:w="1659"/>
        <w:gridCol w:w="787"/>
        <w:gridCol w:w="782"/>
      </w:tblGrid>
      <w:tr>
        <w:trPr>
          <w:trHeight w:val="710"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2" w:lineRule="exact" w:before="23"/>
              <w:ind w:left="206" w:right="120" w:hanging="92"/>
              <w:jc w:val="left"/>
              <w:rPr>
                <w:rFonts w:ascii="宋体" w:hAnsi="宋体" w:cs="宋体" w:eastAsia="宋体" w:hint="default"/>
                <w:sz w:val="18"/>
                <w:szCs w:val="18"/>
              </w:rPr>
            </w:pPr>
            <w:r>
              <w:rPr>
                <w:rFonts w:ascii="宋体" w:hAnsi="宋体" w:cs="宋体" w:eastAsia="宋体" w:hint="default"/>
                <w:sz w:val="18"/>
                <w:szCs w:val="18"/>
              </w:rPr>
              <w:t>提减值 准备</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2" w:lineRule="exact" w:before="23"/>
              <w:ind w:left="203" w:right="119" w:hanging="92"/>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2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17,955,000.00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17,955,000.00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林洋能源科技（上海</w:t>
            </w:r>
            <w:r>
              <w:rPr>
                <w:rFonts w:ascii="宋体" w:hAnsi="宋体" w:cs="宋体" w:eastAsia="宋体" w:hint="default"/>
                <w:sz w:val="18"/>
                <w:szCs w:val="18"/>
              </w:rPr>
              <w:t>)</w:t>
            </w:r>
            <w:r>
              <w:rPr>
                <w:rFonts w:ascii="宋体" w:hAnsi="宋体" w:cs="宋体" w:eastAsia="宋体" w:hint="default"/>
                <w:sz w:val="18"/>
                <w:szCs w:val="18"/>
              </w:rPr>
              <w:t>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3,250,000.00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3,250,000.00</w:t>
            </w:r>
          </w:p>
        </w:tc>
        <w:tc>
          <w:tcPr>
            <w:tcW w:w="165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南京林洋电力科技有限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54,685,380.22</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54,685,380.22</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183,293,555.23</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183,293,555.23</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1,000,000,000.00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1,000,000,000.00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84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36"/>
        <w:gridCol w:w="1657"/>
        <w:gridCol w:w="1478"/>
        <w:gridCol w:w="1296"/>
        <w:gridCol w:w="1659"/>
        <w:gridCol w:w="787"/>
        <w:gridCol w:w="782"/>
      </w:tblGrid>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林洋澳洲新能源有限责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6,223,400.00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6,223,400.00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江苏林洋照明科技有限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125,000,000.00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180,090,000.00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103,474,586.50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283,564,586.50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安徽林洋新能源科技能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1,200,000,000.00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1,200,000,000.00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UABELGAMAELEKTRONIKA</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17,993,870.21</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17,993,870.21</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1,000,000,000.00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江苏林洋电力服务有限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23,000,000.00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152,000,000.00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175,000,000.00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江苏林洋微网科技有限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19,500,000.00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200,000,000.00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河北林洋微网新能源科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39,500,000.00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60,500,000.00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100,000,000.00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江苏林洋光伏运维有限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15,000,000.00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新加坡林洋能源科技有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6,906,600.00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46,887,360.00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53,793,960.00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辽宁林洋新能源科技有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28,000,000.00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28,000,000.00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5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4,145,397,805.66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367,961,946.50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3,250,000.00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4,510,109,752.16</w:t>
            </w:r>
          </w:p>
        </w:tc>
        <w:tc>
          <w:tcPr>
            <w:tcW w:w="78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20" w:bottom="1160" w:left="840" w:right="1040"/>
        </w:sectPr>
      </w:pPr>
    </w:p>
    <w:p>
      <w:pPr>
        <w:spacing w:line="240" w:lineRule="auto" w:before="4"/>
        <w:rPr>
          <w:rFonts w:ascii="Times New Roman" w:hAnsi="Times New Roman" w:cs="Times New Roman" w:eastAsia="Times New Roman" w:hint="default"/>
          <w:sz w:val="6"/>
          <w:szCs w:val="6"/>
        </w:rPr>
      </w:pPr>
    </w:p>
    <w:p>
      <w:pPr>
        <w:spacing w:line="392" w:lineRule="exact"/>
        <w:ind w:left="7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295049" cy="249364"/>
            <wp:effectExtent l="0" t="0" r="0" b="0"/>
            <wp:docPr id="49" name="image2.png" descr=""/>
            <wp:cNvGraphicFramePr>
              <a:graphicFrameLocks noChangeAspect="1"/>
            </wp:cNvGraphicFramePr>
            <a:graphic>
              <a:graphicData uri="http://schemas.openxmlformats.org/drawingml/2006/picture">
                <pic:pic>
                  <pic:nvPicPr>
                    <pic:cNvPr id="50" name="image2.png"/>
                    <pic:cNvPicPr/>
                  </pic:nvPicPr>
                  <pic:blipFill>
                    <a:blip r:embed="rId10" cstate="print"/>
                    <a:stretch>
                      <a:fillRect/>
                    </a:stretch>
                  </pic:blipFill>
                  <pic:spPr>
                    <a:xfrm>
                      <a:off x="0" y="0"/>
                      <a:ext cx="295049" cy="249364"/>
                    </a:xfrm>
                    <a:prstGeom prst="rect">
                      <a:avLst/>
                    </a:prstGeom>
                  </pic:spPr>
                </pic:pic>
              </a:graphicData>
            </a:graphic>
          </wp:inline>
        </w:drawing>
      </w:r>
      <w:r>
        <w:rPr>
          <w:rFonts w:ascii="Times New Roman" w:hAnsi="Times New Roman" w:cs="Times New Roman" w:eastAsia="Times New Roman" w:hint="default"/>
          <w:position w:val="-7"/>
          <w:sz w:val="20"/>
          <w:szCs w:val="20"/>
        </w:rPr>
      </w:r>
    </w:p>
    <w:p>
      <w:pPr>
        <w:tabs>
          <w:tab w:pos="10295" w:val="left" w:leader="none"/>
        </w:tabs>
        <w:spacing w:line="214" w:lineRule="exact" w:before="0"/>
        <w:ind w:left="3898"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177"/>
          <w:footerReference w:type="default" r:id="rId178"/>
          <w:pgSz w:w="16840" w:h="11910" w:orient="landscape"/>
          <w:pgMar w:header="0" w:footer="0" w:top="400" w:bottom="280" w:left="700" w:right="600"/>
        </w:sectPr>
      </w:pPr>
    </w:p>
    <w:p>
      <w:pPr>
        <w:pStyle w:val="Heading2"/>
        <w:spacing w:line="240" w:lineRule="auto"/>
        <w:ind w:left="824"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8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24" w:right="0"/>
        <w:jc w:val="left"/>
      </w:pPr>
      <w:r>
        <w:rPr/>
        <w:t>单位：元币种：人民币</w:t>
      </w:r>
    </w:p>
    <w:p>
      <w:pPr>
        <w:spacing w:after="0" w:line="240" w:lineRule="auto"/>
        <w:jc w:val="left"/>
        <w:sectPr>
          <w:type w:val="continuous"/>
          <w:pgSz w:w="16840" w:h="11910" w:orient="landscape"/>
          <w:pgMar w:top="1580" w:bottom="280" w:left="700" w:right="600"/>
          <w:cols w:num="2" w:equalWidth="0">
            <w:col w:w="3463" w:space="8311"/>
            <w:col w:w="3766"/>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10"/>
        <w:gridCol w:w="1558"/>
        <w:gridCol w:w="1563"/>
        <w:gridCol w:w="1416"/>
        <w:gridCol w:w="1416"/>
        <w:gridCol w:w="994"/>
        <w:gridCol w:w="994"/>
        <w:gridCol w:w="994"/>
        <w:gridCol w:w="850"/>
        <w:gridCol w:w="710"/>
        <w:gridCol w:w="1558"/>
        <w:gridCol w:w="850"/>
      </w:tblGrid>
      <w:tr>
        <w:trPr>
          <w:trHeight w:val="245"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20" w:right="1017"/>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92" w:right="59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9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92" w:right="59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50" w:type="dxa"/>
            <w:vMerge w:val="restart"/>
            <w:tcBorders>
              <w:top w:val="single" w:sz="4" w:space="0" w:color="000000"/>
              <w:left w:val="single" w:sz="4" w:space="0" w:color="000000"/>
              <w:right w:val="single" w:sz="4" w:space="0" w:color="000000"/>
            </w:tcBorders>
          </w:tcPr>
          <w:p>
            <w:pPr>
              <w:pStyle w:val="TableParagraph"/>
              <w:spacing w:line="237" w:lineRule="auto" w:before="94"/>
              <w:ind w:left="151" w:right="146"/>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08" w:hRule="exact"/>
        </w:trPr>
        <w:tc>
          <w:tcPr>
            <w:tcW w:w="241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4" w:right="161"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1" w:right="1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2" w:right="1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32" w:lineRule="exact" w:before="23"/>
              <w:ind w:left="223" w:right="130"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1" w:right="146"/>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245" w:hRule="exact"/>
        </w:trPr>
        <w:tc>
          <w:tcPr>
            <w:tcW w:w="153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56,938,222.59</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959,525.45</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57,897,748.04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江苏华电华林新能源有限公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16,825,882.76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5,500,000.00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
                <w:sz w:val="18"/>
              </w:rPr>
              <w:t>1,279,978.30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23,605,861.06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四川睿能新能源有限公司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1,407,711.14</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center"/>
              <w:rPr>
                <w:rFonts w:ascii="宋体" w:hAnsi="宋体" w:cs="宋体" w:eastAsia="宋体" w:hint="default"/>
                <w:sz w:val="18"/>
                <w:szCs w:val="18"/>
              </w:rPr>
            </w:pPr>
            <w:r>
              <w:rPr>
                <w:rFonts w:ascii="宋体"/>
                <w:sz w:val="18"/>
              </w:rPr>
              <w:t>1,407,711.14</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法凯涞玛冷暖设备（杭州）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24,829.44</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3,024,829.44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无锡感知金服实业有限公司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-989,043.79</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24,010,956.21</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75,171,816.49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center"/>
              <w:rPr>
                <w:rFonts w:ascii="宋体" w:hAnsi="宋体" w:cs="宋体" w:eastAsia="宋体" w:hint="default"/>
                <w:sz w:val="18"/>
                <w:szCs w:val="18"/>
              </w:rPr>
            </w:pPr>
            <w:r>
              <w:rPr>
                <w:rFonts w:ascii="宋体"/>
                <w:sz w:val="18"/>
              </w:rPr>
              <w:t>1,407,711.14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1,275,289.40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108,539,394.75</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75,171,816.49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center"/>
              <w:rPr>
                <w:rFonts w:ascii="宋体" w:hAnsi="宋体" w:cs="宋体" w:eastAsia="宋体" w:hint="default"/>
                <w:sz w:val="18"/>
                <w:szCs w:val="18"/>
              </w:rPr>
            </w:pPr>
            <w:r>
              <w:rPr>
                <w:rFonts w:ascii="宋体"/>
                <w:sz w:val="18"/>
              </w:rPr>
              <w:t>1,407,711.14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1,275,289.40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108,539,394.75</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63"/>
        <w:ind w:left="7394" w:right="7410" w:firstLine="0"/>
        <w:jc w:val="center"/>
        <w:rPr>
          <w:rFonts w:ascii="Calibri" w:hAnsi="Calibri" w:cs="Calibri" w:eastAsia="Calibri" w:hint="default"/>
          <w:sz w:val="18"/>
          <w:szCs w:val="18"/>
        </w:rPr>
      </w:pPr>
      <w:r>
        <w:rPr>
          <w:rFonts w:ascii="Calibri"/>
          <w:b/>
          <w:sz w:val="18"/>
        </w:rPr>
        <w:t>196 </w:t>
      </w:r>
      <w:r>
        <w:rPr>
          <w:rFonts w:ascii="Calibri"/>
          <w:sz w:val="18"/>
        </w:rPr>
        <w:t>/</w:t>
      </w:r>
      <w:r>
        <w:rPr>
          <w:rFonts w:ascii="Calibri"/>
          <w:spacing w:val="-5"/>
          <w:sz w:val="18"/>
        </w:rPr>
        <w:t> </w:t>
      </w:r>
      <w:r>
        <w:rPr>
          <w:rFonts w:ascii="Calibri"/>
          <w:b/>
          <w:sz w:val="18"/>
        </w:rPr>
        <w:t>199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700" w:right="60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5"/>
          <w:szCs w:val="15"/>
        </w:rPr>
      </w:pPr>
    </w:p>
    <w:p>
      <w:pPr>
        <w:spacing w:after="0" w:line="240" w:lineRule="auto"/>
        <w:rPr>
          <w:rFonts w:ascii="Calibri" w:hAnsi="Calibri" w:cs="Calibri" w:eastAsia="Calibri" w:hint="default"/>
          <w:sz w:val="15"/>
          <w:szCs w:val="15"/>
        </w:rPr>
        <w:sectPr>
          <w:headerReference w:type="default" r:id="rId179"/>
          <w:footerReference w:type="default" r:id="rId180"/>
          <w:pgSz w:w="11910" w:h="16840"/>
          <w:pgMar w:header="882" w:footer="974" w:top="1080" w:bottom="1160" w:left="1200" w:right="1300"/>
          <w:pgNumType w:start="197"/>
        </w:sectPr>
      </w:pPr>
    </w:p>
    <w:p>
      <w:pPr>
        <w:pStyle w:val="Heading2"/>
        <w:spacing w:line="240" w:lineRule="auto"/>
        <w:ind w:right="-18"/>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3068" w:space="3902"/>
            <w:col w:w="244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1,797,387,767.96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1,439,866,164.88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1,804,895,543.21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1,389,433,849.67</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47,666,470.09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45,602,697.22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43,185,554.57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28,360,914.25</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3"/>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1,845,054,238.05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1,485,468,862.10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1,848,081,097.78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1,417,794,763.92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200" w:right="1300"/>
        </w:sectPr>
      </w:pPr>
    </w:p>
    <w:p>
      <w:pPr>
        <w:pStyle w:val="Heading2"/>
        <w:spacing w:line="240" w:lineRule="auto"/>
        <w:ind w:right="96"/>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9"/>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1796" w:space="5174"/>
            <w:col w:w="244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143,822,304.61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199,858,182.02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1,275,289.40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1,000,190.76</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-560,237.75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44,405,657.04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13,422,776.81</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188,943,013.30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214,281,149.59</w:t>
            </w:r>
          </w:p>
        </w:tc>
      </w:tr>
    </w:tbl>
    <w:p>
      <w:pPr>
        <w:spacing w:line="240" w:lineRule="auto" w:before="12"/>
        <w:rPr>
          <w:rFonts w:ascii="宋体" w:hAnsi="宋体" w:cs="宋体" w:eastAsia="宋体" w:hint="default"/>
          <w:sz w:val="19"/>
          <w:szCs w:val="19"/>
        </w:rPr>
      </w:pPr>
    </w:p>
    <w:p>
      <w:pPr>
        <w:pStyle w:val="Heading2"/>
        <w:spacing w:line="240" w:lineRule="auto"/>
        <w:ind w:right="258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8"/>
        <w:ind w:right="2585"/>
        <w:jc w:val="left"/>
      </w:pPr>
      <w:r>
        <w:rPr/>
        <w:t>□适用 √不适用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200" w:right="1300"/>
        </w:sectPr>
      </w:pPr>
    </w:p>
    <w:p>
      <w:pPr>
        <w:pStyle w:val="Heading2"/>
        <w:tabs>
          <w:tab w:pos="1058" w:val="left" w:leader="none"/>
        </w:tabs>
        <w:spacing w:line="240" w:lineRule="auto"/>
        <w:ind w:right="-18"/>
        <w:jc w:val="left"/>
        <w:rPr>
          <w:b w:val="0"/>
          <w:bCs w:val="0"/>
        </w:rPr>
      </w:pPr>
      <w:r>
        <w:rPr/>
        <w:t>十八、</w:t>
        <w:tab/>
        <w:t>补充资料</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200" w:right="1300"/>
          <w:cols w:num="2" w:equalWidth="0">
            <w:col w:w="2963" w:space="4008"/>
            <w:col w:w="2439"/>
          </w:cols>
        </w:sectPr>
      </w:pPr>
    </w:p>
    <w:p>
      <w:pPr>
        <w:spacing w:line="240" w:lineRule="auto" w:before="4"/>
        <w:rPr>
          <w:rFonts w:ascii="宋体" w:hAnsi="宋体" w:cs="宋体" w:eastAsia="宋体" w:hint="default"/>
          <w:sz w:val="2"/>
          <w:szCs w:val="2"/>
        </w:rPr>
      </w:pPr>
      <w:r>
        <w:rPr/>
        <w:pict>
          <v:group style="position:absolute;margin-left:67.650002pt;margin-top:36.399982pt;width:457.6pt;height:19.9pt;mso-position-horizontal-relative:page;mso-position-vertical-relative:page;z-index:-1111024" coordorigin="1353,728" coordsize="9152,398">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53;top:728;width:465;height:393" type="#_x0000_t75" stroked="false">
                <v:imagedata r:id="rId10"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5497"/>
        <w:gridCol w:w="1843"/>
        <w:gridCol w:w="1709"/>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-651,082.13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家统一标准定额或定量享受的政府补助除外）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27,235,874.69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pacing w:val="-2"/>
                <w:sz w:val="21"/>
                <w:szCs w:val="21"/>
              </w:rPr>
              <w:t>得投资时应享有被投资单位可辨认净资产公允价值产生的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5497"/>
        <w:gridCol w:w="1843"/>
        <w:gridCol w:w="1709"/>
      </w:tblGrid>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974,668.99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w:t>
            </w:r>
          </w:p>
          <w:p>
            <w:pPr>
              <w:pStyle w:val="TableParagraph"/>
              <w:spacing w:line="237" w:lineRule="auto" w:before="2"/>
              <w:ind w:left="103" w:right="125"/>
              <w:jc w:val="both"/>
              <w:rPr>
                <w:rFonts w:ascii="宋体" w:hAnsi="宋体" w:cs="宋体" w:eastAsia="宋体" w:hint="default"/>
                <w:sz w:val="21"/>
                <w:szCs w:val="21"/>
              </w:rPr>
            </w:pPr>
            <w:r>
              <w:rPr>
                <w:rFonts w:ascii="宋体" w:hAnsi="宋体" w:cs="宋体" w:eastAsia="宋体" w:hint="default"/>
                <w:spacing w:val="-2"/>
                <w:sz w:val="21"/>
                <w:szCs w:val="21"/>
              </w:rPr>
              <w:t>交易性金融资产、交易性金融负债产生的公允价值变动损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益，以及处置交易性金融资产、交易性金融负债和可供出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售金融资产取得的投资收益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变动产生的损益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性调整对当期损益的影响</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-9,160,853.16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-1,558,208.74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-106,632.06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16,733,767.59</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号——非经常性损益》定义界定的非经</w:t>
      </w:r>
    </w:p>
    <w:p>
      <w:pPr>
        <w:pStyle w:val="BodyText"/>
        <w:spacing w:line="240" w:lineRule="auto"/>
        <w:ind w:right="145"/>
        <w:jc w:val="left"/>
      </w:pPr>
      <w:r>
        <w:rPr/>
        <w:t>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7"/>
        </w:rPr>
        <w:t> </w:t>
      </w:r>
      <w:r>
        <w:rPr/>
        <w:t>号——非经常性损益》中列</w:t>
      </w:r>
      <w:r>
        <w:rPr>
          <w:w w:val="100"/>
        </w:rPr>
        <w:t> </w:t>
      </w:r>
      <w:r>
        <w:rPr/>
        <w:t>举的非经常性损益项目界定为经常性损益的项目，应说明原因。</w:t>
      </w:r>
    </w:p>
    <w:p>
      <w:pPr>
        <w:pStyle w:val="BodyText"/>
        <w:spacing w:line="271" w:lineRule="exact"/>
        <w:ind w:right="258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585"/>
        <w:jc w:val="left"/>
        <w:rPr>
          <w:b w:val="0"/>
          <w:bCs w:val="0"/>
        </w:rPr>
      </w:pPr>
      <w:r>
        <w:rPr>
          <w:rFonts w:ascii="宋体" w:hAnsi="宋体" w:cs="宋体" w:eastAsia="宋体" w:hint="default"/>
        </w:rPr>
        <w:t>2</w:t>
      </w:r>
      <w:r>
        <w:rPr/>
        <w:t>、</w:t>
      </w:r>
      <w:r>
        <w:rPr>
          <w:spacing w:val="-1"/>
        </w:rPr>
        <w:t> </w:t>
      </w:r>
      <w:r>
        <w:rPr/>
        <w:t>净资产收益率及每股收益</w:t>
      </w:r>
      <w:r>
        <w:rPr>
          <w:b w:val="0"/>
          <w:bCs w:val="0"/>
        </w:rPr>
      </w:r>
    </w:p>
    <w:p>
      <w:pPr>
        <w:pStyle w:val="BodyText"/>
        <w:spacing w:line="240" w:lineRule="auto" w:before="58"/>
        <w:ind w:right="2585"/>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12"/>
        <w:gridCol w:w="1985"/>
        <w:gridCol w:w="1699"/>
        <w:gridCol w:w="1853"/>
      </w:tblGrid>
      <w:tr>
        <w:trPr>
          <w:trHeight w:val="283" w:hRule="exact"/>
        </w:trPr>
        <w:tc>
          <w:tcPr>
            <w:tcW w:w="3512" w:type="dxa"/>
            <w:vMerge w:val="restart"/>
            <w:tcBorders>
              <w:top w:val="single" w:sz="4" w:space="0" w:color="000000"/>
              <w:left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985" w:type="dxa"/>
            <w:vMerge w:val="restart"/>
            <w:tcBorders>
              <w:top w:val="single" w:sz="4" w:space="0" w:color="000000"/>
              <w:left w:val="single" w:sz="4" w:space="0" w:color="000000"/>
              <w:right w:val="single" w:sz="4" w:space="0" w:color="000000"/>
            </w:tcBorders>
          </w:tcPr>
          <w:p>
            <w:pPr>
              <w:pStyle w:val="TableParagraph"/>
              <w:spacing w:line="272" w:lineRule="exact" w:before="44"/>
              <w:ind w:left="511" w:right="146"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51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r>
        <w:trPr>
          <w:trHeight w:val="557"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r>
    </w:tbl>
    <w:p>
      <w:pPr>
        <w:spacing w:line="240" w:lineRule="auto" w:before="12"/>
        <w:rPr>
          <w:rFonts w:ascii="宋体" w:hAnsi="宋体" w:cs="宋体" w:eastAsia="宋体" w:hint="default"/>
          <w:sz w:val="19"/>
          <w:szCs w:val="19"/>
        </w:rPr>
      </w:pPr>
    </w:p>
    <w:p>
      <w:pPr>
        <w:pStyle w:val="Heading2"/>
        <w:spacing w:line="240" w:lineRule="auto"/>
        <w:ind w:right="258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585"/>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before="0"/>
        <w:ind w:right="258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8"/>
        <w:ind w:right="2585"/>
        <w:jc w:val="left"/>
      </w:pPr>
      <w:r>
        <w:rPr/>
        <w:t>□适用 √不适用</w:t>
      </w:r>
    </w:p>
    <w:p>
      <w:pPr>
        <w:spacing w:after="0" w:line="240" w:lineRule="auto"/>
        <w:jc w:val="left"/>
        <w:sectPr>
          <w:headerReference w:type="default" r:id="rId181"/>
          <w:pgSz w:w="11910" w:h="16840"/>
          <w:pgMar w:header="728" w:footer="974" w:top="1120" w:bottom="1160" w:left="1200" w:right="1300"/>
        </w:sectPr>
      </w:pPr>
    </w:p>
    <w:p>
      <w:pPr>
        <w:spacing w:line="240" w:lineRule="auto" w:before="9"/>
        <w:rPr>
          <w:rFonts w:ascii="宋体" w:hAnsi="宋体" w:cs="宋体" w:eastAsia="宋体" w:hint="default"/>
          <w:sz w:val="25"/>
          <w:szCs w:val="25"/>
        </w:rPr>
      </w:pPr>
    </w:p>
    <w:p>
      <w:pPr>
        <w:pStyle w:val="Heading1"/>
        <w:spacing w:line="240" w:lineRule="auto"/>
        <w:ind w:left="59" w:right="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262" w:type="dxa"/>
        <w:tblLayout w:type="fixed"/>
        <w:tblCellMar>
          <w:top w:w="0" w:type="dxa"/>
          <w:left w:w="0" w:type="dxa"/>
          <w:bottom w:w="0" w:type="dxa"/>
          <w:right w:w="0" w:type="dxa"/>
        </w:tblCellMar>
        <w:tblLook w:val="01E0"/>
      </w:tblPr>
      <w:tblGrid>
        <w:gridCol w:w="2295"/>
        <w:gridCol w:w="6599"/>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报告期内在中国证监会指定网站上公开披露的所有公司文件正本及公告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原稿</w:t>
            </w:r>
          </w:p>
        </w:tc>
      </w:tr>
    </w:tbl>
    <w:p>
      <w:pPr>
        <w:pStyle w:val="BodyText"/>
        <w:spacing w:line="314" w:lineRule="auto" w:before="42"/>
        <w:ind w:left="5517" w:right="110" w:firstLine="2256"/>
        <w:jc w:val="left"/>
      </w:pPr>
      <w:r>
        <w:rPr>
          <w:spacing w:val="-1"/>
        </w:rPr>
        <w:t>董事长：陆永华</w:t>
      </w:r>
      <w:r>
        <w:rPr>
          <w:w w:val="100"/>
        </w:rPr>
        <w:t> </w:t>
      </w:r>
      <w:r>
        <w:rPr/>
        <w:t>董事会批准报送日期：</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p>
    <w:sectPr>
      <w:pgSz w:w="11910" w:h="16840"/>
      <w:pgMar w:header="728" w:footer="974" w:top="1120" w:bottom="1160" w:left="12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113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3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13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3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13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3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113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35.585999pt;width:32.4pt;height:11pt;mso-position-horizontal-relative:page;mso-position-vertical-relative:page;z-index:-1113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113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113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113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809998pt;margin-top:782.209961pt;width:27.8pt;height:11pt;mso-position-horizontal-relative:page;mso-position-vertical-relative:page;z-index:-1113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1112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2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112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112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112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112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13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1112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2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112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3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111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111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111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11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11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111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11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11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190</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13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11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193</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11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3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13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13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13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599998pt;margin-top:36.399982pt;width:445.85pt;height:19.8pt;mso-position-horizontal-relative:page;mso-position-vertical-relative:page;z-index:-1113856" coordorigin="1732,728" coordsize="8917,396">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732;top:728;width:465;height:393"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116.620003pt;margin-top:42.985607pt;width:110pt;height:11pt;mso-position-horizontal-relative:page;mso-position-vertical-relative:page;z-index:-1113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6.470001pt;margin-top:42.985607pt;width:67.350pt;height:12pt;mso-position-horizontal-relative:page;mso-position-vertical-relative:page;z-index:-1113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549999pt;margin-top:32.149982pt;width:23.25pt;height:19.650pt;mso-position-horizontal-relative:page;mso-position-vertical-relative:page;z-index:-1112584" type="#_x0000_t75" stroked="false">
          <v:imagedata r:id="rId1" o:title=""/>
        </v:shape>
      </w:pict>
    </w:r>
    <w:r>
      <w:rPr/>
      <w:pict>
        <v:group style="position:absolute;margin-left:62.400002pt;margin-top:55.919983pt;width:443.65pt;height:.1pt;mso-position-horizontal-relative:page;mso-position-vertical-relative:page;z-index:-111256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90.584pt;margin-top:43.105606pt;width:110pt;height:11pt;mso-position-horizontal-relative:page;mso-position-vertical-relative:page;z-index:-1112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0.429993pt;margin-top:43.105606pt;width:67.3pt;height:12pt;mso-position-horizontal-relative:page;mso-position-vertical-relative:page;z-index:-1112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3.540001pt;margin-top:43.105606pt;width:110pt;height:11pt;mso-position-horizontal-relative:page;mso-position-vertical-relative:page;z-index:-1112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2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650002pt;margin-top:32.149982pt;width:23.25pt;height:19.650pt;mso-position-horizontal-relative:page;mso-position-vertical-relative:page;z-index:-1112416" type="#_x0000_t75" stroked="false">
          <v:imagedata r:id="rId1" o:title=""/>
        </v:shape>
      </w:pict>
    </w:r>
    <w:r>
      <w:rPr/>
      <w:pict>
        <v:group style="position:absolute;margin-left:69.503998pt;margin-top:55.919983pt;width:455.35pt;height:.1pt;mso-position-horizontal-relative:page;mso-position-vertical-relative:page;z-index:-1112392"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103.540001pt;margin-top:43.105606pt;width:110pt;height:11pt;mso-position-horizontal-relative:page;mso-position-vertical-relative:page;z-index:-1112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2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8.75pt;margin-top:50.000008pt;width:697.85pt;height:19.650pt;mso-position-horizontal-relative:page;mso-position-vertical-relative:page;z-index:-1112296" coordorigin="1375,1000" coordsize="13957,393">
          <v:group style="position:absolute;left:1411;top:1118;width:13913;height:2" coordorigin="1411,1118" coordsize="13913,2">
            <v:shape style="position:absolute;left:1411;top:1118;width:13913;height:2" coordorigin="1411,1118" coordsize="13913,0" path="m1411,1118l15324,1118e" filled="false" stroked="true" strokeweight=".72pt" strokecolor="#000000">
              <v:path arrowok="t"/>
            </v:shape>
            <v:shape style="position:absolute;left:1375;top:1000;width:465;height:393" type="#_x0000_t75" stroked="false">
              <v:imagedata r:id="rId1" o:title=""/>
            </v:shape>
          </v:group>
          <w10:wrap type="none"/>
        </v:group>
      </w:pict>
    </w:r>
    <w:r>
      <w:rPr/>
      <w:pict>
        <v:shape style="position:absolute;margin-left:224.740005pt;margin-top:43.105633pt;width:110pt;height:11pt;mso-position-horizontal-relative:page;mso-position-vertical-relative:page;z-index:-1112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4.590027pt;margin-top:43.105633pt;width:67.3pt;height:12pt;mso-position-horizontal-relative:page;mso-position-vertical-relative:page;z-index:-1112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650002pt;margin-top:32.149982pt;width:23.25pt;height:19.650pt;mso-position-horizontal-relative:page;mso-position-vertical-relative:page;z-index:-1112200" type="#_x0000_t75" stroked="false">
          <v:imagedata r:id="rId1" o:title=""/>
        </v:shape>
      </w:pict>
    </w:r>
    <w:r>
      <w:rPr/>
      <w:pict>
        <v:group style="position:absolute;margin-left:69.503998pt;margin-top:55.919983pt;width:455.35pt;height:.1pt;mso-position-horizontal-relative:page;mso-position-vertical-relative:page;z-index:-1112176"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103.540001pt;margin-top:43.105606pt;width:110pt;height:11pt;mso-position-horizontal-relative:page;mso-position-vertical-relative:page;z-index:-1112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2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584pt;margin-top:43.105606pt;width:110pt;height:11pt;mso-position-horizontal-relative:page;mso-position-vertical-relative:page;z-index:-1112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0.429993pt;margin-top:43.105606pt;width:67.3pt;height:12pt;mso-position-horizontal-relative:page;mso-position-vertical-relative:page;z-index:-1112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3.540001pt;margin-top:43.105606pt;width:110pt;height:11pt;mso-position-horizontal-relative:page;mso-position-vertical-relative:page;z-index:-1113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3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549999pt;margin-top:32.149982pt;width:23.25pt;height:19.650pt;mso-position-horizontal-relative:page;mso-position-vertical-relative:page;z-index:-1111984" type="#_x0000_t75" stroked="false">
          <v:imagedata r:id="rId1" o:title=""/>
        </v:shape>
      </w:pict>
    </w:r>
    <w:r>
      <w:rPr/>
      <w:pict>
        <v:group style="position:absolute;margin-left:62.400002pt;margin-top:55.919983pt;width:443.65pt;height:.1pt;mso-position-horizontal-relative:page;mso-position-vertical-relative:page;z-index:-111196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90.584pt;margin-top:43.105606pt;width:110pt;height:11pt;mso-position-horizontal-relative:page;mso-position-vertical-relative:page;z-index:-1111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0.429993pt;margin-top:43.105606pt;width:67.3pt;height:12pt;mso-position-horizontal-relative:page;mso-position-vertical-relative:page;z-index:-1111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599998pt;margin-top:36.399982pt;width:445.85pt;height:19.9pt;mso-position-horizontal-relative:page;mso-position-vertical-relative:page;z-index:-1111816" coordorigin="1732,728" coordsize="8917,398">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732;top:728;width:465;height:393" type="#_x0000_t75" stroked="false">
              <v:imagedata r:id="rId1" o:title=""/>
            </v:shape>
          </v:group>
          <w10:wrap type="none"/>
        </v:group>
      </w:pict>
    </w:r>
    <w:r>
      <w:rPr/>
      <w:pict>
        <v:shape style="position:absolute;margin-left:116.620003pt;margin-top:43.105606pt;width:110pt;height:11pt;mso-position-horizontal-relative:page;mso-position-vertical-relative:page;z-index:-1111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6.470001pt;margin-top:43.105606pt;width:67.350pt;height:12pt;mso-position-horizontal-relative:page;mso-position-vertical-relative:page;z-index:-1111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3.540001pt;margin-top:43.105606pt;width:110pt;height:11pt;mso-position-horizontal-relative:page;mso-position-vertical-relative:page;z-index:-1111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1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650002pt;margin-top:36.399982pt;width:457.6pt;height:19.9pt;mso-position-horizontal-relative:page;mso-position-vertical-relative:page;z-index:-1111528" coordorigin="1353,728" coordsize="9152,398">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53;top:728;width:465;height:393" type="#_x0000_t75" stroked="false">
              <v:imagedata r:id="rId1" o:title=""/>
            </v:shape>
          </v:group>
          <w10:wrap type="none"/>
        </v:group>
      </w:pict>
    </w:r>
    <w:r>
      <w:rPr/>
      <w:pict>
        <v:shape style="position:absolute;margin-left:103.540001pt;margin-top:43.105606pt;width:110pt;height:11pt;mso-position-horizontal-relative:page;mso-position-vertical-relative:page;z-index:-1111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1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650002pt;margin-top:36.399982pt;width:457.6pt;height:19.9pt;mso-position-horizontal-relative:page;mso-position-vertical-relative:page;z-index:-1113688" coordorigin="1353,728" coordsize="9152,398">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53;top:728;width:465;height:393" type="#_x0000_t75" stroked="false">
              <v:imagedata r:id="rId1" o:title=""/>
            </v:shape>
          </v:group>
          <w10:wrap type="none"/>
        </v:group>
      </w:pict>
    </w:r>
    <w:r>
      <w:rPr/>
      <w:pict>
        <v:shape style="position:absolute;margin-left:103.540001pt;margin-top:43.105606pt;width:110pt;height:11pt;mso-position-horizontal-relative:page;mso-position-vertical-relative:page;z-index:-1113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3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pt;margin-top:23.950006pt;width:23.25pt;height:19.650pt;mso-position-horizontal-relative:page;mso-position-vertical-relative:page;z-index:-1113328" type="#_x0000_t75" stroked="false">
          <v:imagedata r:id="rId1" o:title=""/>
        </v:shape>
      </w:pict>
    </w:r>
    <w:r>
      <w:rPr/>
      <w:pict>
        <v:group style="position:absolute;margin-left:74.760002pt;margin-top:55.800007pt;width:695.65pt;height:.1pt;mso-position-horizontal-relative:page;mso-position-vertical-relative:page;z-index:-11133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228.940002pt;margin-top:42.985634pt;width:110pt;height:11pt;mso-position-horizontal-relative:page;mso-position-vertical-relative:page;z-index:-1113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8.789978pt;margin-top:42.985634pt;width:67.350pt;height:12pt;mso-position-horizontal-relative:page;mso-position-vertical-relative:page;z-index:-1113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599998pt;margin-top:36.399982pt;width:445.85pt;height:19.650pt;mso-position-horizontal-relative:page;mso-position-vertical-relative:page;z-index:-1113184" coordorigin="1732,728" coordsize="8917,393">
          <v:group style="position:absolute;left:1769;top:1111;width:8872;height:2" coordorigin="1769,1111" coordsize="8872,2">
            <v:shape style="position:absolute;left:1769;top:1111;width:8872;height:2" coordorigin="1769,1111" coordsize="8872,0" path="m1769,1111l10641,1111e" filled="false" stroked="true" strokeweight=".72pt" strokecolor="#000000">
              <v:path arrowok="t"/>
            </v:shape>
            <v:shape style="position:absolute;left:1732;top:728;width:465;height:393" type="#_x0000_t75" stroked="false">
              <v:imagedata r:id="rId1" o:title=""/>
            </v:shape>
          </v:group>
          <w10:wrap type="none"/>
        </v:group>
      </w:pict>
    </w:r>
    <w:r>
      <w:rPr/>
      <w:pict>
        <v:shape style="position:absolute;margin-left:116.620003pt;margin-top:42.865608pt;width:110pt;height:11pt;mso-position-horizontal-relative:page;mso-position-vertical-relative:page;z-index:-1113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6.470001pt;margin-top:42.865608pt;width:67.350pt;height:12pt;mso-position-horizontal-relative:page;mso-position-vertical-relative:page;z-index:-1113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pt;margin-top:23.950006pt;width:23.25pt;height:19.650pt;mso-position-horizontal-relative:page;mso-position-vertical-relative:page;z-index:-1113040" type="#_x0000_t75" stroked="false">
          <v:imagedata r:id="rId1" o:title=""/>
        </v:shape>
      </w:pict>
    </w:r>
    <w:r>
      <w:rPr/>
      <w:pict>
        <v:group style="position:absolute;margin-left:74.760002pt;margin-top:55.920006pt;width:695.65pt;height:.1pt;mso-position-horizontal-relative:page;mso-position-vertical-relative:page;z-index:-11130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28.940002pt;margin-top:43.105633pt;width:110pt;height:11pt;mso-position-horizontal-relative:page;mso-position-vertical-relative:page;z-index:-1112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8.789978pt;margin-top:43.105633pt;width:67.350pt;height:12pt;mso-position-horizontal-relative:page;mso-position-vertical-relative:page;z-index:-1112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650002pt;margin-top:32.149982pt;width:23.25pt;height:19.650pt;mso-position-horizontal-relative:page;mso-position-vertical-relative:page;z-index:-1112920" type="#_x0000_t75" stroked="false">
          <v:imagedata r:id="rId1" o:title=""/>
        </v:shape>
      </w:pict>
    </w:r>
    <w:r>
      <w:rPr/>
      <w:pict>
        <v:group style="position:absolute;margin-left:69.503998pt;margin-top:55.919983pt;width:455.35pt;height:.1pt;mso-position-horizontal-relative:page;mso-position-vertical-relative:page;z-index:-1112896"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103.540001pt;margin-top:43.105606pt;width:110pt;height:11pt;mso-position-horizontal-relative:page;mso-position-vertical-relative:page;z-index:-1112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1112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584pt;margin-top:43.105606pt;width:110pt;height:11pt;mso-position-horizontal-relative:page;mso-position-vertical-relative:page;z-index:-1112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0.429993pt;margin-top:43.105606pt;width:67.3pt;height:12pt;mso-position-horizontal-relative:page;mso-position-vertical-relative:page;z-index:-1112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7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mailto:dsh@linyang.com.cn" TargetMode="External"/><Relationship Id="rId15" Type="http://schemas.openxmlformats.org/officeDocument/2006/relationships/hyperlink" Target="http://www.linyang.com.cn/" TargetMode="External"/><Relationship Id="rId16" Type="http://schemas.openxmlformats.org/officeDocument/2006/relationships/hyperlink" Target="http://www.sse.com.cn/"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6.jpeg"/><Relationship Id="rId31" Type="http://schemas.openxmlformats.org/officeDocument/2006/relationships/image" Target="media/image7.png"/><Relationship Id="rId32" Type="http://schemas.openxmlformats.org/officeDocument/2006/relationships/header" Target="header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5.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header" Target="header6.xml"/><Relationship Id="rId40" Type="http://schemas.openxmlformats.org/officeDocument/2006/relationships/footer" Target="footer20.xml"/><Relationship Id="rId41" Type="http://schemas.openxmlformats.org/officeDocument/2006/relationships/header" Target="header7.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image" Target="media/image16.png"/><Relationship Id="rId56" Type="http://schemas.openxmlformats.org/officeDocument/2006/relationships/image" Target="media/image17.png"/><Relationship Id="rId57" Type="http://schemas.openxmlformats.org/officeDocument/2006/relationships/image" Target="media/image18.png"/><Relationship Id="rId58" Type="http://schemas.openxmlformats.org/officeDocument/2006/relationships/footer" Target="footer26.xml"/><Relationship Id="rId59" Type="http://schemas.openxmlformats.org/officeDocument/2006/relationships/footer" Target="footer27.xml"/><Relationship Id="rId60" Type="http://schemas.openxmlformats.org/officeDocument/2006/relationships/image" Target="media/image19.png"/><Relationship Id="rId61" Type="http://schemas.openxmlformats.org/officeDocument/2006/relationships/image" Target="media/image20.png"/><Relationship Id="rId62" Type="http://schemas.openxmlformats.org/officeDocument/2006/relationships/image" Target="media/image21.png"/><Relationship Id="rId63" Type="http://schemas.openxmlformats.org/officeDocument/2006/relationships/image" Target="media/image22.png"/><Relationship Id="rId64" Type="http://schemas.openxmlformats.org/officeDocument/2006/relationships/image" Target="media/image23.png"/><Relationship Id="rId65" Type="http://schemas.openxmlformats.org/officeDocument/2006/relationships/image" Target="media/image24.png"/><Relationship Id="rId66" Type="http://schemas.openxmlformats.org/officeDocument/2006/relationships/image" Target="media/image25.png"/><Relationship Id="rId67" Type="http://schemas.openxmlformats.org/officeDocument/2006/relationships/header" Target="header8.xml"/><Relationship Id="rId68" Type="http://schemas.openxmlformats.org/officeDocument/2006/relationships/footer" Target="footer28.xml"/><Relationship Id="rId69" Type="http://schemas.openxmlformats.org/officeDocument/2006/relationships/header" Target="header9.xml"/><Relationship Id="rId70" Type="http://schemas.openxmlformats.org/officeDocument/2006/relationships/footer" Target="footer29.xml"/><Relationship Id="rId71" Type="http://schemas.openxmlformats.org/officeDocument/2006/relationships/image" Target="media/image26.png"/><Relationship Id="rId72" Type="http://schemas.openxmlformats.org/officeDocument/2006/relationships/header" Target="header10.xml"/><Relationship Id="rId73" Type="http://schemas.openxmlformats.org/officeDocument/2006/relationships/image" Target="media/image27.png"/><Relationship Id="rId74" Type="http://schemas.openxmlformats.org/officeDocument/2006/relationships/image" Target="media/image28.png"/><Relationship Id="rId75" Type="http://schemas.openxmlformats.org/officeDocument/2006/relationships/image" Target="media/image29.png"/><Relationship Id="rId76" Type="http://schemas.openxmlformats.org/officeDocument/2006/relationships/image" Target="media/image30.png"/><Relationship Id="rId77" Type="http://schemas.openxmlformats.org/officeDocument/2006/relationships/image" Target="media/image31.png"/><Relationship Id="rId78" Type="http://schemas.openxmlformats.org/officeDocument/2006/relationships/image" Target="media/image32.png"/><Relationship Id="rId79" Type="http://schemas.openxmlformats.org/officeDocument/2006/relationships/image" Target="media/image33.png"/><Relationship Id="rId80" Type="http://schemas.openxmlformats.org/officeDocument/2006/relationships/image" Target="media/image34.png"/><Relationship Id="rId81" Type="http://schemas.openxmlformats.org/officeDocument/2006/relationships/image" Target="media/image35.png"/><Relationship Id="rId82" Type="http://schemas.openxmlformats.org/officeDocument/2006/relationships/image" Target="media/image36.png"/><Relationship Id="rId83" Type="http://schemas.openxmlformats.org/officeDocument/2006/relationships/image" Target="media/image37.png"/><Relationship Id="rId84" Type="http://schemas.openxmlformats.org/officeDocument/2006/relationships/image" Target="media/image38.png"/><Relationship Id="rId85" Type="http://schemas.openxmlformats.org/officeDocument/2006/relationships/image" Target="media/image39.png"/><Relationship Id="rId86" Type="http://schemas.openxmlformats.org/officeDocument/2006/relationships/image" Target="media/image40.png"/><Relationship Id="rId87" Type="http://schemas.openxmlformats.org/officeDocument/2006/relationships/header" Target="header11.xml"/><Relationship Id="rId88" Type="http://schemas.openxmlformats.org/officeDocument/2006/relationships/footer" Target="footer30.xml"/><Relationship Id="rId89" Type="http://schemas.openxmlformats.org/officeDocument/2006/relationships/header" Target="header12.xml"/><Relationship Id="rId90" Type="http://schemas.openxmlformats.org/officeDocument/2006/relationships/footer" Target="footer31.xml"/><Relationship Id="rId91" Type="http://schemas.openxmlformats.org/officeDocument/2006/relationships/header" Target="header13.xml"/><Relationship Id="rId92" Type="http://schemas.openxmlformats.org/officeDocument/2006/relationships/footer" Target="footer32.xml"/><Relationship Id="rId93" Type="http://schemas.openxmlformats.org/officeDocument/2006/relationships/header" Target="header14.xml"/><Relationship Id="rId94" Type="http://schemas.openxmlformats.org/officeDocument/2006/relationships/footer" Target="footer33.xml"/><Relationship Id="rId95" Type="http://schemas.openxmlformats.org/officeDocument/2006/relationships/header" Target="header15.xml"/><Relationship Id="rId96" Type="http://schemas.openxmlformats.org/officeDocument/2006/relationships/footer" Target="footer34.xml"/><Relationship Id="rId97" Type="http://schemas.openxmlformats.org/officeDocument/2006/relationships/header" Target="header16.xml"/><Relationship Id="rId98" Type="http://schemas.openxmlformats.org/officeDocument/2006/relationships/footer" Target="footer35.xml"/><Relationship Id="rId99" Type="http://schemas.openxmlformats.org/officeDocument/2006/relationships/header" Target="header17.xml"/><Relationship Id="rId100" Type="http://schemas.openxmlformats.org/officeDocument/2006/relationships/footer" Target="footer36.xml"/><Relationship Id="rId101" Type="http://schemas.openxmlformats.org/officeDocument/2006/relationships/footer" Target="footer37.xml"/><Relationship Id="rId102" Type="http://schemas.openxmlformats.org/officeDocument/2006/relationships/header" Target="header18.xml"/><Relationship Id="rId103" Type="http://schemas.openxmlformats.org/officeDocument/2006/relationships/footer" Target="footer38.xml"/><Relationship Id="rId104" Type="http://schemas.openxmlformats.org/officeDocument/2006/relationships/header" Target="header19.xml"/><Relationship Id="rId105" Type="http://schemas.openxmlformats.org/officeDocument/2006/relationships/footer" Target="footer39.xml"/><Relationship Id="rId106" Type="http://schemas.openxmlformats.org/officeDocument/2006/relationships/header" Target="header20.xml"/><Relationship Id="rId107" Type="http://schemas.openxmlformats.org/officeDocument/2006/relationships/header" Target="header21.xml"/><Relationship Id="rId108" Type="http://schemas.openxmlformats.org/officeDocument/2006/relationships/footer" Target="footer40.xml"/><Relationship Id="rId109" Type="http://schemas.openxmlformats.org/officeDocument/2006/relationships/footer" Target="footer41.xml"/><Relationship Id="rId110" Type="http://schemas.openxmlformats.org/officeDocument/2006/relationships/footer" Target="footer42.xml"/><Relationship Id="rId111" Type="http://schemas.openxmlformats.org/officeDocument/2006/relationships/footer" Target="footer43.xml"/><Relationship Id="rId112" Type="http://schemas.openxmlformats.org/officeDocument/2006/relationships/header" Target="header22.xml"/><Relationship Id="rId113" Type="http://schemas.openxmlformats.org/officeDocument/2006/relationships/footer" Target="footer44.xml"/><Relationship Id="rId114" Type="http://schemas.openxmlformats.org/officeDocument/2006/relationships/footer" Target="footer45.xml"/><Relationship Id="rId115" Type="http://schemas.openxmlformats.org/officeDocument/2006/relationships/footer" Target="footer46.xml"/><Relationship Id="rId116" Type="http://schemas.openxmlformats.org/officeDocument/2006/relationships/image" Target="media/image41.png"/><Relationship Id="rId117" Type="http://schemas.openxmlformats.org/officeDocument/2006/relationships/image" Target="media/image42.png"/><Relationship Id="rId118" Type="http://schemas.openxmlformats.org/officeDocument/2006/relationships/image" Target="media/image43.png"/><Relationship Id="rId119" Type="http://schemas.openxmlformats.org/officeDocument/2006/relationships/image" Target="media/image44.png"/><Relationship Id="rId120" Type="http://schemas.openxmlformats.org/officeDocument/2006/relationships/image" Target="media/image45.png"/><Relationship Id="rId121" Type="http://schemas.openxmlformats.org/officeDocument/2006/relationships/image" Target="media/image46.png"/><Relationship Id="rId122" Type="http://schemas.openxmlformats.org/officeDocument/2006/relationships/image" Target="media/image47.png"/><Relationship Id="rId123" Type="http://schemas.openxmlformats.org/officeDocument/2006/relationships/image" Target="media/image48.png"/><Relationship Id="rId124" Type="http://schemas.openxmlformats.org/officeDocument/2006/relationships/image" Target="media/image49.png"/><Relationship Id="rId125" Type="http://schemas.openxmlformats.org/officeDocument/2006/relationships/image" Target="media/image50.png"/><Relationship Id="rId126" Type="http://schemas.openxmlformats.org/officeDocument/2006/relationships/image" Target="media/image51.png"/><Relationship Id="rId127" Type="http://schemas.openxmlformats.org/officeDocument/2006/relationships/image" Target="media/image52.png"/><Relationship Id="rId128" Type="http://schemas.openxmlformats.org/officeDocument/2006/relationships/image" Target="media/image53.png"/><Relationship Id="rId129" Type="http://schemas.openxmlformats.org/officeDocument/2006/relationships/image" Target="media/image54.png"/><Relationship Id="rId130" Type="http://schemas.openxmlformats.org/officeDocument/2006/relationships/image" Target="media/image55.png"/><Relationship Id="rId131" Type="http://schemas.openxmlformats.org/officeDocument/2006/relationships/image" Target="media/image56.png"/><Relationship Id="rId132" Type="http://schemas.openxmlformats.org/officeDocument/2006/relationships/image" Target="media/image57.png"/><Relationship Id="rId133" Type="http://schemas.openxmlformats.org/officeDocument/2006/relationships/image" Target="media/image58.png"/><Relationship Id="rId134" Type="http://schemas.openxmlformats.org/officeDocument/2006/relationships/image" Target="media/image59.png"/><Relationship Id="rId135" Type="http://schemas.openxmlformats.org/officeDocument/2006/relationships/footer" Target="footer47.xml"/><Relationship Id="rId136" Type="http://schemas.openxmlformats.org/officeDocument/2006/relationships/image" Target="media/image60.png"/><Relationship Id="rId137" Type="http://schemas.openxmlformats.org/officeDocument/2006/relationships/image" Target="media/image61.png"/><Relationship Id="rId138" Type="http://schemas.openxmlformats.org/officeDocument/2006/relationships/image" Target="media/image62.png"/><Relationship Id="rId139" Type="http://schemas.openxmlformats.org/officeDocument/2006/relationships/image" Target="media/image63.png"/><Relationship Id="rId140" Type="http://schemas.openxmlformats.org/officeDocument/2006/relationships/image" Target="media/image64.png"/><Relationship Id="rId141" Type="http://schemas.openxmlformats.org/officeDocument/2006/relationships/image" Target="media/image65.png"/><Relationship Id="rId142" Type="http://schemas.openxmlformats.org/officeDocument/2006/relationships/image" Target="media/image66.png"/><Relationship Id="rId143" Type="http://schemas.openxmlformats.org/officeDocument/2006/relationships/image" Target="media/image67.png"/><Relationship Id="rId144" Type="http://schemas.openxmlformats.org/officeDocument/2006/relationships/image" Target="media/image68.png"/><Relationship Id="rId145" Type="http://schemas.openxmlformats.org/officeDocument/2006/relationships/image" Target="media/image69.png"/><Relationship Id="rId146" Type="http://schemas.openxmlformats.org/officeDocument/2006/relationships/image" Target="media/image70.png"/><Relationship Id="rId147" Type="http://schemas.openxmlformats.org/officeDocument/2006/relationships/image" Target="media/image71.png"/><Relationship Id="rId148" Type="http://schemas.openxmlformats.org/officeDocument/2006/relationships/image" Target="media/image72.png"/><Relationship Id="rId149" Type="http://schemas.openxmlformats.org/officeDocument/2006/relationships/image" Target="media/image73.png"/><Relationship Id="rId150" Type="http://schemas.openxmlformats.org/officeDocument/2006/relationships/image" Target="media/image74.png"/><Relationship Id="rId151" Type="http://schemas.openxmlformats.org/officeDocument/2006/relationships/image" Target="media/image75.png"/><Relationship Id="rId152" Type="http://schemas.openxmlformats.org/officeDocument/2006/relationships/image" Target="media/image76.png"/><Relationship Id="rId153" Type="http://schemas.openxmlformats.org/officeDocument/2006/relationships/image" Target="media/image77.png"/><Relationship Id="rId154" Type="http://schemas.openxmlformats.org/officeDocument/2006/relationships/image" Target="media/image78.png"/><Relationship Id="rId155" Type="http://schemas.openxmlformats.org/officeDocument/2006/relationships/image" Target="media/image79.png"/><Relationship Id="rId156" Type="http://schemas.openxmlformats.org/officeDocument/2006/relationships/image" Target="media/image80.png"/><Relationship Id="rId157" Type="http://schemas.openxmlformats.org/officeDocument/2006/relationships/image" Target="media/image81.png"/><Relationship Id="rId158" Type="http://schemas.openxmlformats.org/officeDocument/2006/relationships/image" Target="media/image82.png"/><Relationship Id="rId159" Type="http://schemas.openxmlformats.org/officeDocument/2006/relationships/image" Target="media/image83.png"/><Relationship Id="rId160" Type="http://schemas.openxmlformats.org/officeDocument/2006/relationships/image" Target="media/image84.png"/><Relationship Id="rId161" Type="http://schemas.openxmlformats.org/officeDocument/2006/relationships/image" Target="media/image85.png"/><Relationship Id="rId162" Type="http://schemas.openxmlformats.org/officeDocument/2006/relationships/header" Target="header23.xml"/><Relationship Id="rId163" Type="http://schemas.openxmlformats.org/officeDocument/2006/relationships/footer" Target="footer48.xml"/><Relationship Id="rId164" Type="http://schemas.openxmlformats.org/officeDocument/2006/relationships/footer" Target="footer49.xml"/><Relationship Id="rId165" Type="http://schemas.openxmlformats.org/officeDocument/2006/relationships/image" Target="media/image86.png"/><Relationship Id="rId166" Type="http://schemas.openxmlformats.org/officeDocument/2006/relationships/image" Target="media/image87.png"/><Relationship Id="rId167" Type="http://schemas.openxmlformats.org/officeDocument/2006/relationships/image" Target="media/image88.png"/><Relationship Id="rId168" Type="http://schemas.openxmlformats.org/officeDocument/2006/relationships/image" Target="media/image89.png"/><Relationship Id="rId169" Type="http://schemas.openxmlformats.org/officeDocument/2006/relationships/image" Target="media/image90.png"/><Relationship Id="rId170" Type="http://schemas.openxmlformats.org/officeDocument/2006/relationships/image" Target="media/image91.png"/><Relationship Id="rId171" Type="http://schemas.openxmlformats.org/officeDocument/2006/relationships/image" Target="media/image92.png"/><Relationship Id="rId172" Type="http://schemas.openxmlformats.org/officeDocument/2006/relationships/image" Target="media/image93.png"/><Relationship Id="rId173" Type="http://schemas.openxmlformats.org/officeDocument/2006/relationships/image" Target="media/image94.png"/><Relationship Id="rId174" Type="http://schemas.openxmlformats.org/officeDocument/2006/relationships/header" Target="header24.xml"/><Relationship Id="rId175" Type="http://schemas.openxmlformats.org/officeDocument/2006/relationships/footer" Target="footer50.xml"/><Relationship Id="rId176" Type="http://schemas.openxmlformats.org/officeDocument/2006/relationships/footer" Target="footer51.xml"/><Relationship Id="rId177" Type="http://schemas.openxmlformats.org/officeDocument/2006/relationships/header" Target="header25.xml"/><Relationship Id="rId178" Type="http://schemas.openxmlformats.org/officeDocument/2006/relationships/footer" Target="footer52.xml"/><Relationship Id="rId179" Type="http://schemas.openxmlformats.org/officeDocument/2006/relationships/header" Target="header26.xml"/><Relationship Id="rId180" Type="http://schemas.openxmlformats.org/officeDocument/2006/relationships/footer" Target="footer53.xml"/><Relationship Id="rId181" Type="http://schemas.openxmlformats.org/officeDocument/2006/relationships/header" Target="header2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22.xml.rels><?xml version="1.0" encoding="UTF-8" standalone="yes"?>
<Relationships xmlns="http://schemas.openxmlformats.org/package/2006/relationships"><Relationship Id="rId1" Type="http://schemas.openxmlformats.org/officeDocument/2006/relationships/image" Target="media/image2.png"/></Relationships>

</file>

<file path=word/_rels/header27.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2020-05-05T03:11:02Z</dcterms:created>
  <dcterms:modified xsi:type="dcterms:W3CDTF">2020-05-05T03:11:02Z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