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jpeg" ContentType="image/jpeg"/>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4.xml" ContentType="application/vnd.openxmlformats-officedocument.wordprocessingml.header+xml"/>
  <Override PartName="/word/footer46.xml" ContentType="application/vnd.openxmlformats-officedocument.wordprocessingml.footer+xml"/>
  <Override PartName="/word/header15.xml" ContentType="application/vnd.openxmlformats-officedocument.wordprocessingml.header+xml"/>
  <Override PartName="/word/footer47.xml" ContentType="application/vnd.openxmlformats-officedocument.wordprocessingml.footer+xml"/>
  <Override PartName="/word/header16.xml" ContentType="application/vnd.openxmlformats-officedocument.wordprocessingml.header+xml"/>
  <Override PartName="/word/footer48.xml" ContentType="application/vnd.openxmlformats-officedocument.wordprocessingml.footer+xml"/>
  <Override PartName="/word/header17.xml" ContentType="application/vnd.openxmlformats-officedocument.wordprocessingml.header+xml"/>
  <Override PartName="/word/footer49.xml" ContentType="application/vnd.openxmlformats-officedocument.wordprocessingml.footer+xml"/>
  <Override PartName="/word/header18.xml" ContentType="application/vnd.openxmlformats-officedocument.wordprocessingml.header+xml"/>
  <Override PartName="/word/footer50.xml" ContentType="application/vnd.openxmlformats-officedocument.wordprocessingml.footer+xml"/>
  <Override PartName="/word/header19.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0.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21.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22.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23.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header24.xml" ContentType="application/vnd.openxmlformats-officedocument.wordprocessingml.header+xml"/>
  <Override PartName="/word/footer75.xml" ContentType="application/vnd.openxmlformats-officedocument.wordprocessingml.footer+xml"/>
  <Override PartName="/word/header25.xml" ContentType="application/vnd.openxmlformats-officedocument.wordprocessingml.header+xml"/>
  <Override PartName="/word/footer7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429" w:lineRule="auto"/>
        <w:ind w:left="138" w:right="192"/>
        <w:jc w:val="left"/>
        <w:rPr>
          <w:rFonts w:ascii="宋体" w:hAnsi="宋体" w:cs="宋体" w:eastAsia="宋体" w:hint="default"/>
        </w:rPr>
      </w:pPr>
      <w:r>
        <w:rPr/>
        <w:t>公司代码：</w:t>
      </w:r>
      <w:r>
        <w:rPr>
          <w:rFonts w:ascii="宋体" w:hAnsi="宋体" w:cs="宋体" w:eastAsia="宋体" w:hint="default"/>
        </w:rPr>
        <w:t>601298                                    </w:t>
      </w:r>
      <w:r>
        <w:rPr>
          <w:rFonts w:ascii="宋体" w:hAnsi="宋体" w:cs="宋体" w:eastAsia="宋体" w:hint="default"/>
          <w:spacing w:val="91"/>
        </w:rPr>
        <w:t> </w:t>
      </w:r>
      <w:r>
        <w:rPr/>
        <w:t>公司简称：青岛港</w:t>
      </w:r>
      <w:r>
        <w:rPr>
          <w:rFonts w:ascii="宋体" w:hAnsi="宋体" w:cs="宋体" w:eastAsia="宋体" w:hint="default"/>
          <w:w w:val="100"/>
        </w:rPr>
        <w:t> </w:t>
      </w:r>
      <w:r>
        <w:rPr/>
        <w:t>债券代码：</w:t>
      </w:r>
      <w:r>
        <w:rPr>
          <w:rFonts w:ascii="宋体" w:hAnsi="宋体" w:cs="宋体" w:eastAsia="宋体" w:hint="default"/>
        </w:rPr>
        <w:t>136298                                                </w:t>
      </w:r>
      <w:r>
        <w:rPr/>
        <w:t>债券简称：</w:t>
      </w:r>
      <w:r>
        <w:rPr>
          <w:rFonts w:ascii="宋体" w:hAnsi="宋体" w:cs="宋体" w:eastAsia="宋体" w:hint="default"/>
        </w:rPr>
        <w:t>16 </w:t>
      </w:r>
      <w:r>
        <w:rPr/>
        <w:t>青港</w:t>
      </w:r>
      <w:r>
        <w:rPr>
          <w:spacing w:val="-11"/>
        </w:rPr>
        <w:t> </w:t>
      </w:r>
      <w:r>
        <w:rPr>
          <w:rFonts w:ascii="宋体" w:hAnsi="宋体" w:cs="宋体" w:eastAsia="宋体" w:hint="default"/>
          <w:spacing w:val="-3"/>
        </w:rPr>
        <w:t>01</w:t>
      </w:r>
      <w:r>
        <w:rPr>
          <w:rFonts w:ascii="宋体" w:hAnsi="宋体" w:cs="宋体" w:eastAsia="宋体" w:hint="default"/>
        </w:rPr>
        <w:t> </w:t>
      </w:r>
    </w:p>
    <w:p>
      <w:pPr>
        <w:pStyle w:val="BodyText"/>
        <w:spacing w:line="240" w:lineRule="auto" w:before="89"/>
        <w:ind w:left="138" w:right="192"/>
        <w:jc w:val="left"/>
        <w:rPr>
          <w:rFonts w:ascii="宋体" w:hAnsi="宋体" w:cs="宋体" w:eastAsia="宋体" w:hint="default"/>
        </w:rPr>
      </w:pPr>
      <w:r>
        <w:rPr/>
        <w:t>债券代码：</w:t>
      </w:r>
      <w:r>
        <w:rPr>
          <w:rFonts w:ascii="宋体" w:hAnsi="宋体" w:cs="宋体" w:eastAsia="宋体" w:hint="default"/>
        </w:rPr>
        <w:t>136472                                                </w:t>
      </w:r>
      <w:r>
        <w:rPr/>
        <w:t>债券简称：</w:t>
      </w:r>
      <w:r>
        <w:rPr>
          <w:rFonts w:ascii="宋体" w:hAnsi="宋体" w:cs="宋体" w:eastAsia="宋体" w:hint="default"/>
        </w:rPr>
        <w:t>16 </w:t>
      </w:r>
      <w:r>
        <w:rPr/>
        <w:t>青港</w:t>
      </w:r>
      <w:r>
        <w:rPr>
          <w:spacing w:val="-11"/>
        </w:rPr>
        <w:t> </w:t>
      </w:r>
      <w:r>
        <w:rPr>
          <w:rFonts w:ascii="宋体" w:hAnsi="宋体" w:cs="宋体" w:eastAsia="宋体" w:hint="default"/>
          <w:spacing w:val="-3"/>
        </w:rPr>
        <w:t>02</w:t>
      </w:r>
      <w:r>
        <w:rPr>
          <w:rFonts w:ascii="宋体" w:hAnsi="宋体" w:cs="宋体" w:eastAsia="宋体" w:hint="default"/>
        </w:rPr>
        <w:t> </w:t>
      </w:r>
    </w:p>
    <w:p>
      <w:pPr>
        <w:pStyle w:val="Heading3"/>
        <w:spacing w:line="312" w:lineRule="exact" w:before="79"/>
        <w:ind w:left="138" w:right="0"/>
        <w:jc w:val="left"/>
        <w:rPr>
          <w:rFonts w:ascii="宋体" w:hAnsi="宋体" w:cs="宋体" w:eastAsia="宋体" w:hint="default"/>
        </w:rPr>
      </w:pPr>
      <w:r>
        <w:rPr>
          <w:rFonts w:ascii="宋体"/>
        </w:rPr>
        <w:t> </w:t>
      </w:r>
    </w:p>
    <w:p>
      <w:pPr>
        <w:pStyle w:val="Heading3"/>
        <w:spacing w:line="311" w:lineRule="exact"/>
        <w:ind w:left="138" w:right="0"/>
        <w:jc w:val="left"/>
        <w:rPr>
          <w:rFonts w:ascii="宋体" w:hAnsi="宋体" w:cs="宋体" w:eastAsia="宋体" w:hint="default"/>
        </w:rPr>
      </w:pPr>
      <w:r>
        <w:rPr>
          <w:rFonts w:ascii="宋体"/>
        </w:rPr>
        <w:t> </w:t>
      </w:r>
    </w:p>
    <w:p>
      <w:pPr>
        <w:pStyle w:val="Heading3"/>
        <w:spacing w:line="312" w:lineRule="exact"/>
        <w:ind w:left="138" w:right="0"/>
        <w:jc w:val="left"/>
        <w:rPr>
          <w:rFonts w:ascii="宋体" w:hAnsi="宋体" w:cs="宋体" w:eastAsia="宋体" w:hint="default"/>
        </w:rPr>
      </w:pPr>
      <w:r>
        <w:rPr>
          <w:rFonts w:ascii="宋体"/>
        </w:rPr>
        <w:t> </w:t>
      </w:r>
    </w:p>
    <w:p>
      <w:pPr>
        <w:pStyle w:val="Heading3"/>
        <w:spacing w:line="311" w:lineRule="exact"/>
        <w:ind w:left="138" w:right="0"/>
        <w:jc w:val="left"/>
        <w:rPr>
          <w:rFonts w:ascii="宋体" w:hAnsi="宋体" w:cs="宋体" w:eastAsia="宋体" w:hint="default"/>
        </w:rPr>
      </w:pPr>
      <w:r>
        <w:rPr>
          <w:rFonts w:ascii="宋体"/>
        </w:rPr>
        <w:t> </w:t>
      </w:r>
    </w:p>
    <w:p>
      <w:pPr>
        <w:pStyle w:val="Heading3"/>
        <w:spacing w:line="312" w:lineRule="exact"/>
        <w:ind w:left="138" w:right="0"/>
        <w:jc w:val="left"/>
        <w:rPr>
          <w:rFonts w:ascii="宋体" w:hAnsi="宋体" w:cs="宋体" w:eastAsia="宋体" w:hint="default"/>
        </w:rPr>
      </w:pPr>
      <w:r>
        <w:rPr>
          <w:rFonts w:ascii="宋体"/>
        </w:rPr>
        <w:t> </w:t>
      </w:r>
    </w:p>
    <w:p>
      <w:pPr>
        <w:pStyle w:val="Heading5"/>
        <w:spacing w:line="274" w:lineRule="exact" w:before="4"/>
        <w:ind w:left="138" w:right="0"/>
        <w:jc w:val="left"/>
        <w:rPr>
          <w:rFonts w:ascii="宋体" w:hAnsi="宋体" w:cs="宋体" w:eastAsia="宋体" w:hint="default"/>
          <w:b w:val="0"/>
          <w:bCs w:val="0"/>
        </w:rPr>
      </w:pPr>
      <w:r>
        <w:rPr>
          <w:rFonts w:ascii="宋体"/>
          <w:w w:val="99"/>
        </w:rPr>
        <w:t> </w:t>
      </w:r>
      <w:r>
        <w:rPr>
          <w:rFonts w:ascii="宋体"/>
          <w:b w:val="0"/>
        </w:rPr>
      </w:r>
    </w:p>
    <w:p>
      <w:pPr>
        <w:pStyle w:val="Heading5"/>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72" w:lineRule="exact" w:before="15"/>
        <w:ind w:left="3069" w:right="2205" w:hanging="827"/>
        <w:jc w:val="left"/>
        <w:rPr>
          <w:rFonts w:ascii="黑体" w:hAnsi="黑体" w:cs="黑体" w:eastAsia="黑体" w:hint="default"/>
          <w:sz w:val="44"/>
          <w:szCs w:val="44"/>
        </w:rPr>
      </w:pPr>
      <w:r>
        <w:rPr>
          <w:rFonts w:ascii="黑体" w:hAnsi="黑体" w:cs="黑体" w:eastAsia="黑体" w:hint="default"/>
          <w:b/>
          <w:bCs/>
          <w:color w:val="FF0000"/>
          <w:sz w:val="44"/>
          <w:szCs w:val="44"/>
        </w:rPr>
        <w:t>青岛港国际股份有限公司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974" w:top="1120" w:bottom="1160" w:left="1280" w:right="1300"/>
          <w:pgNumType w:start="1"/>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6"/>
          <w:szCs w:val="26"/>
        </w:rPr>
      </w:pPr>
    </w:p>
    <w:p>
      <w:pPr>
        <w:spacing w:before="14"/>
        <w:ind w:left="4093" w:right="41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7"/>
        <w:rPr>
          <w:rFonts w:ascii="黑体" w:hAnsi="黑体" w:cs="黑体" w:eastAsia="黑体" w:hint="default"/>
          <w:b/>
          <w:bCs/>
          <w:sz w:val="23"/>
          <w:szCs w:val="23"/>
        </w:rPr>
      </w:pPr>
    </w:p>
    <w:p>
      <w:pPr>
        <w:pStyle w:val="Heading5"/>
        <w:spacing w:line="357" w:lineRule="auto" w:before="0"/>
        <w:ind w:left="558" w:right="0" w:hanging="420"/>
        <w:jc w:val="left"/>
        <w:rPr>
          <w:b w:val="0"/>
          <w:bCs w:val="0"/>
        </w:rPr>
      </w:pPr>
      <w:r>
        <w:rPr/>
        <w:t>一、</w:t>
      </w:r>
      <w:r>
        <w:rPr>
          <w:spacing w:val="-64"/>
        </w:rPr>
        <w:t> </w:t>
      </w:r>
      <w:r>
        <w:rPr>
          <w:rFonts w:ascii="宋体" w:hAnsi="宋体" w:cs="宋体" w:eastAsia="宋体" w:hint="default"/>
          <w:spacing w:val="-64"/>
        </w:rPr>
      </w:r>
      <w:r>
        <w:rPr/>
        <w:t>本公司董事会、监事会及董事、监事、高级管理人员保证年度报告内容的真实、准确、完整，</w:t>
      </w:r>
      <w:r>
        <w:rPr>
          <w:spacing w:val="-45"/>
        </w:rPr>
        <w:t> </w:t>
      </w:r>
      <w:r>
        <w:rPr>
          <w:spacing w:val="-45"/>
        </w:rPr>
      </w:r>
      <w:r>
        <w:rPr/>
        <w:t>不存在虚假记载、误导性陈述或重大遗漏，并承担个别和连带的法律责任。</w:t>
      </w:r>
      <w:r>
        <w:rPr>
          <w:b w:val="0"/>
          <w:bCs w:val="0"/>
        </w:rPr>
      </w:r>
    </w:p>
    <w:p>
      <w:pPr>
        <w:pStyle w:val="Heading3"/>
        <w:spacing w:line="240" w:lineRule="auto" w:before="24"/>
        <w:ind w:left="138" w:right="0"/>
        <w:jc w:val="left"/>
        <w:rPr>
          <w:rFonts w:ascii="宋体" w:hAnsi="宋体" w:cs="宋体" w:eastAsia="宋体" w:hint="default"/>
        </w:rPr>
      </w:pPr>
      <w:r>
        <w:rPr>
          <w:rFonts w:ascii="宋体"/>
        </w:rPr>
        <w:t> </w:t>
      </w:r>
    </w:p>
    <w:p>
      <w:pPr>
        <w:pStyle w:val="Heading5"/>
        <w:spacing w:line="240" w:lineRule="auto" w:before="1"/>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5"/>
        <w:spacing w:line="273" w:lineRule="exact" w:before="0"/>
        <w:ind w:left="138" w:right="0"/>
        <w:jc w:val="left"/>
        <w:rPr>
          <w:rFonts w:ascii="宋体" w:hAnsi="宋体" w:cs="宋体" w:eastAsia="宋体" w:hint="default"/>
          <w:b w:val="0"/>
          <w:bCs w:val="0"/>
        </w:rPr>
      </w:pPr>
      <w:r>
        <w:rPr/>
        <w:t>三、</w:t>
      </w:r>
      <w:r>
        <w:rPr>
          <w:spacing w:val="-16"/>
        </w:rPr>
        <w:t> </w:t>
      </w:r>
      <w:r>
        <w:rPr>
          <w:rFonts w:ascii="宋体" w:hAnsi="宋体" w:cs="宋体" w:eastAsia="宋体" w:hint="default"/>
          <w:spacing w:val="-16"/>
        </w:rPr>
      </w:r>
      <w:r>
        <w:rPr/>
        <w:t>普华永道中天会计师事务所（特殊普通合伙）为本公司出具了标准无保留意见的审计报告。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3"/>
        <w:ind w:left="138" w:right="0"/>
        <w:jc w:val="left"/>
        <w:rPr>
          <w:rFonts w:ascii="宋体" w:hAnsi="宋体" w:cs="宋体" w:eastAsia="宋体" w:hint="default"/>
        </w:rPr>
      </w:pPr>
      <w:r>
        <w:rPr>
          <w:rFonts w:ascii="宋体"/>
          <w:w w:val="100"/>
        </w:rPr>
        <w:t> </w:t>
      </w:r>
    </w:p>
    <w:p>
      <w:pPr>
        <w:pStyle w:val="Heading5"/>
        <w:spacing w:line="357" w:lineRule="auto" w:before="0"/>
        <w:ind w:left="558" w:right="0" w:hanging="420"/>
        <w:jc w:val="left"/>
        <w:rPr>
          <w:rFonts w:ascii="宋体" w:hAnsi="宋体" w:cs="宋体" w:eastAsia="宋体" w:hint="default"/>
          <w:b w:val="0"/>
          <w:bCs w:val="0"/>
        </w:rPr>
      </w:pPr>
      <w:r>
        <w:rPr/>
        <w:t>四、</w:t>
      </w:r>
      <w:r>
        <w:rPr>
          <w:spacing w:val="-81"/>
        </w:rPr>
        <w:t> </w:t>
      </w:r>
      <w:r>
        <w:rPr>
          <w:rFonts w:ascii="宋体" w:hAnsi="宋体" w:cs="宋体" w:eastAsia="宋体" w:hint="default"/>
          <w:spacing w:val="-81"/>
        </w:rPr>
      </w:r>
      <w:r>
        <w:rPr>
          <w:spacing w:val="-1"/>
        </w:rPr>
        <w:t>公司负责人李奉利、主管会计工作负责人樊西为及会计机构负责人（会计主管人员）刘永霞声</w:t>
      </w:r>
      <w:r>
        <w:rPr>
          <w:spacing w:val="-90"/>
        </w:rPr>
        <w:t> </w:t>
      </w:r>
      <w:r>
        <w:rPr>
          <w:spacing w:val="-90"/>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4"/>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rFonts w:ascii="宋体" w:hAnsi="宋体" w:cs="宋体" w:eastAsia="宋体" w:hint="default"/>
          <w:b w:val="0"/>
          <w:bCs w:val="0"/>
          <w:sz w:val="24"/>
          <w:szCs w:val="24"/>
        </w:rPr>
      </w:pPr>
      <w:r>
        <w:rPr/>
        <w:t>五、</w:t>
      </w:r>
      <w:r>
        <w:rPr>
          <w:spacing w:val="-43"/>
        </w:rPr>
        <w:t> </w:t>
      </w:r>
      <w:r>
        <w:rPr>
          <w:rFonts w:ascii="宋体" w:hAnsi="宋体" w:cs="宋体" w:eastAsia="宋体" w:hint="default"/>
          <w:spacing w:val="-43"/>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0" w:firstLine="420"/>
        <w:jc w:val="left"/>
        <w:rPr>
          <w:rFonts w:ascii="宋体" w:hAnsi="宋体" w:cs="宋体" w:eastAsia="宋体" w:hint="default"/>
        </w:rPr>
      </w:pPr>
      <w:r>
        <w:rPr>
          <w:spacing w:val="-2"/>
        </w:rPr>
        <w:t>根据公司第三届董事会第七次会议决议，本次利润分配预案为：拟将</w:t>
      </w:r>
      <w:r>
        <w:rPr>
          <w:rFonts w:ascii="宋体" w:hAnsi="宋体" w:cs="宋体" w:eastAsia="宋体" w:hint="default"/>
          <w:spacing w:val="-2"/>
        </w:rPr>
        <w:t>2019</w:t>
      </w:r>
      <w:r>
        <w:rPr>
          <w:spacing w:val="-2"/>
        </w:rPr>
        <w:t>年度可用于分配利润</w:t>
      </w:r>
      <w:r>
        <w:rPr>
          <w:w w:val="100"/>
        </w:rPr>
        <w:t> </w:t>
      </w:r>
      <w:r>
        <w:rPr>
          <w:rFonts w:ascii="宋体" w:hAnsi="宋体" w:cs="宋体" w:eastAsia="宋体" w:hint="default"/>
          <w:spacing w:val="-2"/>
        </w:rPr>
        <w:t>324,943.06</w:t>
      </w:r>
      <w:r>
        <w:rPr>
          <w:spacing w:val="-2"/>
        </w:rPr>
        <w:t>万元的</w:t>
      </w:r>
      <w:r>
        <w:rPr>
          <w:rFonts w:ascii="宋体" w:hAnsi="宋体" w:cs="宋体" w:eastAsia="宋体" w:hint="default"/>
          <w:spacing w:val="-2"/>
        </w:rPr>
        <w:t>40%</w:t>
      </w:r>
      <w:r>
        <w:rPr>
          <w:spacing w:val="-2"/>
        </w:rPr>
        <w:t>，按照持股比例向全体股东派发现金股利，即以公司总股本</w:t>
      </w:r>
      <w:r>
        <w:rPr>
          <w:rFonts w:ascii="宋体" w:hAnsi="宋体" w:cs="宋体" w:eastAsia="宋体" w:hint="default"/>
          <w:spacing w:val="-2"/>
        </w:rPr>
        <w:t>6,491,100,000</w:t>
      </w:r>
      <w:r>
        <w:rPr>
          <w:spacing w:val="-2"/>
        </w:rPr>
        <w:t>股</w:t>
      </w:r>
      <w:r>
        <w:rPr>
          <w:spacing w:val="-4"/>
        </w:rPr>
        <w:t> </w:t>
      </w:r>
      <w:r>
        <w:rPr/>
        <w:t>计算，每</w:t>
      </w:r>
      <w:r>
        <w:rPr>
          <w:rFonts w:ascii="宋体" w:hAnsi="宋体" w:cs="宋体" w:eastAsia="宋体" w:hint="default"/>
        </w:rPr>
        <w:t>10</w:t>
      </w:r>
      <w:r>
        <w:rPr/>
        <w:t>股派发现金红利</w:t>
      </w:r>
      <w:r>
        <w:rPr>
          <w:rFonts w:ascii="宋体" w:hAnsi="宋体" w:cs="宋体" w:eastAsia="宋体" w:hint="default"/>
        </w:rPr>
        <w:t>2.003</w:t>
      </w:r>
      <w:r>
        <w:rPr/>
        <w:t>元（含税）。实施上述利润分配方案，共需支付股利</w:t>
      </w:r>
      <w:r>
        <w:rPr>
          <w:rFonts w:ascii="宋体" w:hAnsi="宋体" w:cs="宋体" w:eastAsia="宋体" w:hint="default"/>
        </w:rPr>
        <w:t>130,016.73</w:t>
      </w:r>
      <w:r>
        <w:rPr>
          <w:rFonts w:ascii="宋体" w:hAnsi="宋体" w:cs="宋体" w:eastAsia="宋体" w:hint="default"/>
          <w:w w:val="100"/>
        </w:rPr>
        <w:t> </w:t>
      </w:r>
      <w:r>
        <w:rPr>
          <w:spacing w:val="-2"/>
        </w:rPr>
        <w:t>万元，占</w:t>
      </w:r>
      <w:r>
        <w:rPr>
          <w:rFonts w:ascii="宋体" w:hAnsi="宋体" w:cs="宋体" w:eastAsia="宋体" w:hint="default"/>
          <w:spacing w:val="-2"/>
        </w:rPr>
        <w:t>2019</w:t>
      </w:r>
      <w:r>
        <w:rPr>
          <w:spacing w:val="-2"/>
        </w:rPr>
        <w:t>年度归属于上市公司股东净利润的</w:t>
      </w:r>
      <w:r>
        <w:rPr>
          <w:rFonts w:ascii="宋体" w:hAnsi="宋体" w:cs="宋体" w:eastAsia="宋体" w:hint="default"/>
          <w:spacing w:val="-2"/>
        </w:rPr>
        <w:t>34.30%</w:t>
      </w:r>
      <w:r>
        <w:rPr>
          <w:spacing w:val="-2"/>
        </w:rPr>
        <w:t>。该利润分配预案尚需提交公司</w:t>
      </w:r>
      <w:r>
        <w:rPr>
          <w:rFonts w:ascii="宋体" w:hAnsi="宋体" w:cs="宋体" w:eastAsia="宋体" w:hint="default"/>
          <w:spacing w:val="-2"/>
        </w:rPr>
        <w:t>2019</w:t>
      </w:r>
      <w:r>
        <w:rPr>
          <w:spacing w:val="-2"/>
        </w:rPr>
        <w:t>年度股</w:t>
      </w:r>
      <w:r>
        <w:rPr>
          <w:spacing w:val="-18"/>
        </w:rPr>
        <w:t> </w:t>
      </w:r>
      <w:r>
        <w:rPr>
          <w:spacing w:val="-18"/>
        </w:rPr>
      </w:r>
      <w:r>
        <w:rPr/>
        <w:t>东大会审议。</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5"/>
        <w:spacing w:line="240" w:lineRule="auto" w:before="8"/>
        <w:ind w:left="138" w:right="0"/>
        <w:jc w:val="left"/>
        <w:rPr>
          <w:b w:val="0"/>
          <w:bCs w:val="0"/>
        </w:rPr>
      </w:pPr>
      <w:r>
        <w:rPr/>
        <w:t>六、</w:t>
      </w:r>
      <w:r>
        <w:rPr>
          <w:spacing w:val="-23"/>
        </w:rPr>
        <w:t> </w:t>
      </w:r>
      <w:r>
        <w:rPr>
          <w:rFonts w:ascii="宋体" w:hAnsi="宋体" w:cs="宋体" w:eastAsia="宋体" w:hint="default"/>
          <w:spacing w:val="-23"/>
        </w:rPr>
      </w:r>
      <w:r>
        <w:rPr/>
        <w:t>前瞻性陈述的风险声明</w:t>
      </w:r>
      <w:r>
        <w:rPr>
          <w:b w:val="0"/>
          <w:bCs w:val="0"/>
        </w:rPr>
      </w:r>
    </w:p>
    <w:p>
      <w:pPr>
        <w:spacing w:line="240" w:lineRule="auto" w:before="11"/>
        <w:rPr>
          <w:rFonts w:ascii="宋体" w:hAnsi="宋体" w:cs="宋体" w:eastAsia="宋体" w:hint="default"/>
          <w:b/>
          <w:bCs/>
          <w:sz w:val="18"/>
          <w:szCs w:val="18"/>
        </w:rPr>
      </w:pPr>
    </w:p>
    <w:p>
      <w:pPr>
        <w:pStyle w:val="Heading3"/>
        <w:spacing w:line="240" w:lineRule="auto"/>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201"/>
        <w:ind w:left="138" w:right="0" w:firstLine="420"/>
        <w:jc w:val="left"/>
        <w:rPr>
          <w:rFonts w:ascii="宋体" w:hAnsi="宋体" w:cs="宋体" w:eastAsia="宋体" w:hint="default"/>
        </w:rPr>
      </w:pPr>
      <w:r>
        <w:rPr>
          <w:spacing w:val="-2"/>
        </w:rPr>
        <w:t>本报告中所涉及的未来计划、发展战略等前瞻性描述不构成公司对投资者的实质承诺，敬请投</w:t>
      </w:r>
      <w:r>
        <w:rPr>
          <w:w w:val="100"/>
        </w:rPr>
        <w:t> </w:t>
      </w:r>
      <w:r>
        <w:rPr/>
        <w:t>资者注意投资风险。</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5"/>
        <w:spacing w:line="422" w:lineRule="auto" w:before="8"/>
        <w:ind w:left="138" w:right="377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5"/>
        <w:spacing w:line="410" w:lineRule="atLeast" w:before="73"/>
        <w:ind w:left="138" w:right="3924"/>
        <w:jc w:val="left"/>
        <w:rPr>
          <w:rFonts w:ascii="宋体" w:hAnsi="宋体" w:cs="宋体" w:eastAsia="宋体" w:hint="default"/>
          <w:b w:val="0"/>
          <w:bCs w:val="0"/>
        </w:rPr>
      </w:pPr>
      <w:r>
        <w:rPr/>
        <w:t>八、</w:t>
      </w:r>
      <w:r>
        <w:rPr>
          <w:spacing w:val="8"/>
        </w:rPr>
        <w:t> </w:t>
      </w:r>
      <w:r>
        <w:rPr>
          <w:rFonts w:ascii="宋体" w:hAnsi="宋体" w:cs="宋体" w:eastAsia="宋体" w:hint="default"/>
          <w:spacing w:val="8"/>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5"/>
        <w:spacing w:line="273" w:lineRule="exact" w:before="0"/>
        <w:ind w:left="138" w:right="0"/>
        <w:jc w:val="left"/>
        <w:rPr>
          <w:b w:val="0"/>
          <w:bCs w:val="0"/>
        </w:rPr>
      </w:pPr>
      <w:r>
        <w:rPr/>
        <w:t>九、 </w:t>
      </w:r>
      <w:r>
        <w:rPr>
          <w:spacing w:val="11"/>
        </w:rPr>
        <w:t> </w:t>
      </w:r>
      <w:r>
        <w:rPr>
          <w:rFonts w:ascii="宋体" w:hAnsi="宋体" w:cs="宋体" w:eastAsia="宋体" w:hint="default"/>
          <w:spacing w:val="11"/>
        </w:rPr>
      </w:r>
      <w:r>
        <w:rPr/>
        <w:t>重大风险提示</w:t>
      </w:r>
      <w:r>
        <w:rPr>
          <w:b w:val="0"/>
          <w:bCs w:val="0"/>
        </w:rPr>
      </w:r>
    </w:p>
    <w:p>
      <w:pPr>
        <w:pStyle w:val="BodyText"/>
        <w:spacing w:line="237" w:lineRule="auto" w:before="138"/>
        <w:ind w:left="138" w:right="248" w:firstLine="420"/>
        <w:jc w:val="both"/>
        <w:rPr>
          <w:rFonts w:ascii="宋体" w:hAnsi="宋体" w:cs="宋体" w:eastAsia="宋体" w:hint="default"/>
        </w:rPr>
      </w:pPr>
      <w:r>
        <w:rPr>
          <w:spacing w:val="-2"/>
        </w:rPr>
        <w:t>报告期内，公司不存在公司股票退市、破产等重大风险。公司已在本报告中详细描述存在的市</w:t>
      </w:r>
      <w:r>
        <w:rPr>
          <w:w w:val="100"/>
        </w:rPr>
        <w:t> </w:t>
      </w:r>
      <w:r>
        <w:rPr>
          <w:spacing w:val="-2"/>
        </w:rPr>
        <w:t>场风险、行业风险、经营风险，敬请查阅第四节“经营情况讨论与分析”中“可能面对的风险”部</w:t>
      </w:r>
      <w:r>
        <w:rPr>
          <w:spacing w:val="-25"/>
        </w:rPr>
        <w:t> </w:t>
      </w:r>
      <w:r>
        <w:rPr>
          <w:spacing w:val="-25"/>
        </w:rPr>
      </w:r>
      <w:r>
        <w:rPr/>
        <w:t>分内容。</w:t>
      </w:r>
      <w:r>
        <w:rPr>
          <w:rFonts w:ascii="宋体" w:hAnsi="宋体" w:cs="宋体" w:eastAsia="宋体" w:hint="default"/>
        </w:rPr>
        <w:t> </w:t>
      </w:r>
    </w:p>
    <w:p>
      <w:pPr>
        <w:pStyle w:val="Heading3"/>
        <w:spacing w:line="305" w:lineRule="exact"/>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b w:val="0"/>
          <w:bCs w:val="0"/>
        </w:rPr>
      </w:pPr>
      <w:r>
        <w:rPr/>
        <w:t>十、</w:t>
      </w:r>
      <w:r>
        <w:rPr>
          <w:spacing w:val="61"/>
        </w:rPr>
        <w:t> </w:t>
      </w:r>
      <w:r>
        <w:rPr>
          <w:rFonts w:ascii="宋体" w:hAnsi="宋体" w:cs="宋体" w:eastAsia="宋体" w:hint="default"/>
          <w:spacing w:val="61"/>
        </w:rPr>
      </w:r>
      <w:r>
        <w:rPr/>
        <w:t>其他</w:t>
      </w:r>
      <w:r>
        <w:rPr>
          <w:b w:val="0"/>
          <w:bCs w:val="0"/>
        </w:rPr>
      </w:r>
    </w:p>
    <w:p>
      <w:pPr>
        <w:pStyle w:val="BodyText"/>
        <w:spacing w:line="273" w:lineRule="exact" w:before="133"/>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9"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1280" w:right="1200"/>
        </w:sectPr>
      </w:pPr>
    </w:p>
    <w:p>
      <w:pPr>
        <w:spacing w:line="240" w:lineRule="auto" w:before="0"/>
        <w:rPr>
          <w:rFonts w:ascii="宋体" w:hAnsi="宋体" w:cs="宋体" w:eastAsia="宋体" w:hint="default"/>
          <w:sz w:val="20"/>
          <w:szCs w:val="20"/>
        </w:rPr>
      </w:pPr>
    </w:p>
    <w:p>
      <w:pPr>
        <w:spacing w:before="149"/>
        <w:ind w:left="546" w:right="367"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b/>
          <w:bCs/>
          <w:w w:val="98"/>
          <w:sz w:val="32"/>
          <w:szCs w:val="32"/>
        </w:rPr>
        <w:t> </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8" w:val="left" w:leader="none"/>
              <w:tab w:pos="8962" w:val="right" w:leader="dot"/>
            </w:tabs>
            <w:spacing w:line="240" w:lineRule="auto" w:before="632"/>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w w:val="95"/>
              </w:rPr>
              <w:t>第一节</w:t>
              <w:tab/>
            </w:r>
            <w:r>
              <w:rPr/>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10">
            <w:r>
              <w:rPr>
                <w:w w:val="95"/>
              </w:rPr>
              <w:t>第二节</w:t>
              <w:tab/>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第三节</w:t>
              <w:tab/>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8" w:val="left" w:leader="none"/>
              <w:tab w:pos="8948"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第四节</w:t>
              <w:tab/>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7">
            <w:r>
              <w:rPr>
                <w:w w:val="95"/>
              </w:rPr>
              <w:t>第五节</w:t>
              <w:tab/>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第六节</w:t>
              <w:tab/>
            </w:r>
            <w:r>
              <w:rPr/>
              <w:t>普通股股份变动及股东情况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第七节</w:t>
              <w:tab/>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4">
            <w:r>
              <w:rPr>
                <w:w w:val="95"/>
              </w:rPr>
              <w:t>第八节</w:t>
              <w:tab/>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第九节</w:t>
              <w:tab/>
            </w:r>
            <w:r>
              <w:rPr/>
              <w:t>公司治理</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第十节</w:t>
              <w:tab/>
            </w:r>
            <w:r>
              <w:rPr/>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before="22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8" w:val="left" w:leader="none"/>
              <w:tab w:pos="89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974" w:top="1120" w:bottom="1160" w:left="1280" w:right="1300"/>
        </w:sectPr>
      </w:pPr>
    </w:p>
    <w:p>
      <w:pPr>
        <w:pStyle w:val="Heading1"/>
        <w:tabs>
          <w:tab w:pos="1259" w:val="left" w:leader="none"/>
        </w:tabs>
        <w:spacing w:line="240" w:lineRule="auto" w:before="477"/>
        <w:ind w:right="176"/>
        <w:jc w:val="center"/>
        <w:rPr>
          <w:b w:val="0"/>
          <w:bCs w:val="0"/>
        </w:rPr>
      </w:pPr>
      <w:bookmarkStart w:name="_TOC_250011" w:id="1"/>
      <w:r>
        <w:rPr>
          <w:w w:val="95"/>
        </w:rPr>
        <w:t>第一节</w:t>
      </w:r>
      <w:r>
        <w:rPr>
          <w:rFonts w:ascii="宋体" w:hAnsi="宋体" w:cs="宋体" w:eastAsia="宋体" w:hint="default"/>
          <w:w w:val="95"/>
        </w:rPr>
        <w:tab/>
      </w:r>
      <w:r>
        <w:rPr/>
        <w:t>释义</w:t>
      </w:r>
      <w:bookmarkEnd w:id="1"/>
      <w:r>
        <w:rPr>
          <w:b w:val="0"/>
          <w:bCs w:val="0"/>
        </w:rPr>
      </w:r>
    </w:p>
    <w:p>
      <w:pPr>
        <w:pStyle w:val="BodyText"/>
        <w:spacing w:line="355" w:lineRule="auto" w:before="253"/>
        <w:ind w:right="2810"/>
        <w:jc w:val="left"/>
        <w:rPr>
          <w:rFonts w:ascii="宋体" w:hAnsi="宋体" w:cs="宋体" w:eastAsia="宋体" w:hint="default"/>
        </w:rPr>
      </w:pPr>
      <w:r>
        <w:rPr/>
        <w:pict>
          <v:shape style="position:absolute;margin-left:65.304001pt;margin-top:50.953644pt;width:474pt;height:600.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1"/>
                    <w:gridCol w:w="713"/>
                    <w:gridCol w:w="5811"/>
                  </w:tblGrid>
                  <w:tr>
                    <w:trPr>
                      <w:trHeight w:val="362" w:hRule="exact"/>
                    </w:trPr>
                    <w:tc>
                      <w:tcPr>
                        <w:tcW w:w="94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67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
                          <w:ind w:left="103" w:right="511"/>
                          <w:jc w:val="left"/>
                          <w:rPr>
                            <w:rFonts w:ascii="宋体" w:hAnsi="宋体" w:cs="宋体" w:eastAsia="宋体" w:hint="default"/>
                            <w:sz w:val="21"/>
                            <w:szCs w:val="21"/>
                          </w:rPr>
                        </w:pPr>
                        <w:r>
                          <w:rPr>
                            <w:rFonts w:ascii="宋体" w:hAnsi="宋体" w:cs="宋体" w:eastAsia="宋体" w:hint="default"/>
                            <w:spacing w:val="-2"/>
                            <w:sz w:val="21"/>
                            <w:szCs w:val="21"/>
                          </w:rPr>
                          <w:t>本集团、本公司、公司、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青岛港</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青岛港国际股份有限公司及</w:t>
                        </w:r>
                        <w:r>
                          <w:rPr>
                            <w:rFonts w:ascii="宋体" w:hAnsi="宋体" w:cs="宋体" w:eastAsia="宋体" w:hint="default"/>
                            <w:sz w:val="21"/>
                            <w:szCs w:val="21"/>
                          </w:rPr>
                          <w:t>/</w:t>
                        </w:r>
                        <w:r>
                          <w:rPr>
                            <w:rFonts w:ascii="宋体" w:hAnsi="宋体" w:cs="宋体" w:eastAsia="宋体" w:hint="default"/>
                            <w:sz w:val="21"/>
                            <w:szCs w:val="21"/>
                          </w:rPr>
                          <w:t>或其子公司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中远海运集团</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中国远洋海运集团有限公司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大港分公司</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青岛港国际股份有限公司大港分公司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海湾液化</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青岛海湾液体化工港务有限公司</w:t>
                        </w:r>
                        <w:r>
                          <w:rPr>
                            <w:rFonts w:ascii="宋体" w:hAnsi="宋体" w:cs="宋体" w:eastAsia="宋体" w:hint="default"/>
                            <w:sz w:val="21"/>
                            <w:szCs w:val="21"/>
                          </w:rPr>
                          <w:t> </w:t>
                        </w:r>
                      </w:p>
                    </w:tc>
                  </w:tr>
                  <w:tr>
                    <w:trPr>
                      <w:trHeight w:val="36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山东港联化</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sz w:val="21"/>
                            <w:szCs w:val="21"/>
                          </w:rPr>
                          <w:t>山东港联化管道石油输送有限公司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Calibri"/>
                            <w:sz w:val="21"/>
                          </w:rPr>
                          <w:t>QDOT</w:t>
                        </w:r>
                        <w:r>
                          <w:rPr>
                            <w:rFonts w:ascii="宋体"/>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青岛港董家口矿石码头有限公司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金控公司</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山东港口金融控股有限公司，原青岛港金融控股有限公司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青港财务公司</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青港物流</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青岛实华</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青岛实华原油码头有限公司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Calibri"/>
                            <w:sz w:val="21"/>
                          </w:rPr>
                          <w:t>QQCT</w:t>
                        </w:r>
                        <w:r>
                          <w:rPr>
                            <w:rFonts w:ascii="宋体"/>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上海中海码头</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上海中海码头发展有限公司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西联</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青岛前湾西港联合码头有限责任公司</w:t>
                        </w:r>
                        <w:r>
                          <w:rPr>
                            <w:rFonts w:ascii="宋体" w:hAnsi="宋体" w:cs="宋体" w:eastAsia="宋体" w:hint="default"/>
                            <w:sz w:val="21"/>
                            <w:szCs w:val="21"/>
                          </w:rPr>
                          <w:t> </w:t>
                        </w:r>
                      </w:p>
                    </w:tc>
                  </w:tr>
                  <w:tr>
                    <w:trPr>
                      <w:trHeight w:val="117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103" w:right="0"/>
                          <w:jc w:val="left"/>
                          <w:rPr>
                            <w:rFonts w:ascii="宋体" w:hAnsi="宋体" w:cs="宋体" w:eastAsia="宋体" w:hint="default"/>
                            <w:sz w:val="21"/>
                            <w:szCs w:val="21"/>
                          </w:rPr>
                        </w:pPr>
                        <w:r>
                          <w:rPr>
                            <w:rFonts w:ascii="宋体" w:hAnsi="宋体" w:cs="宋体" w:eastAsia="宋体" w:hint="default"/>
                            <w:sz w:val="21"/>
                            <w:szCs w:val="21"/>
                          </w:rPr>
                          <w:t>场站</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0" w:right="22"/>
                          <w:jc w:val="left"/>
                          <w:rPr>
                            <w:rFonts w:ascii="宋体" w:hAnsi="宋体" w:cs="宋体" w:eastAsia="宋体" w:hint="default"/>
                            <w:sz w:val="21"/>
                            <w:szCs w:val="21"/>
                          </w:rPr>
                        </w:pPr>
                        <w:r>
                          <w:rPr>
                            <w:rFonts w:ascii="宋体" w:hAnsi="宋体" w:cs="宋体" w:eastAsia="宋体" w:hint="default"/>
                            <w:spacing w:val="-5"/>
                            <w:sz w:val="21"/>
                            <w:szCs w:val="21"/>
                          </w:rPr>
                          <w:t>集装箱货运站，其中位于装运港口的集装箱货运站是指由承运</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人用作收取货物以便承运人将货运装载到集装箱的指定地点，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位于卸货或目的地港口的集装箱货运站是指承运人用作为集</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装箱货物拆箱的指定地点</w:t>
                        </w:r>
                        <w:r>
                          <w:rPr>
                            <w:rFonts w:ascii="宋体" w:hAnsi="宋体" w:cs="宋体" w:eastAsia="宋体" w:hint="default"/>
                            <w:sz w:val="21"/>
                            <w:szCs w:val="21"/>
                          </w:rPr>
                          <w:t> </w:t>
                        </w:r>
                      </w:p>
                    </w:tc>
                  </w:tr>
                  <w:tr>
                    <w:trPr>
                      <w:trHeight w:val="907"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TEU/</w:t>
                        </w:r>
                        <w:r>
                          <w:rPr>
                            <w:rFonts w:ascii="宋体" w:hAnsi="宋体" w:cs="宋体" w:eastAsia="宋体" w:hint="default"/>
                            <w:sz w:val="21"/>
                            <w:szCs w:val="21"/>
                          </w:rPr>
                          <w:t>标准箱</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0" w:right="98"/>
                          <w:jc w:val="both"/>
                          <w:rPr>
                            <w:rFonts w:ascii="宋体" w:hAnsi="宋体" w:cs="宋体" w:eastAsia="宋体" w:hint="default"/>
                            <w:sz w:val="21"/>
                            <w:szCs w:val="21"/>
                          </w:rPr>
                        </w:pPr>
                        <w:r>
                          <w:rPr>
                            <w:rFonts w:ascii="宋体" w:hAnsi="宋体" w:cs="宋体" w:eastAsia="宋体" w:hint="default"/>
                            <w:sz w:val="21"/>
                            <w:szCs w:val="21"/>
                          </w:rPr>
                          <w:t>英文</w:t>
                        </w:r>
                        <w:r>
                          <w:rPr>
                            <w:rFonts w:ascii="宋体" w:hAnsi="宋体" w:cs="宋体" w:eastAsia="宋体" w:hint="default"/>
                            <w:spacing w:val="-20"/>
                            <w:sz w:val="21"/>
                            <w:szCs w:val="21"/>
                          </w:rPr>
                          <w:t> </w:t>
                        </w:r>
                        <w:r>
                          <w:rPr>
                            <w:rFonts w:ascii="宋体" w:hAnsi="宋体" w:cs="宋体" w:eastAsia="宋体" w:hint="default"/>
                            <w:sz w:val="21"/>
                            <w:szCs w:val="21"/>
                          </w:rPr>
                          <w:t>Twenty-FootEquivalentUnit</w:t>
                        </w:r>
                        <w:r>
                          <w:rPr>
                            <w:rFonts w:ascii="宋体" w:hAnsi="宋体" w:cs="宋体" w:eastAsia="宋体" w:hint="default"/>
                            <w:spacing w:val="-20"/>
                            <w:sz w:val="21"/>
                            <w:szCs w:val="21"/>
                          </w:rPr>
                          <w:t> </w:t>
                        </w:r>
                        <w:r>
                          <w:rPr>
                            <w:rFonts w:ascii="宋体" w:hAnsi="宋体" w:cs="宋体" w:eastAsia="宋体" w:hint="default"/>
                            <w:sz w:val="21"/>
                            <w:szCs w:val="21"/>
                          </w:rPr>
                          <w:t>的缩写，是以长</w:t>
                        </w:r>
                        <w:r>
                          <w:rPr>
                            <w:rFonts w:ascii="宋体" w:hAnsi="宋体" w:cs="宋体" w:eastAsia="宋体" w:hint="default"/>
                            <w:spacing w:val="-22"/>
                            <w:sz w:val="21"/>
                            <w:szCs w:val="21"/>
                          </w:rPr>
                          <w:t> </w:t>
                        </w:r>
                        <w:r>
                          <w:rPr>
                            <w:rFonts w:ascii="宋体" w:hAnsi="宋体" w:cs="宋体" w:eastAsia="宋体" w:hint="default"/>
                            <w:sz w:val="21"/>
                            <w:szCs w:val="21"/>
                          </w:rPr>
                          <w:t>20</w:t>
                        </w:r>
                        <w:r>
                          <w:rPr>
                            <w:rFonts w:ascii="宋体" w:hAnsi="宋体" w:cs="宋体" w:eastAsia="宋体" w:hint="default"/>
                            <w:spacing w:val="-20"/>
                            <w:sz w:val="21"/>
                            <w:szCs w:val="21"/>
                          </w:rPr>
                          <w:t> </w:t>
                        </w:r>
                        <w:r>
                          <w:rPr>
                            <w:rFonts w:ascii="宋体" w:hAnsi="宋体" w:cs="宋体" w:eastAsia="宋体" w:hint="default"/>
                            <w:sz w:val="21"/>
                            <w:szCs w:val="21"/>
                          </w:rPr>
                          <w:t>英尺</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宽</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英尺</w:t>
                        </w:r>
                        <w:r>
                          <w:rPr>
                            <w:rFonts w:ascii="宋体" w:hAnsi="宋体" w:cs="宋体" w:eastAsia="宋体" w:hint="default"/>
                            <w:sz w:val="21"/>
                            <w:szCs w:val="21"/>
                          </w:rPr>
                          <w:t>*</w:t>
                        </w:r>
                        <w:r>
                          <w:rPr>
                            <w:rFonts w:ascii="宋体" w:hAnsi="宋体" w:cs="宋体" w:eastAsia="宋体" w:hint="default"/>
                            <w:sz w:val="21"/>
                            <w:szCs w:val="21"/>
                          </w:rPr>
                          <w:t>高</w:t>
                        </w:r>
                        <w:r>
                          <w:rPr>
                            <w:rFonts w:ascii="宋体" w:hAnsi="宋体" w:cs="宋体" w:eastAsia="宋体" w:hint="default"/>
                            <w:spacing w:val="-46"/>
                            <w:sz w:val="21"/>
                            <w:szCs w:val="21"/>
                          </w:rPr>
                          <w:t> </w:t>
                        </w:r>
                        <w:r>
                          <w:rPr>
                            <w:rFonts w:ascii="宋体" w:hAnsi="宋体" w:cs="宋体" w:eastAsia="宋体" w:hint="default"/>
                            <w:sz w:val="21"/>
                            <w:szCs w:val="21"/>
                          </w:rPr>
                          <w:t>8.6</w:t>
                        </w:r>
                        <w:r>
                          <w:rPr>
                            <w:rFonts w:ascii="宋体" w:hAnsi="宋体" w:cs="宋体" w:eastAsia="宋体" w:hint="default"/>
                            <w:spacing w:val="-46"/>
                            <w:sz w:val="21"/>
                            <w:szCs w:val="21"/>
                          </w:rPr>
                          <w:t> </w:t>
                        </w:r>
                        <w:r>
                          <w:rPr>
                            <w:rFonts w:ascii="宋体" w:hAnsi="宋体" w:cs="宋体" w:eastAsia="宋体" w:hint="default"/>
                            <w:sz w:val="21"/>
                            <w:szCs w:val="21"/>
                          </w:rPr>
                          <w:t>英尺的集装箱为标准的国际计量单位，也称</w:t>
                        </w:r>
                        <w:r>
                          <w:rPr>
                            <w:rFonts w:ascii="宋体" w:hAnsi="宋体" w:cs="宋体" w:eastAsia="宋体" w:hint="default"/>
                            <w:w w:val="100"/>
                            <w:sz w:val="21"/>
                            <w:szCs w:val="21"/>
                          </w:rPr>
                          <w:t> </w:t>
                        </w:r>
                        <w:r>
                          <w:rPr>
                            <w:rFonts w:ascii="宋体" w:hAnsi="宋体" w:cs="宋体" w:eastAsia="宋体" w:hint="default"/>
                            <w:sz w:val="21"/>
                            <w:szCs w:val="21"/>
                          </w:rPr>
                          <w:t>国际标准箱单位</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香港联交所</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r>
                          <w:rPr>
                            <w:rFonts w:ascii="宋体" w:hAnsi="宋体" w:cs="宋体" w:eastAsia="宋体" w:hint="default"/>
                            <w:sz w:val="21"/>
                            <w:szCs w:val="21"/>
                          </w:rPr>
                          <w:t> </w:t>
                        </w:r>
                      </w:p>
                    </w:tc>
                  </w:tr>
                  <w:tr>
                    <w:trPr>
                      <w:trHeight w:val="63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《招股说明书》</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0" w:right="98"/>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日刊登的青岛港国际股份有限公司首次公开</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股股票招股说明书</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36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中海码头</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sz w:val="21"/>
                            <w:szCs w:val="21"/>
                          </w:rPr>
                          <w:t>中海码头发展有限公司</w:t>
                        </w:r>
                        <w:r>
                          <w:rPr>
                            <w:rFonts w:ascii="宋体" w:hAnsi="宋体" w:cs="宋体" w:eastAsia="宋体" w:hint="default"/>
                            <w:sz w:val="21"/>
                            <w:szCs w:val="21"/>
                          </w:rPr>
                          <w:t> </w:t>
                        </w:r>
                      </w:p>
                    </w:tc>
                  </w:tr>
                  <w:tr>
                    <w:trPr>
                      <w:trHeight w:val="636"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青岛远洋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99"/>
                          <w:jc w:val="left"/>
                          <w:rPr>
                            <w:rFonts w:ascii="宋体" w:hAnsi="宋体" w:cs="宋体" w:eastAsia="宋体" w:hint="default"/>
                            <w:sz w:val="21"/>
                            <w:szCs w:val="21"/>
                          </w:rPr>
                        </w:pPr>
                        <w:r>
                          <w:rPr>
                            <w:rFonts w:ascii="宋体" w:hAnsi="宋体" w:cs="宋体" w:eastAsia="宋体" w:hint="default"/>
                            <w:spacing w:val="-5"/>
                            <w:sz w:val="21"/>
                            <w:szCs w:val="21"/>
                          </w:rPr>
                          <w:t>青岛远洋运输有限公司，现已更名为“中远海运（青岛）有限</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码来仓储</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码来仓储（深圳）有限公司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光控青岛</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光大控股（青岛）融资租赁有限公司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青岛国投</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青岛国际投资有限公司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QQCTN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r>
                          <w:rPr>
                            <w:rFonts w:ascii="宋体" w:hAnsi="宋体" w:cs="宋体" w:eastAsia="宋体" w:hint="default"/>
                            <w:sz w:val="21"/>
                            <w:szCs w:val="21"/>
                          </w:rPr>
                          <w:t> </w:t>
                        </w:r>
                      </w:p>
                    </w:tc>
                  </w:tr>
                  <w:tr>
                    <w:trPr>
                      <w:trHeight w:val="36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《青岛港国际股份有限公司章程》</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3"/>
        <w:spacing w:line="240" w:lineRule="auto"/>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7"/>
          <w:pgSz w:w="11910" w:h="16840"/>
          <w:pgMar w:footer="974" w:header="880" w:top="1120" w:bottom="1160" w:left="1200" w:right="1020"/>
        </w:sectPr>
      </w:pPr>
    </w:p>
    <w:p>
      <w:pPr>
        <w:spacing w:line="240" w:lineRule="auto" w:before="0"/>
        <w:rPr>
          <w:rFonts w:ascii="宋体" w:hAnsi="宋体" w:cs="宋体" w:eastAsia="宋体" w:hint="default"/>
          <w:sz w:val="20"/>
          <w:szCs w:val="20"/>
        </w:rPr>
      </w:pPr>
    </w:p>
    <w:p>
      <w:pPr>
        <w:pStyle w:val="Heading1"/>
        <w:tabs>
          <w:tab w:pos="3838" w:val="left" w:leader="none"/>
        </w:tabs>
        <w:spacing w:line="240" w:lineRule="auto" w:before="155"/>
        <w:ind w:left="2578" w:right="0"/>
        <w:jc w:val="left"/>
        <w:rPr>
          <w:b w:val="0"/>
          <w:bCs w:val="0"/>
        </w:rPr>
      </w:pPr>
      <w:bookmarkStart w:name="_TOC_250010" w:id="2"/>
      <w:r>
        <w:rPr>
          <w:w w:val="95"/>
        </w:rPr>
        <w:t>第二节</w:t>
      </w:r>
      <w:r>
        <w:rPr>
          <w:rFonts w:ascii="宋体" w:hAnsi="宋体" w:cs="宋体" w:eastAsia="宋体" w:hint="default"/>
          <w:w w:val="95"/>
        </w:rPr>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5"/>
        <w:spacing w:line="240" w:lineRule="auto" w:before="36"/>
        <w:ind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29"/>
        <w:gridCol w:w="5569"/>
      </w:tblGrid>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青岛港国际股份有限公司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z w:val="21"/>
                <w:szCs w:val="21"/>
              </w:rPr>
              <w:t>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QingdaoPortInternationalCo.,Ltd.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QDPI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李奉利</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FF0000"/>
          <w:w w:val="100"/>
        </w:rPr>
        <w:t> </w:t>
      </w:r>
      <w:r>
        <w:rPr>
          <w:rFonts w:ascii="宋体"/>
          <w:w w:val="100"/>
        </w:rPr>
      </w:r>
    </w:p>
    <w:p>
      <w:pPr>
        <w:pStyle w:val="Heading5"/>
        <w:spacing w:line="240" w:lineRule="auto" w:before="58"/>
        <w:ind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583"/>
        <w:gridCol w:w="3828"/>
        <w:gridCol w:w="2943"/>
      </w:tblGrid>
      <w:tr>
        <w:trPr>
          <w:trHeight w:val="36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21"/>
                <w:szCs w:val="21"/>
              </w:rPr>
            </w:pPr>
            <w:r>
              <w:rPr>
                <w:rFonts w:ascii="宋体"/>
                <w:w w:val="100"/>
                <w:sz w:val="21"/>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7"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5"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36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陈福香</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孙洪梅</w:t>
            </w:r>
            <w:r>
              <w:rPr>
                <w:rFonts w:ascii="宋体" w:hAnsi="宋体" w:cs="宋体" w:eastAsia="宋体" w:hint="default"/>
                <w:sz w:val="21"/>
                <w:szCs w:val="21"/>
              </w:rPr>
              <w:t> </w:t>
            </w:r>
          </w:p>
        </w:tc>
      </w:tr>
      <w:tr>
        <w:trPr>
          <w:trHeight w:val="36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青岛市市北区港寰路</w:t>
            </w:r>
            <w:r>
              <w:rPr>
                <w:rFonts w:ascii="宋体" w:hAnsi="宋体" w:cs="宋体" w:eastAsia="宋体" w:hint="default"/>
                <w:sz w:val="21"/>
                <w:szCs w:val="21"/>
              </w:rPr>
              <w:t>58</w:t>
            </w:r>
            <w:r>
              <w:rPr>
                <w:rFonts w:ascii="宋体" w:hAnsi="宋体" w:cs="宋体" w:eastAsia="宋体" w:hint="default"/>
                <w:sz w:val="21"/>
                <w:szCs w:val="21"/>
              </w:rPr>
              <w:t>号</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青岛市市北区港寰路</w:t>
            </w:r>
            <w:r>
              <w:rPr>
                <w:rFonts w:ascii="宋体" w:hAnsi="宋体" w:cs="宋体" w:eastAsia="宋体" w:hint="default"/>
                <w:sz w:val="21"/>
                <w:szCs w:val="21"/>
              </w:rPr>
              <w:t>58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6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sz w:val="21"/>
              </w:rPr>
              <w:t>0532-82982011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0532-82982133 </w:t>
            </w:r>
          </w:p>
        </w:tc>
      </w:tr>
      <w:tr>
        <w:trPr>
          <w:trHeight w:val="36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sz w:val="21"/>
              </w:rPr>
              <w:t>0532-82822878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0532-82822878 </w:t>
            </w:r>
          </w:p>
        </w:tc>
      </w:tr>
      <w:tr>
        <w:trPr>
          <w:trHeight w:val="362"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hyperlink r:id="rId9">
              <w:r>
                <w:rPr>
                  <w:rFonts w:ascii="宋体"/>
                  <w:sz w:val="21"/>
                </w:rPr>
                <w:t>chenfuxiang@qdport.com</w:t>
              </w:r>
            </w:hyperlink>
            <w:r>
              <w:rPr>
                <w:rFonts w:ascii="宋体"/>
                <w:sz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hyperlink r:id="rId10">
              <w:r>
                <w:rPr>
                  <w:rFonts w:ascii="宋体"/>
                  <w:sz w:val="21"/>
                </w:rPr>
                <w:t>shm@qdport.com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29"/>
        <w:gridCol w:w="5499"/>
      </w:tblGrid>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青岛市黄岛区经八路</w:t>
            </w:r>
            <w:r>
              <w:rPr>
                <w:rFonts w:ascii="宋体" w:hAnsi="宋体" w:cs="宋体" w:eastAsia="宋体" w:hint="default"/>
                <w:sz w:val="21"/>
                <w:szCs w:val="21"/>
              </w:rPr>
              <w:t>12</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266500 </w:t>
            </w:r>
          </w:p>
        </w:tc>
      </w:tr>
      <w:tr>
        <w:trPr>
          <w:trHeight w:val="36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青岛市市北区港寰路</w:t>
            </w:r>
            <w:r>
              <w:rPr>
                <w:rFonts w:ascii="宋体" w:hAnsi="宋体" w:cs="宋体" w:eastAsia="宋体" w:hint="default"/>
                <w:sz w:val="21"/>
                <w:szCs w:val="21"/>
              </w:rPr>
              <w:t>58</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r>
              <w:rPr>
                <w:rFonts w:ascii="宋体"/>
                <w:sz w:val="21"/>
              </w:rPr>
              <w:t>266011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hyperlink r:id="rId11">
              <w:r>
                <w:rPr>
                  <w:rFonts w:ascii="宋体"/>
                  <w:sz w:val="21"/>
                </w:rPr>
                <w:t>www.qingdao-port.com</w:t>
              </w:r>
            </w:hyperlink>
            <w:r>
              <w:rPr>
                <w:rFonts w:ascii="宋体"/>
                <w:sz w:val="21"/>
              </w:rPr>
              <w:t> </w:t>
            </w:r>
          </w:p>
        </w:tc>
      </w:tr>
      <w:tr>
        <w:trPr>
          <w:trHeight w:val="36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21"/>
                <w:szCs w:val="21"/>
              </w:rPr>
            </w:pPr>
            <w:hyperlink r:id="rId12">
              <w:r>
                <w:rPr>
                  <w:rFonts w:ascii="宋体"/>
                  <w:sz w:val="21"/>
                </w:rPr>
                <w:t>qggj@qdport.com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285"/>
        <w:gridCol w:w="5043"/>
      </w:tblGrid>
      <w:tr>
        <w:trPr>
          <w:trHeight w:val="80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r>
              <w:rPr>
                <w:rFonts w:ascii="宋体" w:hAnsi="宋体" w:cs="宋体" w:eastAsia="宋体" w:hint="default"/>
                <w:sz w:val="21"/>
                <w:szCs w:val="21"/>
              </w:rPr>
              <w:t> </w:t>
            </w:r>
          </w:p>
          <w:p>
            <w:pPr>
              <w:pStyle w:val="TableParagraph"/>
              <w:spacing w:line="240" w:lineRule="auto" w:before="56"/>
              <w:ind w:left="24" w:right="0"/>
              <w:jc w:val="left"/>
              <w:rPr>
                <w:rFonts w:ascii="宋体" w:hAnsi="宋体" w:cs="宋体" w:eastAsia="宋体" w:hint="default"/>
                <w:sz w:val="21"/>
                <w:szCs w:val="21"/>
              </w:rPr>
            </w:pPr>
            <w:r>
              <w:rPr>
                <w:rFonts w:ascii="宋体" w:hAnsi="宋体" w:cs="宋体" w:eastAsia="宋体" w:hint="default"/>
                <w:sz w:val="21"/>
                <w:szCs w:val="21"/>
              </w:rPr>
              <w:t>《证券时报》、《证券日报》</w:t>
            </w:r>
            <w:r>
              <w:rPr>
                <w:rFonts w:ascii="宋体" w:hAnsi="宋体" w:cs="宋体" w:eastAsia="宋体" w:hint="default"/>
                <w:sz w:val="21"/>
                <w:szCs w:val="21"/>
              </w:rPr>
              <w:t> </w:t>
            </w:r>
          </w:p>
        </w:tc>
      </w:tr>
      <w:tr>
        <w:trPr>
          <w:trHeight w:val="36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hyperlink r:id="rId13">
              <w:r>
                <w:rPr>
                  <w:rFonts w:ascii="宋体"/>
                  <w:sz w:val="21"/>
                </w:rPr>
                <w:t>www.sse.com.cn</w:t>
              </w:r>
            </w:hyperlink>
            <w:r>
              <w:rPr>
                <w:rFonts w:ascii="宋体"/>
                <w:sz w:val="21"/>
              </w:rPr>
              <w:t> </w:t>
            </w:r>
          </w:p>
        </w:tc>
      </w:tr>
      <w:tr>
        <w:trPr>
          <w:trHeight w:val="362"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66"/>
        <w:gridCol w:w="2801"/>
        <w:gridCol w:w="1080"/>
        <w:gridCol w:w="1764"/>
        <w:gridCol w:w="1916"/>
      </w:tblGrid>
      <w:tr>
        <w:trPr>
          <w:trHeight w:val="362" w:hRule="exact"/>
        </w:trPr>
        <w:tc>
          <w:tcPr>
            <w:tcW w:w="93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6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5"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60"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50"/>
              <w:jc w:val="right"/>
              <w:rPr>
                <w:rFonts w:ascii="宋体" w:hAnsi="宋体" w:cs="宋体" w:eastAsia="宋体" w:hint="default"/>
                <w:sz w:val="21"/>
                <w:szCs w:val="21"/>
              </w:rPr>
            </w:pPr>
            <w:r>
              <w:rPr>
                <w:rFonts w:ascii="宋体" w:hAnsi="宋体" w:cs="宋体" w:eastAsia="宋体" w:hint="default"/>
                <w:spacing w:val="-2"/>
                <w:sz w:val="21"/>
                <w:szCs w:val="21"/>
              </w:rPr>
              <w:t>股票代码</w:t>
            </w:r>
            <w:r>
              <w:rPr>
                <w:rFonts w:ascii="宋体" w:hAnsi="宋体" w:cs="宋体" w:eastAsia="宋体" w:hint="default"/>
                <w:sz w:val="21"/>
                <w:szCs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6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99"/>
              <w:jc w:val="right"/>
              <w:rPr>
                <w:rFonts w:ascii="宋体" w:hAnsi="宋体" w:cs="宋体" w:eastAsia="宋体" w:hint="default"/>
                <w:sz w:val="21"/>
                <w:szCs w:val="21"/>
              </w:rPr>
            </w:pPr>
            <w:r>
              <w:rPr>
                <w:rFonts w:ascii="宋体"/>
                <w:spacing w:val="-1"/>
                <w:sz w:val="21"/>
              </w:rPr>
              <w:t>601298.SH</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365"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z w:val="21"/>
                <w:szCs w:val="21"/>
              </w:rPr>
              <w:t>股</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21"/>
                <w:szCs w:val="21"/>
              </w:rPr>
            </w:pPr>
            <w:r>
              <w:rPr>
                <w:rFonts w:ascii="宋体" w:hAnsi="宋体" w:cs="宋体" w:eastAsia="宋体" w:hint="default"/>
                <w:sz w:val="21"/>
                <w:szCs w:val="21"/>
              </w:rPr>
              <w:t>香港联合交易所有限公司</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青岛港</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50"/>
              <w:jc w:val="right"/>
              <w:rPr>
                <w:rFonts w:ascii="宋体" w:hAnsi="宋体" w:cs="宋体" w:eastAsia="宋体" w:hint="default"/>
                <w:sz w:val="21"/>
                <w:szCs w:val="21"/>
              </w:rPr>
            </w:pPr>
            <w:r>
              <w:rPr>
                <w:rFonts w:ascii="宋体"/>
                <w:spacing w:val="-1"/>
                <w:sz w:val="21"/>
              </w:rPr>
              <w:t>06198.HK</w:t>
            </w:r>
            <w:r>
              <w:rPr>
                <w:rFonts w:ascii="宋体"/>
                <w:sz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5"/>
        <w:spacing w:line="240" w:lineRule="auto"/>
        <w:ind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1243"/>
        <w:gridCol w:w="2977"/>
        <w:gridCol w:w="5185"/>
      </w:tblGrid>
      <w:tr>
        <w:trPr>
          <w:trHeight w:val="36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司</w:t>
            </w:r>
            <w:r>
              <w:rPr>
                <w:rFonts w:ascii="宋体" w:hAnsi="宋体" w:cs="宋体" w:eastAsia="宋体" w:hint="default"/>
                <w:spacing w:val="-45"/>
                <w:sz w:val="21"/>
                <w:szCs w:val="21"/>
              </w:rPr>
              <w:t> </w:t>
            </w:r>
            <w:r>
              <w:rPr>
                <w:rFonts w:ascii="宋体" w:hAnsi="宋体" w:cs="宋体" w:eastAsia="宋体" w:hint="default"/>
                <w:sz w:val="21"/>
                <w:szCs w:val="21"/>
              </w:rPr>
              <w:t>聘</w:t>
            </w:r>
            <w:r>
              <w:rPr>
                <w:rFonts w:ascii="宋体" w:hAnsi="宋体" w:cs="宋体" w:eastAsia="宋体" w:hint="default"/>
                <w:spacing w:val="-42"/>
                <w:sz w:val="21"/>
                <w:szCs w:val="21"/>
              </w:rPr>
              <w:t> </w:t>
            </w:r>
            <w:r>
              <w:rPr>
                <w:rFonts w:ascii="宋体" w:hAnsi="宋体" w:cs="宋体" w:eastAsia="宋体" w:hint="default"/>
                <w:sz w:val="21"/>
                <w:szCs w:val="21"/>
              </w:rPr>
              <w:t>请</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8"/>
          <w:pgSz w:w="11910" w:h="16840"/>
          <w:pgMar w:footer="974" w:header="880" w:top="1120" w:bottom="1160" w:left="1200" w:right="1000"/>
          <w:pgNumType w:start="5"/>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1243"/>
        <w:gridCol w:w="2977"/>
        <w:gridCol w:w="5185"/>
      </w:tblGrid>
      <w:tr>
        <w:trPr>
          <w:trHeight w:val="634" w:hRule="exact"/>
        </w:trPr>
        <w:tc>
          <w:tcPr>
            <w:tcW w:w="1243"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2"/>
                <w:sz w:val="21"/>
                <w:szCs w:val="21"/>
              </w:rPr>
              <w:t> </w:t>
            </w:r>
            <w:r>
              <w:rPr>
                <w:rFonts w:ascii="宋体" w:hAnsi="宋体" w:cs="宋体" w:eastAsia="宋体" w:hint="default"/>
                <w:sz w:val="21"/>
                <w:szCs w:val="21"/>
              </w:rPr>
              <w:t>会</w:t>
            </w:r>
            <w:r>
              <w:rPr>
                <w:rFonts w:ascii="宋体" w:hAnsi="宋体" w:cs="宋体" w:eastAsia="宋体" w:hint="default"/>
                <w:spacing w:val="-45"/>
                <w:sz w:val="21"/>
                <w:szCs w:val="21"/>
              </w:rPr>
              <w:t> </w:t>
            </w:r>
            <w:r>
              <w:rPr>
                <w:rFonts w:ascii="宋体" w:hAnsi="宋体" w:cs="宋体" w:eastAsia="宋体" w:hint="default"/>
                <w:sz w:val="21"/>
                <w:szCs w:val="21"/>
              </w:rPr>
              <w:t>计</w:t>
            </w:r>
            <w:r>
              <w:rPr>
                <w:rFonts w:ascii="宋体" w:hAnsi="宋体" w:cs="宋体" w:eastAsia="宋体" w:hint="default"/>
                <w:spacing w:val="-42"/>
                <w:sz w:val="21"/>
                <w:szCs w:val="21"/>
              </w:rPr>
              <w:t> </w:t>
            </w:r>
            <w:r>
              <w:rPr>
                <w:rFonts w:ascii="宋体" w:hAnsi="宋体" w:cs="宋体" w:eastAsia="宋体" w:hint="default"/>
                <w:sz w:val="21"/>
                <w:szCs w:val="21"/>
              </w:rPr>
              <w:t>师</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事务所（境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7"/>
              <w:ind w:left="100" w:right="0"/>
              <w:jc w:val="left"/>
              <w:rPr>
                <w:rFonts w:ascii="宋体" w:hAnsi="宋体" w:cs="宋体" w:eastAsia="宋体" w:hint="default"/>
                <w:sz w:val="21"/>
                <w:szCs w:val="21"/>
              </w:rPr>
            </w:pPr>
            <w:r>
              <w:rPr>
                <w:rFonts w:ascii="宋体" w:hAnsi="宋体" w:cs="宋体" w:eastAsia="宋体" w:hint="default"/>
                <w:sz w:val="21"/>
                <w:szCs w:val="21"/>
              </w:rPr>
              <w:t>中国上海市黄浦区湖滨路</w:t>
            </w:r>
            <w:r>
              <w:rPr>
                <w:rFonts w:ascii="宋体" w:hAnsi="宋体" w:cs="宋体" w:eastAsia="宋体" w:hint="default"/>
                <w:spacing w:val="-71"/>
                <w:sz w:val="21"/>
                <w:szCs w:val="21"/>
              </w:rPr>
              <w:t> </w:t>
            </w:r>
            <w:r>
              <w:rPr>
                <w:rFonts w:ascii="宋体" w:hAnsi="宋体" w:cs="宋体" w:eastAsia="宋体" w:hint="default"/>
                <w:sz w:val="21"/>
                <w:szCs w:val="21"/>
              </w:rPr>
              <w:t>202</w:t>
            </w:r>
            <w:r>
              <w:rPr>
                <w:rFonts w:ascii="宋体" w:hAnsi="宋体" w:cs="宋体" w:eastAsia="宋体" w:hint="default"/>
                <w:spacing w:val="-71"/>
                <w:sz w:val="21"/>
                <w:szCs w:val="21"/>
              </w:rPr>
              <w:t> </w:t>
            </w:r>
            <w:r>
              <w:rPr>
                <w:rFonts w:ascii="宋体" w:hAnsi="宋体" w:cs="宋体" w:eastAsia="宋体" w:hint="default"/>
                <w:sz w:val="21"/>
                <w:szCs w:val="21"/>
              </w:rPr>
              <w:t>号领展企业广场</w:t>
            </w:r>
            <w:r>
              <w:rPr>
                <w:rFonts w:ascii="宋体" w:hAnsi="宋体" w:cs="宋体" w:eastAsia="宋体" w:hint="default"/>
                <w:spacing w:val="-70"/>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pacing w:val="-3"/>
                <w:sz w:val="21"/>
                <w:szCs w:val="21"/>
              </w:rPr>
              <w:t>座普华</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永道中心</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362" w:hRule="exact"/>
        </w:trPr>
        <w:tc>
          <w:tcPr>
            <w:tcW w:w="1243"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贾娜、李丽丽</w:t>
            </w:r>
            <w:r>
              <w:rPr>
                <w:rFonts w:ascii="宋体" w:hAnsi="宋体" w:cs="宋体" w:eastAsia="宋体" w:hint="default"/>
                <w:sz w:val="21"/>
                <w:szCs w:val="21"/>
              </w:rPr>
              <w:t> </w:t>
            </w:r>
          </w:p>
        </w:tc>
      </w:tr>
      <w:tr>
        <w:trPr>
          <w:trHeight w:val="362" w:hRule="exact"/>
        </w:trPr>
        <w:tc>
          <w:tcPr>
            <w:tcW w:w="1243" w:type="dxa"/>
            <w:vMerge w:val="restart"/>
            <w:tcBorders>
              <w:top w:val="single" w:sz="4" w:space="0" w:color="000000"/>
              <w:left w:val="single" w:sz="4" w:space="0" w:color="000000"/>
              <w:right w:val="single" w:sz="4" w:space="0" w:color="000000"/>
            </w:tcBorders>
          </w:tcPr>
          <w:p>
            <w:pPr>
              <w:pStyle w:val="TableParagraph"/>
              <w:spacing w:line="237" w:lineRule="auto" w:before="9"/>
              <w:ind w:left="103" w:right="99"/>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42"/>
                <w:sz w:val="21"/>
                <w:szCs w:val="21"/>
              </w:rPr>
              <w:t> </w:t>
            </w:r>
            <w:r>
              <w:rPr>
                <w:rFonts w:ascii="宋体" w:hAnsi="宋体" w:cs="宋体" w:eastAsia="宋体" w:hint="default"/>
                <w:sz w:val="21"/>
                <w:szCs w:val="21"/>
              </w:rPr>
              <w:t>告</w:t>
            </w:r>
            <w:r>
              <w:rPr>
                <w:rFonts w:ascii="宋体" w:hAnsi="宋体" w:cs="宋体" w:eastAsia="宋体" w:hint="default"/>
                <w:spacing w:val="-45"/>
                <w:sz w:val="21"/>
                <w:szCs w:val="21"/>
              </w:rPr>
              <w:t> </w:t>
            </w:r>
            <w:r>
              <w:rPr>
                <w:rFonts w:ascii="宋体" w:hAnsi="宋体" w:cs="宋体" w:eastAsia="宋体" w:hint="default"/>
                <w:sz w:val="21"/>
                <w:szCs w:val="21"/>
              </w:rPr>
              <w:t>期</w:t>
            </w:r>
            <w:r>
              <w:rPr>
                <w:rFonts w:ascii="宋体" w:hAnsi="宋体" w:cs="宋体" w:eastAsia="宋体" w:hint="default"/>
                <w:spacing w:val="-42"/>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spacing w:val="-42"/>
                <w:sz w:val="21"/>
                <w:szCs w:val="21"/>
              </w:rPr>
              <w:t> </w:t>
            </w:r>
            <w:r>
              <w:rPr>
                <w:rFonts w:ascii="宋体" w:hAnsi="宋体" w:cs="宋体" w:eastAsia="宋体" w:hint="default"/>
                <w:sz w:val="21"/>
                <w:szCs w:val="21"/>
              </w:rPr>
              <w:t>行</w:t>
            </w:r>
            <w:r>
              <w:rPr>
                <w:rFonts w:ascii="宋体" w:hAnsi="宋体" w:cs="宋体" w:eastAsia="宋体" w:hint="default"/>
                <w:spacing w:val="-45"/>
                <w:sz w:val="21"/>
                <w:szCs w:val="21"/>
              </w:rPr>
              <w:t> </w:t>
            </w:r>
            <w:r>
              <w:rPr>
                <w:rFonts w:ascii="宋体" w:hAnsi="宋体" w:cs="宋体" w:eastAsia="宋体" w:hint="default"/>
                <w:sz w:val="21"/>
                <w:szCs w:val="21"/>
              </w:rPr>
              <w:t>持</w:t>
            </w:r>
            <w:r>
              <w:rPr>
                <w:rFonts w:ascii="宋体" w:hAnsi="宋体" w:cs="宋体" w:eastAsia="宋体" w:hint="default"/>
                <w:spacing w:val="-42"/>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督</w:t>
            </w:r>
            <w:r>
              <w:rPr>
                <w:rFonts w:ascii="宋体" w:hAnsi="宋体" w:cs="宋体" w:eastAsia="宋体" w:hint="default"/>
                <w:spacing w:val="-42"/>
                <w:sz w:val="21"/>
                <w:szCs w:val="21"/>
              </w:rPr>
              <w:t> </w:t>
            </w:r>
            <w:r>
              <w:rPr>
                <w:rFonts w:ascii="宋体" w:hAnsi="宋体" w:cs="宋体" w:eastAsia="宋体" w:hint="default"/>
                <w:sz w:val="21"/>
                <w:szCs w:val="21"/>
              </w:rPr>
              <w:t>导</w:t>
            </w:r>
            <w:r>
              <w:rPr>
                <w:rFonts w:ascii="宋体" w:hAnsi="宋体" w:cs="宋体" w:eastAsia="宋体" w:hint="default"/>
                <w:spacing w:val="-45"/>
                <w:sz w:val="21"/>
                <w:szCs w:val="21"/>
              </w:rPr>
              <w:t> </w:t>
            </w:r>
            <w:r>
              <w:rPr>
                <w:rFonts w:ascii="宋体" w:hAnsi="宋体" w:cs="宋体" w:eastAsia="宋体" w:hint="default"/>
                <w:sz w:val="21"/>
                <w:szCs w:val="21"/>
              </w:rPr>
              <w:t>职</w:t>
            </w:r>
            <w:r>
              <w:rPr>
                <w:rFonts w:ascii="宋体" w:hAnsi="宋体" w:cs="宋体" w:eastAsia="宋体" w:hint="default"/>
                <w:spacing w:val="-42"/>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42"/>
                <w:sz w:val="21"/>
                <w:szCs w:val="21"/>
              </w:rPr>
              <w:t> </w:t>
            </w:r>
            <w:r>
              <w:rPr>
                <w:rFonts w:ascii="宋体" w:hAnsi="宋体" w:cs="宋体" w:eastAsia="宋体" w:hint="default"/>
                <w:sz w:val="21"/>
                <w:szCs w:val="21"/>
              </w:rPr>
              <w:t>保</w:t>
            </w:r>
            <w:r>
              <w:rPr>
                <w:rFonts w:ascii="宋体" w:hAnsi="宋体" w:cs="宋体" w:eastAsia="宋体" w:hint="default"/>
                <w:spacing w:val="-45"/>
                <w:sz w:val="21"/>
                <w:szCs w:val="21"/>
              </w:rPr>
              <w:t> </w:t>
            </w:r>
            <w:r>
              <w:rPr>
                <w:rFonts w:ascii="宋体" w:hAnsi="宋体" w:cs="宋体" w:eastAsia="宋体" w:hint="default"/>
                <w:sz w:val="21"/>
                <w:szCs w:val="21"/>
              </w:rPr>
              <w:t>荐</w:t>
            </w:r>
            <w:r>
              <w:rPr>
                <w:rFonts w:ascii="宋体" w:hAnsi="宋体" w:cs="宋体" w:eastAsia="宋体" w:hint="default"/>
                <w:spacing w:val="-42"/>
                <w:sz w:val="21"/>
                <w:szCs w:val="21"/>
              </w:rPr>
              <w:t> </w:t>
            </w:r>
            <w:r>
              <w:rPr>
                <w:rFonts w:ascii="宋体" w:hAnsi="宋体" w:cs="宋体" w:eastAsia="宋体" w:hint="default"/>
                <w:sz w:val="21"/>
                <w:szCs w:val="21"/>
              </w:rPr>
              <w:t>机</w:t>
            </w:r>
            <w:r>
              <w:rPr>
                <w:rFonts w:ascii="宋体" w:hAnsi="宋体" w:cs="宋体" w:eastAsia="宋体" w:hint="default"/>
                <w:w w:val="100"/>
                <w:sz w:val="21"/>
                <w:szCs w:val="21"/>
              </w:rPr>
              <w:t> </w:t>
            </w:r>
            <w:r>
              <w:rPr>
                <w:rFonts w:ascii="宋体" w:hAnsi="宋体" w:cs="宋体" w:eastAsia="宋体" w:hint="default"/>
                <w:sz w:val="21"/>
                <w:szCs w:val="21"/>
              </w:rPr>
              <w:t>构</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r>
      <w:tr>
        <w:trPr>
          <w:trHeight w:val="362" w:hRule="exact"/>
        </w:trPr>
        <w:tc>
          <w:tcPr>
            <w:tcW w:w="1243"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4"/>
                <w:sz w:val="21"/>
                <w:szCs w:val="21"/>
              </w:rPr>
              <w:t> </w:t>
            </w:r>
            <w:r>
              <w:rPr>
                <w:rFonts w:ascii="宋体" w:hAnsi="宋体" w:cs="宋体" w:eastAsia="宋体" w:hint="default"/>
                <w:sz w:val="21"/>
                <w:szCs w:val="21"/>
              </w:rPr>
              <w:t>48</w:t>
            </w:r>
            <w:r>
              <w:rPr>
                <w:rFonts w:ascii="宋体" w:hAnsi="宋体" w:cs="宋体" w:eastAsia="宋体" w:hint="default"/>
                <w:spacing w:val="-56"/>
                <w:sz w:val="21"/>
                <w:szCs w:val="21"/>
              </w:rPr>
              <w:t> </w:t>
            </w:r>
            <w:r>
              <w:rPr>
                <w:rFonts w:ascii="宋体" w:hAnsi="宋体" w:cs="宋体" w:eastAsia="宋体" w:hint="default"/>
                <w:sz w:val="21"/>
                <w:szCs w:val="21"/>
              </w:rPr>
              <w:t>号中信证券大厦</w:t>
            </w:r>
            <w:r>
              <w:rPr>
                <w:rFonts w:ascii="宋体" w:hAnsi="宋体" w:cs="宋体" w:eastAsia="宋体" w:hint="default"/>
                <w:sz w:val="21"/>
                <w:szCs w:val="21"/>
              </w:rPr>
              <w:t> </w:t>
            </w:r>
          </w:p>
        </w:tc>
      </w:tr>
      <w:tr>
        <w:trPr>
          <w:trHeight w:val="362" w:hRule="exact"/>
        </w:trPr>
        <w:tc>
          <w:tcPr>
            <w:tcW w:w="1243"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叶建中、董文</w:t>
            </w:r>
            <w:r>
              <w:rPr>
                <w:rFonts w:ascii="宋体" w:hAnsi="宋体" w:cs="宋体" w:eastAsia="宋体" w:hint="default"/>
                <w:sz w:val="21"/>
                <w:szCs w:val="21"/>
              </w:rPr>
              <w:t> </w:t>
            </w:r>
          </w:p>
        </w:tc>
      </w:tr>
      <w:tr>
        <w:trPr>
          <w:trHeight w:val="365" w:hRule="exact"/>
        </w:trPr>
        <w:tc>
          <w:tcPr>
            <w:tcW w:w="1243"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974" w:top="1120" w:bottom="1160" w:left="1200" w:right="108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17"/>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5"/>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080"/>
          <w:cols w:num="2" w:equalWidth="0">
            <w:col w:w="3668" w:space="3091"/>
            <w:col w:w="28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19"/>
        <w:gridCol w:w="1709"/>
        <w:gridCol w:w="1709"/>
        <w:gridCol w:w="1850"/>
        <w:gridCol w:w="1709"/>
      </w:tblGrid>
      <w:tr>
        <w:trPr>
          <w:trHeight w:val="636"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7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49" w:right="182"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36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12,164,080,973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11,741,480,164</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z w:val="21"/>
              </w:rPr>
              <w:t>3.60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10,146,225,042</w:t>
            </w:r>
          </w:p>
        </w:tc>
      </w:tr>
      <w:tr>
        <w:trPr>
          <w:trHeight w:val="63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净利润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3,790,143,318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3,593,485,631</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3,042,959,443</w:t>
            </w:r>
          </w:p>
        </w:tc>
      </w:tr>
      <w:tr>
        <w:trPr>
          <w:trHeight w:val="907"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101"/>
              <w:jc w:val="both"/>
              <w:rPr>
                <w:rFonts w:ascii="宋体" w:hAnsi="宋体" w:cs="宋体" w:eastAsia="宋体" w:hint="default"/>
                <w:sz w:val="21"/>
                <w:szCs w:val="21"/>
              </w:rPr>
            </w:pPr>
            <w:r>
              <w:rPr>
                <w:rFonts w:ascii="宋体" w:hAnsi="宋体" w:cs="宋体" w:eastAsia="宋体" w:hint="default"/>
                <w:spacing w:val="7"/>
                <w:sz w:val="21"/>
                <w:szCs w:val="21"/>
              </w:rPr>
              <w:t>归属于上市公司股东的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7"/>
                <w:sz w:val="21"/>
                <w:szCs w:val="21"/>
              </w:rPr>
              <w:t>扣除非经常性损益的净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利润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3,666,793,625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3,444,710,091</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2,846,048,408</w:t>
            </w:r>
          </w:p>
        </w:tc>
      </w:tr>
      <w:tr>
        <w:trPr>
          <w:trHeight w:val="636"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7"/>
                <w:sz w:val="21"/>
                <w:szCs w:val="21"/>
              </w:rPr>
              <w:t>经营活动产生的现金流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量净额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2,965,989,770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2,291,004,214</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29.46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1,924,288,597</w:t>
            </w:r>
          </w:p>
        </w:tc>
      </w:tr>
      <w:tr>
        <w:trPr>
          <w:trHeight w:val="634" w:hRule="exact"/>
        </w:trPr>
        <w:tc>
          <w:tcPr>
            <w:tcW w:w="241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99" w:right="182" w:hanging="17"/>
              <w:jc w:val="left"/>
              <w:rPr>
                <w:rFonts w:ascii="宋体" w:hAnsi="宋体" w:cs="宋体" w:eastAsia="宋体" w:hint="default"/>
                <w:sz w:val="21"/>
                <w:szCs w:val="21"/>
              </w:rPr>
            </w:pPr>
            <w:r>
              <w:rPr>
                <w:rFonts w:ascii="宋体" w:hAnsi="宋体" w:cs="宋体" w:eastAsia="宋体" w:hint="default"/>
                <w:sz w:val="21"/>
                <w:szCs w:val="21"/>
              </w:rPr>
              <w:t>本期末比上年同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63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1"/>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净资产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30,357,380,875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26,979,659,259</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23,554,662,771</w:t>
            </w:r>
          </w:p>
        </w:tc>
      </w:tr>
      <w:tr>
        <w:trPr>
          <w:trHeight w:val="365"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bookmarkStart w:name="OLE_LINK1" w:id="3"/>
            <w:bookmarkEnd w:id="3"/>
            <w:r>
              <w:rPr/>
            </w:r>
            <w:r>
              <w:rPr>
                <w:rFonts w:ascii="Times New Roman"/>
                <w:spacing w:val="-1"/>
                <w:sz w:val="21"/>
              </w:rPr>
              <w:t>52,785,301,395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48,765,782,933</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z w:val="21"/>
              </w:rPr>
              <w:t>8.24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48,053,652,412</w:t>
            </w:r>
          </w:p>
        </w:tc>
      </w:tr>
    </w:tbl>
    <w:p>
      <w:pPr>
        <w:pStyle w:val="Heading5"/>
        <w:tabs>
          <w:tab w:pos="1058" w:val="left" w:leader="none"/>
        </w:tabs>
        <w:spacing w:line="240" w:lineRule="auto" w:before="26"/>
        <w:ind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2518"/>
        <w:gridCol w:w="1844"/>
        <w:gridCol w:w="1702"/>
        <w:gridCol w:w="1416"/>
        <w:gridCol w:w="1769"/>
      </w:tblGrid>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firstLine="52"/>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90" w:lineRule="exact"/>
              <w:ind w:left="1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0.55</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0.55</w:t>
            </w:r>
          </w:p>
        </w:tc>
      </w:tr>
      <w:tr>
        <w:trPr>
          <w:trHeight w:val="55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扣除非经常性损益后的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0.51</w:t>
            </w:r>
          </w:p>
        </w:tc>
      </w:tr>
      <w:tr>
        <w:trPr>
          <w:trHeight w:val="55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加权平均净资产收益率</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14.23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0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1.29</w:t>
            </w:r>
            <w:r>
              <w:rPr>
                <w:rFonts w:ascii="宋体" w:hAnsi="宋体" w:cs="宋体" w:eastAsia="宋体" w:hint="default"/>
                <w:sz w:val="21"/>
                <w:szCs w:val="21"/>
              </w:rPr>
              <w:t>个</w:t>
            </w:r>
          </w:p>
          <w:p>
            <w:pPr>
              <w:pStyle w:val="TableParagraph"/>
              <w:spacing w:line="265" w:lineRule="exact"/>
              <w:ind w:left="672"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15.54</w:t>
            </w:r>
          </w:p>
        </w:tc>
      </w:tr>
      <w:tr>
        <w:trPr>
          <w:trHeight w:val="82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扣除非经常性损益后的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加权平均净资产收益率</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30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1.12</w:t>
            </w:r>
            <w:r>
              <w:rPr>
                <w:rFonts w:ascii="宋体" w:hAnsi="宋体" w:cs="宋体" w:eastAsia="宋体" w:hint="default"/>
                <w:sz w:val="21"/>
                <w:szCs w:val="21"/>
              </w:rPr>
              <w:t>个</w:t>
            </w:r>
          </w:p>
          <w:p>
            <w:pPr>
              <w:pStyle w:val="TableParagraph"/>
              <w:spacing w:line="265" w:lineRule="exact"/>
              <w:ind w:left="672"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14.53</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40" w:lineRule="auto" w:before="42"/>
        <w:ind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40" w:lineRule="auto" w:before="3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698" w:right="0"/>
        <w:jc w:val="left"/>
      </w:pPr>
      <w:r>
        <w:rPr/>
        <w:t>上表中，</w:t>
      </w:r>
      <w:r>
        <w:rPr>
          <w:rFonts w:ascii="Times New Roman" w:hAnsi="Times New Roman" w:cs="Times New Roman" w:eastAsia="Times New Roman" w:hint="default"/>
        </w:rPr>
        <w:t>2019 </w:t>
      </w:r>
      <w:r>
        <w:rPr/>
        <w:t>年经营活动产生的现金流量净额增长</w:t>
      </w:r>
      <w:r>
        <w:rPr>
          <w:spacing w:val="-64"/>
        </w:rPr>
        <w:t> </w:t>
      </w:r>
      <w:r>
        <w:rPr>
          <w:rFonts w:ascii="Times New Roman" w:hAnsi="Times New Roman" w:cs="Times New Roman" w:eastAsia="Times New Roman" w:hint="default"/>
        </w:rPr>
        <w:t>29.46%</w:t>
      </w:r>
      <w:r>
        <w:rPr/>
        <w:t>，主要原因为：</w:t>
      </w:r>
    </w:p>
    <w:p>
      <w:pPr>
        <w:spacing w:after="0" w:line="240" w:lineRule="auto"/>
        <w:jc w:val="left"/>
        <w:sectPr>
          <w:type w:val="continuous"/>
          <w:pgSz w:w="11910" w:h="16840"/>
          <w:pgMar w:top="1120" w:bottom="1160" w:left="120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6"/>
        <w:ind w:left="638" w:right="0"/>
        <w:jc w:val="left"/>
      </w:pPr>
      <w:r>
        <w:rPr>
          <w:spacing w:val="-1"/>
          <w:w w:val="100"/>
        </w:rPr>
        <w:t>（</w:t>
      </w:r>
      <w:r>
        <w:rPr>
          <w:rFonts w:ascii="Times New Roman" w:hAnsi="Times New Roman" w:cs="Times New Roman" w:eastAsia="Times New Roman" w:hint="default"/>
          <w:w w:val="100"/>
        </w:rPr>
        <w:t>1</w:t>
      </w:r>
      <w:r>
        <w:rPr>
          <w:spacing w:val="-106"/>
          <w:w w:val="100"/>
        </w:rPr>
        <w:t>）</w:t>
      </w:r>
      <w:r>
        <w:rPr>
          <w:spacing w:val="-3"/>
          <w:w w:val="100"/>
        </w:rPr>
        <w:t>销</w:t>
      </w:r>
      <w:r>
        <w:rPr>
          <w:w w:val="100"/>
        </w:rPr>
        <w:t>售</w:t>
      </w:r>
      <w:r>
        <w:rPr>
          <w:spacing w:val="-3"/>
          <w:w w:val="100"/>
        </w:rPr>
        <w:t>商</w:t>
      </w:r>
      <w:r>
        <w:rPr>
          <w:w w:val="100"/>
        </w:rPr>
        <w:t>品</w:t>
      </w:r>
      <w:r>
        <w:rPr>
          <w:spacing w:val="-108"/>
          <w:w w:val="100"/>
        </w:rPr>
        <w:t>、</w:t>
      </w:r>
      <w:r>
        <w:rPr>
          <w:w w:val="100"/>
        </w:rPr>
        <w:t>提</w:t>
      </w:r>
      <w:r>
        <w:rPr>
          <w:spacing w:val="-3"/>
          <w:w w:val="100"/>
        </w:rPr>
        <w:t>供</w:t>
      </w:r>
      <w:r>
        <w:rPr>
          <w:w w:val="100"/>
        </w:rPr>
        <w:t>劳</w:t>
      </w:r>
      <w:r>
        <w:rPr>
          <w:spacing w:val="-3"/>
          <w:w w:val="100"/>
        </w:rPr>
        <w:t>务收</w:t>
      </w:r>
      <w:r>
        <w:rPr>
          <w:w w:val="100"/>
        </w:rPr>
        <w:t>到的</w:t>
      </w:r>
      <w:r>
        <w:rPr>
          <w:spacing w:val="-3"/>
          <w:w w:val="100"/>
        </w:rPr>
        <w:t>现</w:t>
      </w:r>
      <w:r>
        <w:rPr>
          <w:w w:val="100"/>
        </w:rPr>
        <w:t>金</w:t>
      </w:r>
      <w:r>
        <w:rPr>
          <w:spacing w:val="-3"/>
          <w:w w:val="100"/>
        </w:rPr>
        <w:t>因</w:t>
      </w:r>
      <w:r>
        <w:rPr>
          <w:w w:val="100"/>
        </w:rPr>
        <w:t>营</w:t>
      </w:r>
      <w:r>
        <w:rPr>
          <w:spacing w:val="-3"/>
          <w:w w:val="100"/>
        </w:rPr>
        <w:t>业</w:t>
      </w:r>
      <w:r>
        <w:rPr>
          <w:w w:val="100"/>
        </w:rPr>
        <w:t>收</w:t>
      </w:r>
      <w:r>
        <w:rPr>
          <w:spacing w:val="-3"/>
          <w:w w:val="100"/>
        </w:rPr>
        <w:t>入</w:t>
      </w:r>
      <w:r>
        <w:rPr>
          <w:w w:val="100"/>
        </w:rPr>
        <w:t>增</w:t>
      </w:r>
      <w:r>
        <w:rPr>
          <w:spacing w:val="-3"/>
          <w:w w:val="100"/>
        </w:rPr>
        <w:t>加</w:t>
      </w:r>
      <w:r>
        <w:rPr>
          <w:w w:val="100"/>
        </w:rPr>
        <w:t>以及</w:t>
      </w:r>
      <w:r>
        <w:rPr>
          <w:spacing w:val="-3"/>
          <w:w w:val="100"/>
        </w:rPr>
        <w:t>票</w:t>
      </w:r>
      <w:r>
        <w:rPr>
          <w:w w:val="100"/>
        </w:rPr>
        <w:t>据</w:t>
      </w:r>
      <w:r>
        <w:rPr>
          <w:spacing w:val="-3"/>
          <w:w w:val="100"/>
        </w:rPr>
        <w:t>到</w:t>
      </w:r>
      <w:r>
        <w:rPr>
          <w:w w:val="100"/>
        </w:rPr>
        <w:t>期</w:t>
      </w:r>
      <w:r>
        <w:rPr>
          <w:spacing w:val="-3"/>
          <w:w w:val="100"/>
        </w:rPr>
        <w:t>收</w:t>
      </w:r>
      <w:r>
        <w:rPr>
          <w:w w:val="100"/>
        </w:rPr>
        <w:t>款</w:t>
      </w:r>
      <w:r>
        <w:rPr>
          <w:spacing w:val="-3"/>
          <w:w w:val="100"/>
        </w:rPr>
        <w:t>增</w:t>
      </w:r>
      <w:r>
        <w:rPr>
          <w:w w:val="100"/>
        </w:rPr>
        <w:t>加</w:t>
      </w:r>
      <w:r>
        <w:rPr>
          <w:spacing w:val="-3"/>
          <w:w w:val="100"/>
        </w:rPr>
        <w:t>而</w:t>
      </w:r>
      <w:r>
        <w:rPr>
          <w:w w:val="100"/>
        </w:rPr>
        <w:t>增加</w:t>
      </w:r>
      <w:r>
        <w:rPr>
          <w:spacing w:val="-6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spacing w:val="-7"/>
        </w:rPr>
        <w:t> </w:t>
      </w:r>
      <w:r>
        <w:rPr>
          <w:spacing w:val="-3"/>
          <w:w w:val="100"/>
        </w:rPr>
        <w:t>亿</w:t>
      </w:r>
      <w:r>
        <w:rPr>
          <w:w w:val="100"/>
        </w:rPr>
        <w:t>元；</w:t>
      </w:r>
    </w:p>
    <w:p>
      <w:pPr>
        <w:pStyle w:val="BodyText"/>
        <w:spacing w:line="240" w:lineRule="auto" w:before="69"/>
        <w:ind w:right="0"/>
        <w:jc w:val="left"/>
      </w:pPr>
      <w:r>
        <w:rPr/>
        <w:t>收到其他经营活动有关的现金因政府补助、代收款、租赁收入等增加而增加</w:t>
      </w:r>
      <w:r>
        <w:rPr>
          <w:spacing w:val="-57"/>
        </w:rPr>
        <w:t> </w:t>
      </w:r>
      <w:r>
        <w:rPr>
          <w:rFonts w:ascii="Times New Roman" w:hAnsi="Times New Roman" w:cs="Times New Roman" w:eastAsia="Times New Roman" w:hint="default"/>
        </w:rPr>
        <w:t>1.91</w:t>
      </w:r>
      <w:r>
        <w:rPr>
          <w:rFonts w:ascii="Times New Roman" w:hAnsi="Times New Roman" w:cs="Times New Roman" w:eastAsia="Times New Roman" w:hint="default"/>
          <w:spacing w:val="-2"/>
        </w:rPr>
        <w:t> </w:t>
      </w:r>
      <w:r>
        <w:rPr/>
        <w:t>亿元。</w:t>
      </w:r>
    </w:p>
    <w:p>
      <w:pPr>
        <w:pStyle w:val="BodyText"/>
        <w:spacing w:line="240" w:lineRule="auto" w:before="69"/>
        <w:ind w:left="638" w:right="0"/>
        <w:jc w:val="left"/>
      </w:pPr>
      <w:r>
        <w:rPr/>
        <w:t>（</w:t>
      </w:r>
      <w:r>
        <w:rPr>
          <w:rFonts w:ascii="Times New Roman" w:hAnsi="Times New Roman" w:cs="Times New Roman" w:eastAsia="Times New Roman" w:hint="default"/>
        </w:rPr>
        <w:t>2</w:t>
      </w:r>
      <w:r>
        <w:rPr/>
        <w:t>）购买商品、接受劳务支付的现金因采购支出增加而增加</w:t>
      </w:r>
      <w:r>
        <w:rPr>
          <w:spacing w:val="-57"/>
        </w:rPr>
        <w:t> </w:t>
      </w:r>
      <w:r>
        <w:rPr>
          <w:rFonts w:ascii="Times New Roman" w:hAnsi="Times New Roman" w:cs="Times New Roman" w:eastAsia="Times New Roman" w:hint="default"/>
        </w:rPr>
        <w:t>6.24</w:t>
      </w:r>
      <w:r>
        <w:rPr>
          <w:rFonts w:ascii="Times New Roman" w:hAnsi="Times New Roman" w:cs="Times New Roman" w:eastAsia="Times New Roman" w:hint="default"/>
          <w:spacing w:val="-7"/>
        </w:rPr>
        <w:t> </w:t>
      </w:r>
      <w:r>
        <w:rPr/>
        <w:t>亿元；本期支付职工工资增</w:t>
      </w:r>
    </w:p>
    <w:p>
      <w:pPr>
        <w:pStyle w:val="BodyText"/>
        <w:spacing w:line="284" w:lineRule="exact" w:before="69"/>
        <w:ind w:right="0"/>
        <w:jc w:val="left"/>
      </w:pPr>
      <w:r>
        <w:rPr/>
        <w:t>加</w:t>
      </w:r>
      <w:r>
        <w:rPr>
          <w:spacing w:val="-55"/>
        </w:rPr>
        <w:t> </w:t>
      </w:r>
      <w:r>
        <w:rPr>
          <w:rFonts w:ascii="Times New Roman" w:hAnsi="Times New Roman" w:cs="Times New Roman" w:eastAsia="Times New Roman" w:hint="default"/>
        </w:rPr>
        <w:t>1.87</w:t>
      </w:r>
      <w:r>
        <w:rPr>
          <w:rFonts w:ascii="Times New Roman" w:hAnsi="Times New Roman" w:cs="Times New Roman" w:eastAsia="Times New Roman" w:hint="default"/>
          <w:spacing w:val="-2"/>
        </w:rPr>
        <w:t> </w:t>
      </w:r>
      <w:r>
        <w:rPr/>
        <w:t>亿元；因代付采购款减少等导致支付其他与经营活动有关的现金减少</w:t>
      </w:r>
      <w:r>
        <w:rPr>
          <w:spacing w:val="-57"/>
        </w:rPr>
        <w:t> </w:t>
      </w:r>
      <w:r>
        <w:rPr>
          <w:rFonts w:ascii="Times New Roman" w:hAnsi="Times New Roman" w:cs="Times New Roman" w:eastAsia="Times New Roman" w:hint="default"/>
        </w:rPr>
        <w:t>2.30</w:t>
      </w:r>
      <w:r>
        <w:rPr>
          <w:rFonts w:ascii="Times New Roman" w:hAnsi="Times New Roman" w:cs="Times New Roman" w:eastAsia="Times New Roman" w:hint="default"/>
          <w:spacing w:val="-2"/>
        </w:rPr>
        <w:t> </w:t>
      </w:r>
      <w:r>
        <w:rPr/>
        <w:t>亿元。</w:t>
      </w:r>
    </w:p>
    <w:p>
      <w:pPr>
        <w:pStyle w:val="Heading3"/>
        <w:spacing w:line="307"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5"/>
        <w:spacing w:line="272" w:lineRule="exact" w:before="86"/>
        <w:ind w:left="638" w:right="20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同时按照国际会计准则与按中国会计准则披露的财务报告中净利润和归属于上市公司股东的净</w:t>
      </w:r>
      <w:r>
        <w:rPr>
          <w:w w:val="100"/>
        </w:rPr>
        <w:t> </w:t>
      </w:r>
      <w:r>
        <w:rPr/>
        <w:t>资产差异情况</w:t>
      </w:r>
      <w:r>
        <w:rPr>
          <w:b w:val="0"/>
          <w:bCs w:val="0"/>
        </w:rPr>
      </w:r>
    </w:p>
    <w:p>
      <w:pPr>
        <w:pStyle w:val="Heading3"/>
        <w:spacing w:line="240" w:lineRule="auto" w:before="2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74" w:lineRule="exact" w:before="88"/>
        <w:ind w:left="638" w:right="200"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同时按照境外会计准则与按中国会计准则披露的财务报告中净利润和归属于上市公司股东的净</w:t>
      </w:r>
      <w:r>
        <w:rPr>
          <w:w w:val="100"/>
        </w:rPr>
        <w:t> </w:t>
      </w:r>
      <w:r>
        <w:rPr/>
        <w:t>资产差异情况</w:t>
      </w:r>
      <w:r>
        <w:rPr>
          <w:b w:val="0"/>
          <w:bCs w:val="0"/>
        </w:rPr>
      </w:r>
    </w:p>
    <w:p>
      <w:pPr>
        <w:pStyle w:val="Heading3"/>
        <w:spacing w:line="240" w:lineRule="auto"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4"/>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Heading3"/>
        <w:spacing w:line="312" w:lineRule="exact"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1"/>
        <w:ind w:left="0" w:right="10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34"/>
        <w:gridCol w:w="1702"/>
        <w:gridCol w:w="1844"/>
        <w:gridCol w:w="1728"/>
        <w:gridCol w:w="1685"/>
      </w:tblGrid>
      <w:tr>
        <w:trPr>
          <w:trHeight w:val="65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44"/>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44"/>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44"/>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1"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44"/>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329"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3,139,039,296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2,860,742,684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2,943,373,794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3,220,925,199</w:t>
            </w:r>
          </w:p>
        </w:tc>
      </w:tr>
      <w:tr>
        <w:trPr>
          <w:trHeight w:val="65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4"/>
              <w:ind w:left="103" w:right="10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978,338,636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1,029,682,583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937,066,077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845,056,022</w:t>
            </w:r>
          </w:p>
        </w:tc>
      </w:tr>
      <w:tr>
        <w:trPr>
          <w:trHeight w:val="97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4"/>
              <w:ind w:left="103" w:right="100"/>
              <w:jc w:val="both"/>
              <w:rPr>
                <w:rFonts w:ascii="宋体" w:hAnsi="宋体" w:cs="宋体" w:eastAsia="宋体" w:hint="default"/>
                <w:sz w:val="21"/>
                <w:szCs w:val="21"/>
              </w:rPr>
            </w:pPr>
            <w:r>
              <w:rPr>
                <w:rFonts w:ascii="宋体" w:hAnsi="宋体" w:cs="宋体" w:eastAsia="宋体" w:hint="default"/>
                <w:spacing w:val="12"/>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2"/>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926,324,260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1,011,286,103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915,128,282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814,054,980</w:t>
            </w:r>
          </w:p>
        </w:tc>
      </w:tr>
      <w:tr>
        <w:trPr>
          <w:trHeight w:val="65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4"/>
              <w:ind w:left="103" w:right="10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流量净额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765,721,837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201,334,787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625,866,877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1,373,066,269</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4" w:top="1120" w:bottom="1160" w:left="1200" w:right="1200"/>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74" w:lineRule="exact" w:before="49"/>
        <w:ind w:right="0"/>
        <w:jc w:val="left"/>
      </w:pPr>
      <w:r>
        <w:rPr>
          <w:spacing w:val="-2"/>
        </w:rPr>
        <w:t>季度数据与已披露定期报告数据差异说明</w:t>
      </w:r>
    </w:p>
    <w:p>
      <w:pPr>
        <w:pStyle w:val="BodyText"/>
        <w:spacing w:line="270"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t>十、</w:t>
      </w:r>
      <w:r>
        <w:rPr>
          <w:spacing w:val="39"/>
        </w:rPr>
        <w:t> </w:t>
      </w:r>
      <w:r>
        <w:rPr>
          <w:rFonts w:ascii="宋体" w:hAnsi="宋体" w:cs="宋体" w:eastAsia="宋体" w:hint="default"/>
          <w:spacing w:val="39"/>
        </w:rPr>
      </w:r>
      <w:r>
        <w:rPr/>
        <w:t>非经常性损益项目和金额</w:t>
      </w:r>
      <w:r>
        <w:rPr>
          <w:b w:val="0"/>
          <w:bCs w:val="0"/>
        </w:rPr>
      </w:r>
    </w:p>
    <w:p>
      <w:pPr>
        <w:pStyle w:val="BodyText"/>
        <w:spacing w:line="240" w:lineRule="auto" w:before="5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4005" w:space="2966"/>
            <w:col w:w="253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53"/>
        <w:gridCol w:w="1558"/>
        <w:gridCol w:w="994"/>
        <w:gridCol w:w="1561"/>
        <w:gridCol w:w="1483"/>
      </w:tblGrid>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98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75" w:right="101" w:hanging="72"/>
              <w:jc w:val="left"/>
              <w:rPr>
                <w:rFonts w:ascii="宋体" w:hAnsi="宋体" w:cs="宋体" w:eastAsia="宋体" w:hint="default"/>
                <w:sz w:val="21"/>
                <w:szCs w:val="21"/>
              </w:rPr>
            </w:pPr>
            <w:r>
              <w:rPr>
                <w:rFonts w:ascii="宋体" w:hAnsi="宋体" w:cs="宋体" w:eastAsia="宋体" w:hint="default"/>
                <w:spacing w:val="-17"/>
                <w:sz w:val="21"/>
                <w:szCs w:val="21"/>
              </w:rPr>
              <w:t>附注（如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适用）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r>
      <w:tr>
        <w:trPr>
          <w:trHeight w:val="3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3,453,170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40,545,867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29,758,720</w:t>
            </w:r>
          </w:p>
        </w:tc>
      </w:tr>
      <w:tr>
        <w:trPr>
          <w:trHeight w:val="11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173"/>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正常经营业务密切相关，符合国家政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续享受的政府补助除外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125,271,980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38,205,354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59,527,465</w:t>
            </w:r>
          </w:p>
        </w:tc>
      </w:tr>
      <w:tr>
        <w:trPr>
          <w:trHeight w:val="33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6,665,636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653"/>
        <w:gridCol w:w="1558"/>
        <w:gridCol w:w="994"/>
        <w:gridCol w:w="1561"/>
        <w:gridCol w:w="1483"/>
      </w:tblGrid>
      <w:tr>
        <w:trPr>
          <w:trHeight w:val="141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期保值业务外，持有交易性金融资产、</w:t>
            </w:r>
          </w:p>
          <w:p>
            <w:pPr>
              <w:pStyle w:val="TableParagraph"/>
              <w:spacing w:line="237" w:lineRule="auto"/>
              <w:ind w:left="103" w:right="173"/>
              <w:jc w:val="both"/>
              <w:rPr>
                <w:rFonts w:ascii="宋体" w:hAnsi="宋体" w:cs="宋体" w:eastAsia="宋体" w:hint="default"/>
                <w:sz w:val="21"/>
                <w:szCs w:val="21"/>
              </w:rPr>
            </w:pPr>
            <w:r>
              <w:rPr>
                <w:rFonts w:ascii="宋体" w:hAnsi="宋体" w:cs="宋体" w:eastAsia="宋体" w:hint="default"/>
                <w:spacing w:val="-2"/>
                <w:sz w:val="21"/>
                <w:szCs w:val="21"/>
              </w:rPr>
              <w:t>交易性金融负债产生的公允价值变动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损益，以及处置交易性金融资产、交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易性金融负债和可供出售金融资产取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得的投资收益</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226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3"/>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r>
              <w:rPr>
                <w:rFonts w:ascii="宋体" w:hAnsi="宋体" w:cs="宋体" w:eastAsia="宋体" w:hint="default"/>
                <w:w w:val="100"/>
                <w:sz w:val="21"/>
                <w:szCs w:val="21"/>
              </w:rPr>
              <w:t> </w:t>
            </w:r>
            <w:r>
              <w:rPr>
                <w:rFonts w:ascii="宋体" w:hAnsi="宋体" w:cs="宋体" w:eastAsia="宋体" w:hint="default"/>
                <w:spacing w:val="-4"/>
                <w:sz w:val="21"/>
                <w:szCs w:val="21"/>
              </w:rPr>
              <w:t>期保值业务外，持有交易性金融资产、</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衍生金融资产、交易性金融负债、衍</w:t>
            </w:r>
            <w:r>
              <w:rPr>
                <w:rFonts w:ascii="宋体" w:hAnsi="宋体" w:cs="宋体" w:eastAsia="宋体" w:hint="default"/>
                <w:w w:val="100"/>
                <w:sz w:val="21"/>
                <w:szCs w:val="21"/>
              </w:rPr>
              <w:t> </w:t>
            </w:r>
            <w:r>
              <w:rPr>
                <w:rFonts w:ascii="宋体" w:hAnsi="宋体" w:cs="宋体" w:eastAsia="宋体" w:hint="default"/>
                <w:sz w:val="21"/>
                <w:szCs w:val="21"/>
              </w:rPr>
              <w:t>生金融负债产生的公允价值变动损</w:t>
            </w:r>
            <w:r>
              <w:rPr>
                <w:rFonts w:ascii="宋体" w:hAnsi="宋体" w:cs="宋体" w:eastAsia="宋体" w:hint="default"/>
                <w:w w:val="100"/>
                <w:sz w:val="21"/>
                <w:szCs w:val="21"/>
              </w:rPr>
              <w:t> </w:t>
            </w:r>
            <w:r>
              <w:rPr>
                <w:rFonts w:ascii="宋体" w:hAnsi="宋体" w:cs="宋体" w:eastAsia="宋体" w:hint="default"/>
                <w:sz w:val="21"/>
                <w:szCs w:val="21"/>
              </w:rPr>
              <w:t>益，以及处置交易性金融资产、衍生</w:t>
            </w:r>
            <w:r>
              <w:rPr>
                <w:rFonts w:ascii="宋体" w:hAnsi="宋体" w:cs="宋体" w:eastAsia="宋体" w:hint="default"/>
                <w:w w:val="100"/>
                <w:sz w:val="21"/>
                <w:szCs w:val="21"/>
              </w:rPr>
              <w:t> </w:t>
            </w:r>
            <w:r>
              <w:rPr>
                <w:rFonts w:ascii="宋体" w:hAnsi="宋体" w:cs="宋体" w:eastAsia="宋体" w:hint="default"/>
                <w:sz w:val="21"/>
                <w:szCs w:val="21"/>
              </w:rPr>
              <w:t>金融资产、交易性金融负债、衍生金</w:t>
            </w:r>
            <w:r>
              <w:rPr>
                <w:rFonts w:ascii="宋体" w:hAnsi="宋体" w:cs="宋体" w:eastAsia="宋体" w:hint="default"/>
                <w:w w:val="100"/>
                <w:sz w:val="21"/>
                <w:szCs w:val="21"/>
              </w:rPr>
              <w:t> </w:t>
            </w:r>
            <w:r>
              <w:rPr>
                <w:rFonts w:ascii="宋体" w:hAnsi="宋体" w:cs="宋体" w:eastAsia="宋体" w:hint="default"/>
                <w:sz w:val="21"/>
                <w:szCs w:val="21"/>
              </w:rPr>
              <w:t>融负债和其他债权投资取得的投资收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8,996,486</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10,936,703</w:t>
            </w: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173"/>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备转回</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71,180,000</w:t>
            </w:r>
          </w:p>
        </w:tc>
      </w:tr>
      <w:tr>
        <w:trPr>
          <w:trHeight w:val="3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11,500,317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81,758,380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88,259,678</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73"/>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10,377,559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28,438,152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18,418,230</w:t>
            </w:r>
          </w:p>
        </w:tc>
      </w:tr>
      <w:tr>
        <w:trPr>
          <w:trHeight w:val="6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73"/>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17,055,786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16,963,531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-7,149,746</w:t>
            </w:r>
          </w:p>
        </w:tc>
      </w:tr>
      <w:tr>
        <w:trPr>
          <w:trHeight w:val="3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-9,141,781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-13,860,450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-3,083,952</w:t>
            </w:r>
          </w:p>
        </w:tc>
      </w:tr>
      <w:tr>
        <w:trPr>
          <w:trHeight w:val="36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-44,163,824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-54,211,997</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-66,664,996</w:t>
            </w:r>
          </w:p>
        </w:tc>
      </w:tr>
      <w:tr>
        <w:trPr>
          <w:trHeight w:val="36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123,349,693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148,775,540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196,911,035</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4" w:top="1120" w:bottom="1160" w:left="1200" w:right="118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1"/>
        <w:ind w:right="-16"/>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380" w:space="3379"/>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76"/>
        <w:gridCol w:w="1659"/>
        <w:gridCol w:w="1666"/>
        <w:gridCol w:w="1651"/>
        <w:gridCol w:w="1947"/>
      </w:tblGrid>
      <w:tr>
        <w:trPr>
          <w:trHeight w:val="63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0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759" w:right="125" w:hanging="632"/>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63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6"/>
              <w:ind w:left="103" w:right="79"/>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0"/>
                <w:sz w:val="21"/>
                <w:szCs w:val="21"/>
              </w:rPr>
              <w:t>货币</w:t>
            </w:r>
            <w:r>
              <w:rPr>
                <w:rFonts w:ascii="宋体" w:hAnsi="宋体" w:cs="宋体" w:eastAsia="宋体" w:hint="default"/>
                <w:spacing w:val="-90"/>
                <w:sz w:val="21"/>
                <w:szCs w:val="21"/>
              </w:rPr>
              <w:t> </w:t>
            </w:r>
            <w:r>
              <w:rPr>
                <w:rFonts w:ascii="宋体" w:hAnsi="宋体" w:cs="宋体" w:eastAsia="宋体" w:hint="default"/>
                <w:sz w:val="21"/>
                <w:szCs w:val="21"/>
              </w:rPr>
              <w:t>基金</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104,711</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79"/>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0"/>
                <w:sz w:val="21"/>
                <w:szCs w:val="21"/>
              </w:rPr>
              <w:t>理财</w:t>
            </w:r>
            <w:r>
              <w:rPr>
                <w:rFonts w:ascii="宋体" w:hAnsi="宋体" w:cs="宋体" w:eastAsia="宋体" w:hint="default"/>
                <w:spacing w:val="-90"/>
                <w:sz w:val="21"/>
                <w:szCs w:val="21"/>
              </w:rPr>
              <w:t> </w:t>
            </w:r>
            <w:r>
              <w:rPr>
                <w:rFonts w:ascii="宋体" w:hAnsi="宋体" w:cs="宋体" w:eastAsia="宋体" w:hint="default"/>
                <w:sz w:val="21"/>
                <w:szCs w:val="21"/>
              </w:rPr>
              <w:t>产品</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871,000,000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900,997,200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29,997,200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46,627,851</w:t>
            </w:r>
          </w:p>
        </w:tc>
      </w:tr>
      <w:tr>
        <w:trPr>
          <w:trHeight w:val="63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3"/>
              <w:ind w:left="103" w:right="79"/>
              <w:jc w:val="left"/>
              <w:rPr>
                <w:rFonts w:ascii="宋体" w:hAnsi="宋体" w:cs="宋体" w:eastAsia="宋体" w:hint="default"/>
                <w:sz w:val="21"/>
                <w:szCs w:val="21"/>
              </w:rPr>
            </w:pPr>
            <w:r>
              <w:rPr>
                <w:rFonts w:ascii="宋体" w:hAnsi="宋体" w:cs="宋体" w:eastAsia="宋体" w:hint="default"/>
                <w:spacing w:val="17"/>
                <w:sz w:val="21"/>
                <w:szCs w:val="21"/>
              </w:rPr>
              <w:t>交易性金融资产</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pacing w:val="10"/>
                <w:sz w:val="21"/>
                <w:szCs w:val="21"/>
              </w:rPr>
              <w:t>金融</w:t>
            </w:r>
            <w:r>
              <w:rPr>
                <w:rFonts w:ascii="宋体" w:hAnsi="宋体" w:cs="宋体" w:eastAsia="宋体" w:hint="default"/>
                <w:spacing w:val="-90"/>
                <w:sz w:val="21"/>
                <w:szCs w:val="21"/>
              </w:rPr>
              <w:t> </w:t>
            </w:r>
            <w:r>
              <w:rPr>
                <w:rFonts w:ascii="宋体" w:hAnsi="宋体" w:cs="宋体" w:eastAsia="宋体" w:hint="default"/>
                <w:sz w:val="21"/>
                <w:szCs w:val="21"/>
              </w:rPr>
              <w:t>债券</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51,675,953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51,675,953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1,766,303</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77"/>
              <w:jc w:val="left"/>
              <w:rPr>
                <w:rFonts w:ascii="宋体" w:hAnsi="宋体" w:cs="宋体" w:eastAsia="宋体" w:hint="default"/>
                <w:sz w:val="21"/>
                <w:szCs w:val="21"/>
              </w:rPr>
            </w:pPr>
            <w:r>
              <w:rPr>
                <w:rFonts w:ascii="宋体" w:hAnsi="宋体" w:cs="宋体" w:eastAsia="宋体" w:hint="default"/>
                <w:spacing w:val="17"/>
                <w:sz w:val="21"/>
                <w:szCs w:val="21"/>
              </w:rPr>
              <w:t>应收款项融资</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pacing w:val="13"/>
                <w:sz w:val="21"/>
                <w:szCs w:val="21"/>
              </w:rPr>
              <w:t>银行承</w:t>
            </w:r>
            <w:r>
              <w:rPr>
                <w:rFonts w:ascii="宋体" w:hAnsi="宋体" w:cs="宋体" w:eastAsia="宋体" w:hint="default"/>
                <w:spacing w:val="-91"/>
                <w:sz w:val="21"/>
                <w:szCs w:val="21"/>
              </w:rPr>
              <w:t> </w:t>
            </w:r>
            <w:r>
              <w:rPr>
                <w:rFonts w:ascii="宋体" w:hAnsi="宋体" w:cs="宋体" w:eastAsia="宋体" w:hint="default"/>
                <w:sz w:val="21"/>
                <w:szCs w:val="21"/>
              </w:rPr>
              <w:t>兑汇票</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670,396,485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705,149,454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34,752,969</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-4,144,864</w:t>
            </w:r>
          </w:p>
        </w:tc>
      </w:tr>
      <w:tr>
        <w:trPr>
          <w:trHeight w:val="63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3"/>
              <w:ind w:left="103" w:right="77"/>
              <w:jc w:val="left"/>
              <w:rPr>
                <w:rFonts w:ascii="宋体" w:hAnsi="宋体" w:cs="宋体" w:eastAsia="宋体" w:hint="default"/>
                <w:sz w:val="21"/>
                <w:szCs w:val="21"/>
              </w:rPr>
            </w:pPr>
            <w:r>
              <w:rPr>
                <w:rFonts w:ascii="宋体" w:hAnsi="宋体" w:cs="宋体" w:eastAsia="宋体" w:hint="default"/>
                <w:spacing w:val="17"/>
                <w:sz w:val="21"/>
                <w:szCs w:val="21"/>
              </w:rPr>
              <w:t>其他流动资产</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pacing w:val="13"/>
                <w:sz w:val="21"/>
                <w:szCs w:val="21"/>
              </w:rPr>
              <w:t>同业存</w:t>
            </w:r>
            <w:r>
              <w:rPr>
                <w:rFonts w:ascii="宋体" w:hAnsi="宋体" w:cs="宋体" w:eastAsia="宋体" w:hint="default"/>
                <w:spacing w:val="-91"/>
                <w:sz w:val="21"/>
                <w:szCs w:val="21"/>
              </w:rPr>
              <w:t> </w:t>
            </w:r>
            <w:r>
              <w:rPr>
                <w:rFonts w:ascii="宋体" w:hAnsi="宋体" w:cs="宋体" w:eastAsia="宋体" w:hint="default"/>
                <w:sz w:val="21"/>
                <w:szCs w:val="21"/>
              </w:rPr>
              <w:t>单</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2,379,192,650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4,382,429,400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2,003,236,750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33,964,687</w:t>
            </w:r>
          </w:p>
        </w:tc>
      </w:tr>
      <w:tr>
        <w:trPr>
          <w:trHeight w:val="63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103" w:right="0"/>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其他非流动金融资产</w:t>
            </w:r>
            <w:r>
              <w:rPr>
                <w:rFonts w:ascii="Times New Roman" w:hAnsi="Times New Roman" w:cs="Times New Roman" w:eastAsia="Times New Roman" w:hint="default"/>
                <w:spacing w:val="18"/>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金融债券</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135,372,690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465,888,977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382,192,240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14,060,982</w:t>
            </w:r>
          </w:p>
        </w:tc>
      </w:tr>
      <w:tr>
        <w:trPr>
          <w:trHeight w:val="63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6"/>
              <w:ind w:left="103" w:right="0"/>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其他非流动金融资产</w:t>
            </w:r>
            <w:r>
              <w:rPr>
                <w:rFonts w:ascii="Times New Roman" w:hAnsi="Times New Roman" w:cs="Times New Roman" w:eastAsia="Times New Roman" w:hint="default"/>
                <w:spacing w:val="18"/>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72,207,877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72,207,877</w:t>
            </w:r>
          </w:p>
        </w:tc>
        <w:tc>
          <w:tcPr>
            <w:tcW w:w="1651"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11,272,600</w:t>
            </w:r>
          </w:p>
        </w:tc>
      </w:tr>
      <w:tr>
        <w:trPr>
          <w:trHeight w:val="33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 w:right="0"/>
              <w:jc w:val="center"/>
              <w:rPr>
                <w:rFonts w:ascii="Times New Roman" w:hAnsi="Times New Roman" w:cs="Times New Roman" w:eastAsia="Times New Roman" w:hint="default"/>
                <w:sz w:val="21"/>
                <w:szCs w:val="21"/>
              </w:rPr>
            </w:pPr>
            <w:r>
              <w:rPr>
                <w:rFonts w:ascii="宋体" w:hAnsi="宋体" w:cs="宋体" w:eastAsia="宋体" w:hint="default"/>
                <w:spacing w:val="18"/>
                <w:sz w:val="21"/>
                <w:szCs w:val="21"/>
              </w:rPr>
              <w:t>其他非流动金融资产</w:t>
            </w:r>
            <w:r>
              <w:rPr>
                <w:rFonts w:ascii="Times New Roman" w:hAnsi="Times New Roman" w:cs="Times New Roman" w:eastAsia="Times New Roman" w:hint="default"/>
                <w:spacing w:val="18"/>
                <w:sz w:val="21"/>
                <w:szCs w:val="21"/>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61,000,000</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-61,000,000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2,737,479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376"/>
        <w:gridCol w:w="1659"/>
        <w:gridCol w:w="1666"/>
        <w:gridCol w:w="1651"/>
        <w:gridCol w:w="1947"/>
      </w:tblGrid>
      <w:tr>
        <w:trPr>
          <w:trHeight w:val="59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非保本浮动收益理财产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9" w:right="0"/>
              <w:jc w:val="left"/>
              <w:rPr>
                <w:rFonts w:ascii="Times New Roman" w:hAnsi="Times New Roman" w:cs="Times New Roman" w:eastAsia="Times New Roman" w:hint="default"/>
                <w:sz w:val="21"/>
                <w:szCs w:val="21"/>
              </w:rPr>
            </w:pPr>
            <w:r>
              <w:rPr>
                <w:rFonts w:ascii="Times New Roman"/>
                <w:sz w:val="21"/>
              </w:rPr>
              <w:t>4,193,169,702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45" w:right="0"/>
              <w:jc w:val="left"/>
              <w:rPr>
                <w:rFonts w:ascii="Times New Roman" w:hAnsi="Times New Roman" w:cs="Times New Roman" w:eastAsia="Times New Roman" w:hint="default"/>
                <w:sz w:val="21"/>
                <w:szCs w:val="21"/>
              </w:rPr>
            </w:pPr>
            <w:r>
              <w:rPr>
                <w:rFonts w:ascii="Times New Roman"/>
                <w:sz w:val="21"/>
              </w:rPr>
              <w:t>6,578,348,861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1" w:right="0"/>
              <w:jc w:val="left"/>
              <w:rPr>
                <w:rFonts w:ascii="Times New Roman" w:hAnsi="Times New Roman" w:cs="Times New Roman" w:eastAsia="Times New Roman" w:hint="default"/>
                <w:sz w:val="21"/>
                <w:szCs w:val="21"/>
              </w:rPr>
            </w:pPr>
            <w:r>
              <w:rPr>
                <w:rFonts w:ascii="Times New Roman"/>
                <w:sz w:val="21"/>
              </w:rPr>
              <w:t>2,436,855,112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83" w:right="0"/>
              <w:jc w:val="left"/>
              <w:rPr>
                <w:rFonts w:ascii="Times New Roman" w:hAnsi="Times New Roman" w:cs="Times New Roman" w:eastAsia="Times New Roman" w:hint="default"/>
                <w:sz w:val="21"/>
                <w:szCs w:val="21"/>
              </w:rPr>
            </w:pPr>
            <w:r>
              <w:rPr>
                <w:rFonts w:ascii="Times New Roman"/>
                <w:sz w:val="21"/>
              </w:rPr>
              <w:t>106,389,749</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1"/>
        <w:tabs>
          <w:tab w:pos="1259" w:val="left" w:leader="none"/>
        </w:tabs>
        <w:spacing w:line="240" w:lineRule="auto"/>
        <w:ind w:right="18"/>
        <w:jc w:val="center"/>
        <w:rPr>
          <w:b w:val="0"/>
          <w:bCs w:val="0"/>
        </w:rPr>
      </w:pPr>
      <w:bookmarkStart w:name="_TOC_250009" w:id="4"/>
      <w:r>
        <w:rPr>
          <w:w w:val="95"/>
        </w:rPr>
        <w:t>第三节</w:t>
      </w:r>
      <w:r>
        <w:rPr>
          <w:rFonts w:ascii="宋体" w:hAnsi="宋体" w:cs="宋体" w:eastAsia="宋体" w:hint="default"/>
          <w:w w:val="95"/>
        </w:rPr>
        <w:tab/>
      </w:r>
      <w:r>
        <w:rPr/>
        <w:t>公司业务概要</w:t>
      </w:r>
      <w:bookmarkEnd w:id="4"/>
      <w:r>
        <w:rPr>
          <w:b w:val="0"/>
          <w:bCs w:val="0"/>
        </w:rPr>
      </w:r>
    </w:p>
    <w:p>
      <w:pPr>
        <w:spacing w:line="240" w:lineRule="auto" w:before="0"/>
        <w:rPr>
          <w:rFonts w:ascii="黑体" w:hAnsi="黑体" w:cs="黑体" w:eastAsia="黑体" w:hint="default"/>
          <w:b/>
          <w:bCs/>
          <w:sz w:val="28"/>
          <w:szCs w:val="28"/>
        </w:rPr>
      </w:pPr>
    </w:p>
    <w:p>
      <w:pPr>
        <w:pStyle w:val="Heading5"/>
        <w:spacing w:line="240" w:lineRule="auto" w:before="186"/>
        <w:ind w:right="0"/>
        <w:jc w:val="left"/>
        <w:rPr>
          <w:b w:val="0"/>
          <w:bCs w:val="0"/>
        </w:rPr>
      </w:pPr>
      <w:r>
        <w:rPr/>
        <w:t>一、报告期内公司所从事的主要业务、经营模式及行业情况说明</w:t>
      </w:r>
      <w:r>
        <w:rPr>
          <w:b w:val="0"/>
          <w:bCs w:val="0"/>
        </w:rPr>
      </w:r>
    </w:p>
    <w:p>
      <w:pPr>
        <w:pStyle w:val="BodyText"/>
        <w:spacing w:line="314" w:lineRule="auto" w:before="136"/>
        <w:ind w:right="230" w:firstLine="420"/>
        <w:jc w:val="both"/>
        <w:rPr>
          <w:rFonts w:ascii="宋体" w:hAnsi="宋体" w:cs="宋体" w:eastAsia="宋体" w:hint="default"/>
        </w:rPr>
      </w:pPr>
      <w:r>
        <w:rPr/>
        <w:t>青岛港口始建于 </w:t>
      </w:r>
      <w:r>
        <w:rPr>
          <w:rFonts w:ascii="宋体" w:hAnsi="宋体" w:cs="宋体" w:eastAsia="宋体" w:hint="default"/>
        </w:rPr>
        <w:t>1892</w:t>
      </w:r>
      <w:r>
        <w:rPr>
          <w:rFonts w:ascii="宋体" w:hAnsi="宋体" w:cs="宋体" w:eastAsia="宋体" w:hint="default"/>
          <w:spacing w:val="-61"/>
        </w:rPr>
        <w:t> </w:t>
      </w:r>
      <w:r>
        <w:rPr>
          <w:spacing w:val="-4"/>
        </w:rPr>
        <w:t>年，是世界最大的综合性港口之一，西太平洋重要的国际贸易枢纽，位于</w:t>
      </w:r>
      <w:r>
        <w:rPr>
          <w:w w:val="100"/>
        </w:rPr>
        <w:t> </w:t>
      </w:r>
      <w:r>
        <w:rPr>
          <w:spacing w:val="-2"/>
        </w:rPr>
        <w:t>我国沿海的环渤海湾港口群、长江三角洲港口群和日韩港口群的中心地带，为常年不淤不冻的深水</w:t>
      </w:r>
      <w:r>
        <w:rPr>
          <w:spacing w:val="-25"/>
        </w:rPr>
        <w:t> </w:t>
      </w:r>
      <w:r>
        <w:rPr>
          <w:spacing w:val="-25"/>
        </w:rPr>
      </w:r>
      <w:r>
        <w:rPr/>
        <w:t>良港。</w:t>
      </w:r>
      <w:r>
        <w:rPr>
          <w:rFonts w:ascii="宋体" w:hAnsi="宋体" w:cs="宋体" w:eastAsia="宋体" w:hint="default"/>
        </w:rPr>
        <w:t> </w:t>
      </w:r>
    </w:p>
    <w:p>
      <w:pPr>
        <w:pStyle w:val="BodyText"/>
        <w:spacing w:line="312" w:lineRule="auto" w:before="63"/>
        <w:ind w:right="229" w:firstLine="420"/>
        <w:jc w:val="both"/>
        <w:rPr>
          <w:rFonts w:ascii="宋体" w:hAnsi="宋体" w:cs="宋体" w:eastAsia="宋体" w:hint="default"/>
        </w:rPr>
      </w:pPr>
      <w:r>
        <w:rPr/>
        <w:t>公司成立于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3"/>
        </w:rPr>
        <w:t> </w:t>
      </w:r>
      <w:r>
        <w:rPr/>
        <w:t>日，</w:t>
      </w:r>
      <w:r>
        <w:rPr>
          <w:rFonts w:ascii="宋体" w:hAnsi="宋体" w:cs="宋体" w:eastAsia="宋体" w:hint="default"/>
        </w:rPr>
        <w:t>2014</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6</w:t>
      </w:r>
      <w:r>
        <w:rPr>
          <w:rFonts w:ascii="宋体" w:hAnsi="宋体" w:cs="宋体" w:eastAsia="宋体" w:hint="default"/>
          <w:spacing w:val="-56"/>
        </w:rPr>
        <w:t> </w:t>
      </w:r>
      <w:r>
        <w:rPr/>
        <w:t>日在香港联交所主板</w:t>
      </w:r>
      <w:r>
        <w:rPr>
          <w:spacing w:val="-53"/>
        </w:rPr>
        <w:t> </w:t>
      </w:r>
      <w:r>
        <w:rPr>
          <w:rFonts w:ascii="宋体" w:hAnsi="宋体" w:cs="宋体" w:eastAsia="宋体" w:hint="default"/>
        </w:rPr>
        <w:t>H</w:t>
      </w:r>
      <w:r>
        <w:rPr>
          <w:rFonts w:ascii="宋体" w:hAnsi="宋体" w:cs="宋体" w:eastAsia="宋体" w:hint="default"/>
          <w:spacing w:val="-53"/>
        </w:rPr>
        <w:t> </w:t>
      </w:r>
      <w:r>
        <w:rPr/>
        <w:t>股上市，</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21</w:t>
      </w:r>
      <w:r>
        <w:rPr>
          <w:rFonts w:ascii="宋体" w:hAnsi="宋体" w:cs="宋体" w:eastAsia="宋体" w:hint="default"/>
          <w:w w:val="100"/>
        </w:rPr>
        <w:t> </w:t>
      </w:r>
      <w:r>
        <w:rPr/>
        <w:t>日在上海证券交易所主板</w:t>
      </w:r>
      <w:r>
        <w:rPr>
          <w:spacing w:val="-58"/>
        </w:rPr>
        <w:t> </w:t>
      </w:r>
      <w:r>
        <w:rPr>
          <w:rFonts w:ascii="宋体" w:hAnsi="宋体" w:cs="宋体" w:eastAsia="宋体" w:hint="default"/>
        </w:rPr>
        <w:t>A</w:t>
      </w:r>
      <w:r>
        <w:rPr>
          <w:rFonts w:ascii="宋体" w:hAnsi="宋体" w:cs="宋体" w:eastAsia="宋体" w:hint="default"/>
          <w:spacing w:val="-54"/>
        </w:rPr>
        <w:t> </w:t>
      </w:r>
      <w:r>
        <w:rPr/>
        <w:t>股上市。</w:t>
      </w:r>
      <w:r>
        <w:rPr>
          <w:rFonts w:ascii="宋体" w:hAnsi="宋体" w:cs="宋体" w:eastAsia="宋体" w:hint="default"/>
        </w:rPr>
        <w:t> </w:t>
      </w:r>
    </w:p>
    <w:p>
      <w:pPr>
        <w:pStyle w:val="BodyText"/>
        <w:spacing w:line="312" w:lineRule="auto" w:before="63"/>
        <w:ind w:right="268" w:firstLine="420"/>
        <w:jc w:val="both"/>
        <w:rPr>
          <w:rFonts w:ascii="宋体" w:hAnsi="宋体" w:cs="宋体" w:eastAsia="宋体" w:hint="default"/>
        </w:rPr>
      </w:pPr>
      <w:r>
        <w:rPr>
          <w:spacing w:val="-2"/>
        </w:rPr>
        <w:t>公司是青岛港口的主要经营者，运营管理着青岛前湾港区、黄岛油港区、董家口港区和大港港</w:t>
      </w:r>
      <w:r>
        <w:rPr>
          <w:w w:val="100"/>
        </w:rPr>
        <w:t> </w:t>
      </w:r>
      <w:r>
        <w:rPr/>
        <w:t>区四大港区。</w:t>
      </w:r>
      <w:r>
        <w:rPr>
          <w:rFonts w:ascii="宋体" w:hAnsi="宋体" w:cs="宋体" w:eastAsia="宋体" w:hint="default"/>
        </w:rPr>
        <w:t> </w:t>
      </w:r>
    </w:p>
    <w:p>
      <w:pPr>
        <w:spacing w:line="352" w:lineRule="auto" w:before="63"/>
        <w:ind w:left="638" w:right="0" w:firstLine="0"/>
        <w:jc w:val="left"/>
        <w:rPr>
          <w:rFonts w:ascii="宋体" w:hAnsi="宋体" w:cs="宋体" w:eastAsia="宋体" w:hint="default"/>
          <w:sz w:val="21"/>
          <w:szCs w:val="21"/>
        </w:rPr>
      </w:pPr>
      <w:r>
        <w:rPr>
          <w:rFonts w:ascii="宋体" w:hAnsi="宋体" w:cs="宋体" w:eastAsia="宋体" w:hint="default"/>
          <w:b/>
          <w:bCs/>
          <w:sz w:val="21"/>
          <w:szCs w:val="21"/>
        </w:rPr>
        <w:t>（一）主要业务及经营模式</w:t>
      </w:r>
      <w:r>
        <w:rPr>
          <w:rFonts w:ascii="宋体" w:hAnsi="宋体" w:cs="宋体" w:eastAsia="宋体" w:hint="default"/>
          <w:b/>
          <w:bCs/>
          <w:w w:val="99"/>
          <w:sz w:val="21"/>
          <w:szCs w:val="21"/>
        </w:rPr>
        <w:t> </w:t>
      </w:r>
      <w:r>
        <w:rPr>
          <w:rFonts w:ascii="宋体" w:hAnsi="宋体" w:cs="宋体" w:eastAsia="宋体" w:hint="default"/>
          <w:spacing w:val="-2"/>
          <w:sz w:val="21"/>
          <w:szCs w:val="21"/>
        </w:rPr>
        <w:t>公司主要从事集装箱、金属矿石、煤炭、原油等各类货物的装卸和配套服务、物流及港口增值</w:t>
      </w:r>
    </w:p>
    <w:p>
      <w:pPr>
        <w:pStyle w:val="BodyText"/>
        <w:spacing w:line="259" w:lineRule="exact"/>
        <w:ind w:right="0"/>
        <w:jc w:val="left"/>
        <w:rPr>
          <w:rFonts w:ascii="宋体" w:hAnsi="宋体" w:cs="宋体" w:eastAsia="宋体" w:hint="default"/>
        </w:rPr>
      </w:pPr>
      <w:r>
        <w:rPr/>
        <w:t>服务、港口配套服务、金融服务等。</w:t>
      </w:r>
      <w:r>
        <w:rPr>
          <w:rFonts w:ascii="宋体" w:hAnsi="宋体" w:cs="宋体" w:eastAsia="宋体" w:hint="default"/>
        </w:rPr>
        <w:t> </w:t>
      </w:r>
    </w:p>
    <w:p>
      <w:pPr>
        <w:pStyle w:val="BodyText"/>
        <w:tabs>
          <w:tab w:pos="2739" w:val="left" w:leader="none"/>
        </w:tabs>
        <w:spacing w:line="350" w:lineRule="auto" w:before="123"/>
        <w:ind w:left="638" w:right="6468"/>
        <w:jc w:val="left"/>
        <w:rPr>
          <w:rFonts w:ascii="宋体" w:hAnsi="宋体" w:cs="宋体" w:eastAsia="宋体" w:hint="default"/>
        </w:rPr>
      </w:pPr>
      <w:r>
        <w:rPr/>
        <w:t>公司经营模式主要包括：</w:t>
      </w:r>
      <w:r>
        <w:rPr>
          <w:rFonts w:ascii="宋体" w:hAnsi="宋体" w:cs="宋体" w:eastAsia="宋体" w:hint="default"/>
          <w:w w:val="100"/>
        </w:rPr>
        <w:t> </w:t>
      </w:r>
      <w:r>
        <w:rPr>
          <w:rFonts w:ascii="宋体" w:hAnsi="宋体" w:cs="宋体" w:eastAsia="宋体" w:hint="default"/>
        </w:rPr>
        <w:t>1.</w:t>
      </w:r>
      <w:r>
        <w:rPr/>
        <w:t>装卸及相关业务</w:t>
      </w:r>
      <w:r>
        <w:rPr>
          <w:rFonts w:ascii="宋体" w:hAnsi="宋体" w:cs="宋体" w:eastAsia="宋体" w:hint="default"/>
        </w:rPr>
        <w:t> </w:t>
        <w:tab/>
      </w:r>
      <w:r>
        <w:rPr>
          <w:rFonts w:ascii="宋体" w:hAnsi="宋体" w:cs="宋体" w:eastAsia="宋体" w:hint="default"/>
          <w:w w:val="100"/>
        </w:rPr>
        <w:t> </w:t>
      </w:r>
    </w:p>
    <w:p>
      <w:pPr>
        <w:pStyle w:val="BodyText"/>
        <w:spacing w:line="312" w:lineRule="auto" w:before="31"/>
        <w:ind w:right="268" w:firstLine="420"/>
        <w:jc w:val="both"/>
        <w:rPr>
          <w:rFonts w:ascii="宋体" w:hAnsi="宋体" w:cs="宋体" w:eastAsia="宋体" w:hint="default"/>
        </w:rPr>
      </w:pPr>
      <w:r>
        <w:rPr>
          <w:spacing w:val="-2"/>
        </w:rPr>
        <w:t>公司装卸及相关业务主要提供集装箱、油品、金属矿石、煤炭、粮食、钢材、机械设备等货物</w:t>
      </w:r>
      <w:r>
        <w:rPr>
          <w:w w:val="100"/>
        </w:rPr>
        <w:t> </w:t>
      </w:r>
      <w:r>
        <w:rPr/>
        <w:t>的码头装卸、堆存和相关服务。</w:t>
      </w:r>
      <w:r>
        <w:rPr>
          <w:rFonts w:ascii="宋体" w:hAnsi="宋体" w:cs="宋体" w:eastAsia="宋体" w:hint="default"/>
        </w:rPr>
        <w:t> </w:t>
      </w:r>
    </w:p>
    <w:p>
      <w:pPr>
        <w:pStyle w:val="BodyText"/>
        <w:spacing w:line="352" w:lineRule="auto" w:before="60"/>
        <w:ind w:left="638" w:right="0"/>
        <w:jc w:val="left"/>
      </w:pPr>
      <w:r>
        <w:rPr>
          <w:rFonts w:ascii="宋体" w:hAnsi="宋体" w:cs="宋体" w:eastAsia="宋体" w:hint="default"/>
        </w:rPr>
        <w:t>2.</w:t>
      </w:r>
      <w:r>
        <w:rPr/>
        <w:t>物流及港口增值服务业务</w:t>
      </w:r>
      <w:r>
        <w:rPr>
          <w:rFonts w:ascii="宋体" w:hAnsi="宋体" w:cs="宋体" w:eastAsia="宋体" w:hint="default"/>
          <w:w w:val="100"/>
        </w:rPr>
        <w:t> </w:t>
      </w:r>
      <w:r>
        <w:rPr>
          <w:spacing w:val="-6"/>
        </w:rPr>
        <w:t>公司物流及港口增值服务业务主要为客户提供货运代理、船舶代理、场站、仓储、运输、拖轮、</w:t>
      </w:r>
    </w:p>
    <w:p>
      <w:pPr>
        <w:pStyle w:val="BodyText"/>
        <w:spacing w:line="259" w:lineRule="exact"/>
        <w:ind w:right="0"/>
        <w:jc w:val="left"/>
        <w:rPr>
          <w:rFonts w:ascii="宋体" w:hAnsi="宋体" w:cs="宋体" w:eastAsia="宋体" w:hint="default"/>
        </w:rPr>
      </w:pPr>
      <w:r>
        <w:rPr/>
        <w:t>理货等服务。</w:t>
      </w:r>
      <w:r>
        <w:rPr>
          <w:rFonts w:ascii="宋体" w:hAnsi="宋体" w:cs="宋体" w:eastAsia="宋体" w:hint="default"/>
        </w:rPr>
        <w:t> </w:t>
      </w:r>
    </w:p>
    <w:p>
      <w:pPr>
        <w:pStyle w:val="BodyText"/>
        <w:spacing w:line="350" w:lineRule="auto" w:before="126"/>
        <w:ind w:left="638" w:right="226"/>
        <w:jc w:val="left"/>
        <w:rPr>
          <w:rFonts w:ascii="宋体" w:hAnsi="宋体" w:cs="宋体" w:eastAsia="宋体" w:hint="default"/>
        </w:rPr>
      </w:pPr>
      <w:r>
        <w:rPr>
          <w:rFonts w:ascii="宋体" w:hAnsi="宋体" w:cs="宋体" w:eastAsia="宋体" w:hint="default"/>
        </w:rPr>
        <w:t>3.</w:t>
      </w:r>
      <w:r>
        <w:rPr/>
        <w:t>港口配套服务</w:t>
      </w:r>
      <w:r>
        <w:rPr>
          <w:rFonts w:ascii="宋体" w:hAnsi="宋体" w:cs="宋体" w:eastAsia="宋体" w:hint="default"/>
          <w:w w:val="100"/>
        </w:rPr>
        <w:t> </w:t>
      </w:r>
      <w:r>
        <w:rPr/>
        <w:t>公司港口配套服务业务主要提供港口设施建设、港机制造、港区供电、供油等服务。</w:t>
      </w:r>
      <w:r>
        <w:rPr>
          <w:rFonts w:ascii="宋体" w:hAnsi="宋体" w:cs="宋体" w:eastAsia="宋体" w:hint="default"/>
          <w:w w:val="100"/>
        </w:rPr>
        <w:t> </w:t>
      </w:r>
      <w:r>
        <w:rPr>
          <w:rFonts w:ascii="宋体" w:hAnsi="宋体" w:cs="宋体" w:eastAsia="宋体" w:hint="default"/>
        </w:rPr>
        <w:t>4.</w:t>
      </w:r>
      <w:r>
        <w:rPr/>
        <w:t>金融服务</w:t>
      </w:r>
      <w:r>
        <w:rPr>
          <w:rFonts w:ascii="宋体" w:hAnsi="宋体" w:cs="宋体" w:eastAsia="宋体" w:hint="default"/>
          <w:w w:val="100"/>
        </w:rPr>
        <w:t> </w:t>
      </w:r>
      <w:r>
        <w:rPr/>
        <w:t>公司金融服务业务主要通过青港财务公司为成员单位提供存款、贷款、中间业务等服务。</w:t>
      </w:r>
      <w:r>
        <w:rPr>
          <w:rFonts w:ascii="宋体" w:hAnsi="宋体" w:cs="宋体" w:eastAsia="宋体" w:hint="default"/>
        </w:rPr>
        <w:t> </w:t>
      </w:r>
    </w:p>
    <w:p>
      <w:pPr>
        <w:spacing w:line="352" w:lineRule="auto" w:before="27"/>
        <w:ind w:left="638" w:right="0" w:firstLine="0"/>
        <w:jc w:val="left"/>
        <w:rPr>
          <w:rFonts w:ascii="宋体" w:hAnsi="宋体" w:cs="宋体" w:eastAsia="宋体" w:hint="default"/>
          <w:sz w:val="21"/>
          <w:szCs w:val="21"/>
        </w:rPr>
      </w:pPr>
      <w:r>
        <w:rPr>
          <w:rFonts w:ascii="宋体" w:hAnsi="宋体" w:cs="宋体" w:eastAsia="宋体" w:hint="default"/>
          <w:b/>
          <w:bCs/>
          <w:sz w:val="21"/>
          <w:szCs w:val="21"/>
        </w:rPr>
        <w:t>（二）行业情况说明</w:t>
      </w:r>
      <w:r>
        <w:rPr>
          <w:rFonts w:ascii="宋体" w:hAnsi="宋体" w:cs="宋体" w:eastAsia="宋体" w:hint="default"/>
          <w:b/>
          <w:bCs/>
          <w:sz w:val="21"/>
          <w:szCs w:val="21"/>
        </w:rPr>
        <w:t>/</w:t>
      </w:r>
      <w:r>
        <w:rPr>
          <w:rFonts w:ascii="宋体" w:hAnsi="宋体" w:cs="宋体" w:eastAsia="宋体" w:hint="default"/>
          <w:b/>
          <w:bCs/>
          <w:sz w:val="21"/>
          <w:szCs w:val="21"/>
        </w:rPr>
        <w:t>行业的发展阶段、周期性特点以及公司所处的行业地位</w:t>
      </w:r>
      <w:r>
        <w:rPr>
          <w:rFonts w:ascii="宋体" w:hAnsi="宋体" w:cs="宋体" w:eastAsia="宋体" w:hint="default"/>
          <w:b/>
          <w:bCs/>
          <w:w w:val="99"/>
          <w:sz w:val="21"/>
          <w:szCs w:val="21"/>
        </w:rPr>
        <w:t> </w:t>
      </w:r>
      <w:r>
        <w:rPr>
          <w:rFonts w:ascii="宋体" w:hAnsi="宋体" w:cs="宋体" w:eastAsia="宋体" w:hint="default"/>
          <w:spacing w:val="-2"/>
          <w:sz w:val="21"/>
          <w:szCs w:val="21"/>
        </w:rPr>
        <w:t>港口行业是国民经济和社会发展的重要基础行业，港口行业的发展水平与世界经济、国内经济</w:t>
      </w:r>
    </w:p>
    <w:p>
      <w:pPr>
        <w:pStyle w:val="BodyText"/>
        <w:spacing w:line="259" w:lineRule="exact"/>
        <w:ind w:right="0"/>
        <w:jc w:val="left"/>
        <w:rPr>
          <w:rFonts w:ascii="宋体" w:hAnsi="宋体" w:cs="宋体" w:eastAsia="宋体" w:hint="default"/>
        </w:rPr>
      </w:pPr>
      <w:r>
        <w:rPr/>
        <w:t>发展，特别是国际、国内贸易发展密切相关。</w:t>
      </w:r>
      <w:r>
        <w:rPr>
          <w:rFonts w:ascii="宋体" w:hAnsi="宋体" w:cs="宋体" w:eastAsia="宋体" w:hint="default"/>
        </w:rPr>
        <w:t> </w:t>
      </w:r>
    </w:p>
    <w:p>
      <w:pPr>
        <w:spacing w:after="0" w:line="259" w:lineRule="exact"/>
        <w:jc w:val="left"/>
        <w:rPr>
          <w:rFonts w:ascii="宋体" w:hAnsi="宋体" w:cs="宋体" w:eastAsia="宋体" w:hint="default"/>
        </w:rPr>
        <w:sectPr>
          <w:pgSz w:w="11910" w:h="16840"/>
          <w:pgMar w:header="880" w:footer="974" w:top="1120" w:bottom="1160" w:left="1200" w:right="11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4" w:lineRule="auto" w:before="36"/>
        <w:ind w:left="138" w:right="210" w:firstLine="420"/>
        <w:jc w:val="both"/>
      </w:pPr>
      <w:r>
        <w:rPr>
          <w:rFonts w:ascii="宋体" w:hAnsi="宋体" w:cs="宋体" w:eastAsia="宋体" w:hint="default"/>
        </w:rPr>
        <w:t>2019</w:t>
      </w:r>
      <w:r>
        <w:rPr>
          <w:rFonts w:ascii="宋体" w:hAnsi="宋体" w:cs="宋体" w:eastAsia="宋体" w:hint="default"/>
          <w:spacing w:val="-11"/>
        </w:rPr>
        <w:t> </w:t>
      </w:r>
      <w:r>
        <w:rPr>
          <w:spacing w:val="-2"/>
        </w:rPr>
        <w:t>年，中美贸易摩擦给世界经济发展带来诸多不确定性，全球贸易增速放缓；中国积极应对</w:t>
      </w:r>
      <w:r>
        <w:rPr>
          <w:w w:val="100"/>
        </w:rPr>
        <w:t> </w:t>
      </w:r>
      <w:r>
        <w:rPr>
          <w:spacing w:val="-2"/>
        </w:rPr>
        <w:t>外部环境变化，实施“六稳”政策，经济发展呈现总体平稳、稳中有进的态势，全年国内生产总值</w:t>
      </w:r>
    </w:p>
    <w:p>
      <w:pPr>
        <w:pStyle w:val="BodyText"/>
        <w:spacing w:line="350" w:lineRule="auto" w:before="17"/>
        <w:ind w:left="558" w:right="0" w:hanging="420"/>
        <w:jc w:val="left"/>
      </w:pPr>
      <w:r>
        <w:rPr>
          <w:spacing w:val="-8"/>
        </w:rPr>
        <w:t>（</w:t>
      </w:r>
      <w:r>
        <w:rPr>
          <w:rFonts w:ascii="宋体" w:hAnsi="宋体" w:cs="宋体" w:eastAsia="宋体" w:hint="default"/>
          <w:spacing w:val="-8"/>
        </w:rPr>
        <w:t>GDP</w:t>
      </w:r>
      <w:r>
        <w:rPr>
          <w:spacing w:val="-8"/>
        </w:rPr>
        <w:t>）较同期增长</w:t>
      </w:r>
      <w:r>
        <w:rPr>
          <w:spacing w:val="-35"/>
        </w:rPr>
        <w:t> </w:t>
      </w:r>
      <w:r>
        <w:rPr>
          <w:rFonts w:ascii="宋体" w:hAnsi="宋体" w:cs="宋体" w:eastAsia="宋体" w:hint="default"/>
          <w:spacing w:val="-7"/>
        </w:rPr>
        <w:t>6.1%</w:t>
      </w:r>
      <w:r>
        <w:rPr>
          <w:spacing w:val="-7"/>
        </w:rPr>
        <w:t>。对外贸易逆势增长，货物进出口总额同比增长</w:t>
      </w:r>
      <w:r>
        <w:rPr>
          <w:spacing w:val="-35"/>
        </w:rPr>
        <w:t> </w:t>
      </w:r>
      <w:r>
        <w:rPr>
          <w:rFonts w:ascii="宋体" w:hAnsi="宋体" w:cs="宋体" w:eastAsia="宋体" w:hint="default"/>
          <w:spacing w:val="-15"/>
        </w:rPr>
        <w:t>3.4%</w:t>
      </w:r>
      <w:r>
        <w:rPr>
          <w:spacing w:val="-15"/>
        </w:rPr>
        <w:t>（来源：国家统计局）。</w:t>
      </w:r>
      <w:r>
        <w:rPr>
          <w:spacing w:val="-58"/>
        </w:rPr>
        <w:t> </w:t>
      </w:r>
      <w:r>
        <w:rPr>
          <w:rFonts w:ascii="宋体" w:hAnsi="宋体" w:cs="宋体" w:eastAsia="宋体" w:hint="default"/>
          <w:spacing w:val="-58"/>
        </w:rPr>
      </w:r>
      <w:r>
        <w:rPr>
          <w:rFonts w:ascii="宋体" w:hAnsi="宋体" w:cs="宋体" w:eastAsia="宋体" w:hint="default"/>
        </w:rPr>
        <w:t>2019</w:t>
      </w:r>
      <w:r>
        <w:rPr>
          <w:rFonts w:ascii="宋体" w:hAnsi="宋体" w:cs="宋体" w:eastAsia="宋体" w:hint="default"/>
          <w:spacing w:val="-60"/>
        </w:rPr>
        <w:t> </w:t>
      </w:r>
      <w:r>
        <w:rPr/>
        <w:t>年，全国沿海港口货物吞吐量较同期增长</w:t>
      </w:r>
      <w:r>
        <w:rPr>
          <w:spacing w:val="-58"/>
        </w:rPr>
        <w:t> </w:t>
      </w:r>
      <w:r>
        <w:rPr>
          <w:rFonts w:ascii="宋体" w:hAnsi="宋体" w:cs="宋体" w:eastAsia="宋体" w:hint="default"/>
        </w:rPr>
        <w:t>4.3%</w:t>
      </w:r>
      <w:r>
        <w:rPr/>
        <w:t>，其中集装箱吞吐量较同期增长</w:t>
      </w:r>
      <w:r>
        <w:rPr>
          <w:spacing w:val="-58"/>
        </w:rPr>
        <w:t> </w:t>
      </w:r>
      <w:r>
        <w:rPr>
          <w:rFonts w:ascii="宋体" w:hAnsi="宋体" w:cs="宋体" w:eastAsia="宋体" w:hint="default"/>
        </w:rPr>
        <w:t>3.9%</w:t>
      </w:r>
      <w:r>
        <w:rPr/>
        <w:t>，中</w:t>
      </w:r>
    </w:p>
    <w:p>
      <w:pPr>
        <w:pStyle w:val="BodyText"/>
        <w:spacing w:line="261" w:lineRule="exact"/>
        <w:ind w:left="138" w:right="0"/>
        <w:jc w:val="both"/>
        <w:rPr>
          <w:rFonts w:ascii="宋体" w:hAnsi="宋体" w:cs="宋体" w:eastAsia="宋体" w:hint="default"/>
        </w:rPr>
      </w:pPr>
      <w:r>
        <w:rPr/>
        <w:t>国港口行业持续保持总体向好的发展势头（来源：中国交通运输部）。</w:t>
      </w:r>
      <w:r>
        <w:rPr>
          <w:rFonts w:ascii="宋体" w:hAnsi="宋体" w:cs="宋体" w:eastAsia="宋体" w:hint="default"/>
        </w:rPr>
        <w:t> </w:t>
      </w:r>
    </w:p>
    <w:p>
      <w:pPr>
        <w:pStyle w:val="BodyText"/>
        <w:spacing w:line="312" w:lineRule="auto" w:before="128"/>
        <w:ind w:left="138"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1"/>
        </w:rPr>
        <w:t> </w:t>
      </w:r>
      <w:r>
        <w:rPr>
          <w:spacing w:val="-2"/>
        </w:rPr>
        <w:t>年，青岛港口货物吞吐量继续位居全国沿海港口第五位，集装箱吞吐量继续位居全国沿海</w:t>
      </w:r>
      <w:r>
        <w:rPr>
          <w:w w:val="100"/>
        </w:rPr>
        <w:t> </w:t>
      </w:r>
      <w:r>
        <w:rPr/>
        <w:t>港口第五位，外贸吞吐量位居全国沿海港口第二位、我国北方港口第一位。</w:t>
      </w:r>
      <w:r>
        <w:rPr>
          <w:rFonts w:ascii="宋体" w:hAnsi="宋体" w:cs="宋体" w:eastAsia="宋体" w:hint="default"/>
        </w:rPr>
        <w:t> </w:t>
      </w:r>
    </w:p>
    <w:p>
      <w:pPr>
        <w:pStyle w:val="Heading5"/>
        <w:spacing w:line="290" w:lineRule="auto" w:before="0"/>
        <w:ind w:left="138" w:right="0" w:firstLine="42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79"/>
        <w:ind w:left="138" w:right="209" w:firstLine="420"/>
        <w:jc w:val="both"/>
        <w:rPr>
          <w:rFonts w:ascii="宋体" w:hAnsi="宋体" w:cs="宋体" w:eastAsia="宋体" w:hint="default"/>
        </w:rPr>
      </w:pPr>
      <w:r>
        <w:rPr>
          <w:spacing w:val="-15"/>
          <w:w w:val="100"/>
        </w:rPr>
        <w:t>具体内容请详见本报告第四节“经营情况讨论与分析”中“二、报告期内主要经营情况”的“（三）</w:t>
      </w:r>
      <w:r>
        <w:rPr>
          <w:w w:val="100"/>
        </w:rPr>
        <w:t> </w:t>
      </w:r>
      <w:r>
        <w:rPr/>
        <w:t>资产、负债情况分析”中的资产及负债情况。</w:t>
      </w:r>
      <w:r>
        <w:rPr>
          <w:rFonts w:ascii="宋体" w:hAnsi="宋体" w:cs="宋体" w:eastAsia="宋体" w:hint="default"/>
        </w:rPr>
        <w:t> </w:t>
      </w:r>
    </w:p>
    <w:p>
      <w:pPr>
        <w:pStyle w:val="BodyText"/>
        <w:spacing w:line="314" w:lineRule="auto" w:before="20"/>
        <w:ind w:left="138" w:right="209" w:firstLine="420"/>
        <w:jc w:val="both"/>
        <w:rPr>
          <w:rFonts w:ascii="宋体" w:hAnsi="宋体" w:cs="宋体" w:eastAsia="宋体" w:hint="default"/>
        </w:rPr>
      </w:pPr>
      <w:r>
        <w:rPr>
          <w:spacing w:val="-3"/>
        </w:rPr>
        <w:t>其中：境外资产 </w:t>
      </w:r>
      <w:r>
        <w:rPr>
          <w:rFonts w:ascii="宋体" w:hAnsi="宋体" w:cs="宋体" w:eastAsia="宋体" w:hint="default"/>
          <w:spacing w:val="-3"/>
        </w:rPr>
        <w:t>28,890.50</w:t>
      </w:r>
      <w:r>
        <w:rPr>
          <w:spacing w:val="-3"/>
        </w:rPr>
        <w:t>（单位：万元 </w:t>
      </w:r>
      <w:r>
        <w:rPr>
          <w:rFonts w:ascii="宋体" w:hAnsi="宋体" w:cs="宋体" w:eastAsia="宋体" w:hint="default"/>
          <w:spacing w:val="-3"/>
        </w:rPr>
      </w:r>
      <w:r>
        <w:rPr>
          <w:spacing w:val="-4"/>
        </w:rPr>
        <w:t>币种：人民币），占总资产的比例为</w:t>
      </w:r>
      <w:r>
        <w:rPr>
          <w:spacing w:val="-20"/>
        </w:rPr>
        <w:t> </w:t>
      </w:r>
      <w:r>
        <w:rPr>
          <w:rFonts w:ascii="宋体" w:hAnsi="宋体" w:cs="宋体" w:eastAsia="宋体" w:hint="default"/>
          <w:spacing w:val="-3"/>
        </w:rPr>
        <w:t>0.55%</w:t>
      </w:r>
      <w:r>
        <w:rPr>
          <w:spacing w:val="-3"/>
        </w:rPr>
        <w:t>。公司的</w:t>
      </w:r>
      <w:r>
        <w:rPr>
          <w:w w:val="100"/>
        </w:rPr>
        <w:t> </w:t>
      </w:r>
      <w:r>
        <w:rPr/>
        <w:t>境外资产主要是存放在境外的货币资金以及对境外的股权投资。</w:t>
      </w:r>
      <w:r>
        <w:rPr>
          <w:rFonts w:ascii="宋体" w:hAnsi="宋体" w:cs="宋体" w:eastAsia="宋体" w:hint="default"/>
        </w:rPr>
        <w:t> </w:t>
      </w:r>
    </w:p>
    <w:p>
      <w:pPr>
        <w:pStyle w:val="Heading5"/>
        <w:spacing w:line="240" w:lineRule="auto" w:before="3"/>
        <w:ind w:left="138"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78"/>
        <w:ind w:left="138" w:right="248" w:firstLine="420"/>
        <w:jc w:val="both"/>
        <w:rPr>
          <w:rFonts w:ascii="宋体" w:hAnsi="宋体" w:cs="宋体" w:eastAsia="宋体" w:hint="default"/>
        </w:rPr>
      </w:pPr>
      <w:r>
        <w:rPr>
          <w:spacing w:val="-2"/>
        </w:rPr>
        <w:t>青岛港口是世界第六大港，西太平洋重要的国际贸易枢纽，我国北方最大的外贸口岸。公司依</w:t>
      </w:r>
      <w:r>
        <w:rPr>
          <w:w w:val="100"/>
        </w:rPr>
        <w:t> </w:t>
      </w:r>
      <w:r>
        <w:rPr>
          <w:spacing w:val="-2"/>
        </w:rPr>
        <w:t>托青岛港口优越的战略位置、领先的码头设施、发达的集疏运网络、一流的服务和效率、良好的外</w:t>
      </w:r>
      <w:r>
        <w:rPr>
          <w:spacing w:val="-25"/>
        </w:rPr>
        <w:t> </w:t>
      </w:r>
      <w:r>
        <w:rPr>
          <w:spacing w:val="-25"/>
        </w:rPr>
      </w:r>
      <w:r>
        <w:rPr/>
        <w:t>部环境、高效的经营管理，创新引领、转型升级，持续增强核心竞争力。</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hAnsi="宋体" w:cs="宋体" w:eastAsia="宋体" w:hint="default"/>
        </w:rPr>
        <w:t>(1)</w:t>
      </w:r>
      <w:r>
        <w:rPr/>
        <w:t>优越的战略位置</w:t>
      </w:r>
      <w:r>
        <w:rPr>
          <w:rFonts w:ascii="宋体" w:hAnsi="宋体" w:cs="宋体" w:eastAsia="宋体" w:hint="default"/>
        </w:rPr>
        <w:t> </w:t>
      </w:r>
    </w:p>
    <w:p>
      <w:pPr>
        <w:pStyle w:val="BodyText"/>
        <w:spacing w:line="314" w:lineRule="auto" w:before="85"/>
        <w:ind w:left="138" w:right="210" w:firstLine="420"/>
        <w:jc w:val="both"/>
        <w:rPr>
          <w:rFonts w:ascii="宋体" w:hAnsi="宋体" w:cs="宋体" w:eastAsia="宋体" w:hint="default"/>
        </w:rPr>
      </w:pPr>
      <w:r>
        <w:rPr/>
        <w:t>青岛港口位于北纬 </w:t>
      </w:r>
      <w:r>
        <w:rPr>
          <w:rFonts w:ascii="宋体" w:hAnsi="宋体" w:cs="宋体" w:eastAsia="宋体" w:hint="default"/>
        </w:rPr>
        <w:t>36</w:t>
      </w:r>
      <w:r>
        <w:rPr>
          <w:rFonts w:ascii="宋体" w:hAnsi="宋体" w:cs="宋体" w:eastAsia="宋体" w:hint="default"/>
          <w:spacing w:val="-61"/>
        </w:rPr>
        <w:t> </w:t>
      </w:r>
      <w:r>
        <w:rPr>
          <w:spacing w:val="-4"/>
        </w:rPr>
        <w:t>度黄金纬度线，是天然深水良港。占据环渤海地区港口群、长江三角洲港</w:t>
      </w:r>
      <w:r>
        <w:rPr>
          <w:w w:val="100"/>
        </w:rPr>
        <w:t> </w:t>
      </w:r>
      <w:r>
        <w:rPr>
          <w:spacing w:val="-2"/>
        </w:rPr>
        <w:t>口群和日韩港口群的中心地带，占有东北亚港口群的中心位置，是“一带一路”交汇点上的重要桥</w:t>
      </w:r>
      <w:r>
        <w:rPr>
          <w:spacing w:val="-26"/>
        </w:rPr>
        <w:t> </w:t>
      </w:r>
      <w:r>
        <w:rPr>
          <w:spacing w:val="-26"/>
        </w:rPr>
      </w:r>
      <w:r>
        <w:rPr/>
        <w:t>头堡，是我国北方距离国际主航线最近的港口，是我国北方集装箱航线密度最高的港口之一。</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(2)</w:t>
      </w:r>
      <w:r>
        <w:rPr/>
        <w:t>领先的码头设施</w:t>
      </w:r>
      <w:r>
        <w:rPr>
          <w:rFonts w:ascii="宋体" w:hAnsi="宋体" w:cs="宋体" w:eastAsia="宋体" w:hint="default"/>
          <w:w w:val="100"/>
        </w:rPr>
        <w:t> </w:t>
      </w:r>
      <w:r>
        <w:rPr>
          <w:spacing w:val="-2"/>
        </w:rPr>
        <w:t>规划建设了适应船舶大型化、具备世界最高水准的码头设施。拥有可以停靠装卸世界上最大的</w:t>
      </w:r>
    </w:p>
    <w:p>
      <w:pPr>
        <w:pStyle w:val="BodyText"/>
        <w:spacing w:line="314" w:lineRule="auto" w:before="20"/>
        <w:ind w:left="138" w:right="0"/>
        <w:jc w:val="left"/>
        <w:rPr>
          <w:rFonts w:ascii="宋体" w:hAnsi="宋体" w:cs="宋体" w:eastAsia="宋体" w:hint="default"/>
        </w:rPr>
      </w:pPr>
      <w:r>
        <w:rPr>
          <w:spacing w:val="-2"/>
        </w:rPr>
        <w:t>集装箱船、原油船、矿石船的大型深水码头，拥有世界最先进、亚洲首个真正意义上的全自动化集</w:t>
      </w:r>
      <w:r>
        <w:rPr>
          <w:spacing w:val="-25"/>
        </w:rPr>
        <w:t> </w:t>
      </w:r>
      <w:r>
        <w:rPr>
          <w:spacing w:val="-25"/>
        </w:rPr>
      </w:r>
      <w:r>
        <w:rPr/>
        <w:t>装箱码头，可为广大客户提供优质、高效、便捷、经济、环保的码头装卸和物流服务。</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(3)</w:t>
      </w:r>
      <w:r>
        <w:rPr/>
        <w:t>发达的集疏运网络</w:t>
      </w:r>
      <w:r>
        <w:rPr>
          <w:rFonts w:ascii="宋体" w:hAnsi="宋体" w:cs="宋体" w:eastAsia="宋体" w:hint="default"/>
          <w:w w:val="100"/>
        </w:rPr>
        <w:t> </w:t>
      </w:r>
      <w:r>
        <w:rPr>
          <w:spacing w:val="-2"/>
        </w:rPr>
        <w:t>拥有便捷高效的铁路、公路、水路、管道等集疏运网络。铁路通过胶黄线、胶济线、胶新线、</w:t>
      </w:r>
    </w:p>
    <w:p>
      <w:pPr>
        <w:pStyle w:val="BodyText"/>
        <w:spacing w:line="314" w:lineRule="auto" w:before="20"/>
        <w:ind w:left="138" w:right="209"/>
        <w:jc w:val="both"/>
        <w:rPr>
          <w:rFonts w:ascii="宋体" w:hAnsi="宋体" w:cs="宋体" w:eastAsia="宋体" w:hint="default"/>
        </w:rPr>
      </w:pPr>
      <w:r>
        <w:rPr>
          <w:spacing w:val="-2"/>
        </w:rPr>
        <w:t>青连铁路连接中国全国铁路网络。公路通过济青高速公路、沈海高速公路及青银高速公路连接中国</w:t>
      </w:r>
      <w:r>
        <w:rPr>
          <w:spacing w:val="-25"/>
        </w:rPr>
        <w:t> </w:t>
      </w:r>
      <w:r>
        <w:rPr>
          <w:spacing w:val="-25"/>
        </w:rPr>
      </w:r>
      <w:r>
        <w:rPr>
          <w:spacing w:val="-6"/>
        </w:rPr>
        <w:t>全国公路网络。水路承接中国北方、长江沿岸和日韩港口集装箱及其他货种的转运业务。东黄管线、</w:t>
      </w:r>
      <w:r>
        <w:rPr>
          <w:spacing w:val="-17"/>
        </w:rPr>
        <w:t> </w:t>
      </w:r>
      <w:r>
        <w:rPr>
          <w:spacing w:val="-17"/>
        </w:rPr>
      </w:r>
      <w:r>
        <w:rPr>
          <w:spacing w:val="-2"/>
        </w:rPr>
        <w:t>东黄复线、黄青管线、黄岛－中石化大炼油管线、黄岛－国家储备库管线、黄潍管线及董家口港—</w:t>
      </w:r>
      <w:r>
        <w:rPr>
          <w:spacing w:val="-25"/>
        </w:rPr>
        <w:t> </w:t>
      </w:r>
      <w:r>
        <w:rPr>
          <w:spacing w:val="-25"/>
        </w:rPr>
      </w:r>
      <w:r>
        <w:rPr>
          <w:spacing w:val="-6"/>
        </w:rPr>
        <w:t>潍坊—鲁中、鲁北输油管道构成的输油运输网络，为山东、江苏、河南等地方炼油企业提供了安全、</w:t>
      </w:r>
      <w:r>
        <w:rPr>
          <w:spacing w:val="-20"/>
        </w:rPr>
        <w:t> </w:t>
      </w:r>
      <w:r>
        <w:rPr>
          <w:spacing w:val="-20"/>
        </w:rPr>
      </w:r>
      <w:r>
        <w:rPr/>
        <w:t>经济、便捷、高效、环保的石油运输通道。</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(4)</w:t>
      </w:r>
      <w:r>
        <w:rPr/>
        <w:t>一流的服务与效率</w:t>
      </w:r>
      <w:r>
        <w:rPr>
          <w:rFonts w:ascii="宋体" w:hAnsi="宋体" w:cs="宋体" w:eastAsia="宋体" w:hint="default"/>
          <w:w w:val="100"/>
        </w:rPr>
        <w:t> </w:t>
      </w:r>
      <w:r>
        <w:rPr>
          <w:spacing w:val="-2"/>
        </w:rPr>
        <w:t>港口功能齐全，服务设施完备，作业货种包括集装箱、金属矿石、煤炭、石油、粮食、钢铁、</w:t>
      </w:r>
    </w:p>
    <w:p>
      <w:pPr>
        <w:pStyle w:val="BodyText"/>
        <w:spacing w:line="240" w:lineRule="auto" w:before="20"/>
        <w:ind w:left="138" w:right="0"/>
        <w:jc w:val="both"/>
      </w:pPr>
      <w:r>
        <w:rPr/>
        <w:t>木材、汽车、纸浆、化肥、冷冻品、机械设备及其他液体散货、干散货、件杂货等；服务功能涵盖</w:t>
      </w:r>
    </w:p>
    <w:p>
      <w:pPr>
        <w:spacing w:after="0" w:line="240" w:lineRule="auto"/>
        <w:jc w:val="both"/>
        <w:sectPr>
          <w:footerReference w:type="default" r:id="rId14"/>
          <w:pgSz w:w="11910" w:h="16840"/>
          <w:pgMar w:footer="974" w:header="880" w:top="1120" w:bottom="1160" w:left="128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4" w:lineRule="auto" w:before="36"/>
        <w:ind w:left="138" w:right="248"/>
        <w:jc w:val="both"/>
        <w:rPr>
          <w:rFonts w:ascii="宋体" w:hAnsi="宋体" w:cs="宋体" w:eastAsia="宋体" w:hint="default"/>
        </w:rPr>
      </w:pPr>
      <w:r>
        <w:rPr>
          <w:spacing w:val="-2"/>
        </w:rPr>
        <w:t>装卸、仓储、船代、货代、订舱、集装箱场站、运输配送、产业链金融等众多领域，能为客户提供</w:t>
      </w:r>
      <w:r>
        <w:rPr>
          <w:spacing w:val="-25"/>
        </w:rPr>
        <w:t> </w:t>
      </w:r>
      <w:r>
        <w:rPr>
          <w:spacing w:val="-25"/>
        </w:rPr>
      </w:r>
      <w:r>
        <w:rPr/>
        <w:t>“门到门”、全链条的配套及延伸服务。集装箱、铁矿石、纸浆等货种作业效率世界领先。</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hAnsi="宋体" w:cs="宋体" w:eastAsia="宋体" w:hint="default"/>
        </w:rPr>
        <w:t>(5)</w:t>
      </w:r>
      <w:r>
        <w:rPr/>
        <w:t>良好的发展环境</w:t>
      </w:r>
      <w:r>
        <w:rPr>
          <w:rFonts w:ascii="宋体" w:hAnsi="宋体" w:cs="宋体" w:eastAsia="宋体" w:hint="default"/>
        </w:rPr>
        <w:t> </w:t>
      </w:r>
    </w:p>
    <w:p>
      <w:pPr>
        <w:pStyle w:val="BodyText"/>
        <w:spacing w:line="314" w:lineRule="auto" w:before="85"/>
        <w:ind w:left="138"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20"/>
        </w:rPr>
        <w:t> </w:t>
      </w:r>
      <w:r>
        <w:rPr/>
        <w:t>年山东省把“世界一流港口建设行动”作为深入实施海洋强省建设的“十大行动”之一，</w:t>
      </w:r>
      <w:r>
        <w:rPr>
          <w:w w:val="100"/>
        </w:rPr>
        <w:t> </w:t>
      </w:r>
      <w:r>
        <w:rPr/>
        <w:t>强调发挥青岛港口在湾区带动、智慧港口、绿色港口、区域合作等方面的示范带动作用。青岛市明</w:t>
      </w:r>
      <w:r>
        <w:rPr>
          <w:w w:val="100"/>
        </w:rPr>
        <w:t> </w:t>
      </w:r>
      <w:r>
        <w:rPr/>
        <w:t>确提出以建设世界一流的海洋港口为目标，把“海洋攻势”作为全市十五大重点攻势之一，大力发</w:t>
      </w:r>
      <w:r>
        <w:rPr>
          <w:w w:val="100"/>
        </w:rPr>
        <w:t> </w:t>
      </w:r>
      <w:r>
        <w:rPr/>
        <w:t>展海洋经济，加快建设国际海洋名城和国际航运贸易金融创新中心。同时，中国（山东）自由贸易</w:t>
      </w:r>
      <w:r>
        <w:rPr>
          <w:w w:val="100"/>
        </w:rPr>
        <w:t> </w:t>
      </w:r>
      <w:r>
        <w:rPr/>
        <w:t>试验区、上合组织地方经贸合作示范区、国家物流枢纽城市、交通强国战略等多重叠加机遇，为公</w:t>
      </w:r>
      <w:r>
        <w:rPr>
          <w:w w:val="100"/>
        </w:rPr>
        <w:t> </w:t>
      </w:r>
      <w:r>
        <w:rPr/>
        <w:t>司可持续、高质量的健康发展创造了良好的发展环境。</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(6)</w:t>
      </w:r>
      <w:r>
        <w:rPr/>
        <w:t>高效的经营管理</w:t>
      </w:r>
      <w:r>
        <w:rPr>
          <w:rFonts w:ascii="宋体" w:hAnsi="宋体" w:cs="宋体" w:eastAsia="宋体" w:hint="default"/>
          <w:w w:val="100"/>
        </w:rPr>
        <w:t> </w:t>
      </w:r>
      <w:r>
        <w:rPr>
          <w:spacing w:val="-2"/>
        </w:rPr>
        <w:t>公司管理团队从事港口行业多年，具有丰富的管理经验，经过多年创新管理、转型升级，公司</w:t>
      </w:r>
    </w:p>
    <w:p>
      <w:pPr>
        <w:pStyle w:val="BodyText"/>
        <w:spacing w:line="314" w:lineRule="auto" w:before="20"/>
        <w:ind w:left="138" w:right="209"/>
        <w:jc w:val="both"/>
        <w:rPr>
          <w:rFonts w:ascii="宋体" w:hAnsi="宋体" w:cs="宋体" w:eastAsia="宋体" w:hint="default"/>
        </w:rPr>
      </w:pPr>
      <w:r>
        <w:rPr>
          <w:spacing w:val="-2"/>
        </w:rPr>
        <w:t>已建立起了法人治理结构和现代企业制度；创建了“诚纳四海”服务品牌和“服务、质量、效率是</w:t>
      </w:r>
      <w:r>
        <w:rPr>
          <w:spacing w:val="-25"/>
        </w:rPr>
        <w:t> </w:t>
      </w:r>
      <w:r>
        <w:rPr>
          <w:spacing w:val="-25"/>
        </w:rPr>
      </w:r>
      <w:r>
        <w:rPr>
          <w:spacing w:val="-2"/>
        </w:rPr>
        <w:t>港口发展生命线的”理念；打造了独具青岛港特色的企业文化；培养出了以“金牌工人”许振超、</w:t>
      </w:r>
      <w:r>
        <w:rPr>
          <w:spacing w:val="-25"/>
        </w:rPr>
        <w:t> </w:t>
      </w:r>
      <w:r>
        <w:rPr>
          <w:spacing w:val="-25"/>
        </w:rPr>
      </w:r>
      <w:r>
        <w:rPr>
          <w:spacing w:val="-6"/>
          <w:w w:val="100"/>
        </w:rPr>
        <w:t>全国优秀共产党员郭凯、党的十八大、十九大代表皮进军等为代表的一大批先进工人群体和高素质、</w:t>
      </w:r>
      <w:r>
        <w:rPr>
          <w:spacing w:val="-75"/>
          <w:w w:val="100"/>
        </w:rPr>
        <w:t> </w:t>
      </w:r>
      <w:r>
        <w:rPr>
          <w:spacing w:val="-75"/>
          <w:w w:val="100"/>
        </w:rPr>
      </w:r>
      <w:r>
        <w:rPr/>
        <w:t>高技能的员工队伍，为公司创新发展、持续发展奠定了坚实基础。</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w w:val="100"/>
        </w:rPr>
        <w:t> </w:t>
      </w:r>
    </w:p>
    <w:p>
      <w:pPr>
        <w:pStyle w:val="Heading1"/>
        <w:tabs>
          <w:tab w:pos="4039" w:val="left" w:leader="none"/>
        </w:tabs>
        <w:spacing w:line="240" w:lineRule="auto" w:before="54"/>
        <w:ind w:left="2779" w:right="0"/>
        <w:jc w:val="left"/>
        <w:rPr>
          <w:b w:val="0"/>
          <w:bCs w:val="0"/>
        </w:rPr>
      </w:pPr>
      <w:bookmarkStart w:name="_TOC_250008" w:id="5"/>
      <w:r>
        <w:rPr>
          <w:w w:val="95"/>
        </w:rPr>
        <w:t>第四节</w:t>
      </w:r>
      <w:r>
        <w:rPr>
          <w:rFonts w:ascii="宋体" w:hAnsi="宋体" w:cs="宋体" w:eastAsia="宋体" w:hint="default"/>
          <w:w w:val="95"/>
        </w:rPr>
        <w:tab/>
      </w:r>
      <w:r>
        <w:rPr/>
        <w:t>经营情况讨论与分析</w:t>
      </w:r>
      <w:bookmarkEnd w:id="5"/>
      <w:r>
        <w:rPr>
          <w:b w:val="0"/>
          <w:bCs w:val="0"/>
        </w:rPr>
      </w:r>
    </w:p>
    <w:p>
      <w:pPr>
        <w:spacing w:line="240" w:lineRule="auto" w:before="4"/>
        <w:rPr>
          <w:rFonts w:ascii="黑体" w:hAnsi="黑体" w:cs="黑体" w:eastAsia="黑体" w:hint="default"/>
          <w:b/>
          <w:bCs/>
          <w:sz w:val="19"/>
          <w:szCs w:val="19"/>
        </w:rPr>
      </w:pPr>
    </w:p>
    <w:p>
      <w:pPr>
        <w:pStyle w:val="Heading5"/>
        <w:spacing w:line="240" w:lineRule="auto" w:before="0"/>
        <w:ind w:left="138" w:right="0"/>
        <w:jc w:val="left"/>
        <w:rPr>
          <w:b w:val="0"/>
          <w:bCs w:val="0"/>
        </w:rPr>
      </w:pPr>
      <w:r>
        <w:rPr/>
        <w:t>一、经营情况讨论与分析</w:t>
      </w:r>
      <w:r>
        <w:rPr>
          <w:b w:val="0"/>
          <w:bCs w:val="0"/>
        </w:rPr>
      </w:r>
    </w:p>
    <w:p>
      <w:pPr>
        <w:pStyle w:val="BodyText"/>
        <w:spacing w:line="309" w:lineRule="auto" w:before="133"/>
        <w:ind w:left="138" w:right="210"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1"/>
        </w:rPr>
        <w:t> </w:t>
      </w:r>
      <w:r>
        <w:rPr>
          <w:spacing w:val="-2"/>
        </w:rPr>
        <w:t>年，本集团瞄准加快建设世界一流的海洋港口，积极应对外部宏观经济环境变化，抓住山</w:t>
      </w:r>
      <w:r>
        <w:rPr>
          <w:w w:val="100"/>
        </w:rPr>
        <w:t> </w:t>
      </w:r>
      <w:r>
        <w:rPr>
          <w:spacing w:val="-2"/>
        </w:rPr>
        <w:t>东省、青岛市推进新旧动能转换、加快产业升级的机遇，深化港口服务供给侧结构性改革，提质增</w:t>
      </w:r>
      <w:r>
        <w:rPr>
          <w:spacing w:val="-25"/>
        </w:rPr>
        <w:t> </w:t>
      </w:r>
      <w:r>
        <w:rPr>
          <w:spacing w:val="-25"/>
        </w:rPr>
      </w:r>
      <w:r>
        <w:rPr>
          <w:spacing w:val="-2"/>
        </w:rPr>
        <w:t>效、创新发展，积极发展装卸主业，大力发展现代物流，综合竞争实力持续提升，行业影响力持续</w:t>
      </w:r>
      <w:r>
        <w:rPr>
          <w:spacing w:val="-25"/>
        </w:rPr>
        <w:t> </w:t>
      </w:r>
      <w:r>
        <w:rPr>
          <w:spacing w:val="-25"/>
        </w:rPr>
      </w:r>
      <w:r>
        <w:rPr/>
        <w:t>增强，经营业绩保持了稳健增长，为股东创造了良好回报。</w:t>
      </w:r>
    </w:p>
    <w:p>
      <w:pPr>
        <w:pStyle w:val="BodyText"/>
        <w:spacing w:line="309" w:lineRule="auto" w:before="24"/>
        <w:ind w:left="138" w:right="248" w:firstLine="420"/>
        <w:jc w:val="both"/>
      </w:pPr>
      <w:r>
        <w:rPr>
          <w:spacing w:val="-2"/>
        </w:rPr>
        <w:t>码头业务方面，本集团瞄准客户和市场需求，抓重点、补短板、强弱项，扎实推进港口服务供</w:t>
      </w:r>
      <w:r>
        <w:rPr>
          <w:w w:val="100"/>
        </w:rPr>
        <w:t> </w:t>
      </w:r>
      <w:r>
        <w:rPr>
          <w:spacing w:val="-2"/>
        </w:rPr>
        <w:t>给侧结构性改革，定制</w:t>
      </w:r>
      <w:r>
        <w:rPr>
          <w:rFonts w:ascii="Times New Roman" w:hAnsi="Times New Roman" w:cs="Times New Roman" w:eastAsia="Times New Roman" w:hint="default"/>
          <w:spacing w:val="-2"/>
        </w:rPr>
        <w:t>“</w:t>
      </w:r>
      <w:r>
        <w:rPr>
          <w:spacing w:val="-2"/>
        </w:rPr>
        <w:t>门到门</w:t>
      </w:r>
      <w:r>
        <w:rPr>
          <w:rFonts w:ascii="Times New Roman" w:hAnsi="Times New Roman" w:cs="Times New Roman" w:eastAsia="Times New Roman" w:hint="default"/>
          <w:spacing w:val="-2"/>
        </w:rPr>
        <w:t>”</w:t>
      </w:r>
      <w:r>
        <w:rPr>
          <w:spacing w:val="-2"/>
        </w:rPr>
        <w:t>全程物流服务，增强码头、物流、金融等一体化竞争优势，加大新</w:t>
      </w:r>
      <w:r>
        <w:rPr>
          <w:spacing w:val="-27"/>
        </w:rPr>
        <w:t> </w:t>
      </w:r>
      <w:r>
        <w:rPr>
          <w:spacing w:val="-27"/>
        </w:rPr>
      </w:r>
      <w:r>
        <w:rPr>
          <w:spacing w:val="-2"/>
        </w:rPr>
        <w:t>市场、新货源开发力度，提升全程物流服务质量，提速油品等重点板块仓储及管道疏运能力建设，</w:t>
      </w:r>
      <w:r>
        <w:rPr>
          <w:spacing w:val="-25"/>
        </w:rPr>
        <w:t> </w:t>
      </w:r>
      <w:r>
        <w:rPr>
          <w:spacing w:val="-25"/>
        </w:rPr>
      </w:r>
      <w:r>
        <w:rPr/>
        <w:t>拓展装卸主业盈利新的增长极。</w:t>
      </w:r>
    </w:p>
    <w:p>
      <w:pPr>
        <w:pStyle w:val="BodyText"/>
        <w:spacing w:line="309" w:lineRule="auto" w:before="24"/>
        <w:ind w:left="138" w:right="248" w:firstLine="420"/>
        <w:jc w:val="both"/>
      </w:pPr>
      <w:r>
        <w:rPr>
          <w:spacing w:val="-2"/>
        </w:rPr>
        <w:t>新兴业态方面，本集团发挥港口作为物流、商流、资金流、信息流等综合枢纽的优势，统筹协</w:t>
      </w:r>
      <w:r>
        <w:rPr>
          <w:w w:val="100"/>
        </w:rPr>
        <w:t> </w:t>
      </w:r>
      <w:r>
        <w:rPr>
          <w:spacing w:val="-2"/>
        </w:rPr>
        <w:t>调港口和多种社会资源，优化</w:t>
      </w:r>
      <w:r>
        <w:rPr>
          <w:rFonts w:ascii="Times New Roman" w:hAnsi="Times New Roman" w:cs="Times New Roman" w:eastAsia="Times New Roman" w:hint="default"/>
          <w:spacing w:val="-2"/>
        </w:rPr>
        <w:t>“</w:t>
      </w:r>
      <w:r>
        <w:rPr>
          <w:spacing w:val="-2"/>
        </w:rPr>
        <w:t>内陆港</w:t>
      </w:r>
      <w:r>
        <w:rPr>
          <w:rFonts w:ascii="Times New Roman" w:hAnsi="Times New Roman" w:cs="Times New Roman" w:eastAsia="Times New Roman" w:hint="default"/>
          <w:spacing w:val="-2"/>
        </w:rPr>
        <w:t>”</w:t>
      </w:r>
      <w:r>
        <w:rPr>
          <w:spacing w:val="-2"/>
        </w:rPr>
        <w:t>网络营销布局，以智慧港口建设提升资源效能，完善港口服</w:t>
      </w:r>
      <w:r>
        <w:rPr>
          <w:spacing w:val="-25"/>
        </w:rPr>
        <w:t> </w:t>
      </w:r>
      <w:r>
        <w:rPr>
          <w:spacing w:val="-25"/>
        </w:rPr>
      </w:r>
      <w:r>
        <w:rPr>
          <w:spacing w:val="-2"/>
        </w:rPr>
        <w:t>务功能，不断壮大海铁联运、场站业务、船舶代理、货物代理、保税仓储、期货交割、跨境电商、</w:t>
      </w:r>
      <w:r>
        <w:rPr>
          <w:spacing w:val="-25"/>
        </w:rPr>
        <w:t> </w:t>
      </w:r>
      <w:r>
        <w:rPr>
          <w:spacing w:val="-25"/>
        </w:rPr>
      </w:r>
      <w:r>
        <w:rPr>
          <w:spacing w:val="-2"/>
        </w:rPr>
        <w:t>汽车供应链、产业链金融等新业态，提升多元化盈利能力，拓展保持港口经营业绩可持续发展的新</w:t>
      </w:r>
      <w:r>
        <w:rPr>
          <w:spacing w:val="-25"/>
        </w:rPr>
        <w:t> </w:t>
      </w:r>
      <w:r>
        <w:rPr>
          <w:spacing w:val="-25"/>
        </w:rPr>
      </w:r>
      <w:r>
        <w:rPr/>
        <w:t>模式、新空间。</w:t>
      </w:r>
    </w:p>
    <w:p>
      <w:pPr>
        <w:pStyle w:val="BodyText"/>
        <w:spacing w:line="297" w:lineRule="auto" w:before="24"/>
        <w:ind w:left="138" w:right="209" w:firstLine="420"/>
        <w:jc w:val="both"/>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spacing w:val="-2"/>
        </w:rPr>
        <w:t>年，本集团及其合营企业及联营企业（不计及本公司持有的相关合营企业及联营企业的权</w:t>
      </w:r>
      <w:r>
        <w:rPr>
          <w:w w:val="100"/>
        </w:rPr>
        <w:t> </w:t>
      </w:r>
      <w:r>
        <w:rPr>
          <w:spacing w:val="-3"/>
        </w:rPr>
        <w:t>益比例）实现货物吞吐量</w:t>
      </w:r>
      <w:r>
        <w:rPr>
          <w:spacing w:val="-43"/>
        </w:rPr>
        <w:t> </w:t>
      </w:r>
      <w:r>
        <w:rPr>
          <w:rFonts w:ascii="Times New Roman" w:hAnsi="Times New Roman" w:cs="Times New Roman" w:eastAsia="Times New Roman" w:hint="default"/>
        </w:rPr>
        <w:t>5.15</w:t>
      </w:r>
      <w:r>
        <w:rPr>
          <w:rFonts w:ascii="Times New Roman" w:hAnsi="Times New Roman" w:cs="Times New Roman" w:eastAsia="Times New Roman" w:hint="default"/>
          <w:spacing w:val="10"/>
        </w:rPr>
        <w:t> </w:t>
      </w:r>
      <w:r>
        <w:rPr>
          <w:spacing w:val="-4"/>
        </w:rPr>
        <w:t>亿吨，较去年同期增长</w:t>
      </w:r>
      <w:r>
        <w:rPr>
          <w:spacing w:val="-45"/>
        </w:rPr>
        <w:t> </w:t>
      </w:r>
      <w:r>
        <w:rPr>
          <w:rFonts w:ascii="Times New Roman" w:hAnsi="Times New Roman" w:cs="Times New Roman" w:eastAsia="Times New Roman" w:hint="default"/>
          <w:spacing w:val="-3"/>
        </w:rPr>
        <w:t>6.1%</w:t>
      </w:r>
      <w:r>
        <w:rPr>
          <w:spacing w:val="-3"/>
        </w:rPr>
        <w:t>；实现集装箱吞吐量</w:t>
      </w:r>
      <w:r>
        <w:rPr>
          <w:spacing w:val="-45"/>
        </w:rPr>
        <w:t> </w:t>
      </w:r>
      <w:r>
        <w:rPr>
          <w:rFonts w:ascii="Times New Roman" w:hAnsi="Times New Roman" w:cs="Times New Roman" w:eastAsia="Times New Roman" w:hint="default"/>
        </w:rPr>
        <w:t>2,101</w:t>
      </w:r>
      <w:r>
        <w:rPr>
          <w:rFonts w:ascii="Times New Roman" w:hAnsi="Times New Roman" w:cs="Times New Roman" w:eastAsia="Times New Roman" w:hint="default"/>
          <w:spacing w:val="8"/>
        </w:rPr>
        <w:t> </w:t>
      </w:r>
      <w:r>
        <w:rPr/>
        <w:t>万</w:t>
      </w:r>
      <w:r>
        <w:rPr>
          <w:spacing w:val="-43"/>
        </w:rPr>
        <w:t> </w:t>
      </w:r>
      <w:r>
        <w:rPr>
          <w:rFonts w:ascii="Times New Roman" w:hAnsi="Times New Roman" w:cs="Times New Roman" w:eastAsia="Times New Roman" w:hint="default"/>
          <w:spacing w:val="-5"/>
        </w:rPr>
        <w:t>TEU</w:t>
      </w:r>
      <w:r>
        <w:rPr>
          <w:spacing w:val="-5"/>
        </w:rPr>
        <w:t>，较去</w:t>
      </w:r>
      <w:r>
        <w:rPr>
          <w:spacing w:val="-100"/>
        </w:rPr>
        <w:t> </w:t>
      </w:r>
      <w:r>
        <w:rPr>
          <w:spacing w:val="-100"/>
        </w:rPr>
      </w:r>
      <w:r>
        <w:rPr/>
        <w:t>年同期增长</w:t>
      </w:r>
      <w:r>
        <w:rPr>
          <w:spacing w:val="-57"/>
        </w:rPr>
        <w:t> </w:t>
      </w:r>
      <w:r>
        <w:rPr>
          <w:rFonts w:ascii="Times New Roman" w:hAnsi="Times New Roman" w:cs="Times New Roman" w:eastAsia="Times New Roman" w:hint="default"/>
        </w:rPr>
        <w:t>8.8%</w:t>
      </w:r>
      <w:r>
        <w:rPr/>
        <w:t>。</w:t>
      </w:r>
      <w:r>
        <w:rPr>
          <w:rFonts w:ascii="宋体" w:hAnsi="宋体" w:cs="宋体" w:eastAsia="宋体" w:hint="default"/>
        </w:rPr>
        <w:t> </w:t>
      </w:r>
    </w:p>
    <w:p>
      <w:pPr>
        <w:pStyle w:val="BodyText"/>
        <w:spacing w:line="211" w:lineRule="exact"/>
        <w:ind w:left="138" w:right="0"/>
        <w:jc w:val="left"/>
        <w:rPr>
          <w:rFonts w:ascii="宋体" w:hAnsi="宋体" w:cs="宋体" w:eastAsia="宋体" w:hint="default"/>
        </w:rPr>
      </w:pPr>
      <w:r>
        <w:rPr>
          <w:rFonts w:ascii="宋体"/>
          <w:w w:val="100"/>
        </w:rPr>
        <w:t> </w:t>
      </w:r>
    </w:p>
    <w:p>
      <w:pPr>
        <w:spacing w:after="0" w:line="211" w:lineRule="exact"/>
        <w:jc w:val="left"/>
        <w:rPr>
          <w:rFonts w:ascii="宋体" w:hAnsi="宋体" w:cs="宋体" w:eastAsia="宋体" w:hint="default"/>
        </w:rPr>
        <w:sectPr>
          <w:footerReference w:type="default" r:id="rId15"/>
          <w:pgSz w:w="11910" w:h="16840"/>
          <w:pgMar w:footer="974" w:header="880" w:top="1120" w:bottom="1160" w:left="1280" w:right="1200"/>
          <w:pgNumType w:start="11"/>
        </w:sectPr>
      </w:pPr>
    </w:p>
    <w:p>
      <w:pPr>
        <w:spacing w:line="240" w:lineRule="auto" w:before="0"/>
        <w:rPr>
          <w:rFonts w:ascii="宋体" w:hAnsi="宋体" w:cs="宋体" w:eastAsia="宋体" w:hint="default"/>
          <w:sz w:val="20"/>
          <w:szCs w:val="20"/>
        </w:rPr>
      </w:pPr>
    </w:p>
    <w:p>
      <w:pPr>
        <w:pStyle w:val="Heading5"/>
        <w:spacing w:line="240" w:lineRule="auto" w:before="170"/>
        <w:ind w:right="0"/>
        <w:jc w:val="left"/>
        <w:rPr>
          <w:b w:val="0"/>
          <w:bCs w:val="0"/>
        </w:rPr>
      </w:pPr>
      <w:r>
        <w:rPr/>
        <w:t>二、报告期内主要经营情况</w:t>
      </w:r>
      <w:r>
        <w:rPr>
          <w:b w:val="0"/>
          <w:bCs w:val="0"/>
        </w:rPr>
      </w:r>
    </w:p>
    <w:p>
      <w:pPr>
        <w:pStyle w:val="BodyText"/>
        <w:spacing w:line="314" w:lineRule="auto" w:before="133"/>
        <w:ind w:right="226" w:firstLine="420"/>
        <w:jc w:val="left"/>
        <w:rPr>
          <w:rFonts w:ascii="宋体" w:hAnsi="宋体" w:cs="宋体" w:eastAsia="宋体" w:hint="default"/>
        </w:rPr>
      </w:pPr>
      <w:r>
        <w:rPr/>
        <w:t>报告期内，公司实现营业收入</w:t>
      </w:r>
      <w:r>
        <w:rPr>
          <w:spacing w:val="-59"/>
        </w:rPr>
        <w:t> </w:t>
      </w:r>
      <w:r>
        <w:rPr>
          <w:rFonts w:ascii="宋体" w:hAnsi="宋体" w:cs="宋体" w:eastAsia="宋体" w:hint="default"/>
        </w:rPr>
        <w:t>121.64</w:t>
      </w:r>
      <w:r>
        <w:rPr>
          <w:rFonts w:ascii="宋体" w:hAnsi="宋体" w:cs="宋体" w:eastAsia="宋体" w:hint="default"/>
          <w:spacing w:val="-60"/>
        </w:rPr>
        <w:t> </w:t>
      </w:r>
      <w:r>
        <w:rPr/>
        <w:t>亿元，同比增长</w:t>
      </w:r>
      <w:r>
        <w:rPr>
          <w:spacing w:val="-59"/>
        </w:rPr>
        <w:t> </w:t>
      </w:r>
      <w:r>
        <w:rPr>
          <w:rFonts w:ascii="宋体" w:hAnsi="宋体" w:cs="宋体" w:eastAsia="宋体" w:hint="default"/>
        </w:rPr>
        <w:t>3.60%</w:t>
      </w:r>
      <w:r>
        <w:rPr/>
        <w:t>；实现归属于上市公司股东的净利</w:t>
      </w:r>
      <w:r>
        <w:rPr>
          <w:w w:val="100"/>
        </w:rPr>
        <w:t> </w:t>
      </w:r>
      <w:r>
        <w:rPr/>
        <w:t>润</w:t>
      </w:r>
      <w:r>
        <w:rPr>
          <w:spacing w:val="-55"/>
        </w:rPr>
        <w:t> </w:t>
      </w:r>
      <w:r>
        <w:rPr>
          <w:rFonts w:ascii="宋体" w:hAnsi="宋体" w:cs="宋体" w:eastAsia="宋体" w:hint="default"/>
        </w:rPr>
        <w:t>37.90</w:t>
      </w:r>
      <w:r>
        <w:rPr>
          <w:rFonts w:ascii="宋体" w:hAnsi="宋体" w:cs="宋体" w:eastAsia="宋体" w:hint="default"/>
          <w:spacing w:val="-55"/>
        </w:rPr>
        <w:t> </w:t>
      </w:r>
      <w:r>
        <w:rPr/>
        <w:t>亿元，同比增长</w:t>
      </w:r>
      <w:r>
        <w:rPr>
          <w:spacing w:val="-57"/>
        </w:rPr>
        <w:t> </w:t>
      </w:r>
      <w:r>
        <w:rPr>
          <w:rFonts w:ascii="宋体" w:hAnsi="宋体" w:cs="宋体" w:eastAsia="宋体" w:hint="default"/>
        </w:rPr>
        <w:t>5.47%</w:t>
      </w:r>
      <w:r>
        <w:rPr/>
        <w:t>。</w:t>
      </w:r>
      <w:r>
        <w:rPr>
          <w:rFonts w:ascii="宋体" w:hAnsi="宋体" w:cs="宋体" w:eastAsia="宋体" w:hint="default"/>
        </w:rPr>
        <w:t> </w:t>
      </w:r>
    </w:p>
    <w:p>
      <w:pPr>
        <w:pStyle w:val="Heading3"/>
        <w:spacing w:line="251" w:lineRule="exact"/>
        <w:ind w:right="0"/>
        <w:jc w:val="left"/>
        <w:rPr>
          <w:rFonts w:ascii="宋体" w:hAnsi="宋体" w:cs="宋体" w:eastAsia="宋体" w:hint="default"/>
        </w:rPr>
      </w:pPr>
      <w:r>
        <w:rPr>
          <w:rFonts w:ascii="宋体"/>
        </w:rPr>
        <w:t> </w:t>
      </w:r>
    </w:p>
    <w:p>
      <w:pPr>
        <w:pStyle w:val="Heading5"/>
        <w:tabs>
          <w:tab w:pos="1058" w:val="left" w:leader="none"/>
        </w:tabs>
        <w:spacing w:line="240" w:lineRule="auto" w:before="64"/>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5"/>
        <w:tabs>
          <w:tab w:pos="63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387"/>
        <w:gridCol w:w="1738"/>
        <w:gridCol w:w="1930"/>
        <w:gridCol w:w="1966"/>
      </w:tblGrid>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12,164,080,973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11,741,480,164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z w:val="21"/>
              </w:rPr>
              <w:t>3.60</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8,178,690,909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8,115,501,991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z w:val="21"/>
              </w:rPr>
              <w:t>0.78</w:t>
            </w:r>
          </w:p>
        </w:tc>
      </w:tr>
      <w:tr>
        <w:trPr>
          <w:trHeight w:val="411"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36,990,125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21,041,094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z w:val="21"/>
              </w:rPr>
              <w:t>75.80</w:t>
            </w:r>
          </w:p>
        </w:tc>
      </w:tr>
      <w:tr>
        <w:trPr>
          <w:trHeight w:val="408"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503,215,842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481,562,940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z w:val="21"/>
              </w:rPr>
              <w:t>4.50</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21"/>
                <w:szCs w:val="21"/>
              </w:rPr>
            </w:pPr>
            <w:r>
              <w:rPr>
                <w:rFonts w:ascii="Times New Roman"/>
                <w:spacing w:val="-1"/>
                <w:sz w:val="21"/>
              </w:rPr>
              <w:t>33,764,127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39,728,196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-15.01</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-207,915,807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-179,832,185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-15.62</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2,965,989,770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2,291,004,214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z w:val="21"/>
              </w:rPr>
              <w:t>29.46</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-1,976,065,097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-939,575,840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1"/>
                <w:szCs w:val="21"/>
              </w:rPr>
            </w:pPr>
            <w:r>
              <w:rPr>
                <w:rFonts w:ascii="Times New Roman"/>
                <w:spacing w:val="-1"/>
                <w:sz w:val="21"/>
              </w:rPr>
              <w:t>-110.31</w:t>
            </w:r>
          </w:p>
        </w:tc>
      </w:tr>
      <w:tr>
        <w:trPr>
          <w:trHeight w:val="410" w:hRule="exact"/>
        </w:trPr>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-1,021,983,586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pacing w:val="-1"/>
                <w:sz w:val="21"/>
              </w:rPr>
              <w:t>-3,754,071,674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z w:val="21"/>
              </w:rPr>
              <w:t>72.78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974" w:top="1120" w:bottom="1160" w:left="1200" w:right="1180"/>
        </w:sectPr>
      </w:pPr>
    </w:p>
    <w:p>
      <w:pPr>
        <w:pStyle w:val="Heading5"/>
        <w:tabs>
          <w:tab w:pos="638"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before="1"/>
        <w:ind w:right="0"/>
        <w:jc w:val="left"/>
        <w:rPr>
          <w:rFonts w:ascii="宋体" w:hAnsi="宋体" w:cs="宋体" w:eastAsia="宋体" w:hint="default"/>
        </w:rPr>
      </w:pPr>
      <w:r>
        <w:rPr/>
        <w:t>详见下表。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4372" w:space="2599"/>
            <w:col w:w="2559"/>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50"/>
        <w:gridCol w:w="1601"/>
        <w:gridCol w:w="1502"/>
        <w:gridCol w:w="922"/>
        <w:gridCol w:w="1114"/>
        <w:gridCol w:w="1117"/>
        <w:gridCol w:w="1282"/>
      </w:tblGrid>
      <w:tr>
        <w:trPr>
          <w:trHeight w:val="283" w:hRule="exact"/>
        </w:trPr>
        <w:tc>
          <w:tcPr>
            <w:tcW w:w="92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8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4" w:right="7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4" w:right="7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3"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6"/>
                <w:w w:val="100"/>
                <w:sz w:val="21"/>
                <w:szCs w:val="21"/>
              </w:rPr>
              <w:t>年增减（</w:t>
            </w:r>
            <w:r>
              <w:rPr>
                <w:rFonts w:ascii="宋体" w:hAnsi="宋体" w:cs="宋体" w:eastAsia="宋体" w:hint="default"/>
                <w:spacing w:val="-16"/>
                <w:w w:val="100"/>
                <w:sz w:val="21"/>
                <w:szCs w:val="21"/>
              </w:rPr>
              <w:t>%</w:t>
            </w:r>
            <w:r>
              <w:rPr>
                <w:rFonts w:ascii="宋体" w:hAnsi="宋体" w:cs="宋体" w:eastAsia="宋体" w:hint="default"/>
                <w:spacing w:val="-16"/>
                <w:w w:val="100"/>
                <w:sz w:val="21"/>
                <w:szCs w:val="21"/>
              </w:rPr>
              <w:t>）</w:t>
            </w:r>
            <w:r>
              <w:rPr>
                <w:rFonts w:ascii="宋体" w:hAnsi="宋体" w:cs="宋体" w:eastAsia="宋体" w:hint="default"/>
                <w:w w:val="100"/>
                <w:sz w:val="21"/>
                <w:szCs w:val="21"/>
              </w:rPr>
              <w:t> </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集装箱处理及配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套服务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217,999,652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68,571,775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68.55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-9.40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-33.47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11.38</w:t>
            </w:r>
          </w:p>
        </w:tc>
      </w:tr>
      <w:tr>
        <w:trPr>
          <w:trHeight w:val="826"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金属矿石、煤炭</w:t>
            </w:r>
            <w:r>
              <w:rPr>
                <w:rFonts w:ascii="宋体" w:hAnsi="宋体" w:cs="宋体" w:eastAsia="宋体" w:hint="default"/>
                <w:sz w:val="21"/>
                <w:szCs w:val="21"/>
              </w:rPr>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pacing w:val="8"/>
                <w:sz w:val="21"/>
                <w:szCs w:val="21"/>
              </w:rPr>
              <w:t>及其他货物处理</w:t>
            </w:r>
            <w:r>
              <w:rPr>
                <w:rFonts w:ascii="宋体" w:hAnsi="宋体" w:cs="宋体" w:eastAsia="宋体" w:hint="default"/>
                <w:spacing w:val="-90"/>
                <w:sz w:val="21"/>
                <w:szCs w:val="21"/>
              </w:rPr>
              <w:t> </w:t>
            </w:r>
            <w:r>
              <w:rPr>
                <w:rFonts w:ascii="宋体" w:hAnsi="宋体" w:cs="宋体" w:eastAsia="宋体" w:hint="default"/>
                <w:sz w:val="21"/>
                <w:szCs w:val="21"/>
              </w:rPr>
              <w:t>以及配套服务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2,711,414,131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2,105,441,050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-9.29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-10.94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3"/>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1.44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w:t>
            </w:r>
          </w:p>
          <w:p>
            <w:pPr>
              <w:pStyle w:val="TableParagraph"/>
              <w:spacing w:line="265" w:lineRule="exact"/>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液体散货处理及</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配套服务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1,427,221,862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386,720,190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72.90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67.47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41.33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5.01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w:t>
            </w:r>
          </w:p>
          <w:p>
            <w:pPr>
              <w:pStyle w:val="TableParagraph"/>
              <w:spacing w:line="266" w:lineRule="exact"/>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物流及港口增值</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4,916,328,209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3,437,511,733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30.08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-7.33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-6.29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0.78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w:t>
            </w:r>
          </w:p>
          <w:p>
            <w:pPr>
              <w:pStyle w:val="TableParagraph"/>
              <w:spacing w:line="265" w:lineRule="exact"/>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26"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89"/>
              <w:jc w:val="left"/>
              <w:rPr>
                <w:rFonts w:ascii="宋体" w:hAnsi="宋体" w:cs="宋体" w:eastAsia="宋体" w:hint="default"/>
                <w:sz w:val="21"/>
                <w:szCs w:val="21"/>
              </w:rPr>
            </w:pPr>
            <w:r>
              <w:rPr>
                <w:rFonts w:ascii="宋体" w:hAnsi="宋体" w:cs="宋体" w:eastAsia="宋体" w:hint="default"/>
                <w:spacing w:val="26"/>
                <w:sz w:val="21"/>
                <w:szCs w:val="21"/>
              </w:rPr>
              <w:t>港口配套服务</w:t>
            </w:r>
            <w:r>
              <w:rPr>
                <w:rFonts w:ascii="宋体" w:hAnsi="宋体" w:cs="宋体" w:eastAsia="宋体" w:hint="default"/>
                <w:spacing w:val="-61"/>
                <w:sz w:val="21"/>
                <w:szCs w:val="21"/>
              </w:rPr>
              <w:t> </w:t>
            </w:r>
            <w:r>
              <w:rPr>
                <w:rFonts w:ascii="Calibri" w:hAnsi="Calibri" w:cs="Calibri" w:eastAsia="Calibri" w:hint="default"/>
                <w:sz w:val="21"/>
                <w:szCs w:val="21"/>
              </w:rPr>
              <w:t>-</w:t>
            </w:r>
            <w:r>
              <w:rPr>
                <w:rFonts w:ascii="Calibri" w:hAnsi="Calibri" w:cs="Calibri" w:eastAsia="Calibri" w:hint="default"/>
                <w:spacing w:val="-41"/>
                <w:sz w:val="21"/>
                <w:szCs w:val="21"/>
              </w:rPr>
              <w:t> </w:t>
            </w:r>
            <w:r>
              <w:rPr>
                <w:rFonts w:ascii="宋体" w:hAnsi="宋体" w:cs="宋体" w:eastAsia="宋体" w:hint="default"/>
                <w:spacing w:val="8"/>
                <w:sz w:val="21"/>
                <w:szCs w:val="21"/>
              </w:rPr>
              <w:t>工程、劳务及港</w:t>
            </w:r>
            <w:r>
              <w:rPr>
                <w:rFonts w:ascii="宋体" w:hAnsi="宋体" w:cs="宋体" w:eastAsia="宋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机建造</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1,722,691,849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1,531,313,153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11.11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10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0.58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w:t>
            </w:r>
          </w:p>
          <w:p>
            <w:pPr>
              <w:pStyle w:val="TableParagraph"/>
              <w:spacing w:line="266" w:lineRule="exact"/>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3"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10,995,655,703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7,529,557,901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31.52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1.99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w:t>
            </w:r>
          </w:p>
        </w:tc>
      </w:tr>
    </w:tbl>
    <w:p>
      <w:pPr>
        <w:spacing w:after="0" w:line="257" w:lineRule="exact"/>
        <w:jc w:val="right"/>
        <w:rPr>
          <w:rFonts w:ascii="宋体" w:hAnsi="宋体" w:cs="宋体" w:eastAsia="宋体"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366" w:type="dxa"/>
        <w:tblLayout w:type="fixed"/>
        <w:tblCellMar>
          <w:top w:w="0" w:type="dxa"/>
          <w:left w:w="0" w:type="dxa"/>
          <w:bottom w:w="0" w:type="dxa"/>
          <w:right w:w="0" w:type="dxa"/>
        </w:tblCellMar>
        <w:tblLook w:val="01E0"/>
      </w:tblPr>
      <w:tblGrid>
        <w:gridCol w:w="1750"/>
        <w:gridCol w:w="1601"/>
        <w:gridCol w:w="1502"/>
        <w:gridCol w:w="922"/>
        <w:gridCol w:w="1114"/>
        <w:gridCol w:w="1117"/>
        <w:gridCol w:w="1282"/>
      </w:tblGrid>
      <w:tr>
        <w:trPr>
          <w:trHeight w:val="281" w:hRule="exact"/>
        </w:trPr>
        <w:tc>
          <w:tcPr>
            <w:tcW w:w="1750"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83" w:hRule="exact"/>
        </w:trPr>
        <w:tc>
          <w:tcPr>
            <w:tcW w:w="92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8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84" w:right="7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84" w:right="7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3"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6"/>
                <w:w w:val="100"/>
                <w:sz w:val="21"/>
                <w:szCs w:val="21"/>
              </w:rPr>
              <w:t>年增减（</w:t>
            </w:r>
            <w:r>
              <w:rPr>
                <w:rFonts w:ascii="宋体" w:hAnsi="宋体" w:cs="宋体" w:eastAsia="宋体" w:hint="default"/>
                <w:spacing w:val="-16"/>
                <w:w w:val="100"/>
                <w:sz w:val="21"/>
                <w:szCs w:val="21"/>
              </w:rPr>
              <w:t>%</w:t>
            </w:r>
            <w:r>
              <w:rPr>
                <w:rFonts w:ascii="宋体" w:hAnsi="宋体" w:cs="宋体" w:eastAsia="宋体" w:hint="default"/>
                <w:spacing w:val="-16"/>
                <w:w w:val="100"/>
                <w:sz w:val="21"/>
                <w:szCs w:val="21"/>
              </w:rPr>
              <w:t>）</w:t>
            </w:r>
            <w:r>
              <w:rPr>
                <w:rFonts w:ascii="宋体" w:hAnsi="宋体" w:cs="宋体" w:eastAsia="宋体" w:hint="default"/>
                <w:w w:val="100"/>
                <w:sz w:val="21"/>
                <w:szCs w:val="21"/>
              </w:rPr>
              <w:t> </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3" w:right="0"/>
              <w:jc w:val="center"/>
              <w:rPr>
                <w:rFonts w:ascii="Times New Roman" w:hAnsi="Times New Roman" w:cs="Times New Roman" w:eastAsia="Times New Roman" w:hint="default"/>
                <w:sz w:val="21"/>
                <w:szCs w:val="21"/>
              </w:rPr>
            </w:pPr>
            <w:r>
              <w:rPr>
                <w:rFonts w:ascii="Times New Roman"/>
                <w:sz w:val="21"/>
              </w:rPr>
              <w:t>10,995,655,703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 w:right="0"/>
              <w:jc w:val="center"/>
              <w:rPr>
                <w:rFonts w:ascii="Times New Roman" w:hAnsi="Times New Roman" w:cs="Times New Roman" w:eastAsia="Times New Roman" w:hint="default"/>
                <w:sz w:val="21"/>
                <w:szCs w:val="21"/>
              </w:rPr>
            </w:pPr>
            <w:r>
              <w:rPr>
                <w:rFonts w:ascii="Times New Roman"/>
                <w:sz w:val="21"/>
              </w:rPr>
              <w:t>7,529,557,901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6" w:right="0"/>
              <w:jc w:val="left"/>
              <w:rPr>
                <w:rFonts w:ascii="Times New Roman" w:hAnsi="Times New Roman" w:cs="Times New Roman" w:eastAsia="Times New Roman" w:hint="default"/>
                <w:sz w:val="21"/>
                <w:szCs w:val="21"/>
              </w:rPr>
            </w:pPr>
            <w:r>
              <w:rPr>
                <w:rFonts w:ascii="Times New Roman"/>
                <w:sz w:val="21"/>
              </w:rPr>
              <w:t>31.52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3" w:right="0"/>
              <w:jc w:val="left"/>
              <w:rPr>
                <w:rFonts w:ascii="Times New Roman" w:hAnsi="Times New Roman" w:cs="Times New Roman" w:eastAsia="Times New Roman" w:hint="default"/>
                <w:sz w:val="21"/>
                <w:szCs w:val="21"/>
              </w:rPr>
            </w:pPr>
            <w:r>
              <w:rPr>
                <w:rFonts w:ascii="Times New Roman"/>
                <w:sz w:val="21"/>
              </w:rPr>
              <w:t>4.31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3" w:right="0"/>
              <w:jc w:val="left"/>
              <w:rPr>
                <w:rFonts w:ascii="Times New Roman" w:hAnsi="Times New Roman" w:cs="Times New Roman" w:eastAsia="Times New Roman" w:hint="default"/>
                <w:sz w:val="21"/>
                <w:szCs w:val="21"/>
              </w:rPr>
            </w:pPr>
            <w:r>
              <w:rPr>
                <w:rFonts w:ascii="Times New Roman"/>
                <w:sz w:val="21"/>
              </w:rPr>
              <w:t>1.37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1.99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pStyle w:val="BodyText"/>
        <w:spacing w:line="239" w:lineRule="exact"/>
        <w:ind w:left="478" w:right="0"/>
        <w:jc w:val="left"/>
        <w:rPr>
          <w:rFonts w:ascii="宋体" w:hAnsi="宋体" w:cs="宋体" w:eastAsia="宋体" w:hint="default"/>
        </w:rPr>
      </w:pPr>
      <w:r>
        <w:rPr>
          <w:rFonts w:ascii="宋体"/>
          <w:w w:val="100"/>
        </w:rPr>
        <w:t> </w:t>
      </w:r>
    </w:p>
    <w:p>
      <w:pPr>
        <w:pStyle w:val="BodyText"/>
        <w:spacing w:line="273" w:lineRule="exact"/>
        <w:ind w:left="478"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314" w:lineRule="auto" w:before="75"/>
        <w:ind w:left="478" w:right="489" w:firstLine="420"/>
        <w:jc w:val="left"/>
        <w:rPr>
          <w:rFonts w:ascii="宋体" w:hAnsi="宋体" w:cs="宋体" w:eastAsia="宋体" w:hint="default"/>
        </w:rPr>
      </w:pPr>
      <w:r>
        <w:rPr/>
        <w:t>液体散货处理及配套服务板块营业收入同比增长 </w:t>
      </w:r>
      <w:r>
        <w:rPr>
          <w:rFonts w:ascii="宋体" w:hAnsi="宋体" w:cs="宋体" w:eastAsia="宋体" w:hint="default"/>
          <w:spacing w:val="-4"/>
        </w:rPr>
        <w:t>67.47%</w:t>
      </w:r>
      <w:r>
        <w:rPr>
          <w:spacing w:val="-4"/>
        </w:rPr>
        <w:t>、营业成本同比增长</w:t>
      </w:r>
      <w:r>
        <w:rPr>
          <w:spacing w:val="-80"/>
        </w:rPr>
        <w:t> </w:t>
      </w:r>
      <w:r>
        <w:rPr>
          <w:rFonts w:ascii="宋体" w:hAnsi="宋体" w:cs="宋体" w:eastAsia="宋体" w:hint="default"/>
          <w:spacing w:val="-4"/>
        </w:rPr>
        <w:t>41.33%</w:t>
      </w:r>
      <w:r>
        <w:rPr>
          <w:spacing w:val="-4"/>
        </w:rPr>
        <w:t>，主要原因</w:t>
      </w:r>
      <w:r>
        <w:rPr>
          <w:w w:val="100"/>
        </w:rPr>
        <w:t> </w:t>
      </w:r>
      <w:r>
        <w:rPr>
          <w:spacing w:val="-2"/>
        </w:rPr>
        <w:t>为董家口港</w:t>
      </w:r>
      <w:r>
        <w:rPr>
          <w:rFonts w:ascii="宋体" w:hAnsi="宋体" w:cs="宋体" w:eastAsia="宋体" w:hint="default"/>
          <w:spacing w:val="-2"/>
        </w:rPr>
        <w:t>-</w:t>
      </w:r>
      <w:r>
        <w:rPr>
          <w:spacing w:val="-2"/>
        </w:rPr>
        <w:t>潍坊</w:t>
      </w:r>
      <w:r>
        <w:rPr>
          <w:rFonts w:ascii="宋体" w:hAnsi="宋体" w:cs="宋体" w:eastAsia="宋体" w:hint="default"/>
          <w:spacing w:val="-2"/>
        </w:rPr>
        <w:t>-</w:t>
      </w:r>
      <w:r>
        <w:rPr>
          <w:spacing w:val="-2"/>
        </w:rPr>
        <w:t>鲁中、鲁北输油管道二期各支线及配套储罐陆续投产运营，带动管道输送收入及</w:t>
      </w:r>
      <w:r>
        <w:rPr>
          <w:spacing w:val="-23"/>
        </w:rPr>
        <w:t> </w:t>
      </w:r>
      <w:r>
        <w:rPr>
          <w:spacing w:val="-23"/>
        </w:rPr>
      </w:r>
      <w:r>
        <w:rPr/>
        <w:t>仓储收入增加。港口配套服务</w:t>
      </w:r>
      <w:r>
        <w:rPr>
          <w:rFonts w:ascii="宋体" w:hAnsi="宋体" w:cs="宋体" w:eastAsia="宋体" w:hint="default"/>
        </w:rPr>
        <w:t>-</w:t>
      </w:r>
      <w:r>
        <w:rPr/>
        <w:t>工程、劳务及港机建造板块营业收入同比增长</w:t>
      </w:r>
      <w:r>
        <w:rPr>
          <w:spacing w:val="-57"/>
        </w:rPr>
        <w:t> </w:t>
      </w:r>
      <w:r>
        <w:rPr>
          <w:rFonts w:ascii="宋体" w:hAnsi="宋体" w:cs="宋体" w:eastAsia="宋体" w:hint="default"/>
        </w:rPr>
        <w:t>49.31%</w:t>
      </w:r>
      <w:r>
        <w:rPr/>
        <w:t>、营业成本同</w:t>
      </w:r>
      <w:r>
        <w:rPr>
          <w:w w:val="100"/>
        </w:rPr>
        <w:t> </w:t>
      </w:r>
      <w:r>
        <w:rPr>
          <w:spacing w:val="-1"/>
        </w:rPr>
        <w:t>比增长</w:t>
      </w:r>
      <w:r>
        <w:rPr>
          <w:spacing w:val="11"/>
        </w:rPr>
        <w:t> </w:t>
      </w:r>
      <w:r>
        <w:rPr>
          <w:rFonts w:ascii="宋体" w:hAnsi="宋体" w:cs="宋体" w:eastAsia="宋体" w:hint="default"/>
          <w:spacing w:val="-2"/>
        </w:rPr>
        <w:t>50.29%</w:t>
      </w:r>
      <w:r>
        <w:rPr>
          <w:spacing w:val="-2"/>
        </w:rPr>
        <w:t>，主要原因为工程施工服务收入以及港口机械设备制造收入增加。</w:t>
      </w:r>
      <w:r>
        <w:rPr>
          <w:rFonts w:ascii="宋体" w:hAnsi="宋体" w:cs="宋体" w:eastAsia="宋体" w:hint="default"/>
        </w:rPr>
        <w:t> </w:t>
      </w:r>
    </w:p>
    <w:p>
      <w:pPr>
        <w:pStyle w:val="Heading3"/>
        <w:spacing w:line="251" w:lineRule="exact"/>
        <w:ind w:left="478" w:right="0"/>
        <w:jc w:val="left"/>
        <w:rPr>
          <w:rFonts w:ascii="宋体" w:hAnsi="宋体" w:cs="宋体" w:eastAsia="宋体" w:hint="default"/>
        </w:rPr>
      </w:pPr>
      <w:r>
        <w:rPr>
          <w:rFonts w:ascii="宋体"/>
        </w:rPr>
        <w:t> </w:t>
      </w:r>
    </w:p>
    <w:p>
      <w:pPr>
        <w:pStyle w:val="Heading5"/>
        <w:spacing w:line="240" w:lineRule="auto" w:before="61"/>
        <w:ind w:left="478"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Heading3"/>
        <w:spacing w:line="240" w:lineRule="auto" w:before="52"/>
        <w:ind w:left="4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478" w:right="0"/>
        <w:jc w:val="left"/>
        <w:rPr>
          <w:rFonts w:ascii="宋体" w:hAnsi="宋体" w:cs="宋体" w:eastAsia="宋体" w:hint="default"/>
        </w:rPr>
      </w:pPr>
      <w:r>
        <w:rPr>
          <w:rFonts w:ascii="宋体"/>
          <w:w w:val="100"/>
        </w:rPr>
        <w:t> </w:t>
      </w:r>
    </w:p>
    <w:p>
      <w:pPr>
        <w:pStyle w:val="Heading5"/>
        <w:spacing w:line="240" w:lineRule="auto"/>
        <w:ind w:left="47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492"/>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87"/>
        <w:gridCol w:w="888"/>
        <w:gridCol w:w="1537"/>
        <w:gridCol w:w="814"/>
        <w:gridCol w:w="1476"/>
        <w:gridCol w:w="850"/>
        <w:gridCol w:w="853"/>
        <w:gridCol w:w="1807"/>
      </w:tblGrid>
      <w:tr>
        <w:trPr>
          <w:trHeight w:val="283" w:hRule="exact"/>
        </w:trPr>
        <w:tc>
          <w:tcPr>
            <w:tcW w:w="98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452"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22" w:right="12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89" w:right="191"/>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626" w:right="204" w:hanging="421"/>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6"/>
              <w:ind w:left="103"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5"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686" w:right="686"/>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907"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100"/>
              <w:jc w:val="left"/>
              <w:rPr>
                <w:rFonts w:ascii="宋体" w:hAnsi="宋体" w:cs="宋体" w:eastAsia="宋体" w:hint="default"/>
                <w:sz w:val="21"/>
                <w:szCs w:val="21"/>
              </w:rPr>
            </w:pPr>
            <w:r>
              <w:rPr>
                <w:rFonts w:ascii="宋体" w:hAnsi="宋体" w:cs="宋体" w:eastAsia="宋体" w:hint="default"/>
                <w:spacing w:val="16"/>
                <w:sz w:val="21"/>
                <w:szCs w:val="21"/>
              </w:rPr>
              <w:t>集装箱处理及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配套服务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99"/>
              <w:jc w:val="left"/>
              <w:rPr>
                <w:rFonts w:ascii="宋体" w:hAnsi="宋体" w:cs="宋体" w:eastAsia="宋体" w:hint="default"/>
                <w:sz w:val="21"/>
                <w:szCs w:val="21"/>
              </w:rPr>
            </w:pPr>
            <w:r>
              <w:rPr>
                <w:rFonts w:ascii="宋体" w:hAnsi="宋体" w:cs="宋体" w:eastAsia="宋体" w:hint="default"/>
                <w:spacing w:val="12"/>
                <w:sz w:val="21"/>
                <w:szCs w:val="21"/>
              </w:rPr>
              <w:t>主营业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68,571,775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103,061,876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-33.47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0" w:right="83"/>
              <w:jc w:val="both"/>
              <w:rPr>
                <w:rFonts w:ascii="宋体" w:hAnsi="宋体" w:cs="宋体" w:eastAsia="宋体" w:hint="default"/>
                <w:sz w:val="21"/>
                <w:szCs w:val="21"/>
              </w:rPr>
            </w:pPr>
            <w:r>
              <w:rPr>
                <w:rFonts w:ascii="宋体" w:hAnsi="宋体" w:cs="宋体" w:eastAsia="宋体" w:hint="default"/>
                <w:spacing w:val="15"/>
                <w:sz w:val="21"/>
                <w:szCs w:val="21"/>
              </w:rPr>
              <w:t>主要为本集团优</w:t>
            </w:r>
            <w:r>
              <w:rPr>
                <w:rFonts w:ascii="宋体" w:hAnsi="宋体" w:cs="宋体" w:eastAsia="宋体" w:hint="default"/>
                <w:spacing w:val="-88"/>
                <w:sz w:val="21"/>
                <w:szCs w:val="21"/>
              </w:rPr>
              <w:t> </w:t>
            </w:r>
            <w:r>
              <w:rPr>
                <w:rFonts w:ascii="宋体" w:hAnsi="宋体" w:cs="宋体" w:eastAsia="宋体" w:hint="default"/>
                <w:spacing w:val="-13"/>
                <w:w w:val="100"/>
                <w:sz w:val="21"/>
                <w:szCs w:val="21"/>
              </w:rPr>
              <w:t>化作业流程，搬捣</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成本等降低</w:t>
            </w:r>
          </w:p>
        </w:tc>
      </w:tr>
      <w:tr>
        <w:trPr>
          <w:trHeight w:val="117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3" w:right="100"/>
              <w:jc w:val="both"/>
              <w:rPr>
                <w:rFonts w:ascii="宋体" w:hAnsi="宋体" w:cs="宋体" w:eastAsia="宋体" w:hint="default"/>
                <w:sz w:val="21"/>
                <w:szCs w:val="21"/>
              </w:rPr>
            </w:pPr>
            <w:r>
              <w:rPr>
                <w:rFonts w:ascii="宋体" w:hAnsi="宋体" w:cs="宋体" w:eastAsia="宋体" w:hint="default"/>
                <w:spacing w:val="-16"/>
                <w:w w:val="100"/>
                <w:sz w:val="21"/>
                <w:szCs w:val="21"/>
              </w:rPr>
              <w:t>金属矿石、煤炭</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16"/>
                <w:sz w:val="21"/>
                <w:szCs w:val="21"/>
              </w:rPr>
              <w:t>及其他货物处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理以及配套服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2"/>
                <w:sz w:val="21"/>
                <w:szCs w:val="21"/>
              </w:rPr>
              <w:t>主营业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2,105,441,050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2,364,101,409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31.83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-10.94</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1724"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16"/>
                <w:sz w:val="21"/>
                <w:szCs w:val="21"/>
              </w:rPr>
              <w:t>液体散货处理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及配套服务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2"/>
                <w:sz w:val="21"/>
                <w:szCs w:val="21"/>
              </w:rPr>
              <w:t>主营业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386,720,190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273,620,327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41.33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0" w:right="83"/>
              <w:jc w:val="both"/>
              <w:rPr>
                <w:rFonts w:ascii="宋体" w:hAnsi="宋体" w:cs="宋体" w:eastAsia="宋体" w:hint="default"/>
                <w:sz w:val="21"/>
                <w:szCs w:val="21"/>
              </w:rPr>
            </w:pPr>
            <w:r>
              <w:rPr>
                <w:rFonts w:ascii="宋体" w:hAnsi="宋体" w:cs="宋体" w:eastAsia="宋体" w:hint="default"/>
                <w:spacing w:val="4"/>
                <w:sz w:val="21"/>
                <w:szCs w:val="21"/>
              </w:rPr>
              <w:t>主要为董家口港</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36"/>
                <w:sz w:val="21"/>
                <w:szCs w:val="21"/>
              </w:rPr>
              <w:t> </w:t>
            </w:r>
            <w:r>
              <w:rPr>
                <w:rFonts w:ascii="宋体" w:hAnsi="宋体" w:cs="宋体" w:eastAsia="宋体" w:hint="default"/>
                <w:spacing w:val="4"/>
                <w:sz w:val="21"/>
                <w:szCs w:val="21"/>
              </w:rPr>
              <w:t>潍坊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鲁中、鲁北</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5"/>
                <w:sz w:val="21"/>
                <w:szCs w:val="21"/>
              </w:rPr>
              <w:t>输油管道二期各</w:t>
            </w:r>
            <w:r>
              <w:rPr>
                <w:rFonts w:ascii="宋体" w:hAnsi="宋体" w:cs="宋体" w:eastAsia="宋体" w:hint="default"/>
                <w:spacing w:val="-88"/>
                <w:sz w:val="21"/>
                <w:szCs w:val="21"/>
              </w:rPr>
              <w:t> </w:t>
            </w:r>
            <w:r>
              <w:rPr>
                <w:rFonts w:ascii="宋体" w:hAnsi="宋体" w:cs="宋体" w:eastAsia="宋体" w:hint="default"/>
                <w:spacing w:val="15"/>
                <w:sz w:val="21"/>
                <w:szCs w:val="21"/>
              </w:rPr>
              <w:t>支线及配套储罐</w:t>
            </w:r>
            <w:r>
              <w:rPr>
                <w:rFonts w:ascii="宋体" w:hAnsi="宋体" w:cs="宋体" w:eastAsia="宋体" w:hint="default"/>
                <w:spacing w:val="-88"/>
                <w:sz w:val="21"/>
                <w:szCs w:val="21"/>
              </w:rPr>
              <w:t> </w:t>
            </w:r>
            <w:r>
              <w:rPr>
                <w:rFonts w:ascii="宋体" w:hAnsi="宋体" w:cs="宋体" w:eastAsia="宋体" w:hint="default"/>
                <w:spacing w:val="-13"/>
                <w:w w:val="100"/>
                <w:sz w:val="21"/>
                <w:szCs w:val="21"/>
              </w:rPr>
              <w:t>陆续投产运营，折</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旧及电费增加</w:t>
            </w:r>
          </w:p>
        </w:tc>
      </w:tr>
      <w:tr>
        <w:trPr>
          <w:trHeight w:val="63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100"/>
              <w:jc w:val="left"/>
              <w:rPr>
                <w:rFonts w:ascii="宋体" w:hAnsi="宋体" w:cs="宋体" w:eastAsia="宋体" w:hint="default"/>
                <w:sz w:val="21"/>
                <w:szCs w:val="21"/>
              </w:rPr>
            </w:pPr>
            <w:r>
              <w:rPr>
                <w:rFonts w:ascii="宋体" w:hAnsi="宋体" w:cs="宋体" w:eastAsia="宋体" w:hint="default"/>
                <w:spacing w:val="16"/>
                <w:sz w:val="21"/>
                <w:szCs w:val="21"/>
              </w:rPr>
              <w:t>物流及港口增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值服务</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99"/>
              <w:jc w:val="left"/>
              <w:rPr>
                <w:rFonts w:ascii="宋体" w:hAnsi="宋体" w:cs="宋体" w:eastAsia="宋体" w:hint="default"/>
                <w:sz w:val="21"/>
                <w:szCs w:val="21"/>
              </w:rPr>
            </w:pPr>
            <w:r>
              <w:rPr>
                <w:rFonts w:ascii="宋体" w:hAnsi="宋体" w:cs="宋体" w:eastAsia="宋体" w:hint="default"/>
                <w:spacing w:val="12"/>
                <w:sz w:val="21"/>
                <w:szCs w:val="21"/>
              </w:rPr>
              <w:t>主营业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3,437,511,733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3,668,214,675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49.38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-6.29</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907"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6"/>
              <w:ind w:left="103" w:right="98"/>
              <w:jc w:val="both"/>
              <w:rPr>
                <w:rFonts w:ascii="宋体" w:hAnsi="宋体" w:cs="宋体" w:eastAsia="宋体" w:hint="default"/>
                <w:sz w:val="21"/>
                <w:szCs w:val="21"/>
              </w:rPr>
            </w:pPr>
            <w:r>
              <w:rPr>
                <w:rFonts w:ascii="宋体" w:hAnsi="宋体" w:cs="宋体" w:eastAsia="宋体" w:hint="default"/>
                <w:spacing w:val="3"/>
                <w:position w:val="1"/>
                <w:sz w:val="21"/>
                <w:szCs w:val="21"/>
              </w:rPr>
              <w:t>港口配套服务</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pacing w:val="-16"/>
                <w:w w:val="100"/>
                <w:sz w:val="21"/>
                <w:szCs w:val="21"/>
              </w:rPr>
              <w:t>工程、劳务及港</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机建造</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3" w:right="99"/>
              <w:jc w:val="left"/>
              <w:rPr>
                <w:rFonts w:ascii="宋体" w:hAnsi="宋体" w:cs="宋体" w:eastAsia="宋体" w:hint="default"/>
                <w:sz w:val="21"/>
                <w:szCs w:val="21"/>
              </w:rPr>
            </w:pPr>
            <w:r>
              <w:rPr>
                <w:rFonts w:ascii="宋体" w:hAnsi="宋体" w:cs="宋体" w:eastAsia="宋体" w:hint="default"/>
                <w:spacing w:val="12"/>
                <w:sz w:val="21"/>
                <w:szCs w:val="21"/>
              </w:rPr>
              <w:t>主营业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务成本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1,531,313,153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1,018,910,838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13.72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50.29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0" w:right="83"/>
              <w:jc w:val="both"/>
              <w:rPr>
                <w:rFonts w:ascii="宋体" w:hAnsi="宋体" w:cs="宋体" w:eastAsia="宋体" w:hint="default"/>
                <w:sz w:val="21"/>
                <w:szCs w:val="21"/>
              </w:rPr>
            </w:pPr>
            <w:r>
              <w:rPr>
                <w:rFonts w:ascii="宋体" w:hAnsi="宋体" w:cs="宋体" w:eastAsia="宋体" w:hint="default"/>
                <w:spacing w:val="15"/>
                <w:sz w:val="21"/>
                <w:szCs w:val="21"/>
              </w:rPr>
              <w:t>主要为工程施工</w:t>
            </w:r>
            <w:r>
              <w:rPr>
                <w:rFonts w:ascii="宋体" w:hAnsi="宋体" w:cs="宋体" w:eastAsia="宋体" w:hint="default"/>
                <w:spacing w:val="-88"/>
                <w:sz w:val="21"/>
                <w:szCs w:val="21"/>
              </w:rPr>
              <w:t> </w:t>
            </w:r>
            <w:r>
              <w:rPr>
                <w:rFonts w:ascii="宋体" w:hAnsi="宋体" w:cs="宋体" w:eastAsia="宋体" w:hint="default"/>
                <w:spacing w:val="15"/>
                <w:sz w:val="21"/>
                <w:szCs w:val="21"/>
              </w:rPr>
              <w:t>及港口机械设备</w:t>
            </w:r>
            <w:r>
              <w:rPr>
                <w:rFonts w:ascii="宋体" w:hAnsi="宋体" w:cs="宋体" w:eastAsia="宋体" w:hint="default"/>
                <w:spacing w:val="-88"/>
                <w:sz w:val="21"/>
                <w:szCs w:val="21"/>
              </w:rPr>
              <w:t> </w:t>
            </w:r>
            <w:r>
              <w:rPr>
                <w:rFonts w:ascii="宋体" w:hAnsi="宋体" w:cs="宋体" w:eastAsia="宋体" w:hint="default"/>
                <w:sz w:val="21"/>
                <w:szCs w:val="21"/>
              </w:rPr>
              <w:t>建造成本增加</w:t>
            </w:r>
          </w:p>
        </w:tc>
      </w:tr>
      <w:tr>
        <w:trPr>
          <w:trHeight w:val="362"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88"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7,529,557,901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7,427,909,125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100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z w:val="21"/>
              </w:rPr>
              <w:t>1.37</w:t>
            </w:r>
          </w:p>
        </w:tc>
        <w:tc>
          <w:tcPr>
            <w:tcW w:w="18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478" w:right="0"/>
        <w:jc w:val="left"/>
        <w:rPr>
          <w:rFonts w:ascii="宋体" w:hAnsi="宋体" w:cs="宋体" w:eastAsia="宋体" w:hint="default"/>
        </w:rPr>
      </w:pPr>
      <w:r>
        <w:rPr/>
        <w:t>成本分析其他情况说明：</w:t>
      </w:r>
      <w:r>
        <w:rPr>
          <w:rFonts w:ascii="宋体" w:hAnsi="宋体" w:cs="宋体" w:eastAsia="宋体" w:hint="default"/>
        </w:rPr>
        <w:t> </w:t>
      </w:r>
    </w:p>
    <w:p>
      <w:pPr>
        <w:spacing w:after="0" w:line="241" w:lineRule="exact"/>
        <w:jc w:val="left"/>
        <w:rPr>
          <w:rFonts w:ascii="宋体" w:hAnsi="宋体" w:cs="宋体" w:eastAsia="宋体" w:hint="default"/>
        </w:rPr>
        <w:sectPr>
          <w:pgSz w:w="11910" w:h="16840"/>
          <w:pgMar w:header="880" w:footer="974" w:top="1120" w:bottom="1160" w:left="940" w:right="920"/>
        </w:sectPr>
      </w:pPr>
    </w:p>
    <w:p>
      <w:pPr>
        <w:spacing w:line="240" w:lineRule="auto" w:before="0"/>
        <w:rPr>
          <w:rFonts w:ascii="宋体" w:hAnsi="宋体" w:cs="宋体" w:eastAsia="宋体" w:hint="default"/>
          <w:sz w:val="20"/>
          <w:szCs w:val="20"/>
        </w:rPr>
      </w:pPr>
    </w:p>
    <w:p>
      <w:pPr>
        <w:pStyle w:val="BodyText"/>
        <w:spacing w:line="273" w:lineRule="exact" w:before="170"/>
        <w:ind w:left="138"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5"/>
        <w:spacing w:line="240" w:lineRule="auto" w:before="58"/>
        <w:ind w:left="13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383" w:firstLine="420"/>
        <w:jc w:val="left"/>
        <w:rPr>
          <w:rFonts w:ascii="宋体" w:hAnsi="宋体" w:cs="宋体" w:eastAsia="宋体" w:hint="default"/>
        </w:rPr>
      </w:pPr>
      <w:r>
        <w:rPr/>
        <w:t>前五名客户销售额</w:t>
      </w:r>
      <w:r>
        <w:rPr>
          <w:spacing w:val="-56"/>
        </w:rPr>
        <w:t> </w:t>
      </w:r>
      <w:r>
        <w:rPr>
          <w:rFonts w:ascii="宋体" w:hAnsi="宋体" w:cs="宋体" w:eastAsia="宋体" w:hint="default"/>
        </w:rPr>
        <w:t>241,188.44</w:t>
      </w:r>
      <w:r>
        <w:rPr>
          <w:rFonts w:ascii="宋体" w:hAnsi="宋体" w:cs="宋体" w:eastAsia="宋体" w:hint="default"/>
          <w:spacing w:val="-58"/>
        </w:rPr>
        <w:t> </w:t>
      </w:r>
      <w:r>
        <w:rPr/>
        <w:t>万元，占年度销售总额</w:t>
      </w:r>
      <w:r>
        <w:rPr>
          <w:spacing w:val="-56"/>
        </w:rPr>
        <w:t> </w:t>
      </w:r>
      <w:r>
        <w:rPr>
          <w:rFonts w:ascii="宋体" w:hAnsi="宋体" w:cs="宋体" w:eastAsia="宋体" w:hint="default"/>
        </w:rPr>
        <w:t>19.83%</w:t>
      </w:r>
      <w:r>
        <w:rPr/>
        <w:t>；其中前五名客户销售额中关联</w:t>
      </w:r>
      <w:r>
        <w:rPr>
          <w:w w:val="100"/>
        </w:rPr>
        <w:t> </w:t>
      </w:r>
      <w:r>
        <w:rPr/>
        <w:t>方销售额</w:t>
      </w:r>
      <w:r>
        <w:rPr>
          <w:spacing w:val="-56"/>
        </w:rPr>
        <w:t> </w:t>
      </w:r>
      <w:r>
        <w:rPr>
          <w:rFonts w:ascii="宋体" w:hAnsi="宋体" w:cs="宋体" w:eastAsia="宋体" w:hint="default"/>
        </w:rPr>
        <w:t>241,188.44</w:t>
      </w:r>
      <w:r>
        <w:rPr>
          <w:rFonts w:ascii="宋体" w:hAnsi="宋体" w:cs="宋体" w:eastAsia="宋体" w:hint="default"/>
          <w:spacing w:val="-56"/>
        </w:rPr>
        <w:t> </w:t>
      </w:r>
      <w:r>
        <w:rPr/>
        <w:t>万元，占年度销售总额</w:t>
      </w:r>
      <w:r>
        <w:rPr>
          <w:spacing w:val="-55"/>
        </w:rPr>
        <w:t> </w:t>
      </w:r>
      <w:r>
        <w:rPr>
          <w:rFonts w:ascii="宋体" w:hAnsi="宋体" w:cs="宋体" w:eastAsia="宋体" w:hint="default"/>
        </w:rPr>
        <w:t>19.83%</w:t>
      </w:r>
      <w:r>
        <w:rPr/>
        <w:t>。</w:t>
      </w:r>
      <w:r>
        <w:rPr>
          <w:rFonts w:ascii="宋体" w:hAnsi="宋体" w:cs="宋体" w:eastAsia="宋体" w:hint="default"/>
        </w:rPr>
        <w:t> </w:t>
      </w:r>
    </w:p>
    <w:p>
      <w:pPr>
        <w:pStyle w:val="BodyText"/>
        <w:spacing w:line="314" w:lineRule="auto" w:before="20"/>
        <w:ind w:left="138" w:right="383" w:firstLine="420"/>
        <w:jc w:val="left"/>
        <w:rPr>
          <w:rFonts w:ascii="宋体" w:hAnsi="宋体" w:cs="宋体" w:eastAsia="宋体" w:hint="default"/>
        </w:rPr>
      </w:pPr>
      <w:r>
        <w:rPr/>
        <w:t>前五名供应商采购额</w:t>
      </w:r>
      <w:r>
        <w:rPr>
          <w:spacing w:val="-57"/>
        </w:rPr>
        <w:t> </w:t>
      </w:r>
      <w:r>
        <w:rPr>
          <w:rFonts w:ascii="宋体" w:hAnsi="宋体" w:cs="宋体" w:eastAsia="宋体" w:hint="default"/>
        </w:rPr>
        <w:t>125,720.95</w:t>
      </w:r>
      <w:r>
        <w:rPr>
          <w:rFonts w:ascii="宋体" w:hAnsi="宋体" w:cs="宋体" w:eastAsia="宋体" w:hint="default"/>
          <w:spacing w:val="-56"/>
        </w:rPr>
        <w:t> </w:t>
      </w:r>
      <w:r>
        <w:rPr/>
        <w:t>万元，占年度采购总额</w:t>
      </w:r>
      <w:r>
        <w:rPr>
          <w:spacing w:val="-57"/>
        </w:rPr>
        <w:t> </w:t>
      </w:r>
      <w:r>
        <w:rPr>
          <w:rFonts w:ascii="宋体" w:hAnsi="宋体" w:cs="宋体" w:eastAsia="宋体" w:hint="default"/>
        </w:rPr>
        <w:t>13.91%</w:t>
      </w:r>
      <w:r>
        <w:rPr/>
        <w:t>；其中前五名供应商采购额中</w:t>
      </w:r>
      <w:r>
        <w:rPr>
          <w:w w:val="100"/>
        </w:rPr>
        <w:t> </w:t>
      </w:r>
      <w:r>
        <w:rPr/>
        <w:t>关联方采购额</w:t>
      </w:r>
      <w:r>
        <w:rPr>
          <w:spacing w:val="-55"/>
        </w:rPr>
        <w:t> </w:t>
      </w:r>
      <w:r>
        <w:rPr>
          <w:rFonts w:ascii="宋体" w:hAnsi="宋体" w:cs="宋体" w:eastAsia="宋体" w:hint="default"/>
        </w:rPr>
        <w:t>17,485.12</w:t>
      </w:r>
      <w:r>
        <w:rPr>
          <w:rFonts w:ascii="宋体" w:hAnsi="宋体" w:cs="宋体" w:eastAsia="宋体" w:hint="default"/>
          <w:spacing w:val="-56"/>
        </w:rPr>
        <w:t> </w:t>
      </w:r>
      <w:r>
        <w:rPr/>
        <w:t>万元，占年度采购总额</w:t>
      </w:r>
      <w:r>
        <w:rPr>
          <w:spacing w:val="-55"/>
        </w:rPr>
        <w:t> </w:t>
      </w:r>
      <w:r>
        <w:rPr>
          <w:rFonts w:ascii="宋体" w:hAnsi="宋体" w:cs="宋体" w:eastAsia="宋体" w:hint="default"/>
        </w:rPr>
        <w:t>1.93%</w:t>
      </w:r>
      <w:r>
        <w:rPr/>
        <w:t>。</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w w:val="100"/>
        </w:rPr>
        <w:t> </w:t>
      </w:r>
    </w:p>
    <w:p>
      <w:pPr>
        <w:pStyle w:val="Heading5"/>
        <w:tabs>
          <w:tab w:pos="558" w:val="left" w:leader="none"/>
        </w:tabs>
        <w:spacing w:line="240" w:lineRule="auto" w:before="68"/>
        <w:ind w:left="138"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8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14"/>
        <w:gridCol w:w="1897"/>
        <w:gridCol w:w="1767"/>
        <w:gridCol w:w="1637"/>
        <w:gridCol w:w="1937"/>
      </w:tblGrid>
      <w:tr>
        <w:trPr>
          <w:trHeight w:val="852" w:hRule="exact"/>
        </w:trPr>
        <w:tc>
          <w:tcPr>
            <w:tcW w:w="2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2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position w:val="1"/>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position w:val="1"/>
                <w:sz w:val="21"/>
                <w:szCs w:val="21"/>
              </w:rPr>
              <w:t>）</w:t>
            </w:r>
            <w:r>
              <w:rPr>
                <w:rFonts w:ascii="宋体" w:hAnsi="宋体" w:cs="宋体" w:eastAsia="宋体" w:hint="default"/>
                <w:sz w:val="21"/>
                <w:szCs w:val="21"/>
              </w:rPr>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643" w:right="36" w:hanging="606"/>
              <w:jc w:val="left"/>
              <w:rPr>
                <w:rFonts w:ascii="宋体" w:hAnsi="宋体" w:cs="宋体" w:eastAsia="宋体" w:hint="default"/>
                <w:sz w:val="21"/>
                <w:szCs w:val="21"/>
              </w:rPr>
            </w:pPr>
            <w:r>
              <w:rPr>
                <w:rFonts w:ascii="宋体" w:hAnsi="宋体" w:cs="宋体" w:eastAsia="宋体" w:hint="default"/>
                <w:sz w:val="21"/>
                <w:szCs w:val="21"/>
              </w:rPr>
              <w:t>变动幅度超</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的情</w:t>
            </w:r>
            <w:r>
              <w:rPr>
                <w:rFonts w:ascii="宋体" w:hAnsi="宋体" w:cs="宋体" w:eastAsia="宋体" w:hint="default"/>
                <w:w w:val="100"/>
                <w:sz w:val="21"/>
                <w:szCs w:val="21"/>
              </w:rPr>
              <w:t> </w:t>
            </w:r>
            <w:r>
              <w:rPr>
                <w:rFonts w:ascii="宋体" w:hAnsi="宋体" w:cs="宋体" w:eastAsia="宋体" w:hint="default"/>
                <w:sz w:val="21"/>
                <w:szCs w:val="21"/>
              </w:rPr>
              <w:t>况说明</w:t>
            </w:r>
            <w:r>
              <w:rPr>
                <w:rFonts w:ascii="宋体" w:hAnsi="宋体" w:cs="宋体" w:eastAsia="宋体" w:hint="default"/>
                <w:sz w:val="21"/>
                <w:szCs w:val="21"/>
              </w:rPr>
              <w:t> </w:t>
            </w:r>
          </w:p>
        </w:tc>
      </w:tr>
      <w:tr>
        <w:trPr>
          <w:trHeight w:val="665" w:hRule="exact"/>
        </w:trPr>
        <w:tc>
          <w:tcPr>
            <w:tcW w:w="2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left="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36,990,125</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21,041,094</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75.80</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4" w:right="2"/>
              <w:jc w:val="left"/>
              <w:rPr>
                <w:rFonts w:ascii="宋体" w:hAnsi="宋体" w:cs="宋体" w:eastAsia="宋体" w:hint="default"/>
                <w:sz w:val="21"/>
                <w:szCs w:val="21"/>
              </w:rPr>
            </w:pPr>
            <w:r>
              <w:rPr>
                <w:rFonts w:ascii="宋体" w:hAnsi="宋体" w:cs="宋体" w:eastAsia="宋体" w:hint="default"/>
                <w:sz w:val="21"/>
                <w:szCs w:val="21"/>
              </w:rPr>
              <w:t>主要为业务推介及宣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传费用增加</w:t>
            </w:r>
            <w:r>
              <w:rPr>
                <w:rFonts w:ascii="宋体" w:hAnsi="宋体" w:cs="宋体" w:eastAsia="宋体" w:hint="default"/>
                <w:sz w:val="21"/>
                <w:szCs w:val="21"/>
              </w:rPr>
              <w:t> </w:t>
            </w:r>
          </w:p>
        </w:tc>
      </w:tr>
      <w:tr>
        <w:trPr>
          <w:trHeight w:val="394" w:hRule="exact"/>
        </w:trPr>
        <w:tc>
          <w:tcPr>
            <w:tcW w:w="2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pacing w:val="-1"/>
                <w:sz w:val="21"/>
              </w:rPr>
              <w:t>503,215,842</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pacing w:val="-1"/>
                <w:sz w:val="21"/>
              </w:rPr>
              <w:t>481,562,940</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z w:val="21"/>
              </w:rPr>
              <w:t>4.50</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w w:val="100"/>
                <w:sz w:val="21"/>
              </w:rPr>
              <w:t> </w:t>
            </w:r>
          </w:p>
        </w:tc>
      </w:tr>
      <w:tr>
        <w:trPr>
          <w:trHeight w:val="396" w:hRule="exact"/>
        </w:trPr>
        <w:tc>
          <w:tcPr>
            <w:tcW w:w="2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pacing w:val="-1"/>
                <w:sz w:val="21"/>
              </w:rPr>
              <w:t>33,764,127</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pacing w:val="-1"/>
                <w:sz w:val="21"/>
              </w:rPr>
              <w:t>39,728,196</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spacing w:val="-1"/>
                <w:sz w:val="21"/>
              </w:rPr>
              <w:t>-15.01</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4" w:right="0"/>
              <w:jc w:val="left"/>
              <w:rPr>
                <w:rFonts w:ascii="宋体" w:hAnsi="宋体" w:cs="宋体" w:eastAsia="宋体" w:hint="default"/>
                <w:sz w:val="21"/>
                <w:szCs w:val="21"/>
              </w:rPr>
            </w:pPr>
            <w:r>
              <w:rPr>
                <w:rFonts w:ascii="宋体"/>
                <w:w w:val="100"/>
                <w:sz w:val="21"/>
              </w:rPr>
              <w:t> </w:t>
            </w:r>
          </w:p>
        </w:tc>
      </w:tr>
      <w:tr>
        <w:trPr>
          <w:trHeight w:val="394" w:hRule="exact"/>
        </w:trPr>
        <w:tc>
          <w:tcPr>
            <w:tcW w:w="2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pacing w:val="-1"/>
                <w:sz w:val="21"/>
              </w:rPr>
              <w:t>-207,915,807</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21"/>
                <w:szCs w:val="21"/>
              </w:rPr>
            </w:pPr>
            <w:r>
              <w:rPr>
                <w:rFonts w:ascii="Times New Roman"/>
                <w:spacing w:val="-1"/>
                <w:sz w:val="21"/>
              </w:rPr>
              <w:t>-179,832,185</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2"/>
              <w:jc w:val="right"/>
              <w:rPr>
                <w:rFonts w:ascii="Times New Roman" w:hAnsi="Times New Roman" w:cs="Times New Roman" w:eastAsia="Times New Roman" w:hint="default"/>
                <w:sz w:val="21"/>
                <w:szCs w:val="21"/>
              </w:rPr>
            </w:pPr>
            <w:r>
              <w:rPr>
                <w:rFonts w:ascii="Times New Roman"/>
                <w:spacing w:val="-1"/>
                <w:sz w:val="21"/>
              </w:rPr>
              <w:t>-15.62</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4" w:right="0"/>
              <w:jc w:val="left"/>
              <w:rPr>
                <w:rFonts w:ascii="宋体" w:hAnsi="宋体" w:cs="宋体" w:eastAsia="宋体" w:hint="default"/>
                <w:sz w:val="21"/>
                <w:szCs w:val="21"/>
              </w:rPr>
            </w:pPr>
            <w:r>
              <w:rPr>
                <w:rFonts w:ascii="宋体"/>
                <w:w w:val="100"/>
                <w:sz w:val="21"/>
              </w:rPr>
              <w:t> </w:t>
            </w:r>
          </w:p>
        </w:tc>
      </w:tr>
      <w:tr>
        <w:trPr>
          <w:trHeight w:val="415" w:hRule="exact"/>
        </w:trPr>
        <w:tc>
          <w:tcPr>
            <w:tcW w:w="20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4" w:right="0"/>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z w:val="21"/>
                <w:szCs w:val="21"/>
              </w:rPr>
              <w:t> </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pacing w:val="-1"/>
                <w:sz w:val="21"/>
              </w:rPr>
              <w:t>994,203,437</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pacing w:val="-1"/>
                <w:sz w:val="21"/>
              </w:rPr>
              <w:t>912,964,017</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right"/>
              <w:rPr>
                <w:rFonts w:ascii="Times New Roman" w:hAnsi="Times New Roman" w:cs="Times New Roman" w:eastAsia="Times New Roman" w:hint="default"/>
                <w:sz w:val="21"/>
                <w:szCs w:val="21"/>
              </w:rPr>
            </w:pPr>
            <w:r>
              <w:rPr>
                <w:rFonts w:ascii="Times New Roman"/>
                <w:sz w:val="21"/>
              </w:rPr>
              <w:t>8.90</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4"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pgSz w:w="11910" w:h="16840"/>
          <w:pgMar w:header="880" w:footer="974" w:top="1120" w:bottom="1160" w:left="1280" w:right="1120"/>
        </w:sectPr>
      </w:pPr>
    </w:p>
    <w:p>
      <w:pPr>
        <w:pStyle w:val="BodyText"/>
        <w:spacing w:line="241" w:lineRule="exact"/>
        <w:ind w:left="138" w:right="0"/>
        <w:jc w:val="left"/>
        <w:rPr>
          <w:rFonts w:ascii="宋体" w:hAnsi="宋体" w:cs="宋体" w:eastAsia="宋体" w:hint="default"/>
        </w:rPr>
      </w:pPr>
      <w:r>
        <w:rPr>
          <w:rFonts w:ascii="宋体"/>
          <w:w w:val="100"/>
        </w:rPr>
        <w:t> </w:t>
      </w:r>
    </w:p>
    <w:p>
      <w:pPr>
        <w:pStyle w:val="Heading5"/>
        <w:tabs>
          <w:tab w:pos="558" w:val="left" w:leader="none"/>
        </w:tabs>
        <w:spacing w:line="290" w:lineRule="auto" w:before="58"/>
        <w:ind w:left="138" w:right="0"/>
        <w:jc w:val="left"/>
        <w:rPr>
          <w:rFonts w:ascii="宋体" w:hAnsi="宋体" w:cs="宋体" w:eastAsia="宋体" w:hint="default"/>
          <w:b w:val="0"/>
          <w:bCs w:val="0"/>
        </w:rPr>
      </w:pPr>
      <w:r>
        <w:rPr>
          <w:rFonts w:ascii="宋体" w:hAnsi="宋体" w:cs="宋体" w:eastAsia="宋体" w:hint="default"/>
          <w:b w:val="0"/>
          <w:bCs w:val="0"/>
        </w:rPr>
        <w:t>4.</w:t>
        <w:tab/>
      </w:r>
      <w:r>
        <w:rPr/>
        <w:t>研发投入</w:t>
      </w:r>
      <w:r>
        <w:rPr>
          <w:rFonts w:ascii="宋体" w:hAnsi="宋体" w:cs="宋体" w:eastAsia="宋体" w:hint="default"/>
          <w:b w:val="0"/>
          <w:bCs w:val="0"/>
          <w:w w:val="100"/>
        </w:rPr>
        <w:t> </w:t>
      </w:r>
      <w:r>
        <w:rPr>
          <w:rFonts w:ascii="宋体" w:hAnsi="宋体" w:cs="宋体" w:eastAsia="宋体" w:hint="default"/>
        </w:rPr>
        <w:t>(1).</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20"/>
          <w:cols w:num="2" w:equalWidth="0">
            <w:col w:w="2143" w:space="6088"/>
            <w:col w:w="1279"/>
          </w:cols>
        </w:sectPr>
      </w:pPr>
    </w:p>
    <w:p>
      <w:pPr>
        <w:spacing w:line="240" w:lineRule="auto" w:before="4"/>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4361"/>
        <w:gridCol w:w="4465"/>
      </w:tblGrid>
      <w:tr>
        <w:trPr>
          <w:trHeight w:val="35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33,764,127</w:t>
            </w:r>
          </w:p>
        </w:tc>
      </w:tr>
      <w:tr>
        <w:trPr>
          <w:trHeight w:val="35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13,866,760</w:t>
            </w:r>
          </w:p>
        </w:tc>
      </w:tr>
      <w:tr>
        <w:trPr>
          <w:trHeight w:val="35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47,630,887</w:t>
            </w:r>
          </w:p>
        </w:tc>
      </w:tr>
      <w:tr>
        <w:trPr>
          <w:trHeight w:val="35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0.39</w:t>
            </w:r>
          </w:p>
        </w:tc>
      </w:tr>
      <w:tr>
        <w:trPr>
          <w:trHeight w:val="35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515</w:t>
            </w:r>
          </w:p>
        </w:tc>
      </w:tr>
      <w:tr>
        <w:trPr>
          <w:trHeight w:val="349"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5.89</w:t>
            </w:r>
          </w:p>
        </w:tc>
      </w:tr>
      <w:tr>
        <w:trPr>
          <w:trHeight w:val="35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29.11</w:t>
            </w:r>
          </w:p>
        </w:tc>
      </w:tr>
    </w:tbl>
    <w:p>
      <w:pPr>
        <w:pStyle w:val="Heading3"/>
        <w:spacing w:line="274" w:lineRule="exact"/>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(2).</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58"/>
        <w:ind w:left="561" w:right="0" w:hanging="423"/>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公司坚持创新引领，以绿色港口、智慧港口建设为主要载体，全方位推进科技创新驱动，全员</w:t>
      </w:r>
    </w:p>
    <w:p>
      <w:pPr>
        <w:pStyle w:val="BodyText"/>
        <w:spacing w:line="275" w:lineRule="exact"/>
        <w:ind w:left="138" w:right="0"/>
        <w:jc w:val="left"/>
      </w:pPr>
      <w:r>
        <w:rPr/>
        <w:t>创新创效成效显著。</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年公司科技研发经费投入</w:t>
      </w:r>
      <w:r>
        <w:rPr>
          <w:spacing w:val="-57"/>
        </w:rPr>
        <w:t> </w:t>
      </w:r>
      <w:r>
        <w:rPr>
          <w:rFonts w:ascii="Times New Roman" w:hAnsi="Times New Roman" w:cs="Times New Roman" w:eastAsia="Times New Roman" w:hint="default"/>
        </w:rPr>
        <w:t>4,763.09</w:t>
      </w:r>
      <w:r>
        <w:rPr>
          <w:rFonts w:ascii="Times New Roman" w:hAnsi="Times New Roman" w:cs="Times New Roman" w:eastAsia="Times New Roman" w:hint="default"/>
          <w:spacing w:val="-2"/>
        </w:rPr>
        <w:t> </w:t>
      </w:r>
      <w:r>
        <w:rPr/>
        <w:t>万元，完成科技项目</w:t>
      </w:r>
      <w:r>
        <w:rPr>
          <w:spacing w:val="-55"/>
        </w:rPr>
        <w:t> </w:t>
      </w:r>
      <w:r>
        <w:rPr>
          <w:rFonts w:ascii="Times New Roman" w:hAnsi="Times New Roman" w:cs="Times New Roman" w:eastAsia="Times New Roman" w:hint="default"/>
        </w:rPr>
        <w:t>527</w:t>
      </w:r>
      <w:r>
        <w:rPr>
          <w:rFonts w:ascii="Times New Roman" w:hAnsi="Times New Roman" w:cs="Times New Roman" w:eastAsia="Times New Roman" w:hint="default"/>
          <w:spacing w:val="-2"/>
        </w:rPr>
        <w:t> </w:t>
      </w:r>
      <w:r>
        <w:rPr/>
        <w:t>项，</w:t>
      </w:r>
      <w:r>
        <w:rPr>
          <w:rFonts w:ascii="Times New Roman" w:hAnsi="Times New Roman" w:cs="Times New Roman" w:eastAsia="Times New Roman" w:hint="default"/>
        </w:rPr>
        <w:t>“</w:t>
      </w:r>
      <w:r>
        <w:rPr/>
        <w:t>基于云</w:t>
      </w:r>
    </w:p>
    <w:p>
      <w:pPr>
        <w:pStyle w:val="BodyText"/>
        <w:spacing w:line="297" w:lineRule="auto" w:before="69"/>
        <w:ind w:left="138" w:right="0"/>
        <w:jc w:val="left"/>
      </w:pPr>
      <w:r>
        <w:rPr>
          <w:spacing w:val="-2"/>
        </w:rPr>
        <w:t>集采模式的港口智能采购策略的研究与实现</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基于数据挖掘与学习的拖轮智能调度系统研究与应</w:t>
      </w:r>
      <w:r>
        <w:rPr>
          <w:spacing w:val="-25"/>
        </w:rPr>
        <w:t> </w:t>
      </w:r>
      <w:r>
        <w:rPr>
          <w:spacing w:val="-25"/>
        </w:rPr>
      </w:r>
      <w:r>
        <w:rPr>
          <w:spacing w:val="-3"/>
        </w:rPr>
        <w:t>用</w:t>
      </w:r>
      <w:r>
        <w:rPr>
          <w:rFonts w:ascii="Times New Roman" w:hAnsi="Times New Roman" w:cs="Times New Roman" w:eastAsia="Times New Roman" w:hint="default"/>
          <w:spacing w:val="-3"/>
        </w:rPr>
        <w:t>”</w:t>
      </w:r>
      <w:r>
        <w:rPr>
          <w:spacing w:val="-3"/>
        </w:rPr>
        <w:t>等项目在科技成果标准化评价认定整体水平达到由第三方评估机构评定的国际领先级，年度共计</w:t>
      </w:r>
    </w:p>
    <w:p>
      <w:pPr>
        <w:spacing w:after="0" w:line="297" w:lineRule="auto"/>
        <w:jc w:val="left"/>
        <w:sectPr>
          <w:type w:val="continuous"/>
          <w:pgSz w:w="11910" w:h="16840"/>
          <w:pgMar w:top="1120" w:bottom="1160" w:left="128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97" w:lineRule="auto" w:before="36"/>
        <w:ind w:right="242"/>
        <w:jc w:val="left"/>
      </w:pPr>
      <w:r>
        <w:rPr/>
        <w:t>申请国家专利</w:t>
      </w:r>
      <w:r>
        <w:rPr>
          <w:spacing w:val="-54"/>
        </w:rPr>
        <w:t> </w:t>
      </w:r>
      <w:r>
        <w:rPr>
          <w:rFonts w:ascii="Times New Roman" w:hAnsi="Times New Roman" w:cs="Times New Roman" w:eastAsia="Times New Roman" w:hint="default"/>
        </w:rPr>
        <w:t>121</w:t>
      </w:r>
      <w:r>
        <w:rPr>
          <w:rFonts w:ascii="Times New Roman" w:hAnsi="Times New Roman" w:cs="Times New Roman" w:eastAsia="Times New Roman" w:hint="default"/>
          <w:spacing w:val="-1"/>
        </w:rPr>
        <w:t> </w:t>
      </w:r>
      <w:r>
        <w:rPr/>
        <w:t>项，其中发明专利</w:t>
      </w:r>
      <w:r>
        <w:rPr>
          <w:spacing w:val="-53"/>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项、国际专利</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项；授权国家专利</w:t>
      </w:r>
      <w:r>
        <w:rPr>
          <w:spacing w:val="-54"/>
        </w:rPr>
        <w:t> </w:t>
      </w:r>
      <w:r>
        <w:rPr>
          <w:rFonts w:ascii="Times New Roman" w:hAnsi="Times New Roman" w:cs="Times New Roman" w:eastAsia="Times New Roman" w:hint="default"/>
        </w:rPr>
        <w:t>93</w:t>
      </w:r>
      <w:r>
        <w:rPr>
          <w:rFonts w:ascii="Times New Roman" w:hAnsi="Times New Roman" w:cs="Times New Roman" w:eastAsia="Times New Roman" w:hint="default"/>
          <w:spacing w:val="-4"/>
        </w:rPr>
        <w:t> </w:t>
      </w:r>
      <w:r>
        <w:rPr/>
        <w:t>项，其中发明专利</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t>项。</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年，荣获中国港口协会科技进步奖</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项，</w:t>
      </w:r>
      <w:r>
        <w:rPr>
          <w:rFonts w:ascii="Times New Roman" w:hAnsi="Times New Roman" w:cs="Times New Roman" w:eastAsia="Times New Roman" w:hint="default"/>
        </w:rPr>
        <w:t>“</w:t>
      </w:r>
      <w:r>
        <w:rPr/>
        <w:t>全自动化集装箱码头智能调度控制系统</w:t>
      </w:r>
      <w:r>
        <w:rPr>
          <w:rFonts w:ascii="Times New Roman" w:hAnsi="Times New Roman" w:cs="Times New Roman" w:eastAsia="Times New Roman" w:hint="default"/>
        </w:rPr>
        <w:t>”</w:t>
      </w:r>
      <w:r>
        <w:rPr/>
        <w:t>荣获中</w:t>
      </w:r>
      <w:r>
        <w:rPr>
          <w:w w:val="100"/>
        </w:rPr>
        <w:t> </w:t>
      </w:r>
      <w:r>
        <w:rPr/>
        <w:t>国管理创新最佳实践案例奖，技术团队被山东省委、省政府授予</w:t>
      </w:r>
      <w:r>
        <w:rPr>
          <w:rFonts w:ascii="Times New Roman" w:hAnsi="Times New Roman" w:cs="Times New Roman" w:eastAsia="Times New Roman" w:hint="default"/>
        </w:rPr>
        <w:t>“</w:t>
      </w:r>
      <w:r>
        <w:rPr/>
        <w:t>勇于创新</w:t>
      </w:r>
      <w:r>
        <w:rPr>
          <w:rFonts w:ascii="Times New Roman" w:hAnsi="Times New Roman" w:cs="Times New Roman" w:eastAsia="Times New Roman" w:hint="default"/>
        </w:rPr>
        <w:t>”</w:t>
      </w:r>
      <w:r>
        <w:rPr/>
        <w:t>先进集体荣誉称号。</w:t>
      </w:r>
    </w:p>
    <w:p>
      <w:pPr>
        <w:pStyle w:val="BodyText"/>
        <w:spacing w:line="240" w:lineRule="auto" w:before="13"/>
        <w:ind w:left="638" w:right="0"/>
        <w:jc w:val="left"/>
      </w:pPr>
      <w:r>
        <w:rPr/>
        <w:t>（</w:t>
      </w:r>
      <w:r>
        <w:rPr>
          <w:rFonts w:ascii="Times New Roman" w:hAnsi="Times New Roman" w:cs="Times New Roman" w:eastAsia="Times New Roman" w:hint="default"/>
        </w:rPr>
        <w:t>1</w:t>
      </w:r>
      <w:r>
        <w:rPr/>
        <w:t>）本期费用化研发投入</w:t>
      </w:r>
      <w:r>
        <w:rPr>
          <w:spacing w:val="-53"/>
        </w:rPr>
        <w:t> </w:t>
      </w:r>
      <w:r>
        <w:rPr>
          <w:rFonts w:ascii="Times New Roman" w:hAnsi="Times New Roman" w:cs="Times New Roman" w:eastAsia="Times New Roman" w:hint="default"/>
        </w:rPr>
        <w:t>3,376.41</w:t>
      </w:r>
      <w:r>
        <w:rPr>
          <w:rFonts w:ascii="Times New Roman" w:hAnsi="Times New Roman" w:cs="Times New Roman" w:eastAsia="Times New Roman" w:hint="default"/>
          <w:spacing w:val="-4"/>
        </w:rPr>
        <w:t> </w:t>
      </w:r>
      <w:r>
        <w:rPr/>
        <w:t>万元，均已计入当期损益。</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532"/>
        <w:gridCol w:w="4532"/>
      </w:tblGrid>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421" w:right="0"/>
              <w:jc w:val="left"/>
              <w:rPr>
                <w:rFonts w:ascii="宋体" w:hAnsi="宋体" w:cs="宋体" w:eastAsia="宋体" w:hint="default"/>
                <w:sz w:val="21"/>
                <w:szCs w:val="21"/>
              </w:rPr>
            </w:pPr>
            <w:r>
              <w:rPr>
                <w:rFonts w:ascii="宋体" w:hAnsi="宋体" w:cs="宋体" w:eastAsia="宋体" w:hint="default"/>
                <w:sz w:val="21"/>
                <w:szCs w:val="21"/>
              </w:rPr>
              <w:t>投入金额（万元）</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云港通平台建设</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280.18</w:t>
            </w:r>
          </w:p>
        </w:tc>
      </w:tr>
      <w:tr>
        <w:trPr>
          <w:trHeight w:val="346"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新一代集装箱码头生产管理系统</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233.03</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物流电商服务平台</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212.91</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轮胎吊油改电首创电缆卷盘式供电新模式</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179.37</w:t>
            </w:r>
          </w:p>
        </w:tc>
      </w:tr>
      <w:tr>
        <w:trPr>
          <w:trHeight w:val="36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集装箱集疏运智能调度算法研究与应用软件</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176.99</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液化码头生产管理系统建设</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156.97</w:t>
            </w:r>
          </w:p>
        </w:tc>
      </w:tr>
      <w:tr>
        <w:trPr>
          <w:trHeight w:val="346"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物资采购及库存管理系统建设</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143.88</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周界入侵探测系统</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122.74</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自动平衡减摇装置系统</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114.86</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件杂货生产管理系统（一期）</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109.47</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五点电磁吊具盘元装卸工艺应用</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107.50</w:t>
            </w:r>
          </w:p>
        </w:tc>
      </w:tr>
      <w:tr>
        <w:trPr>
          <w:trHeight w:val="367"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智能化干散货码头堆场系统</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94.69</w:t>
            </w:r>
          </w:p>
        </w:tc>
      </w:tr>
    </w:tbl>
    <w:p>
      <w:pPr>
        <w:spacing w:line="240" w:lineRule="auto" w:before="0"/>
        <w:rPr>
          <w:rFonts w:ascii="宋体" w:hAnsi="宋体" w:cs="宋体" w:eastAsia="宋体" w:hint="default"/>
          <w:sz w:val="19"/>
          <w:szCs w:val="19"/>
        </w:rPr>
      </w:pPr>
    </w:p>
    <w:p>
      <w:pPr>
        <w:pStyle w:val="BodyText"/>
        <w:spacing w:line="240" w:lineRule="auto" w:before="36"/>
        <w:ind w:left="638" w:right="0"/>
        <w:jc w:val="left"/>
      </w:pPr>
      <w:r>
        <w:rPr/>
        <w:t>（</w:t>
      </w:r>
      <w:r>
        <w:rPr>
          <w:rFonts w:ascii="Times New Roman" w:hAnsi="Times New Roman" w:cs="Times New Roman" w:eastAsia="Times New Roman" w:hint="default"/>
        </w:rPr>
        <w:t>2</w:t>
      </w:r>
      <w:r>
        <w:rPr/>
        <w:t>）本期资本化研发投入</w:t>
      </w:r>
      <w:r>
        <w:rPr>
          <w:spacing w:val="-53"/>
        </w:rPr>
        <w:t> </w:t>
      </w:r>
      <w:r>
        <w:rPr>
          <w:rFonts w:ascii="Times New Roman" w:hAnsi="Times New Roman" w:cs="Times New Roman" w:eastAsia="Times New Roman" w:hint="default"/>
        </w:rPr>
        <w:t>1,386.68</w:t>
      </w:r>
      <w:r>
        <w:rPr>
          <w:rFonts w:ascii="Times New Roman" w:hAnsi="Times New Roman" w:cs="Times New Roman" w:eastAsia="Times New Roman" w:hint="default"/>
          <w:spacing w:val="-4"/>
        </w:rPr>
        <w:t> </w:t>
      </w:r>
      <w:r>
        <w:rPr/>
        <w:t>万元，均已完成。</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489"/>
        <w:gridCol w:w="2362"/>
        <w:gridCol w:w="2228"/>
      </w:tblGrid>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投入金额</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88" w:right="0"/>
              <w:jc w:val="left"/>
              <w:rPr>
                <w:rFonts w:ascii="宋体" w:hAnsi="宋体" w:cs="宋体" w:eastAsia="宋体" w:hint="default"/>
                <w:sz w:val="21"/>
                <w:szCs w:val="21"/>
              </w:rPr>
            </w:pPr>
            <w:r>
              <w:rPr>
                <w:rFonts w:ascii="宋体" w:hAnsi="宋体" w:cs="宋体" w:eastAsia="宋体" w:hint="default"/>
                <w:sz w:val="21"/>
                <w:szCs w:val="21"/>
              </w:rPr>
              <w:t>完成进度</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网络安全升级改造项目</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184.09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青岛港协同办公管理平台升级项目</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169.81</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r>
        <w:trPr>
          <w:trHeight w:val="374"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综合业务管控平台</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z w:val="21"/>
              </w:rPr>
              <w:t>164.15</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z w:val="21"/>
              </w:rPr>
              <w:t>100%</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集装箱码头岸桥智能化理货系统研发</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134.09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集疏运派车平台智能调度算法研究与应用</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131.89</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财务公司业务系统优化项目</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103.87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港口数据烟囱打通工程</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103.40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r>
        <w:trPr>
          <w:trHeight w:val="396"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集团基础网络升级改造项目</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103.20</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974" w:top="1120" w:bottom="1160" w:left="1200" w:right="1180"/>
        </w:sectPr>
      </w:pPr>
    </w:p>
    <w:p>
      <w:pPr>
        <w:pStyle w:val="Heading5"/>
        <w:tabs>
          <w:tab w:pos="638"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259" w:space="5972"/>
            <w:col w:w="129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18"/>
        <w:gridCol w:w="1673"/>
        <w:gridCol w:w="1675"/>
        <w:gridCol w:w="1128"/>
        <w:gridCol w:w="3397"/>
      </w:tblGrid>
      <w:tr>
        <w:trPr>
          <w:trHeight w:val="557"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变动幅度超</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的情况说明</w:t>
            </w:r>
          </w:p>
        </w:tc>
      </w:tr>
      <w:tr>
        <w:trPr>
          <w:trHeight w:val="8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产</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现</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量净额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2,965,989,770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2,291,004,214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29.46%</w:t>
            </w:r>
          </w:p>
        </w:tc>
        <w:tc>
          <w:tcPr>
            <w:tcW w:w="33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现</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流</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-1,976,065,097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-939,575,840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-110.31%</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主要为处置固定资产等收回的现金</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净额较去年同期减少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3.67</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亿元；贷</w:t>
            </w:r>
          </w:p>
        </w:tc>
      </w:tr>
    </w:tbl>
    <w:p>
      <w:pPr>
        <w:spacing w:after="0" w:line="290" w:lineRule="exact"/>
        <w:jc w:val="left"/>
        <w:rPr>
          <w:rFonts w:ascii="宋体" w:hAnsi="宋体" w:cs="宋体" w:eastAsia="宋体"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418"/>
        <w:gridCol w:w="1673"/>
        <w:gridCol w:w="1675"/>
        <w:gridCol w:w="1128"/>
        <w:gridCol w:w="3397"/>
      </w:tblGrid>
      <w:tr>
        <w:trPr>
          <w:trHeight w:val="137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款业务净收回现金比上年同期减少</w:t>
            </w:r>
          </w:p>
          <w:p>
            <w:pPr>
              <w:pStyle w:val="TableParagraph"/>
              <w:spacing w:line="280"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23.14</w:t>
            </w:r>
            <w:r>
              <w:rPr>
                <w:rFonts w:ascii="Times New Roman" w:hAnsi="Times New Roman" w:cs="Times New Roman" w:eastAsia="Times New Roman" w:hint="default"/>
                <w:spacing w:val="26"/>
                <w:sz w:val="21"/>
                <w:szCs w:val="21"/>
              </w:rPr>
              <w:t> </w:t>
            </w:r>
            <w:r>
              <w:rPr>
                <w:rFonts w:ascii="宋体" w:hAnsi="宋体" w:cs="宋体" w:eastAsia="宋体" w:hint="default"/>
                <w:spacing w:val="-8"/>
                <w:sz w:val="21"/>
                <w:szCs w:val="21"/>
              </w:rPr>
              <w:t>亿元；购建固定资产等支付的</w:t>
            </w:r>
          </w:p>
          <w:p>
            <w:pPr>
              <w:pStyle w:val="TableParagraph"/>
              <w:spacing w:line="230"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现金比上年同期减少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6.26</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亿元；本</w:t>
            </w:r>
            <w:r>
              <w:rPr>
                <w:rFonts w:ascii="宋体" w:hAnsi="宋体" w:cs="宋体" w:eastAsia="宋体" w:hint="default"/>
                <w:w w:val="100"/>
                <w:sz w:val="21"/>
                <w:szCs w:val="21"/>
              </w:rPr>
              <w:t> </w:t>
            </w:r>
            <w:r>
              <w:rPr>
                <w:rFonts w:ascii="宋体" w:hAnsi="宋体" w:cs="宋体" w:eastAsia="宋体" w:hint="default"/>
                <w:sz w:val="21"/>
                <w:szCs w:val="21"/>
              </w:rPr>
              <w:t>期购买理财产品净支出比去年同期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tc>
      </w:tr>
      <w:tr>
        <w:trPr>
          <w:trHeight w:val="2189"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9"/>
                <w:sz w:val="21"/>
                <w:szCs w:val="21"/>
              </w:rPr>
              <w:t> </w:t>
            </w:r>
            <w:r>
              <w:rPr>
                <w:rFonts w:ascii="宋体" w:hAnsi="宋体" w:cs="宋体" w:eastAsia="宋体" w:hint="default"/>
                <w:sz w:val="21"/>
                <w:szCs w:val="21"/>
              </w:rPr>
              <w:t>现</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量净额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283" w:right="0"/>
              <w:jc w:val="left"/>
              <w:rPr>
                <w:rFonts w:ascii="Times New Roman" w:hAnsi="Times New Roman" w:cs="Times New Roman" w:eastAsia="Times New Roman" w:hint="default"/>
                <w:sz w:val="21"/>
                <w:szCs w:val="21"/>
              </w:rPr>
            </w:pPr>
            <w:r>
              <w:rPr>
                <w:rFonts w:ascii="Times New Roman"/>
                <w:sz w:val="21"/>
              </w:rPr>
              <w:t>-1,021,983,586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283" w:right="0"/>
              <w:jc w:val="left"/>
              <w:rPr>
                <w:rFonts w:ascii="Times New Roman" w:hAnsi="Times New Roman" w:cs="Times New Roman" w:eastAsia="Times New Roman" w:hint="default"/>
                <w:sz w:val="21"/>
                <w:szCs w:val="21"/>
              </w:rPr>
            </w:pPr>
            <w:r>
              <w:rPr>
                <w:rFonts w:ascii="Times New Roman"/>
                <w:sz w:val="21"/>
              </w:rPr>
              <w:t>-3,754,071,674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367" w:right="0"/>
              <w:jc w:val="left"/>
              <w:rPr>
                <w:rFonts w:ascii="Times New Roman" w:hAnsi="Times New Roman" w:cs="Times New Roman" w:eastAsia="Times New Roman" w:hint="default"/>
                <w:sz w:val="21"/>
                <w:szCs w:val="21"/>
              </w:rPr>
            </w:pPr>
            <w:r>
              <w:rPr>
                <w:rFonts w:ascii="Times New Roman"/>
                <w:sz w:val="21"/>
              </w:rPr>
              <w:t>72.78%</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股发行上市等吸收投资收</w:t>
            </w:r>
          </w:p>
          <w:p>
            <w:pPr>
              <w:pStyle w:val="TableParagraph"/>
              <w:spacing w:line="230"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到的现金比同期增加 </w:t>
            </w:r>
            <w:r>
              <w:rPr>
                <w:rFonts w:ascii="Times New Roman" w:hAnsi="Times New Roman" w:cs="Times New Roman" w:eastAsia="Times New Roman" w:hint="default"/>
                <w:sz w:val="21"/>
                <w:szCs w:val="21"/>
              </w:rPr>
              <w:t>17.56</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青港财务公司吸收存款业务本期净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流入 </w:t>
            </w:r>
            <w:r>
              <w:rPr>
                <w:rFonts w:ascii="Times New Roman" w:hAnsi="Times New Roman" w:cs="Times New Roman" w:eastAsia="Times New Roman" w:hint="default"/>
                <w:sz w:val="21"/>
                <w:szCs w:val="21"/>
              </w:rPr>
              <w:t>8.36 </w:t>
            </w:r>
            <w:r>
              <w:rPr>
                <w:rFonts w:ascii="宋体" w:hAnsi="宋体" w:cs="宋体" w:eastAsia="宋体" w:hint="default"/>
                <w:sz w:val="21"/>
                <w:szCs w:val="21"/>
              </w:rPr>
              <w:t>亿元，上期净流出</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42.84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亿元，导致现金净流入比上年同期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增加 </w:t>
            </w:r>
            <w:r>
              <w:rPr>
                <w:rFonts w:ascii="Times New Roman" w:hAnsi="Times New Roman" w:cs="Times New Roman" w:eastAsia="Times New Roman" w:hint="default"/>
                <w:sz w:val="21"/>
                <w:szCs w:val="21"/>
              </w:rPr>
              <w:t>51.20</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亿元；本期偿还到期债</w:t>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券 </w:t>
            </w:r>
            <w:r>
              <w:rPr>
                <w:rFonts w:ascii="Times New Roman" w:hAnsi="Times New Roman" w:cs="Times New Roman" w:eastAsia="Times New Roman" w:hint="default"/>
                <w:sz w:val="21"/>
                <w:szCs w:val="21"/>
              </w:rPr>
              <w:t>13.83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亿元；分配股利或偿付利</w:t>
            </w:r>
          </w:p>
          <w:p>
            <w:pPr>
              <w:pStyle w:val="TableParagraph"/>
              <w:spacing w:line="282" w:lineRule="exact"/>
              <w:ind w:left="103" w:right="0"/>
              <w:jc w:val="both"/>
              <w:rPr>
                <w:rFonts w:ascii="宋体" w:hAnsi="宋体" w:cs="宋体" w:eastAsia="宋体" w:hint="default"/>
                <w:sz w:val="21"/>
                <w:szCs w:val="21"/>
              </w:rPr>
            </w:pPr>
            <w:r>
              <w:rPr>
                <w:rFonts w:ascii="宋体" w:hAnsi="宋体" w:cs="宋体" w:eastAsia="宋体" w:hint="default"/>
                <w:sz w:val="21"/>
                <w:szCs w:val="21"/>
              </w:rPr>
              <w:t>息支付的现金增加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24.35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974" w:top="1120" w:bottom="1160" w:left="1200" w:right="1180"/>
        </w:sectPr>
      </w:pPr>
    </w:p>
    <w:p>
      <w:pPr>
        <w:spacing w:before="20"/>
        <w:ind w:left="6462" w:right="6709"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92" w:right="0" w:firstLine="0"/>
        <w:rPr>
          <w:rFonts w:ascii="宋体" w:hAnsi="宋体" w:cs="宋体" w:eastAsia="宋体" w:hint="default"/>
          <w:sz w:val="2"/>
          <w:szCs w:val="2"/>
        </w:rPr>
      </w:pPr>
      <w:r>
        <w:rPr>
          <w:rFonts w:ascii="宋体" w:hAnsi="宋体" w:cs="宋体" w:eastAsia="宋体" w:hint="default"/>
          <w:sz w:val="2"/>
          <w:szCs w:val="2"/>
        </w:rPr>
        <w:pict>
          <v:group style="width:694.3pt;height:.75pt;mso-position-horizontal-relative:char;mso-position-vertical-relative:line" coordorigin="0,0" coordsize="13886,15">
            <v:group style="position:absolute;left:7;top:7;width:13872;height:2" coordorigin="7,7" coordsize="13872,2">
              <v:shape style="position:absolute;left:7;top:7;width:13872;height:2" coordorigin="7,7" coordsize="13872,0" path="m7,7l13879,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6"/>
          <w:footerReference w:type="default" r:id="rId17"/>
          <w:pgSz w:w="16840" w:h="11910" w:orient="landscape"/>
          <w:pgMar w:header="0" w:footer="0" w:top="800" w:bottom="280" w:left="1360" w:right="960"/>
        </w:sectPr>
      </w:pPr>
    </w:p>
    <w:p>
      <w:pPr>
        <w:pStyle w:val="Heading5"/>
        <w:tabs>
          <w:tab w:pos="1069" w:val="left" w:leader="none"/>
        </w:tabs>
        <w:spacing w:line="240" w:lineRule="auto" w:before="36"/>
        <w:ind w:left="228"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Heading3"/>
        <w:spacing w:line="240" w:lineRule="auto" w:before="50"/>
        <w:ind w:left="228" w:right="-1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653" w:val="left" w:leader="none"/>
        </w:tabs>
        <w:spacing w:line="240" w:lineRule="auto" w:before="64"/>
        <w:ind w:left="228" w:right="-1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BodyText"/>
        <w:spacing w:line="240" w:lineRule="auto"/>
        <w:ind w:left="22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360" w:right="960"/>
          <w:cols w:num="2" w:equalWidth="0">
            <w:col w:w="2971" w:space="10023"/>
            <w:col w:w="152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88"/>
        <w:gridCol w:w="1596"/>
        <w:gridCol w:w="1136"/>
        <w:gridCol w:w="1702"/>
        <w:gridCol w:w="1274"/>
        <w:gridCol w:w="1419"/>
        <w:gridCol w:w="5670"/>
      </w:tblGrid>
      <w:tr>
        <w:trPr>
          <w:trHeight w:val="1179"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1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6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41" w:right="140"/>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1"/>
              <w:ind w:left="105" w:right="103"/>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77" w:right="175"/>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87" w:lineRule="exact"/>
              <w:ind w:left="4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636"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6,214,206,368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11.77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3,903,247,154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59.21</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00" w:right="93"/>
              <w:jc w:val="left"/>
              <w:rPr>
                <w:rFonts w:ascii="宋体" w:hAnsi="宋体" w:cs="宋体" w:eastAsia="宋体" w:hint="default"/>
                <w:sz w:val="21"/>
                <w:szCs w:val="21"/>
              </w:rPr>
            </w:pPr>
            <w:r>
              <w:rPr>
                <w:rFonts w:ascii="宋体" w:hAnsi="宋体" w:cs="宋体" w:eastAsia="宋体" w:hint="default"/>
                <w:spacing w:val="6"/>
                <w:sz w:val="21"/>
                <w:szCs w:val="21"/>
              </w:rPr>
              <w:t>主要为青港财务公司购买的同业存单及买入返售金融资产</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增加。</w:t>
            </w: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100"/>
              <w:jc w:val="left"/>
              <w:rPr>
                <w:rFonts w:ascii="宋体" w:hAnsi="宋体" w:cs="宋体" w:eastAsia="宋体" w:hint="default"/>
                <w:sz w:val="21"/>
                <w:szCs w:val="21"/>
              </w:rPr>
            </w:pPr>
            <w:r>
              <w:rPr>
                <w:rFonts w:ascii="宋体" w:hAnsi="宋体" w:cs="宋体" w:eastAsia="宋体" w:hint="default"/>
                <w:sz w:val="21"/>
                <w:szCs w:val="21"/>
              </w:rPr>
              <w:t>其他非流动金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融资产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538,096,854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268,580,567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100.35</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主要为青港财务公司购买的金融债券增加。</w:t>
            </w:r>
          </w:p>
        </w:tc>
      </w:tr>
      <w:tr>
        <w:trPr>
          <w:trHeight w:val="36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7,200,531,814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z w:val="21"/>
              </w:rPr>
              <w:t>13.64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5,954,949,541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12.21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z w:val="21"/>
              </w:rPr>
              <w:t>20.92</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主要为青港财务公司吸收成员单位存款增加。</w:t>
            </w:r>
          </w:p>
        </w:tc>
      </w:tr>
      <w:tr>
        <w:trPr>
          <w:trHeight w:val="1726"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非流动负债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235,633,528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3,595,928,706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-93.45</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98"/>
              <w:jc w:val="both"/>
              <w:rPr>
                <w:rFonts w:ascii="宋体" w:hAnsi="宋体" w:cs="宋体" w:eastAsia="宋体" w:hint="default"/>
                <w:sz w:val="21"/>
                <w:szCs w:val="21"/>
              </w:rPr>
            </w:pPr>
            <w:r>
              <w:rPr>
                <w:rFonts w:ascii="宋体" w:hAnsi="宋体" w:cs="宋体" w:eastAsia="宋体" w:hint="default"/>
                <w:spacing w:val="-2"/>
                <w:sz w:val="21"/>
                <w:szCs w:val="21"/>
              </w:rPr>
              <w:t>年初投资者尚未行使回售选择权，本公司不能自主将清偿义</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务展期，因此将应付债券 </w:t>
            </w:r>
            <w:r>
              <w:rPr>
                <w:rFonts w:ascii="Times New Roman" w:hAnsi="Times New Roman" w:cs="Times New Roman" w:eastAsia="Times New Roman" w:hint="default"/>
                <w:sz w:val="21"/>
                <w:szCs w:val="21"/>
              </w:rPr>
              <w:t>35.00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亿元分类至一年内到期的非</w:t>
            </w:r>
          </w:p>
          <w:p>
            <w:pPr>
              <w:pStyle w:val="TableParagraph"/>
              <w:spacing w:line="263" w:lineRule="exact"/>
              <w:ind w:left="100" w:right="0"/>
              <w:jc w:val="both"/>
              <w:rPr>
                <w:rFonts w:ascii="宋体" w:hAnsi="宋体" w:cs="宋体" w:eastAsia="宋体" w:hint="default"/>
                <w:sz w:val="21"/>
                <w:szCs w:val="21"/>
              </w:rPr>
            </w:pPr>
            <w:r>
              <w:rPr>
                <w:rFonts w:ascii="宋体" w:hAnsi="宋体" w:cs="宋体" w:eastAsia="宋体" w:hint="default"/>
                <w:sz w:val="21"/>
                <w:szCs w:val="21"/>
              </w:rPr>
              <w:t>流动负债。于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日，回售选择权已行使完毕，</w:t>
            </w:r>
          </w:p>
          <w:p>
            <w:pPr>
              <w:pStyle w:val="TableParagraph"/>
              <w:spacing w:line="272" w:lineRule="exact" w:before="19"/>
              <w:ind w:left="100" w:right="93"/>
              <w:jc w:val="both"/>
              <w:rPr>
                <w:rFonts w:ascii="宋体" w:hAnsi="宋体" w:cs="宋体" w:eastAsia="宋体" w:hint="default"/>
                <w:sz w:val="21"/>
                <w:szCs w:val="21"/>
              </w:rPr>
            </w:pPr>
            <w:r>
              <w:rPr>
                <w:rFonts w:ascii="宋体" w:hAnsi="宋体" w:cs="宋体" w:eastAsia="宋体" w:hint="default"/>
                <w:sz w:val="21"/>
                <w:szCs w:val="21"/>
              </w:rPr>
              <w:t>部分投资者选择继续持有债券至 </w:t>
            </w: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年到期，因此本公司</w:t>
            </w:r>
            <w:r>
              <w:rPr>
                <w:rFonts w:ascii="宋体" w:hAnsi="宋体" w:cs="宋体" w:eastAsia="宋体" w:hint="default"/>
                <w:w w:val="100"/>
                <w:sz w:val="21"/>
                <w:szCs w:val="21"/>
              </w:rPr>
              <w:t> </w:t>
            </w:r>
            <w:r>
              <w:rPr>
                <w:rFonts w:ascii="宋体" w:hAnsi="宋体" w:cs="宋体" w:eastAsia="宋体" w:hint="default"/>
                <w:spacing w:val="6"/>
                <w:sz w:val="21"/>
                <w:szCs w:val="21"/>
              </w:rPr>
              <w:t>将未到期债券由一年内到期的非流动负债重分类至应付债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券。</w:t>
            </w:r>
          </w:p>
        </w:tc>
      </w:tr>
      <w:tr>
        <w:trPr>
          <w:trHeight w:val="36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2,116,900,000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z w:val="21"/>
              </w:rPr>
              <w:t>4.01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63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43,095,019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530,779,311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-91.88</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0" w:right="99"/>
              <w:jc w:val="left"/>
              <w:rPr>
                <w:rFonts w:ascii="宋体" w:hAnsi="宋体" w:cs="宋体" w:eastAsia="宋体" w:hint="default"/>
                <w:sz w:val="21"/>
                <w:szCs w:val="21"/>
              </w:rPr>
            </w:pPr>
            <w:r>
              <w:rPr>
                <w:rFonts w:ascii="宋体" w:hAnsi="宋体" w:cs="宋体" w:eastAsia="宋体" w:hint="default"/>
                <w:spacing w:val="3"/>
                <w:sz w:val="21"/>
                <w:szCs w:val="21"/>
              </w:rPr>
              <w:t>主要为根据新租赁准则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以融资租赁形式购入资产应支付的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款项，重分类至租赁负债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3.78 </w:t>
            </w:r>
            <w:r>
              <w:rPr>
                <w:rFonts w:ascii="宋体" w:hAnsi="宋体" w:cs="宋体" w:eastAsia="宋体" w:hint="default"/>
                <w:sz w:val="21"/>
                <w:szCs w:val="21"/>
              </w:rPr>
              <w:t>亿元所致。</w:t>
            </w:r>
          </w:p>
        </w:tc>
      </w:tr>
      <w:tr>
        <w:trPr>
          <w:trHeight w:val="36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378,301,316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z w:val="21"/>
              </w:rPr>
              <w:t>0.72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同上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63"/>
        <w:ind w:left="6462" w:right="6687" w:firstLine="0"/>
        <w:jc w:val="center"/>
        <w:rPr>
          <w:rFonts w:ascii="Calibri" w:hAnsi="Calibri" w:cs="Calibri" w:eastAsia="Calibri" w:hint="default"/>
          <w:sz w:val="18"/>
          <w:szCs w:val="18"/>
        </w:rPr>
      </w:pPr>
      <w:r>
        <w:rPr>
          <w:rFonts w:ascii="Calibri"/>
          <w:b/>
          <w:sz w:val="18"/>
        </w:rPr>
        <w:t>17 </w:t>
      </w:r>
      <w:r>
        <w:rPr>
          <w:rFonts w:ascii="Calibri"/>
          <w:sz w:val="18"/>
        </w:rPr>
        <w:t>/</w:t>
      </w:r>
      <w:r>
        <w:rPr>
          <w:rFonts w:ascii="Calibri"/>
          <w:spacing w:val="-4"/>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360" w:right="96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footerReference w:type="default" r:id="rId18"/>
          <w:pgSz w:w="11910" w:h="16840"/>
          <w:pgMar w:footer="974" w:header="0" w:top="1120" w:bottom="1160" w:left="1160" w:right="1160"/>
          <w:pgNumType w:start="18"/>
        </w:sectPr>
      </w:pPr>
    </w:p>
    <w:p>
      <w:pPr>
        <w:pStyle w:val="Heading5"/>
        <w:tabs>
          <w:tab w:pos="683" w:val="left" w:leader="none"/>
        </w:tabs>
        <w:spacing w:line="240" w:lineRule="auto" w:before="36"/>
        <w:ind w:left="258"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60" w:right="1160"/>
          <w:cols w:num="2" w:equalWidth="0">
            <w:col w:w="3742" w:space="3017"/>
            <w:col w:w="2831"/>
          </w:cols>
        </w:sectPr>
      </w:pP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68"/>
        <w:gridCol w:w="2808"/>
        <w:gridCol w:w="3327"/>
      </w:tblGrid>
      <w:tr>
        <w:trPr>
          <w:trHeight w:val="598"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696"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43" w:right="0"/>
              <w:jc w:val="left"/>
              <w:rPr>
                <w:rFonts w:ascii="Times New Roman" w:hAnsi="Times New Roman" w:cs="Times New Roman" w:eastAsia="Times New Roman" w:hint="default"/>
                <w:sz w:val="21"/>
                <w:szCs w:val="21"/>
              </w:rPr>
            </w:pPr>
            <w:r>
              <w:rPr>
                <w:rFonts w:ascii="Times New Roman"/>
                <w:sz w:val="21"/>
              </w:rPr>
              <w:t>722,377,766</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101"/>
              <w:jc w:val="left"/>
              <w:rPr>
                <w:rFonts w:ascii="宋体" w:hAnsi="宋体" w:cs="宋体" w:eastAsia="宋体" w:hint="default"/>
                <w:sz w:val="21"/>
                <w:szCs w:val="21"/>
              </w:rPr>
            </w:pPr>
            <w:r>
              <w:rPr>
                <w:rFonts w:ascii="宋体" w:hAnsi="宋体" w:cs="宋体" w:eastAsia="宋体" w:hint="default"/>
                <w:spacing w:val="-5"/>
                <w:sz w:val="21"/>
                <w:szCs w:val="21"/>
              </w:rPr>
              <w:t>系存款准备金，承兑汇票、信用证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及保函保证金</w:t>
            </w:r>
            <w:r>
              <w:rPr>
                <w:rFonts w:ascii="宋体" w:hAnsi="宋体" w:cs="宋体" w:eastAsia="宋体" w:hint="default"/>
                <w:sz w:val="21"/>
                <w:szCs w:val="21"/>
              </w:rPr>
              <w:t> </w:t>
            </w:r>
          </w:p>
        </w:tc>
      </w:tr>
    </w:tbl>
    <w:p>
      <w:pPr>
        <w:pStyle w:val="BodyText"/>
        <w:spacing w:line="241" w:lineRule="exact"/>
        <w:ind w:left="258" w:right="0"/>
        <w:jc w:val="left"/>
        <w:rPr>
          <w:rFonts w:ascii="宋体" w:hAnsi="宋体" w:cs="宋体" w:eastAsia="宋体" w:hint="default"/>
        </w:rPr>
      </w:pPr>
      <w:r>
        <w:rPr>
          <w:rFonts w:ascii="宋体"/>
          <w:w w:val="100"/>
        </w:rPr>
        <w:t> </w:t>
      </w:r>
    </w:p>
    <w:p>
      <w:pPr>
        <w:pStyle w:val="Heading5"/>
        <w:tabs>
          <w:tab w:pos="683" w:val="left" w:leader="none"/>
        </w:tabs>
        <w:spacing w:line="240" w:lineRule="auto"/>
        <w:ind w:left="25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5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5"/>
        <w:tabs>
          <w:tab w:pos="1098" w:val="left" w:leader="none"/>
        </w:tabs>
        <w:spacing w:line="240" w:lineRule="auto" w:before="59"/>
        <w:ind w:left="25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307" w:lineRule="auto" w:before="56"/>
        <w:ind w:left="67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详见本报告“第三节公司业务概要——一、报告期内公司所从事的主要业务、经营模式及行业</w:t>
      </w:r>
    </w:p>
    <w:p>
      <w:pPr>
        <w:pStyle w:val="BodyText"/>
        <w:spacing w:line="240" w:lineRule="auto" w:before="26"/>
        <w:ind w:left="258" w:right="0"/>
        <w:jc w:val="left"/>
        <w:rPr>
          <w:rFonts w:ascii="宋体" w:hAnsi="宋体" w:cs="宋体" w:eastAsia="宋体" w:hint="default"/>
        </w:rPr>
      </w:pPr>
      <w:r>
        <w:rPr>
          <w:w w:val="100"/>
        </w:rPr>
        <w:t>情况</w:t>
      </w:r>
      <w:r>
        <w:rPr>
          <w:spacing w:val="-3"/>
          <w:w w:val="100"/>
        </w:rPr>
        <w:t>说</w:t>
      </w:r>
      <w:r>
        <w:rPr>
          <w:spacing w:val="-1"/>
          <w:w w:val="100"/>
        </w:rPr>
        <w:t>明</w:t>
      </w:r>
      <w:r>
        <w:rPr>
          <w:spacing w:val="-3"/>
          <w:w w:val="100"/>
        </w:rPr>
        <w:t>—</w:t>
      </w:r>
      <w:r>
        <w:rPr>
          <w:w w:val="100"/>
        </w:rPr>
        <w:t>—</w:t>
      </w:r>
      <w:r>
        <w:rPr>
          <w:spacing w:val="-3"/>
          <w:w w:val="100"/>
        </w:rPr>
        <w:t>（</w:t>
      </w:r>
      <w:r>
        <w:rPr>
          <w:w w:val="100"/>
        </w:rPr>
        <w:t>二</w:t>
      </w:r>
      <w:r>
        <w:rPr>
          <w:spacing w:val="-3"/>
          <w:w w:val="100"/>
        </w:rPr>
        <w:t>）</w:t>
      </w:r>
      <w:r>
        <w:rPr>
          <w:w w:val="100"/>
        </w:rPr>
        <w:t>行</w:t>
      </w:r>
      <w:r>
        <w:rPr>
          <w:spacing w:val="-3"/>
          <w:w w:val="100"/>
        </w:rPr>
        <w:t>业</w:t>
      </w:r>
      <w:r>
        <w:rPr>
          <w:w w:val="100"/>
        </w:rPr>
        <w:t>情况</w:t>
      </w:r>
      <w:r>
        <w:rPr>
          <w:spacing w:val="-3"/>
          <w:w w:val="100"/>
        </w:rPr>
        <w:t>说</w:t>
      </w:r>
      <w:r>
        <w:rPr>
          <w:w w:val="100"/>
        </w:rPr>
        <w:t>明</w:t>
      </w:r>
      <w:r>
        <w:rPr>
          <w:rFonts w:ascii="宋体" w:hAnsi="宋体" w:cs="宋体" w:eastAsia="宋体" w:hint="default"/>
          <w:spacing w:val="-3"/>
          <w:w w:val="100"/>
        </w:rPr>
        <w:t>/</w:t>
      </w:r>
      <w:r>
        <w:rPr>
          <w:w w:val="100"/>
        </w:rPr>
        <w:t>行</w:t>
      </w:r>
      <w:r>
        <w:rPr>
          <w:spacing w:val="-3"/>
          <w:w w:val="100"/>
        </w:rPr>
        <w:t>业</w:t>
      </w:r>
      <w:r>
        <w:rPr>
          <w:w w:val="100"/>
        </w:rPr>
        <w:t>的</w:t>
      </w:r>
      <w:r>
        <w:rPr>
          <w:spacing w:val="-3"/>
          <w:w w:val="100"/>
        </w:rPr>
        <w:t>发</w:t>
      </w:r>
      <w:r>
        <w:rPr>
          <w:w w:val="100"/>
        </w:rPr>
        <w:t>展</w:t>
      </w:r>
      <w:r>
        <w:rPr>
          <w:spacing w:val="-3"/>
          <w:w w:val="100"/>
        </w:rPr>
        <w:t>阶段</w:t>
      </w:r>
      <w:r>
        <w:rPr>
          <w:w w:val="100"/>
        </w:rPr>
        <w:t>、周</w:t>
      </w:r>
      <w:r>
        <w:rPr>
          <w:spacing w:val="-3"/>
          <w:w w:val="100"/>
        </w:rPr>
        <w:t>期</w:t>
      </w:r>
      <w:r>
        <w:rPr>
          <w:w w:val="100"/>
        </w:rPr>
        <w:t>性</w:t>
      </w:r>
      <w:r>
        <w:rPr>
          <w:spacing w:val="-3"/>
          <w:w w:val="100"/>
        </w:rPr>
        <w:t>特</w:t>
      </w:r>
      <w:r>
        <w:rPr>
          <w:spacing w:val="2"/>
          <w:w w:val="100"/>
        </w:rPr>
        <w:t>点</w:t>
      </w:r>
      <w:r>
        <w:rPr>
          <w:w w:val="100"/>
        </w:rPr>
        <w:t>以</w:t>
      </w:r>
      <w:r>
        <w:rPr>
          <w:spacing w:val="2"/>
          <w:w w:val="100"/>
        </w:rPr>
        <w:t>及</w:t>
      </w:r>
      <w:r>
        <w:rPr>
          <w:w w:val="100"/>
        </w:rPr>
        <w:t>公</w:t>
      </w:r>
      <w:r>
        <w:rPr>
          <w:spacing w:val="2"/>
          <w:w w:val="100"/>
        </w:rPr>
        <w:t>司</w:t>
      </w:r>
      <w:r>
        <w:rPr>
          <w:w w:val="100"/>
        </w:rPr>
        <w:t>所</w:t>
      </w:r>
      <w:r>
        <w:rPr>
          <w:spacing w:val="2"/>
          <w:w w:val="100"/>
        </w:rPr>
        <w:t>处的</w:t>
      </w:r>
      <w:r>
        <w:rPr>
          <w:w w:val="100"/>
        </w:rPr>
        <w:t>行</w:t>
      </w:r>
      <w:r>
        <w:rPr>
          <w:spacing w:val="2"/>
          <w:w w:val="100"/>
        </w:rPr>
        <w:t>业</w:t>
      </w:r>
      <w:r>
        <w:rPr>
          <w:w w:val="100"/>
        </w:rPr>
        <w:t>地</w:t>
      </w:r>
      <w:r>
        <w:rPr>
          <w:spacing w:val="4"/>
          <w:w w:val="100"/>
        </w:rPr>
        <w:t>位</w:t>
      </w:r>
      <w:r>
        <w:rPr>
          <w:w w:val="100"/>
        </w:rPr>
        <w:t>”</w:t>
      </w:r>
      <w:r>
        <w:rPr>
          <w:spacing w:val="2"/>
          <w:w w:val="100"/>
        </w:rPr>
        <w:t>部</w:t>
      </w:r>
      <w:r>
        <w:rPr>
          <w:w w:val="100"/>
        </w:rPr>
        <w:t>分</w:t>
      </w:r>
      <w:r>
        <w:rPr>
          <w:spacing w:val="-106"/>
          <w:w w:val="100"/>
        </w:rPr>
        <w:t>。</w:t>
      </w:r>
      <w:r>
        <w:rPr>
          <w:rFonts w:ascii="宋体" w:hAnsi="宋体" w:cs="宋体" w:eastAsia="宋体" w:hint="default"/>
          <w:w w:val="100"/>
        </w:rPr>
        <w:t> </w:t>
      </w:r>
    </w:p>
    <w:p>
      <w:pPr>
        <w:pStyle w:val="BodyText"/>
        <w:spacing w:line="240" w:lineRule="auto" w:before="8"/>
        <w:ind w:left="678" w:right="0"/>
        <w:jc w:val="left"/>
        <w:rPr>
          <w:rFonts w:ascii="宋体" w:hAnsi="宋体" w:cs="宋体" w:eastAsia="宋体" w:hint="default"/>
        </w:rPr>
      </w:pPr>
      <w:r>
        <w:rPr>
          <w:rFonts w:ascii="宋体"/>
          <w:w w:val="100"/>
        </w:rPr>
        <w:t> </w:t>
      </w:r>
    </w:p>
    <w:p>
      <w:pPr>
        <w:pStyle w:val="Heading5"/>
        <w:tabs>
          <w:tab w:pos="1098" w:val="left" w:leader="none"/>
        </w:tabs>
        <w:spacing w:line="240" w:lineRule="auto"/>
        <w:ind w:left="258"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5"/>
        <w:spacing w:line="240" w:lineRule="auto" w:before="58"/>
        <w:ind w:left="25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48"/>
        <w:jc w:val="righ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671"/>
        <w:gridCol w:w="4669"/>
      </w:tblGrid>
      <w:tr>
        <w:trPr>
          <w:trHeight w:val="410"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b/>
                <w:bCs/>
                <w:sz w:val="21"/>
                <w:szCs w:val="21"/>
              </w:rPr>
              <w:t>报告期内投资额</w:t>
            </w:r>
            <w:r>
              <w:rPr>
                <w:rFonts w:ascii="宋体" w:hAnsi="宋体" w:cs="宋体" w:eastAsia="宋体" w:hint="default"/>
                <w:w w:val="100"/>
                <w:sz w:val="21"/>
                <w:szCs w:val="21"/>
              </w:rPr>
              <w:t> </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65,849.32</w:t>
            </w:r>
          </w:p>
        </w:tc>
      </w:tr>
      <w:tr>
        <w:trPr>
          <w:trHeight w:val="41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b/>
                <w:bCs/>
                <w:sz w:val="21"/>
                <w:szCs w:val="21"/>
              </w:rPr>
              <w:t>投资额增减变动数</w:t>
            </w:r>
            <w:r>
              <w:rPr>
                <w:rFonts w:ascii="宋体" w:hAnsi="宋体" w:cs="宋体" w:eastAsia="宋体" w:hint="default"/>
                <w:w w:val="100"/>
                <w:sz w:val="21"/>
                <w:szCs w:val="21"/>
              </w:rPr>
              <w:t> </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-28,331.73</w:t>
            </w:r>
          </w:p>
        </w:tc>
      </w:tr>
      <w:tr>
        <w:trPr>
          <w:trHeight w:val="410"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b/>
                <w:bCs/>
                <w:sz w:val="21"/>
                <w:szCs w:val="21"/>
              </w:rPr>
              <w:t>上年同期投资额</w:t>
            </w:r>
            <w:r>
              <w:rPr>
                <w:rFonts w:ascii="宋体" w:hAnsi="宋体" w:cs="宋体" w:eastAsia="宋体" w:hint="default"/>
                <w:w w:val="100"/>
                <w:sz w:val="21"/>
                <w:szCs w:val="21"/>
              </w:rPr>
              <w:t> </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21"/>
                <w:szCs w:val="21"/>
              </w:rPr>
            </w:pPr>
            <w:r>
              <w:rPr>
                <w:rFonts w:ascii="Times New Roman"/>
                <w:spacing w:val="-1"/>
                <w:sz w:val="21"/>
              </w:rPr>
              <w:t>94,181.05</w:t>
            </w:r>
          </w:p>
        </w:tc>
      </w:tr>
      <w:tr>
        <w:trPr>
          <w:trHeight w:val="410"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b/>
                <w:bCs/>
                <w:sz w:val="21"/>
                <w:szCs w:val="21"/>
              </w:rPr>
              <w:t>投资额增减幅度</w:t>
            </w:r>
            <w:r>
              <w:rPr>
                <w:rFonts w:ascii="宋体" w:hAnsi="宋体" w:cs="宋体" w:eastAsia="宋体" w:hint="default"/>
                <w:w w:val="100"/>
                <w:sz w:val="21"/>
                <w:szCs w:val="21"/>
              </w:rPr>
              <w:t> </w:t>
            </w:r>
          </w:p>
        </w:tc>
        <w:tc>
          <w:tcPr>
            <w:tcW w:w="4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Times New Roman" w:hAnsi="Times New Roman" w:cs="Times New Roman" w:eastAsia="Times New Roman" w:hint="default"/>
                <w:sz w:val="21"/>
                <w:szCs w:val="21"/>
              </w:rPr>
            </w:pPr>
            <w:r>
              <w:rPr>
                <w:rFonts w:ascii="Times New Roman"/>
                <w:spacing w:val="-1"/>
                <w:sz w:val="21"/>
              </w:rPr>
              <w:t>-30.08%</w:t>
            </w:r>
          </w:p>
        </w:tc>
      </w:tr>
    </w:tbl>
    <w:p>
      <w:pPr>
        <w:pStyle w:val="Heading3"/>
        <w:spacing w:line="274" w:lineRule="exact"/>
        <w:ind w:left="258" w:right="0"/>
        <w:jc w:val="left"/>
        <w:rPr>
          <w:rFonts w:ascii="宋体" w:hAnsi="宋体" w:cs="宋体" w:eastAsia="宋体" w:hint="default"/>
        </w:rPr>
      </w:pPr>
      <w:r>
        <w:rPr>
          <w:rFonts w:ascii="宋体"/>
        </w:rPr>
        <w:t> </w:t>
      </w:r>
    </w:p>
    <w:p>
      <w:pPr>
        <w:pStyle w:val="BodyText"/>
        <w:spacing w:line="240" w:lineRule="auto" w:before="1"/>
        <w:ind w:left="258" w:right="0"/>
        <w:jc w:val="left"/>
        <w:rPr>
          <w:rFonts w:ascii="宋体" w:hAnsi="宋体" w:cs="宋体" w:eastAsia="宋体" w:hint="default"/>
        </w:rPr>
      </w:pPr>
      <w:r>
        <w:rPr/>
        <w:t>报告期主要对外股权投资情况如下：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93"/>
        <w:gridCol w:w="2053"/>
        <w:gridCol w:w="1135"/>
        <w:gridCol w:w="4679"/>
      </w:tblGrid>
      <w:tr>
        <w:trPr>
          <w:trHeight w:val="65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528" w:right="105" w:hanging="420"/>
              <w:jc w:val="left"/>
              <w:rPr>
                <w:rFonts w:ascii="宋体" w:hAnsi="宋体" w:cs="宋体" w:eastAsia="宋体" w:hint="default"/>
                <w:sz w:val="21"/>
                <w:szCs w:val="21"/>
              </w:rPr>
            </w:pPr>
            <w:r>
              <w:rPr>
                <w:rFonts w:ascii="宋体" w:hAnsi="宋体" w:cs="宋体" w:eastAsia="宋体" w:hint="default"/>
                <w:b/>
                <w:bCs/>
                <w:sz w:val="21"/>
                <w:szCs w:val="21"/>
              </w:rPr>
              <w:t>被投资的公司</w:t>
            </w:r>
            <w:r>
              <w:rPr>
                <w:rFonts w:ascii="宋体" w:hAnsi="宋体" w:cs="宋体" w:eastAsia="宋体" w:hint="default"/>
                <w:b/>
                <w:bCs/>
                <w:spacing w:val="-104"/>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6"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39" w:right="139"/>
              <w:jc w:val="left"/>
              <w:rPr>
                <w:rFonts w:ascii="宋体" w:hAnsi="宋体" w:cs="宋体" w:eastAsia="宋体" w:hint="default"/>
                <w:sz w:val="21"/>
                <w:szCs w:val="21"/>
              </w:rPr>
            </w:pPr>
            <w:r>
              <w:rPr>
                <w:rFonts w:ascii="宋体" w:hAnsi="宋体" w:cs="宋体" w:eastAsia="宋体" w:hint="default"/>
                <w:b/>
                <w:bCs/>
                <w:sz w:val="21"/>
                <w:szCs w:val="21"/>
              </w:rPr>
              <w:t>报告期末</w:t>
            </w:r>
            <w:r>
              <w:rPr>
                <w:rFonts w:ascii="宋体" w:hAnsi="宋体" w:cs="宋体" w:eastAsia="宋体" w:hint="default"/>
                <w:b/>
                <w:bCs/>
                <w:w w:val="100"/>
                <w:sz w:val="21"/>
                <w:szCs w:val="21"/>
              </w:rPr>
              <w:t> </w:t>
            </w:r>
            <w:r>
              <w:rPr>
                <w:rFonts w:ascii="宋体" w:hAnsi="宋体" w:cs="宋体" w:eastAsia="宋体" w:hint="default"/>
                <w:b/>
                <w:bCs/>
                <w:sz w:val="21"/>
                <w:szCs w:val="21"/>
              </w:rPr>
              <w:t>持股比例</w:t>
            </w:r>
            <w:r>
              <w:rPr>
                <w:rFonts w:ascii="宋体" w:hAnsi="宋体" w:cs="宋体" w:eastAsia="宋体" w:hint="default"/>
                <w:sz w:val="21"/>
                <w:szCs w:val="21"/>
              </w:rPr>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24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p>
          <w:p>
            <w:pPr>
              <w:pStyle w:val="TableParagraph"/>
              <w:spacing w:line="278" w:lineRule="auto" w:before="44"/>
              <w:ind w:left="103" w:right="102"/>
              <w:jc w:val="left"/>
              <w:rPr>
                <w:rFonts w:ascii="宋体" w:hAnsi="宋体" w:cs="宋体" w:eastAsia="宋体" w:hint="default"/>
                <w:sz w:val="21"/>
                <w:szCs w:val="21"/>
              </w:rPr>
            </w:pPr>
            <w:r>
              <w:rPr>
                <w:rFonts w:ascii="宋体" w:hAnsi="宋体" w:cs="宋体" w:eastAsia="宋体" w:hint="default"/>
                <w:sz w:val="21"/>
                <w:szCs w:val="21"/>
              </w:rPr>
              <w:t>（阿布扎比）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68" w:lineRule="auto" w:before="93"/>
              <w:ind w:left="100" w:right="17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CSPAbuDhabiTermi</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pacing w:val="-40"/>
                <w:sz w:val="21"/>
                <w:szCs w:val="21"/>
              </w:rPr>
            </w:r>
            <w:r>
              <w:rPr>
                <w:rFonts w:ascii="Times New Roman" w:hAnsi="Times New Roman" w:cs="Times New Roman" w:eastAsia="Times New Roman" w:hint="default"/>
                <w:sz w:val="21"/>
                <w:szCs w:val="21"/>
              </w:rPr>
              <w:t>nalL.L.C </w:t>
            </w:r>
            <w:r>
              <w:rPr>
                <w:rFonts w:ascii="宋体" w:hAnsi="宋体" w:cs="宋体" w:eastAsia="宋体" w:hint="default"/>
                <w:sz w:val="21"/>
                <w:szCs w:val="21"/>
              </w:rPr>
              <w:t>股权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33.335%</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3"/>
              <w:jc w:val="left"/>
              <w:rPr>
                <w:rFonts w:ascii="宋体" w:hAnsi="宋体" w:cs="宋体" w:eastAsia="宋体" w:hint="default"/>
                <w:sz w:val="21"/>
                <w:szCs w:val="21"/>
              </w:rPr>
            </w:pPr>
            <w:r>
              <w:rPr>
                <w:rFonts w:ascii="宋体" w:hAnsi="宋体" w:cs="宋体" w:eastAsia="宋体" w:hint="default"/>
                <w:sz w:val="21"/>
                <w:szCs w:val="21"/>
              </w:rPr>
              <w:t>本公司全资子公司青岛港国际发展（香港）有限</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5"/>
                <w:sz w:val="21"/>
                <w:szCs w:val="21"/>
              </w:rPr>
              <w:t>公司以 </w:t>
            </w:r>
            <w:r>
              <w:rPr>
                <w:rFonts w:ascii="Times New Roman" w:hAnsi="Times New Roman" w:cs="Times New Roman" w:eastAsia="Times New Roman" w:hint="default"/>
                <w:sz w:val="21"/>
                <w:szCs w:val="21"/>
              </w:rPr>
              <w:t>59,276,030  </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美元对价收购中远海运港口</w:t>
            </w:r>
          </w:p>
          <w:p>
            <w:pPr>
              <w:pStyle w:val="TableParagraph"/>
              <w:spacing w:line="268" w:lineRule="auto"/>
              <w:ind w:left="100" w:right="-3"/>
              <w:jc w:val="both"/>
              <w:rPr>
                <w:rFonts w:ascii="宋体" w:hAnsi="宋体" w:cs="宋体" w:eastAsia="宋体" w:hint="default"/>
                <w:sz w:val="21"/>
                <w:szCs w:val="21"/>
              </w:rPr>
            </w:pPr>
            <w:r>
              <w:rPr>
                <w:rFonts w:ascii="宋体" w:hAnsi="宋体" w:cs="宋体" w:eastAsia="宋体" w:hint="default"/>
                <w:sz w:val="21"/>
                <w:szCs w:val="21"/>
              </w:rPr>
              <w:t>（阿布扎比）有限公司 </w:t>
            </w:r>
            <w:r>
              <w:rPr>
                <w:rFonts w:ascii="Times New Roman" w:hAnsi="Times New Roman" w:cs="Times New Roman" w:eastAsia="Times New Roman" w:hint="default"/>
                <w:sz w:val="21"/>
                <w:szCs w:val="21"/>
              </w:rPr>
              <w:t>33.335%</w:t>
            </w:r>
            <w:r>
              <w:rPr>
                <w:rFonts w:ascii="宋体" w:hAnsi="宋体" w:cs="宋体" w:eastAsia="宋体" w:hint="default"/>
                <w:sz w:val="21"/>
                <w:szCs w:val="21"/>
              </w:rPr>
              <w:t>股权。完成收购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后</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青</w:t>
            </w:r>
            <w:r>
              <w:rPr>
                <w:rFonts w:ascii="宋体" w:hAnsi="宋体" w:cs="宋体" w:eastAsia="宋体" w:hint="default"/>
                <w:spacing w:val="-77"/>
                <w:sz w:val="21"/>
                <w:szCs w:val="21"/>
              </w:rPr>
              <w:t> </w:t>
            </w:r>
            <w:r>
              <w:rPr>
                <w:rFonts w:ascii="宋体" w:hAnsi="宋体" w:cs="宋体" w:eastAsia="宋体" w:hint="default"/>
                <w:spacing w:val="11"/>
                <w:sz w:val="21"/>
                <w:szCs w:val="21"/>
              </w:rPr>
              <w:t>岛港</w:t>
            </w:r>
            <w:r>
              <w:rPr>
                <w:rFonts w:ascii="宋体" w:hAnsi="宋体" w:cs="宋体" w:eastAsia="宋体" w:hint="default"/>
                <w:spacing w:val="-77"/>
                <w:sz w:val="21"/>
                <w:szCs w:val="21"/>
              </w:rPr>
              <w:t> </w:t>
            </w:r>
            <w:r>
              <w:rPr>
                <w:rFonts w:ascii="宋体" w:hAnsi="宋体" w:cs="宋体" w:eastAsia="宋体" w:hint="default"/>
                <w:spacing w:val="14"/>
                <w:sz w:val="21"/>
                <w:szCs w:val="21"/>
              </w:rPr>
              <w:t>国际（</w:t>
            </w:r>
            <w:r>
              <w:rPr>
                <w:rFonts w:ascii="宋体" w:hAnsi="宋体" w:cs="宋体" w:eastAsia="宋体" w:hint="default"/>
                <w:spacing w:val="-77"/>
                <w:sz w:val="21"/>
                <w:szCs w:val="21"/>
              </w:rPr>
              <w:t> </w:t>
            </w:r>
            <w:r>
              <w:rPr>
                <w:rFonts w:ascii="宋体" w:hAnsi="宋体" w:cs="宋体" w:eastAsia="宋体" w:hint="default"/>
                <w:spacing w:val="14"/>
                <w:sz w:val="21"/>
                <w:szCs w:val="21"/>
              </w:rPr>
              <w:t>香港）</w:t>
            </w:r>
            <w:r>
              <w:rPr>
                <w:rFonts w:ascii="宋体" w:hAnsi="宋体" w:cs="宋体" w:eastAsia="宋体" w:hint="default"/>
                <w:spacing w:val="-77"/>
                <w:sz w:val="21"/>
                <w:szCs w:val="21"/>
              </w:rPr>
              <w:t> </w:t>
            </w:r>
            <w:r>
              <w:rPr>
                <w:rFonts w:ascii="宋体" w:hAnsi="宋体" w:cs="宋体" w:eastAsia="宋体" w:hint="default"/>
                <w:spacing w:val="11"/>
                <w:sz w:val="21"/>
                <w:szCs w:val="21"/>
              </w:rPr>
              <w:t>发展</w:t>
            </w:r>
            <w:r>
              <w:rPr>
                <w:rFonts w:ascii="宋体" w:hAnsi="宋体" w:cs="宋体" w:eastAsia="宋体" w:hint="default"/>
                <w:spacing w:val="-77"/>
                <w:sz w:val="21"/>
                <w:szCs w:val="21"/>
              </w:rPr>
              <w:t> </w:t>
            </w:r>
            <w:r>
              <w:rPr>
                <w:rFonts w:ascii="宋体" w:hAnsi="宋体" w:cs="宋体" w:eastAsia="宋体" w:hint="default"/>
                <w:spacing w:val="11"/>
                <w:sz w:val="21"/>
                <w:szCs w:val="21"/>
              </w:rPr>
              <w:t>有限</w:t>
            </w:r>
            <w:r>
              <w:rPr>
                <w:rFonts w:ascii="宋体" w:hAnsi="宋体" w:cs="宋体" w:eastAsia="宋体" w:hint="default"/>
                <w:spacing w:val="-77"/>
                <w:sz w:val="21"/>
                <w:szCs w:val="21"/>
              </w:rPr>
              <w:t> </w:t>
            </w:r>
            <w:r>
              <w:rPr>
                <w:rFonts w:ascii="宋体" w:hAnsi="宋体" w:cs="宋体" w:eastAsia="宋体" w:hint="default"/>
                <w:spacing w:val="14"/>
                <w:sz w:val="21"/>
                <w:szCs w:val="21"/>
              </w:rPr>
              <w:t>公司持</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Times New Roman" w:hAnsi="Times New Roman" w:cs="Times New Roman" w:eastAsia="Times New Roman" w:hint="default"/>
                <w:sz w:val="21"/>
                <w:szCs w:val="21"/>
              </w:rPr>
              <w:t>33.335%</w:t>
            </w:r>
            <w:r>
              <w:rPr>
                <w:rFonts w:ascii="宋体" w:hAnsi="宋体" w:cs="宋体" w:eastAsia="宋体" w:hint="default"/>
                <w:sz w:val="21"/>
                <w:szCs w:val="21"/>
              </w:rPr>
              <w:t>；中远海运港口有限公司持股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66.665%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14"/>
                <w:sz w:val="21"/>
                <w:szCs w:val="21"/>
              </w:rPr>
              <w:t>日，青岛港国际发展（香港）</w:t>
            </w:r>
            <w:r>
              <w:rPr>
                <w:rFonts w:ascii="宋体" w:hAnsi="宋体" w:cs="宋体" w:eastAsia="宋体" w:hint="default"/>
                <w:w w:val="100"/>
                <w:sz w:val="21"/>
                <w:szCs w:val="21"/>
              </w:rPr>
              <w:t> </w:t>
            </w:r>
            <w:r>
              <w:rPr>
                <w:rFonts w:ascii="宋体" w:hAnsi="宋体" w:cs="宋体" w:eastAsia="宋体" w:hint="default"/>
                <w:sz w:val="21"/>
                <w:szCs w:val="21"/>
              </w:rPr>
              <w:t>有限公司尚未实际支付股权收购款。</w:t>
            </w:r>
          </w:p>
        </w:tc>
      </w:tr>
      <w:tr>
        <w:trPr>
          <w:trHeight w:val="1932"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8" w:lineRule="auto"/>
              <w:ind w:left="103" w:right="102"/>
              <w:jc w:val="left"/>
              <w:rPr>
                <w:rFonts w:ascii="宋体" w:hAnsi="宋体" w:cs="宋体" w:eastAsia="宋体" w:hint="default"/>
                <w:sz w:val="21"/>
                <w:szCs w:val="21"/>
              </w:rPr>
            </w:pPr>
            <w:r>
              <w:rPr>
                <w:rFonts w:ascii="宋体" w:hAnsi="宋体" w:cs="宋体" w:eastAsia="宋体" w:hint="default"/>
                <w:sz w:val="21"/>
                <w:szCs w:val="21"/>
              </w:rPr>
              <w:t>青岛振华石油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仓储有限公司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both"/>
              <w:rPr>
                <w:rFonts w:ascii="宋体" w:hAnsi="宋体" w:cs="宋体" w:eastAsia="宋体" w:hint="default"/>
                <w:sz w:val="21"/>
                <w:szCs w:val="21"/>
              </w:rPr>
            </w:pPr>
            <w:r>
              <w:rPr>
                <w:rFonts w:ascii="宋体" w:hAnsi="宋体" w:cs="宋体" w:eastAsia="宋体" w:hint="default"/>
                <w:spacing w:val="17"/>
                <w:sz w:val="21"/>
                <w:szCs w:val="21"/>
              </w:rPr>
              <w:t>石油仓储项目筹建</w:t>
            </w:r>
          </w:p>
          <w:p>
            <w:pPr>
              <w:pStyle w:val="TableParagraph"/>
              <w:spacing w:line="278" w:lineRule="auto" w:before="46"/>
              <w:ind w:left="100"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6"/>
                <w:sz w:val="21"/>
                <w:szCs w:val="21"/>
              </w:rPr>
              <w:t>筹建期内不得开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展经营活动）；货物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仓储（不含冷库、不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7"/>
                <w:sz w:val="21"/>
                <w:szCs w:val="21"/>
              </w:rPr>
              <w:t>含危险化学品及一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类易制毒化学品）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72"/>
              <w:ind w:left="100" w:right="98"/>
              <w:jc w:val="both"/>
              <w:rPr>
                <w:rFonts w:ascii="宋体" w:hAnsi="宋体" w:cs="宋体" w:eastAsia="宋体" w:hint="default"/>
                <w:sz w:val="21"/>
                <w:szCs w:val="21"/>
              </w:rPr>
            </w:pPr>
            <w:r>
              <w:rPr>
                <w:rFonts w:ascii="宋体" w:hAnsi="宋体" w:cs="宋体" w:eastAsia="宋体" w:hint="default"/>
                <w:sz w:val="21"/>
                <w:szCs w:val="21"/>
              </w:rPr>
              <w:t>本公司与振华石油有限公司共同成立青岛振华石</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油仓储有限公司，注册资本人民币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其中：本公司持股</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，振华石油有限公司持股</w:t>
            </w:r>
            <w:r>
              <w:rPr>
                <w:rFonts w:ascii="宋体" w:hAnsi="宋体" w:cs="宋体" w:eastAsia="宋体" w:hint="default"/>
                <w:w w:val="100"/>
                <w:sz w:val="21"/>
                <w:szCs w:val="21"/>
              </w:rPr>
              <w:t> </w:t>
            </w:r>
            <w:r>
              <w:rPr>
                <w:rFonts w:ascii="Times New Roman" w:hAnsi="Times New Roman" w:cs="Times New Roman" w:eastAsia="Times New Roman" w:hint="default"/>
                <w:spacing w:val="-8"/>
                <w:sz w:val="21"/>
                <w:szCs w:val="21"/>
              </w:rPr>
              <w:t>49%</w:t>
            </w:r>
            <w:r>
              <w:rPr>
                <w:rFonts w:ascii="宋体" w:hAnsi="宋体" w:cs="宋体" w:eastAsia="宋体" w:hint="default"/>
                <w:spacing w:val="-8"/>
                <w:sz w:val="21"/>
                <w:szCs w:val="21"/>
              </w:rPr>
              <w:t>。报告期内，本公司已实缴出资人民币</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14,892</w:t>
            </w:r>
            <w:r>
              <w:rPr>
                <w:rFonts w:ascii="Times New Roman" w:hAnsi="Times New Roman" w:cs="Times New Roman" w:eastAsia="Times New Roman" w:hint="default"/>
                <w:spacing w:val="-43"/>
                <w:sz w:val="21"/>
                <w:szCs w:val="21"/>
              </w:rPr>
              <w:t> </w:t>
            </w:r>
            <w:r>
              <w:rPr>
                <w:rFonts w:ascii="Times New Roman" w:hAnsi="Times New Roman" w:cs="Times New Roman" w:eastAsia="Times New Roman" w:hint="default"/>
                <w:spacing w:val="-43"/>
                <w:sz w:val="21"/>
                <w:szCs w:val="21"/>
              </w:rPr>
            </w:r>
            <w:r>
              <w:rPr>
                <w:rFonts w:ascii="宋体" w:hAnsi="宋体" w:cs="宋体" w:eastAsia="宋体" w:hint="default"/>
                <w:sz w:val="21"/>
                <w:szCs w:val="21"/>
              </w:rPr>
              <w:t>万元。</w:t>
            </w:r>
          </w:p>
        </w:tc>
      </w:tr>
    </w:tbl>
    <w:p>
      <w:pPr>
        <w:spacing w:after="0" w:line="268" w:lineRule="auto"/>
        <w:jc w:val="both"/>
        <w:rPr>
          <w:rFonts w:ascii="宋体" w:hAnsi="宋体" w:cs="宋体" w:eastAsia="宋体" w:hint="default"/>
          <w:sz w:val="21"/>
          <w:szCs w:val="21"/>
        </w:rPr>
        <w:sectPr>
          <w:type w:val="continuous"/>
          <w:pgSz w:w="11910" w:h="16840"/>
          <w:pgMar w:top="1120" w:bottom="1160" w:left="116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493"/>
        <w:gridCol w:w="2053"/>
        <w:gridCol w:w="1135"/>
        <w:gridCol w:w="4679"/>
      </w:tblGrid>
      <w:tr>
        <w:trPr>
          <w:trHeight w:val="256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80" w:lineRule="auto"/>
              <w:ind w:left="103" w:right="102"/>
              <w:jc w:val="both"/>
              <w:rPr>
                <w:rFonts w:ascii="宋体" w:hAnsi="宋体" w:cs="宋体" w:eastAsia="宋体" w:hint="default"/>
                <w:sz w:val="21"/>
                <w:szCs w:val="21"/>
              </w:rPr>
            </w:pPr>
            <w:r>
              <w:rPr>
                <w:rFonts w:ascii="宋体" w:hAnsi="宋体" w:cs="宋体" w:eastAsia="宋体" w:hint="default"/>
                <w:sz w:val="21"/>
                <w:szCs w:val="21"/>
              </w:rPr>
              <w:t>青岛港董家口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液体化工码头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0" w:right="41"/>
              <w:jc w:val="both"/>
              <w:rPr>
                <w:rFonts w:ascii="宋体" w:hAnsi="宋体" w:cs="宋体" w:eastAsia="宋体" w:hint="default"/>
                <w:sz w:val="21"/>
                <w:szCs w:val="21"/>
              </w:rPr>
            </w:pPr>
            <w:r>
              <w:rPr>
                <w:rFonts w:ascii="宋体" w:hAnsi="宋体" w:cs="宋体" w:eastAsia="宋体" w:hint="default"/>
                <w:spacing w:val="17"/>
                <w:sz w:val="21"/>
                <w:szCs w:val="21"/>
              </w:rPr>
              <w:t>码头及其他港口设</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施服务（需办理前置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许可的项目除外）；</w:t>
            </w:r>
            <w:r>
              <w:rPr>
                <w:rFonts w:ascii="宋体" w:hAnsi="宋体" w:cs="宋体" w:eastAsia="宋体" w:hint="default"/>
                <w:w w:val="100"/>
                <w:sz w:val="21"/>
                <w:szCs w:val="21"/>
              </w:rPr>
              <w:t> </w:t>
            </w:r>
            <w:r>
              <w:rPr>
                <w:rFonts w:ascii="宋体" w:hAnsi="宋体" w:cs="宋体" w:eastAsia="宋体" w:hint="default"/>
                <w:spacing w:val="17"/>
                <w:sz w:val="21"/>
                <w:szCs w:val="21"/>
              </w:rPr>
              <w:t>仓储设施建设与仓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储经营（不含冷库、</w:t>
            </w:r>
            <w:r>
              <w:rPr>
                <w:rFonts w:ascii="宋体" w:hAnsi="宋体" w:cs="宋体" w:eastAsia="宋体" w:hint="default"/>
                <w:w w:val="100"/>
                <w:sz w:val="21"/>
                <w:szCs w:val="21"/>
              </w:rPr>
              <w:t> </w:t>
            </w:r>
            <w:r>
              <w:rPr>
                <w:rFonts w:ascii="宋体" w:hAnsi="宋体" w:cs="宋体" w:eastAsia="宋体" w:hint="default"/>
                <w:spacing w:val="17"/>
                <w:sz w:val="21"/>
                <w:szCs w:val="21"/>
              </w:rPr>
              <w:t>不含危险化学品及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0"/>
                <w:sz w:val="21"/>
                <w:szCs w:val="21"/>
              </w:rPr>
              <w:t>一类易制毒化学</w:t>
            </w:r>
            <w:r>
              <w:rPr>
                <w:rFonts w:ascii="宋体" w:hAnsi="宋体" w:cs="宋体" w:eastAsia="宋体" w:hint="default"/>
                <w:spacing w:val="-87"/>
                <w:sz w:val="21"/>
                <w:szCs w:val="21"/>
              </w:rPr>
              <w:t> </w:t>
            </w:r>
            <w:r>
              <w:rPr>
                <w:rFonts w:ascii="宋体" w:hAnsi="宋体" w:cs="宋体" w:eastAsia="宋体" w:hint="default"/>
                <w:spacing w:val="-8"/>
                <w:sz w:val="21"/>
                <w:szCs w:val="21"/>
              </w:rPr>
              <w:t>品）；货物装卸服务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51%</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1" w:lineRule="auto"/>
              <w:ind w:left="100" w:right="96"/>
              <w:jc w:val="both"/>
              <w:rPr>
                <w:rFonts w:ascii="宋体" w:hAnsi="宋体" w:cs="宋体" w:eastAsia="宋体" w:hint="default"/>
                <w:sz w:val="21"/>
                <w:szCs w:val="21"/>
              </w:rPr>
            </w:pPr>
            <w:r>
              <w:rPr>
                <w:rFonts w:ascii="宋体" w:hAnsi="宋体" w:cs="宋体" w:eastAsia="宋体" w:hint="default"/>
                <w:sz w:val="21"/>
                <w:szCs w:val="21"/>
              </w:rPr>
              <w:t>青岛港董家口液体化工码头有限公司注册资本为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人民币</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71,000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万元，其中本公司持股</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，昆仑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能源有限公司持股</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。报告期内，本公司对青</w:t>
            </w:r>
            <w:r>
              <w:rPr>
                <w:rFonts w:ascii="宋体" w:hAnsi="宋体" w:cs="宋体" w:eastAsia="宋体" w:hint="default"/>
                <w:w w:val="100"/>
                <w:sz w:val="21"/>
                <w:szCs w:val="21"/>
              </w:rPr>
              <w:t> </w:t>
            </w:r>
            <w:r>
              <w:rPr>
                <w:rFonts w:ascii="宋体" w:hAnsi="宋体" w:cs="宋体" w:eastAsia="宋体" w:hint="default"/>
                <w:sz w:val="21"/>
                <w:szCs w:val="21"/>
              </w:rPr>
              <w:t>岛港董家口液体化工码头有限公司实缴出资人民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7,302.04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1618"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8" w:lineRule="auto"/>
              <w:ind w:left="103" w:right="102"/>
              <w:jc w:val="left"/>
              <w:rPr>
                <w:rFonts w:ascii="宋体" w:hAnsi="宋体" w:cs="宋体" w:eastAsia="宋体" w:hint="default"/>
                <w:sz w:val="21"/>
                <w:szCs w:val="21"/>
              </w:rPr>
            </w:pPr>
            <w:r>
              <w:rPr>
                <w:rFonts w:ascii="宋体" w:hAnsi="宋体" w:cs="宋体" w:eastAsia="宋体" w:hint="default"/>
                <w:sz w:val="21"/>
                <w:szCs w:val="21"/>
              </w:rPr>
              <w:t>中林青港供应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链有限公司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80"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供应链管理，仓储服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务，货物装卸，国际</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货运代理等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65%</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6"/>
              <w:ind w:left="100" w:right="98"/>
              <w:jc w:val="both"/>
              <w:rPr>
                <w:rFonts w:ascii="宋体" w:hAnsi="宋体" w:cs="宋体" w:eastAsia="宋体" w:hint="default"/>
                <w:sz w:val="21"/>
                <w:szCs w:val="21"/>
              </w:rPr>
            </w:pPr>
            <w:r>
              <w:rPr>
                <w:rFonts w:ascii="宋体" w:hAnsi="宋体" w:cs="宋体" w:eastAsia="宋体" w:hint="default"/>
                <w:sz w:val="21"/>
                <w:szCs w:val="21"/>
              </w:rPr>
              <w:t>公司全资子公司青港物流与中国林产工业有限公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司共同成立中林青港供应链有限公司，注册资本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人民币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万元，其中：青港物流持股</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65%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中国林产工业有限公司持股</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。报告期内，青</w:t>
            </w:r>
            <w:r>
              <w:rPr>
                <w:rFonts w:ascii="宋体" w:hAnsi="宋体" w:cs="宋体" w:eastAsia="宋体" w:hint="default"/>
                <w:w w:val="100"/>
                <w:sz w:val="21"/>
                <w:szCs w:val="21"/>
              </w:rPr>
              <w:t> </w:t>
            </w:r>
            <w:r>
              <w:rPr>
                <w:rFonts w:ascii="宋体" w:hAnsi="宋体" w:cs="宋体" w:eastAsia="宋体" w:hint="default"/>
                <w:sz w:val="21"/>
                <w:szCs w:val="21"/>
              </w:rPr>
              <w:t>港物流实缴出资人民币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193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8" w:lineRule="auto"/>
              <w:ind w:left="103" w:right="102"/>
              <w:jc w:val="left"/>
              <w:rPr>
                <w:rFonts w:ascii="宋体" w:hAnsi="宋体" w:cs="宋体" w:eastAsia="宋体" w:hint="default"/>
                <w:sz w:val="21"/>
                <w:szCs w:val="21"/>
              </w:rPr>
            </w:pPr>
            <w:r>
              <w:rPr>
                <w:rFonts w:ascii="宋体" w:hAnsi="宋体" w:cs="宋体" w:eastAsia="宋体" w:hint="default"/>
                <w:sz w:val="21"/>
                <w:szCs w:val="21"/>
              </w:rPr>
              <w:t>中联运通控股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集团有限公司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101"/>
              <w:jc w:val="both"/>
              <w:rPr>
                <w:rFonts w:ascii="宋体" w:hAnsi="宋体" w:cs="宋体" w:eastAsia="宋体" w:hint="default"/>
                <w:sz w:val="21"/>
                <w:szCs w:val="21"/>
              </w:rPr>
            </w:pPr>
            <w:r>
              <w:rPr>
                <w:rFonts w:ascii="宋体" w:hAnsi="宋体" w:cs="宋体" w:eastAsia="宋体" w:hint="default"/>
                <w:spacing w:val="17"/>
                <w:sz w:val="21"/>
                <w:szCs w:val="21"/>
              </w:rPr>
              <w:t>国际船舶代理及相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关业务，组织承揽海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8"/>
                <w:sz w:val="21"/>
                <w:szCs w:val="21"/>
              </w:rPr>
              <w:t>运货物、集装箱；办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5"/>
                <w:sz w:val="21"/>
                <w:szCs w:val="21"/>
              </w:rPr>
              <w:t>理货物、</w:t>
            </w:r>
            <w:r>
              <w:rPr>
                <w:rFonts w:ascii="宋体" w:hAnsi="宋体" w:cs="宋体" w:eastAsia="宋体" w:hint="default"/>
                <w:spacing w:val="-75"/>
                <w:sz w:val="21"/>
                <w:szCs w:val="21"/>
              </w:rPr>
              <w:t> </w:t>
            </w:r>
            <w:r>
              <w:rPr>
                <w:rFonts w:ascii="宋体" w:hAnsi="宋体" w:cs="宋体" w:eastAsia="宋体" w:hint="default"/>
                <w:spacing w:val="14"/>
                <w:sz w:val="21"/>
                <w:szCs w:val="21"/>
              </w:rPr>
              <w:t>集装箱订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舱、转运、仓储和多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式联运等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27.2%</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64" w:lineRule="auto"/>
              <w:ind w:left="100" w:right="-5"/>
              <w:jc w:val="left"/>
              <w:rPr>
                <w:rFonts w:ascii="宋体" w:hAnsi="宋体" w:cs="宋体" w:eastAsia="宋体" w:hint="default"/>
                <w:sz w:val="21"/>
                <w:szCs w:val="21"/>
              </w:rPr>
            </w:pPr>
            <w:r>
              <w:rPr>
                <w:rFonts w:ascii="宋体" w:hAnsi="宋体" w:cs="宋体" w:eastAsia="宋体" w:hint="default"/>
                <w:sz w:val="21"/>
                <w:szCs w:val="21"/>
              </w:rPr>
              <w:t>公司全资子公司青港物流以人民币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12,822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万元对</w:t>
            </w:r>
            <w:r>
              <w:rPr>
                <w:rFonts w:ascii="宋体" w:hAnsi="宋体" w:cs="宋体" w:eastAsia="宋体" w:hint="default"/>
                <w:w w:val="100"/>
                <w:sz w:val="21"/>
                <w:szCs w:val="21"/>
              </w:rPr>
              <w:t> </w:t>
            </w:r>
            <w:r>
              <w:rPr>
                <w:rFonts w:ascii="宋体" w:hAnsi="宋体" w:cs="宋体" w:eastAsia="宋体" w:hint="default"/>
                <w:sz w:val="21"/>
                <w:szCs w:val="21"/>
              </w:rPr>
              <w:t>价收购中联运通控股集团有限公司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27.2%</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z w:val="21"/>
                <w:szCs w:val="21"/>
              </w:rPr>
              <w:t>报告期内，青港物流已支付股权收购款。</w:t>
            </w:r>
          </w:p>
        </w:tc>
      </w:tr>
      <w:tr>
        <w:trPr>
          <w:trHeight w:val="970"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2"/>
              <w:jc w:val="both"/>
              <w:rPr>
                <w:rFonts w:ascii="宋体" w:hAnsi="宋体" w:cs="宋体" w:eastAsia="宋体" w:hint="default"/>
                <w:sz w:val="21"/>
                <w:szCs w:val="21"/>
              </w:rPr>
            </w:pPr>
            <w:r>
              <w:rPr>
                <w:rFonts w:ascii="宋体" w:hAnsi="宋体" w:cs="宋体" w:eastAsia="宋体" w:hint="default"/>
                <w:sz w:val="21"/>
                <w:szCs w:val="21"/>
              </w:rPr>
              <w:t>青岛保税港区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通达油气有限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101"/>
              <w:jc w:val="both"/>
              <w:rPr>
                <w:rFonts w:ascii="宋体" w:hAnsi="宋体" w:cs="宋体" w:eastAsia="宋体" w:hint="default"/>
                <w:sz w:val="21"/>
                <w:szCs w:val="21"/>
              </w:rPr>
            </w:pPr>
            <w:r>
              <w:rPr>
                <w:rFonts w:ascii="宋体" w:hAnsi="宋体" w:cs="宋体" w:eastAsia="宋体" w:hint="default"/>
                <w:spacing w:val="-8"/>
                <w:sz w:val="21"/>
                <w:szCs w:val="21"/>
              </w:rPr>
              <w:t>液化天然气经营、液</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7"/>
                <w:sz w:val="21"/>
                <w:szCs w:val="21"/>
              </w:rPr>
              <w:t>化天然气加气站等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相关业务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青岛保税港区通达油气有限公司注册资本人民币</w:t>
            </w:r>
          </w:p>
          <w:p>
            <w:pPr>
              <w:pStyle w:val="TableParagraph"/>
              <w:spacing w:line="240" w:lineRule="auto" w:before="4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6,595</w:t>
            </w:r>
            <w:r>
              <w:rPr>
                <w:rFonts w:ascii="Times New Roman" w:hAnsi="Times New Roman" w:cs="Times New Roman" w:eastAsia="Times New Roman" w:hint="default"/>
                <w:spacing w:val="38"/>
                <w:sz w:val="21"/>
                <w:szCs w:val="21"/>
              </w:rPr>
              <w:t> </w:t>
            </w:r>
            <w:r>
              <w:rPr>
                <w:rFonts w:ascii="宋体" w:hAnsi="宋体" w:cs="宋体" w:eastAsia="宋体" w:hint="default"/>
                <w:spacing w:val="-5"/>
                <w:sz w:val="21"/>
                <w:szCs w:val="21"/>
              </w:rPr>
              <w:t>万元。报告期内，本公司对青岛保税港区通</w:t>
            </w:r>
          </w:p>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达油气有限公司实缴出资人民币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2252"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8" w:lineRule="auto"/>
              <w:ind w:left="103" w:right="102"/>
              <w:jc w:val="left"/>
              <w:rPr>
                <w:rFonts w:ascii="宋体" w:hAnsi="宋体" w:cs="宋体" w:eastAsia="宋体" w:hint="default"/>
                <w:sz w:val="21"/>
                <w:szCs w:val="21"/>
              </w:rPr>
            </w:pPr>
            <w:r>
              <w:rPr>
                <w:rFonts w:ascii="宋体" w:hAnsi="宋体" w:cs="宋体" w:eastAsia="宋体" w:hint="default"/>
                <w:sz w:val="21"/>
                <w:szCs w:val="21"/>
              </w:rPr>
              <w:t>青岛前湾南港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油气有限公司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8" w:lineRule="auto"/>
              <w:ind w:left="100" w:right="103"/>
              <w:jc w:val="left"/>
              <w:rPr>
                <w:rFonts w:ascii="宋体" w:hAnsi="宋体" w:cs="宋体" w:eastAsia="宋体" w:hint="default"/>
                <w:sz w:val="21"/>
                <w:szCs w:val="21"/>
              </w:rPr>
            </w:pPr>
            <w:r>
              <w:rPr>
                <w:rFonts w:ascii="宋体" w:hAnsi="宋体" w:cs="宋体" w:eastAsia="宋体" w:hint="default"/>
                <w:spacing w:val="17"/>
                <w:sz w:val="21"/>
                <w:szCs w:val="21"/>
              </w:rPr>
              <w:t>液化天然气加气站</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的建设及运营管理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2"/>
              <w:ind w:left="100" w:right="98"/>
              <w:jc w:val="both"/>
              <w:rPr>
                <w:rFonts w:ascii="宋体" w:hAnsi="宋体" w:cs="宋体" w:eastAsia="宋体" w:hint="default"/>
                <w:sz w:val="21"/>
                <w:szCs w:val="21"/>
              </w:rPr>
            </w:pPr>
            <w:r>
              <w:rPr>
                <w:rFonts w:ascii="宋体" w:hAnsi="宋体" w:cs="宋体" w:eastAsia="宋体" w:hint="default"/>
                <w:sz w:val="21"/>
                <w:szCs w:val="21"/>
              </w:rPr>
              <w:t>公司全资子公司青岛保税港区通达油气有限公司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与青岛自贸城开发建设有限公司共同成立青岛前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湾南港油气有限公司，注册资本人民币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7"/>
                <w:sz w:val="21"/>
                <w:szCs w:val="21"/>
              </w:rPr>
              <w:t>元，其中</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青岛保税港区通达油气有限公司持股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Times New Roman" w:hAnsi="Times New Roman" w:cs="Times New Roman" w:eastAsia="Times New Roman" w:hint="default"/>
                <w:sz w:val="21"/>
                <w:szCs w:val="21"/>
              </w:rPr>
              <w:t>55%</w:t>
            </w:r>
            <w:r>
              <w:rPr>
                <w:rFonts w:ascii="宋体" w:hAnsi="宋体" w:cs="宋体" w:eastAsia="宋体" w:hint="default"/>
                <w:sz w:val="21"/>
                <w:szCs w:val="21"/>
              </w:rPr>
              <w:t>，青岛自贸城开发建设有限公司持股</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45%</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报告期内，青岛保税港区通达油气有限公司已实</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缴出资人民币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1022"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78" w:lineRule="auto"/>
              <w:ind w:left="103" w:right="102"/>
              <w:jc w:val="left"/>
              <w:rPr>
                <w:rFonts w:ascii="宋体" w:hAnsi="宋体" w:cs="宋体" w:eastAsia="宋体" w:hint="default"/>
                <w:sz w:val="21"/>
                <w:szCs w:val="21"/>
              </w:rPr>
            </w:pPr>
            <w:r>
              <w:rPr>
                <w:rFonts w:ascii="宋体" w:hAnsi="宋体" w:cs="宋体" w:eastAsia="宋体" w:hint="default"/>
                <w:sz w:val="21"/>
                <w:szCs w:val="21"/>
              </w:rPr>
              <w:t>山东青淄物流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石油管道运输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8"/>
              <w:ind w:left="100" w:right="98"/>
              <w:jc w:val="both"/>
              <w:rPr>
                <w:rFonts w:ascii="宋体" w:hAnsi="宋体" w:cs="宋体" w:eastAsia="宋体" w:hint="default"/>
                <w:sz w:val="21"/>
                <w:szCs w:val="21"/>
              </w:rPr>
            </w:pPr>
            <w:r>
              <w:rPr>
                <w:rFonts w:ascii="宋体" w:hAnsi="宋体" w:cs="宋体" w:eastAsia="宋体" w:hint="default"/>
                <w:sz w:val="21"/>
                <w:szCs w:val="21"/>
              </w:rPr>
              <w:t>山东青淄物流有限公司注册资本人民币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元。报告期内，本公司对山东青淄物流有限公司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实缴出资人民币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1611"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80" w:lineRule="auto"/>
              <w:ind w:left="103" w:right="102"/>
              <w:jc w:val="left"/>
              <w:rPr>
                <w:rFonts w:ascii="宋体" w:hAnsi="宋体" w:cs="宋体" w:eastAsia="宋体" w:hint="default"/>
                <w:sz w:val="21"/>
                <w:szCs w:val="21"/>
              </w:rPr>
            </w:pPr>
            <w:r>
              <w:rPr>
                <w:rFonts w:ascii="宋体" w:hAnsi="宋体" w:cs="宋体" w:eastAsia="宋体" w:hint="default"/>
                <w:sz w:val="21"/>
                <w:szCs w:val="21"/>
              </w:rPr>
              <w:t>青岛中石油仓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储有限公司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石油仓储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0"/>
              <w:jc w:val="center"/>
              <w:rPr>
                <w:rFonts w:ascii="Times New Roman" w:hAnsi="Times New Roman" w:cs="Times New Roman" w:eastAsia="Times New Roman" w:hint="default"/>
                <w:sz w:val="21"/>
                <w:szCs w:val="21"/>
              </w:rPr>
            </w:pPr>
            <w:r>
              <w:rPr>
                <w:rFonts w:ascii="Times New Roman"/>
                <w:sz w:val="21"/>
              </w:rPr>
              <w:t>49%</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0" w:right="98"/>
              <w:jc w:val="both"/>
              <w:rPr>
                <w:rFonts w:ascii="宋体" w:hAnsi="宋体" w:cs="宋体" w:eastAsia="宋体" w:hint="default"/>
                <w:sz w:val="21"/>
                <w:szCs w:val="21"/>
              </w:rPr>
            </w:pPr>
            <w:r>
              <w:rPr>
                <w:rFonts w:ascii="宋体" w:hAnsi="宋体" w:cs="宋体" w:eastAsia="宋体" w:hint="default"/>
                <w:sz w:val="21"/>
                <w:szCs w:val="21"/>
              </w:rPr>
              <w:t>青岛中石油仓储有限公司注册资本人民币</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30,000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万元，其中：本公司持股</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，中石油燃料油有</w:t>
            </w:r>
            <w:r>
              <w:rPr>
                <w:rFonts w:ascii="宋体" w:hAnsi="宋体" w:cs="宋体" w:eastAsia="宋体" w:hint="default"/>
                <w:w w:val="100"/>
                <w:sz w:val="21"/>
                <w:szCs w:val="21"/>
              </w:rPr>
              <w:t> </w:t>
            </w:r>
            <w:r>
              <w:rPr>
                <w:rFonts w:ascii="宋体" w:hAnsi="宋体" w:cs="宋体" w:eastAsia="宋体" w:hint="default"/>
                <w:sz w:val="21"/>
                <w:szCs w:val="21"/>
              </w:rPr>
              <w:t>限责任公司持股</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。报告期内，本公司对青岛</w:t>
            </w:r>
            <w:r>
              <w:rPr>
                <w:rFonts w:ascii="宋体" w:hAnsi="宋体" w:cs="宋体" w:eastAsia="宋体" w:hint="default"/>
                <w:w w:val="100"/>
                <w:sz w:val="21"/>
                <w:szCs w:val="21"/>
              </w:rPr>
              <w:t> </w:t>
            </w:r>
            <w:r>
              <w:rPr>
                <w:rFonts w:ascii="宋体" w:hAnsi="宋体" w:cs="宋体" w:eastAsia="宋体" w:hint="default"/>
                <w:sz w:val="21"/>
                <w:szCs w:val="21"/>
              </w:rPr>
              <w:t>中石油仓储有限公司实缴出资人民币 </w:t>
            </w:r>
            <w:r>
              <w:rPr>
                <w:rFonts w:ascii="Times New Roman" w:hAnsi="Times New Roman" w:cs="Times New Roman" w:eastAsia="Times New Roman" w:hint="default"/>
                <w:sz w:val="21"/>
                <w:szCs w:val="21"/>
              </w:rPr>
              <w:t>5,358.47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pStyle w:val="BodyText"/>
        <w:spacing w:line="241" w:lineRule="exact"/>
        <w:ind w:left="258" w:right="0"/>
        <w:jc w:val="left"/>
        <w:rPr>
          <w:rFonts w:ascii="宋体" w:hAnsi="宋体" w:cs="宋体" w:eastAsia="宋体" w:hint="default"/>
        </w:rPr>
      </w:pPr>
      <w:r>
        <w:rPr>
          <w:rFonts w:ascii="宋体"/>
          <w:color w:val="FF0000"/>
          <w:w w:val="100"/>
        </w:rPr>
        <w:t> </w:t>
      </w:r>
      <w:r>
        <w:rPr>
          <w:rFonts w:ascii="宋体"/>
          <w:w w:val="100"/>
        </w:rPr>
      </w:r>
    </w:p>
    <w:p>
      <w:pPr>
        <w:pStyle w:val="Heading5"/>
        <w:spacing w:line="240" w:lineRule="auto" w:before="58"/>
        <w:ind w:left="25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Heading3"/>
        <w:spacing w:line="240" w:lineRule="auto" w:before="50"/>
        <w:ind w:left="25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81"/>
        <w:ind w:left="258" w:right="0" w:firstLine="420"/>
        <w:jc w:val="left"/>
      </w:pPr>
      <w:r>
        <w:rPr>
          <w:spacing w:val="-5"/>
        </w:rPr>
        <w:t>本公司全资子公司青岛港国际发展（香港）有限公司于</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5"/>
        </w:rPr>
        <w:t> </w:t>
      </w:r>
      <w:r>
        <w:rPr>
          <w:rFonts w:ascii="宋体" w:hAnsi="宋体" w:cs="宋体" w:eastAsia="宋体" w:hint="default"/>
        </w:rPr>
        <w:t>26</w:t>
      </w:r>
      <w:r>
        <w:rPr>
          <w:rFonts w:ascii="宋体" w:hAnsi="宋体" w:cs="宋体" w:eastAsia="宋体" w:hint="default"/>
          <w:spacing w:val="-47"/>
        </w:rPr>
        <w:t> </w:t>
      </w:r>
      <w:r>
        <w:rPr/>
        <w:t>日与中远海运港口有限</w:t>
      </w:r>
      <w:r>
        <w:rPr>
          <w:w w:val="100"/>
        </w:rPr>
        <w:t> </w:t>
      </w:r>
      <w:r>
        <w:rPr>
          <w:spacing w:val="-2"/>
        </w:rPr>
        <w:t>公司、中远海运港口（阿布扎比）有限公司签订《股份转让协议》，青岛港国际发展（香港）有限</w:t>
      </w:r>
    </w:p>
    <w:p>
      <w:pPr>
        <w:spacing w:after="0" w:line="314" w:lineRule="auto"/>
        <w:jc w:val="left"/>
        <w:sectPr>
          <w:pgSz w:w="11910" w:h="16840"/>
          <w:pgMar w:header="0" w:footer="974" w:top="1120" w:bottom="1160" w:left="116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6"/>
        <w:ind w:left="778" w:right="0"/>
        <w:jc w:val="left"/>
        <w:rPr>
          <w:rFonts w:ascii="宋体" w:hAnsi="宋体" w:cs="宋体" w:eastAsia="宋体" w:hint="default"/>
        </w:rPr>
      </w:pPr>
      <w:r>
        <w:rPr>
          <w:spacing w:val="-5"/>
        </w:rPr>
        <w:t>公司收购中远海运港口有限公司持有的中远海运港口（阿布扎比）有限公司 </w:t>
      </w:r>
      <w:r>
        <w:rPr>
          <w:rFonts w:ascii="宋体" w:hAnsi="宋体" w:cs="宋体" w:eastAsia="宋体" w:hint="default"/>
          <w:spacing w:val="-6"/>
        </w:rPr>
        <w:t>33.335%</w:t>
      </w:r>
      <w:r>
        <w:rPr>
          <w:spacing w:val="-6"/>
        </w:rPr>
        <w:t>股权。截至</w:t>
      </w:r>
      <w:r>
        <w:rPr>
          <w:spacing w:val="-43"/>
        </w:rPr>
        <w:t> </w:t>
      </w:r>
      <w:r>
        <w:rPr>
          <w:rFonts w:ascii="宋体" w:hAnsi="宋体" w:cs="宋体" w:eastAsia="宋体" w:hint="default"/>
        </w:rPr>
        <w:t>2019</w:t>
      </w:r>
    </w:p>
    <w:p>
      <w:pPr>
        <w:pStyle w:val="BodyText"/>
        <w:spacing w:line="240" w:lineRule="auto" w:before="85"/>
        <w:ind w:left="778" w:right="0"/>
        <w:jc w:val="left"/>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日，青岛港国际发展（香港）有限公司尚未实际支付股权收购款。详细情况请参见本公</w:t>
      </w:r>
    </w:p>
    <w:p>
      <w:pPr>
        <w:pStyle w:val="BodyText"/>
        <w:spacing w:line="240" w:lineRule="auto" w:before="85"/>
        <w:ind w:left="778" w:right="0"/>
        <w:jc w:val="left"/>
        <w:rPr>
          <w:rFonts w:ascii="宋体" w:hAnsi="宋体" w:cs="宋体" w:eastAsia="宋体" w:hint="default"/>
        </w:rPr>
      </w:pPr>
      <w:r>
        <w:rPr/>
        <w:t>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日刊登的《关于全资子公司收购股权资产暨关联交易公告》。</w:t>
      </w:r>
      <w:r>
        <w:rPr>
          <w:rFonts w:ascii="宋体" w:hAnsi="宋体" w:cs="宋体" w:eastAsia="宋体" w:hint="default"/>
        </w:rPr>
        <w:t> </w:t>
      </w:r>
    </w:p>
    <w:p>
      <w:pPr>
        <w:pStyle w:val="Heading3"/>
        <w:spacing w:line="240" w:lineRule="auto" w:before="2"/>
        <w:ind w:left="778" w:right="0"/>
        <w:jc w:val="left"/>
        <w:rPr>
          <w:rFonts w:ascii="宋体" w:hAnsi="宋体" w:cs="宋体" w:eastAsia="宋体" w:hint="default"/>
        </w:rPr>
      </w:pPr>
      <w:r>
        <w:rPr>
          <w:rFonts w:ascii="宋体"/>
        </w:rPr>
        <w:t> </w:t>
      </w:r>
    </w:p>
    <w:p>
      <w:pPr>
        <w:pStyle w:val="Heading5"/>
        <w:spacing w:line="240" w:lineRule="auto" w:before="61"/>
        <w:ind w:left="77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Heading3"/>
        <w:spacing w:line="313" w:lineRule="exact" w:before="52"/>
        <w:ind w:left="7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778" w:right="0"/>
        <w:jc w:val="left"/>
        <w:rPr>
          <w:rFonts w:ascii="宋体" w:hAnsi="宋体" w:cs="宋体" w:eastAsia="宋体" w:hint="default"/>
        </w:rPr>
      </w:pPr>
      <w:r>
        <w:rPr>
          <w:rFonts w:ascii="宋体"/>
        </w:rPr>
        <w:t> </w:t>
      </w:r>
    </w:p>
    <w:p>
      <w:pPr>
        <w:pStyle w:val="Heading5"/>
        <w:spacing w:line="240" w:lineRule="auto" w:before="61"/>
        <w:ind w:left="77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left="7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688"/>
        <w:jc w:val="righ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666" w:type="dxa"/>
        <w:tblLayout w:type="fixed"/>
        <w:tblCellMar>
          <w:top w:w="0" w:type="dxa"/>
          <w:left w:w="0" w:type="dxa"/>
          <w:bottom w:w="0" w:type="dxa"/>
          <w:right w:w="0" w:type="dxa"/>
        </w:tblCellMar>
        <w:tblLook w:val="01E0"/>
      </w:tblPr>
      <w:tblGrid>
        <w:gridCol w:w="1421"/>
        <w:gridCol w:w="1165"/>
        <w:gridCol w:w="1214"/>
        <w:gridCol w:w="1236"/>
        <w:gridCol w:w="1188"/>
        <w:gridCol w:w="1056"/>
        <w:gridCol w:w="1126"/>
        <w:gridCol w:w="881"/>
      </w:tblGrid>
      <w:tr>
        <w:trPr>
          <w:trHeight w:val="62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85" w:right="0"/>
              <w:jc w:val="left"/>
              <w:rPr>
                <w:rFonts w:ascii="宋体" w:hAnsi="宋体" w:cs="宋体" w:eastAsia="宋体" w:hint="default"/>
                <w:sz w:val="21"/>
                <w:szCs w:val="21"/>
              </w:rPr>
            </w:pPr>
            <w:r>
              <w:rPr>
                <w:rFonts w:ascii="宋体" w:hAnsi="宋体" w:cs="宋体" w:eastAsia="宋体" w:hint="default"/>
                <w:sz w:val="21"/>
                <w:szCs w:val="21"/>
              </w:rPr>
              <w:t>证券品种</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3"/>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7"/>
              <w:jc w:val="right"/>
              <w:rPr>
                <w:rFonts w:ascii="宋体" w:hAnsi="宋体" w:cs="宋体" w:eastAsia="宋体" w:hint="default"/>
                <w:sz w:val="21"/>
                <w:szCs w:val="21"/>
              </w:rPr>
            </w:pPr>
            <w:r>
              <w:rPr>
                <w:rFonts w:ascii="宋体" w:hAnsi="宋体" w:cs="宋体" w:eastAsia="宋体" w:hint="default"/>
                <w:spacing w:val="-2"/>
                <w:sz w:val="21"/>
                <w:szCs w:val="21"/>
              </w:rPr>
              <w:t>本期购入</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6"/>
              <w:jc w:val="right"/>
              <w:rPr>
                <w:rFonts w:ascii="宋体" w:hAnsi="宋体" w:cs="宋体" w:eastAsia="宋体" w:hint="default"/>
                <w:sz w:val="21"/>
                <w:szCs w:val="21"/>
              </w:rPr>
            </w:pPr>
            <w:r>
              <w:rPr>
                <w:rFonts w:ascii="宋体" w:hAnsi="宋体" w:cs="宋体" w:eastAsia="宋体" w:hint="default"/>
                <w:spacing w:val="-2"/>
                <w:sz w:val="21"/>
                <w:szCs w:val="21"/>
              </w:rPr>
              <w:t>本期赎回</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379" w:right="165" w:hanging="212"/>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宋体" w:hAnsi="宋体" w:cs="宋体" w:eastAsia="宋体" w:hint="default"/>
                <w:sz w:val="21"/>
                <w:szCs w:val="21"/>
              </w:rPr>
            </w:pPr>
            <w:r>
              <w:rPr>
                <w:rFonts w:ascii="宋体" w:hAnsi="宋体" w:cs="宋体" w:eastAsia="宋体" w:hint="default"/>
                <w:spacing w:val="-2"/>
                <w:sz w:val="21"/>
                <w:szCs w:val="21"/>
              </w:rPr>
              <w:t>投资收益</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36" w:right="31"/>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变动损益</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328" w:right="119"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64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货币基金</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10.47</w:t>
            </w:r>
          </w:p>
        </w:tc>
        <w:tc>
          <w:tcPr>
            <w:tcW w:w="112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223" w:right="120"/>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63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金融债券</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13,537.27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38,219.22</w:t>
            </w:r>
          </w:p>
        </w:tc>
        <w:tc>
          <w:tcPr>
            <w:tcW w:w="123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51,756.49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782.80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799.93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6"/>
              <w:ind w:left="223" w:right="120"/>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64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信托产品</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6,100.00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273.75</w:t>
            </w:r>
          </w:p>
        </w:tc>
        <w:tc>
          <w:tcPr>
            <w:tcW w:w="112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3" w:right="120"/>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r>
      <w:tr>
        <w:trPr>
          <w:trHeight w:val="9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252"/>
              <w:jc w:val="left"/>
              <w:rPr>
                <w:rFonts w:ascii="宋体" w:hAnsi="宋体" w:cs="宋体" w:eastAsia="宋体" w:hint="default"/>
                <w:sz w:val="21"/>
                <w:szCs w:val="21"/>
              </w:rPr>
            </w:pPr>
            <w:r>
              <w:rPr>
                <w:rFonts w:ascii="宋体" w:hAnsi="宋体" w:cs="宋体" w:eastAsia="宋体" w:hint="default"/>
                <w:sz w:val="21"/>
                <w:szCs w:val="21"/>
              </w:rPr>
              <w:t>银行及券商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理财产品</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87,100.00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49,500.00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-46,500.28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90,099.72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4,389.04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99.72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23" w:right="120"/>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19"/>
          <w:pgSz w:w="11910" w:h="16840"/>
          <w:pgMar w:footer="974" w:header="0" w:top="1120" w:bottom="1160" w:left="640" w:right="620"/>
        </w:sectPr>
      </w:pPr>
    </w:p>
    <w:p>
      <w:pPr>
        <w:pStyle w:val="Heading3"/>
        <w:spacing w:line="274" w:lineRule="exact"/>
        <w:ind w:left="778" w:right="0"/>
        <w:jc w:val="left"/>
        <w:rPr>
          <w:rFonts w:ascii="宋体" w:hAnsi="宋体" w:cs="宋体" w:eastAsia="宋体" w:hint="default"/>
        </w:rPr>
      </w:pPr>
      <w:r>
        <w:rPr>
          <w:rFonts w:ascii="宋体"/>
        </w:rPr>
        <w:t> </w:t>
      </w:r>
    </w:p>
    <w:p>
      <w:pPr>
        <w:pStyle w:val="Heading5"/>
        <w:tabs>
          <w:tab w:pos="1618" w:val="left" w:leader="none"/>
        </w:tabs>
        <w:spacing w:line="240" w:lineRule="auto" w:before="62"/>
        <w:ind w:left="778"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73" w:lineRule="exact" w:before="58"/>
        <w:ind w:left="7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78" w:right="0"/>
        <w:jc w:val="left"/>
        <w:rPr>
          <w:rFonts w:ascii="宋体" w:hAnsi="宋体" w:cs="宋体" w:eastAsia="宋体" w:hint="default"/>
        </w:rPr>
      </w:pPr>
      <w:r>
        <w:rPr>
          <w:rFonts w:ascii="宋体"/>
          <w:w w:val="100"/>
        </w:rPr>
        <w:t> </w:t>
      </w:r>
    </w:p>
    <w:p>
      <w:pPr>
        <w:pStyle w:val="Heading5"/>
        <w:tabs>
          <w:tab w:pos="1618" w:val="left" w:leader="none"/>
        </w:tabs>
        <w:spacing w:line="240" w:lineRule="auto" w:before="58"/>
        <w:ind w:left="778" w:right="-8"/>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spacing w:line="240" w:lineRule="auto" w:before="56"/>
        <w:ind w:left="7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778"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640" w:right="620"/>
          <w:cols w:num="2" w:equalWidth="0">
            <w:col w:w="3729" w:space="2819"/>
            <w:col w:w="4102"/>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09"/>
        <w:gridCol w:w="852"/>
        <w:gridCol w:w="1841"/>
        <w:gridCol w:w="1277"/>
        <w:gridCol w:w="1133"/>
        <w:gridCol w:w="1135"/>
        <w:gridCol w:w="1133"/>
        <w:gridCol w:w="1136"/>
        <w:gridCol w:w="1092"/>
      </w:tblGrid>
      <w:tr>
        <w:trPr>
          <w:trHeight w:val="650"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87" w:right="188"/>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5" w:right="101"/>
              <w:jc w:val="left"/>
              <w:rPr>
                <w:rFonts w:ascii="宋体" w:hAnsi="宋体" w:cs="宋体" w:eastAsia="宋体" w:hint="default"/>
                <w:sz w:val="21"/>
                <w:szCs w:val="21"/>
              </w:rPr>
            </w:pPr>
            <w:r>
              <w:rPr>
                <w:rFonts w:ascii="宋体" w:hAnsi="宋体" w:cs="宋体" w:eastAsia="宋体" w:hint="default"/>
                <w:sz w:val="21"/>
                <w:szCs w:val="21"/>
              </w:rPr>
              <w:t>公司持</w:t>
            </w:r>
            <w:r>
              <w:rPr>
                <w:rFonts w:ascii="宋体" w:hAnsi="宋体" w:cs="宋体" w:eastAsia="宋体" w:hint="default"/>
                <w:spacing w:val="-102"/>
                <w:sz w:val="21"/>
                <w:szCs w:val="21"/>
              </w:rPr>
              <w:t> </w:t>
            </w:r>
            <w:r>
              <w:rPr>
                <w:rFonts w:ascii="宋体" w:hAnsi="宋体" w:cs="宋体" w:eastAsia="宋体" w:hint="default"/>
                <w:sz w:val="21"/>
                <w:szCs w:val="21"/>
              </w:rPr>
              <w:t>股比例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496"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1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4" w:right="243" w:firstLine="105"/>
              <w:jc w:val="left"/>
              <w:rPr>
                <w:rFonts w:ascii="宋体" w:hAnsi="宋体" w:cs="宋体" w:eastAsia="宋体" w:hint="default"/>
                <w:sz w:val="21"/>
                <w:szCs w:val="21"/>
              </w:rPr>
            </w:pPr>
            <w:r>
              <w:rPr>
                <w:rFonts w:ascii="宋体" w:hAnsi="宋体" w:cs="宋体" w:eastAsia="宋体" w:hint="default"/>
                <w:sz w:val="21"/>
                <w:szCs w:val="21"/>
              </w:rPr>
              <w:t>归母</w:t>
            </w:r>
            <w:r>
              <w:rPr>
                <w:rFonts w:ascii="宋体" w:hAnsi="宋体" w:cs="宋体" w:eastAsia="宋体" w:hint="default"/>
                <w:w w:val="100"/>
                <w:sz w:val="21"/>
                <w:szCs w:val="21"/>
              </w:rPr>
              <w:t> </w:t>
            </w:r>
            <w:r>
              <w:rPr>
                <w:rFonts w:ascii="宋体" w:hAnsi="宋体" w:cs="宋体" w:eastAsia="宋体" w:hint="default"/>
                <w:sz w:val="21"/>
                <w:szCs w:val="21"/>
              </w:rPr>
              <w:t>净资产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5" w:right="245" w:firstLine="105"/>
              <w:jc w:val="left"/>
              <w:rPr>
                <w:rFonts w:ascii="宋体" w:hAnsi="宋体" w:cs="宋体" w:eastAsia="宋体" w:hint="default"/>
                <w:sz w:val="21"/>
                <w:szCs w:val="21"/>
              </w:rPr>
            </w:pPr>
            <w:r>
              <w:rPr>
                <w:rFonts w:ascii="宋体" w:hAnsi="宋体" w:cs="宋体" w:eastAsia="宋体" w:hint="default"/>
                <w:sz w:val="21"/>
                <w:szCs w:val="21"/>
              </w:rPr>
              <w:t>归母</w:t>
            </w:r>
            <w:r>
              <w:rPr>
                <w:rFonts w:ascii="宋体" w:hAnsi="宋体" w:cs="宋体" w:eastAsia="宋体" w:hint="default"/>
                <w:w w:val="100"/>
                <w:sz w:val="21"/>
                <w:szCs w:val="21"/>
              </w:rPr>
              <w:t> </w:t>
            </w:r>
            <w:r>
              <w:rPr>
                <w:rFonts w:ascii="宋体" w:hAnsi="宋体" w:cs="宋体" w:eastAsia="宋体" w:hint="default"/>
                <w:sz w:val="21"/>
                <w:szCs w:val="21"/>
              </w:rPr>
              <w:t>净利润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331" w:right="32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r>
      <w:tr>
        <w:trPr>
          <w:trHeight w:val="970"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87" w:right="188"/>
              <w:jc w:val="left"/>
              <w:rPr>
                <w:rFonts w:ascii="宋体" w:hAnsi="宋体" w:cs="宋体" w:eastAsia="宋体" w:hint="default"/>
                <w:sz w:val="21"/>
                <w:szCs w:val="21"/>
              </w:rPr>
            </w:pPr>
            <w:r>
              <w:rPr>
                <w:rFonts w:ascii="宋体" w:hAnsi="宋体" w:cs="宋体" w:eastAsia="宋体" w:hint="default"/>
                <w:sz w:val="21"/>
                <w:szCs w:val="21"/>
              </w:rPr>
              <w:t>青港</w:t>
            </w:r>
            <w:r>
              <w:rPr>
                <w:rFonts w:ascii="宋体" w:hAnsi="宋体" w:cs="宋体" w:eastAsia="宋体" w:hint="default"/>
                <w:spacing w:val="-103"/>
                <w:sz w:val="21"/>
                <w:szCs w:val="21"/>
              </w:rPr>
              <w:t> </w:t>
            </w:r>
            <w:r>
              <w:rPr>
                <w:rFonts w:ascii="宋体" w:hAnsi="宋体" w:cs="宋体" w:eastAsia="宋体" w:hint="default"/>
                <w:sz w:val="21"/>
                <w:szCs w:val="21"/>
              </w:rPr>
              <w:t>物流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6"/>
              <w:jc w:val="both"/>
              <w:rPr>
                <w:rFonts w:ascii="宋体" w:hAnsi="宋体" w:cs="宋体" w:eastAsia="宋体" w:hint="default"/>
                <w:sz w:val="21"/>
                <w:szCs w:val="21"/>
              </w:rPr>
            </w:pPr>
            <w:r>
              <w:rPr>
                <w:rFonts w:ascii="宋体" w:hAnsi="宋体" w:cs="宋体" w:eastAsia="宋体" w:hint="default"/>
                <w:spacing w:val="-8"/>
                <w:sz w:val="21"/>
                <w:szCs w:val="21"/>
              </w:rPr>
              <w:t>主要经营运输、代</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理、仓储等物流增</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值服务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395,428.03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142,960.91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392,360.75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87,807.44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61,934.45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24,500.00</w:t>
            </w:r>
          </w:p>
        </w:tc>
      </w:tr>
      <w:tr>
        <w:trPr>
          <w:trHeight w:val="970"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2"/>
              <w:ind w:left="187" w:right="188"/>
              <w:jc w:val="both"/>
              <w:rPr>
                <w:rFonts w:ascii="宋体" w:hAnsi="宋体" w:cs="宋体" w:eastAsia="宋体" w:hint="default"/>
                <w:sz w:val="21"/>
                <w:szCs w:val="21"/>
              </w:rPr>
            </w:pPr>
            <w:r>
              <w:rPr>
                <w:rFonts w:ascii="宋体" w:hAnsi="宋体" w:cs="宋体" w:eastAsia="宋体" w:hint="default"/>
                <w:sz w:val="21"/>
                <w:szCs w:val="21"/>
              </w:rPr>
              <w:t>青港</w:t>
            </w:r>
            <w:r>
              <w:rPr>
                <w:rFonts w:ascii="宋体" w:hAnsi="宋体" w:cs="宋体" w:eastAsia="宋体" w:hint="default"/>
                <w:spacing w:val="-103"/>
                <w:sz w:val="21"/>
                <w:szCs w:val="21"/>
              </w:rPr>
              <w:t> </w:t>
            </w: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70%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103" w:right="96"/>
              <w:jc w:val="left"/>
              <w:rPr>
                <w:rFonts w:ascii="宋体" w:hAnsi="宋体" w:cs="宋体" w:eastAsia="宋体" w:hint="default"/>
                <w:sz w:val="21"/>
                <w:szCs w:val="21"/>
              </w:rPr>
            </w:pPr>
            <w:r>
              <w:rPr>
                <w:rFonts w:ascii="宋体" w:hAnsi="宋体" w:cs="宋体" w:eastAsia="宋体" w:hint="default"/>
                <w:spacing w:val="-8"/>
                <w:sz w:val="21"/>
                <w:szCs w:val="21"/>
              </w:rPr>
              <w:t>主要经营存款、信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贷、中间业务等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1,635,860.96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216,248.80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35,205.32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32,532.75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24,672.36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970"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QQCT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6"/>
                <w:sz w:val="21"/>
                <w:szCs w:val="21"/>
              </w:rPr>
              <w:t> </w:t>
            </w:r>
            <w:r>
              <w:rPr>
                <w:rFonts w:ascii="宋体" w:hAnsi="宋体" w:cs="宋体" w:eastAsia="宋体" w:hint="default"/>
                <w:spacing w:val="14"/>
                <w:sz w:val="21"/>
                <w:szCs w:val="21"/>
              </w:rPr>
              <w:t>要经营</w:t>
            </w:r>
            <w:r>
              <w:rPr>
                <w:rFonts w:ascii="宋体" w:hAnsi="宋体" w:cs="宋体" w:eastAsia="宋体" w:hint="default"/>
                <w:spacing w:val="-76"/>
                <w:sz w:val="21"/>
                <w:szCs w:val="21"/>
              </w:rPr>
              <w:t> </w:t>
            </w:r>
            <w:r>
              <w:rPr>
                <w:rFonts w:ascii="宋体" w:hAnsi="宋体" w:cs="宋体" w:eastAsia="宋体" w:hint="default"/>
                <w:spacing w:val="11"/>
                <w:sz w:val="21"/>
                <w:szCs w:val="21"/>
              </w:rPr>
              <w:t>集装</w:t>
            </w:r>
            <w:r>
              <w:rPr>
                <w:rFonts w:ascii="宋体" w:hAnsi="宋体" w:cs="宋体" w:eastAsia="宋体" w:hint="default"/>
                <w:spacing w:val="-76"/>
                <w:sz w:val="21"/>
                <w:szCs w:val="21"/>
              </w:rPr>
              <w:t> </w:t>
            </w:r>
            <w:r>
              <w:rPr>
                <w:rFonts w:ascii="宋体" w:hAnsi="宋体" w:cs="宋体" w:eastAsia="宋体" w:hint="default"/>
                <w:sz w:val="21"/>
                <w:szCs w:val="21"/>
              </w:rPr>
              <w:t>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处</w:t>
            </w:r>
            <w:r>
              <w:rPr>
                <w:rFonts w:ascii="宋体" w:hAnsi="宋体" w:cs="宋体" w:eastAsia="宋体" w:hint="default"/>
                <w:spacing w:val="-76"/>
                <w:sz w:val="21"/>
                <w:szCs w:val="21"/>
              </w:rPr>
              <w:t> </w:t>
            </w:r>
            <w:r>
              <w:rPr>
                <w:rFonts w:ascii="宋体" w:hAnsi="宋体" w:cs="宋体" w:eastAsia="宋体" w:hint="default"/>
                <w:spacing w:val="14"/>
                <w:sz w:val="21"/>
                <w:szCs w:val="21"/>
              </w:rPr>
              <w:t>理及配</w:t>
            </w:r>
            <w:r>
              <w:rPr>
                <w:rFonts w:ascii="宋体" w:hAnsi="宋体" w:cs="宋体" w:eastAsia="宋体" w:hint="default"/>
                <w:spacing w:val="-76"/>
                <w:sz w:val="21"/>
                <w:szCs w:val="21"/>
              </w:rPr>
              <w:t> </w:t>
            </w:r>
            <w:r>
              <w:rPr>
                <w:rFonts w:ascii="宋体" w:hAnsi="宋体" w:cs="宋体" w:eastAsia="宋体" w:hint="default"/>
                <w:spacing w:val="11"/>
                <w:sz w:val="21"/>
                <w:szCs w:val="21"/>
              </w:rPr>
              <w:t>套服</w:t>
            </w:r>
            <w:r>
              <w:rPr>
                <w:rFonts w:ascii="宋体" w:hAnsi="宋体" w:cs="宋体" w:eastAsia="宋体" w:hint="default"/>
                <w:spacing w:val="-76"/>
                <w:sz w:val="21"/>
                <w:szCs w:val="21"/>
              </w:rPr>
              <w:t> </w:t>
            </w:r>
            <w:r>
              <w:rPr>
                <w:rFonts w:ascii="宋体" w:hAnsi="宋体" w:cs="宋体" w:eastAsia="宋体" w:hint="default"/>
                <w:sz w:val="21"/>
                <w:szCs w:val="21"/>
              </w:rPr>
              <w:t>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1,339,430.15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731,456.85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377,598.43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219,711.03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171,971.74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30,800</w:t>
            </w:r>
          </w:p>
          <w:p>
            <w:pPr>
              <w:pStyle w:val="TableParagraph"/>
              <w:spacing w:line="240" w:lineRule="auto" w:before="28"/>
              <w:ind w:left="410" w:right="0"/>
              <w:jc w:val="left"/>
              <w:rPr>
                <w:rFonts w:ascii="宋体" w:hAnsi="宋体" w:cs="宋体" w:eastAsia="宋体" w:hint="default"/>
                <w:sz w:val="21"/>
                <w:szCs w:val="21"/>
              </w:rPr>
            </w:pPr>
            <w:r>
              <w:rPr>
                <w:rFonts w:ascii="宋体" w:hAnsi="宋体" w:cs="宋体" w:eastAsia="宋体" w:hint="default"/>
                <w:sz w:val="21"/>
                <w:szCs w:val="21"/>
              </w:rPr>
              <w:t>万美元</w:t>
            </w:r>
          </w:p>
        </w:tc>
      </w:tr>
      <w:tr>
        <w:trPr>
          <w:trHeight w:val="972"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187" w:right="188"/>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pacing w:val="-103"/>
                <w:sz w:val="21"/>
                <w:szCs w:val="21"/>
              </w:rPr>
              <w:t> </w:t>
            </w:r>
            <w:r>
              <w:rPr>
                <w:rFonts w:ascii="宋体" w:hAnsi="宋体" w:cs="宋体" w:eastAsia="宋体" w:hint="default"/>
                <w:sz w:val="21"/>
                <w:szCs w:val="21"/>
              </w:rPr>
              <w:t>实华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50%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6"/>
                <w:sz w:val="21"/>
                <w:szCs w:val="21"/>
              </w:rPr>
              <w:t> </w:t>
            </w:r>
            <w:r>
              <w:rPr>
                <w:rFonts w:ascii="宋体" w:hAnsi="宋体" w:cs="宋体" w:eastAsia="宋体" w:hint="default"/>
                <w:spacing w:val="14"/>
                <w:sz w:val="21"/>
                <w:szCs w:val="21"/>
              </w:rPr>
              <w:t>要经营</w:t>
            </w:r>
            <w:r>
              <w:rPr>
                <w:rFonts w:ascii="宋体" w:hAnsi="宋体" w:cs="宋体" w:eastAsia="宋体" w:hint="default"/>
                <w:spacing w:val="-76"/>
                <w:sz w:val="21"/>
                <w:szCs w:val="21"/>
              </w:rPr>
              <w:t> </w:t>
            </w:r>
            <w:r>
              <w:rPr>
                <w:rFonts w:ascii="宋体" w:hAnsi="宋体" w:cs="宋体" w:eastAsia="宋体" w:hint="default"/>
                <w:spacing w:val="11"/>
                <w:sz w:val="21"/>
                <w:szCs w:val="21"/>
              </w:rPr>
              <w:t>液体</w:t>
            </w:r>
            <w:r>
              <w:rPr>
                <w:rFonts w:ascii="宋体" w:hAnsi="宋体" w:cs="宋体" w:eastAsia="宋体" w:hint="default"/>
                <w:spacing w:val="-76"/>
                <w:sz w:val="21"/>
                <w:szCs w:val="21"/>
              </w:rPr>
              <w:t> </w:t>
            </w:r>
            <w:r>
              <w:rPr>
                <w:rFonts w:ascii="宋体" w:hAnsi="宋体" w:cs="宋体" w:eastAsia="宋体" w:hint="default"/>
                <w:sz w:val="21"/>
                <w:szCs w:val="21"/>
              </w:rPr>
              <w:t>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货</w:t>
            </w:r>
            <w:r>
              <w:rPr>
                <w:rFonts w:ascii="宋体" w:hAnsi="宋体" w:cs="宋体" w:eastAsia="宋体" w:hint="default"/>
                <w:spacing w:val="-76"/>
                <w:sz w:val="21"/>
                <w:szCs w:val="21"/>
              </w:rPr>
              <w:t> </w:t>
            </w:r>
            <w:r>
              <w:rPr>
                <w:rFonts w:ascii="宋体" w:hAnsi="宋体" w:cs="宋体" w:eastAsia="宋体" w:hint="default"/>
                <w:spacing w:val="14"/>
                <w:sz w:val="21"/>
                <w:szCs w:val="21"/>
              </w:rPr>
              <w:t>处理及</w:t>
            </w:r>
            <w:r>
              <w:rPr>
                <w:rFonts w:ascii="宋体" w:hAnsi="宋体" w:cs="宋体" w:eastAsia="宋体" w:hint="default"/>
                <w:spacing w:val="-76"/>
                <w:sz w:val="21"/>
                <w:szCs w:val="21"/>
              </w:rPr>
              <w:t> </w:t>
            </w:r>
            <w:r>
              <w:rPr>
                <w:rFonts w:ascii="宋体" w:hAnsi="宋体" w:cs="宋体" w:eastAsia="宋体" w:hint="default"/>
                <w:spacing w:val="11"/>
                <w:sz w:val="21"/>
                <w:szCs w:val="21"/>
              </w:rPr>
              <w:t>配套</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338,470.30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4"/>
              <w:jc w:val="right"/>
              <w:rPr>
                <w:rFonts w:ascii="Times New Roman" w:hAnsi="Times New Roman" w:cs="Times New Roman" w:eastAsia="Times New Roman" w:hint="default"/>
                <w:sz w:val="21"/>
                <w:szCs w:val="21"/>
              </w:rPr>
            </w:pPr>
            <w:r>
              <w:rPr>
                <w:rFonts w:ascii="Times New Roman"/>
                <w:spacing w:val="-1"/>
                <w:sz w:val="21"/>
              </w:rPr>
              <w:t>283,827.71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163,355.88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pacing w:val="-1"/>
                <w:sz w:val="21"/>
              </w:rPr>
              <w:t>100,174.49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78,218.48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36"/>
              <w:jc w:val="right"/>
              <w:rPr>
                <w:rFonts w:ascii="Times New Roman" w:hAnsi="Times New Roman" w:cs="Times New Roman" w:eastAsia="Times New Roman" w:hint="default"/>
                <w:sz w:val="21"/>
                <w:szCs w:val="21"/>
              </w:rPr>
            </w:pPr>
            <w:r>
              <w:rPr>
                <w:rFonts w:ascii="Times New Roman"/>
                <w:spacing w:val="-1"/>
                <w:sz w:val="21"/>
              </w:rPr>
              <w:t>100,000.00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64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809"/>
        <w:gridCol w:w="852"/>
        <w:gridCol w:w="1841"/>
        <w:gridCol w:w="1277"/>
        <w:gridCol w:w="1133"/>
        <w:gridCol w:w="1135"/>
        <w:gridCol w:w="1133"/>
        <w:gridCol w:w="1136"/>
        <w:gridCol w:w="1092"/>
      </w:tblGrid>
      <w:tr>
        <w:trPr>
          <w:trHeight w:val="970"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87" w:right="188"/>
              <w:jc w:val="both"/>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pacing w:val="-103"/>
                <w:sz w:val="21"/>
                <w:szCs w:val="21"/>
              </w:rPr>
              <w:t> </w:t>
            </w:r>
            <w:r>
              <w:rPr>
                <w:rFonts w:ascii="宋体" w:hAnsi="宋体" w:cs="宋体" w:eastAsia="宋体" w:hint="default"/>
                <w:sz w:val="21"/>
                <w:szCs w:val="21"/>
              </w:rPr>
              <w:t>港联</w:t>
            </w:r>
            <w:r>
              <w:rPr>
                <w:rFonts w:ascii="宋体" w:hAnsi="宋体" w:cs="宋体" w:eastAsia="宋体" w:hint="default"/>
                <w:spacing w:val="-103"/>
                <w:sz w:val="21"/>
                <w:szCs w:val="21"/>
              </w:rPr>
              <w:t> </w:t>
            </w:r>
            <w:r>
              <w:rPr>
                <w:rFonts w:ascii="宋体" w:hAnsi="宋体" w:cs="宋体" w:eastAsia="宋体" w:hint="default"/>
                <w:sz w:val="21"/>
                <w:szCs w:val="21"/>
              </w:rPr>
              <w:t>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98"/>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6"/>
                <w:sz w:val="21"/>
                <w:szCs w:val="21"/>
              </w:rPr>
              <w:t> </w:t>
            </w:r>
            <w:r>
              <w:rPr>
                <w:rFonts w:ascii="宋体" w:hAnsi="宋体" w:cs="宋体" w:eastAsia="宋体" w:hint="default"/>
                <w:spacing w:val="14"/>
                <w:sz w:val="21"/>
                <w:szCs w:val="21"/>
              </w:rPr>
              <w:t>要经营</w:t>
            </w:r>
            <w:r>
              <w:rPr>
                <w:rFonts w:ascii="宋体" w:hAnsi="宋体" w:cs="宋体" w:eastAsia="宋体" w:hint="default"/>
                <w:spacing w:val="-76"/>
                <w:sz w:val="21"/>
                <w:szCs w:val="21"/>
              </w:rPr>
              <w:t> </w:t>
            </w:r>
            <w:r>
              <w:rPr>
                <w:rFonts w:ascii="宋体" w:hAnsi="宋体" w:cs="宋体" w:eastAsia="宋体" w:hint="default"/>
                <w:spacing w:val="11"/>
                <w:sz w:val="21"/>
                <w:szCs w:val="21"/>
              </w:rPr>
              <w:t>液体</w:t>
            </w:r>
            <w:r>
              <w:rPr>
                <w:rFonts w:ascii="宋体" w:hAnsi="宋体" w:cs="宋体" w:eastAsia="宋体" w:hint="default"/>
                <w:spacing w:val="-76"/>
                <w:sz w:val="21"/>
                <w:szCs w:val="21"/>
              </w:rPr>
              <w:t> </w:t>
            </w:r>
            <w:r>
              <w:rPr>
                <w:rFonts w:ascii="宋体" w:hAnsi="宋体" w:cs="宋体" w:eastAsia="宋体" w:hint="default"/>
                <w:sz w:val="21"/>
                <w:szCs w:val="21"/>
              </w:rPr>
              <w:t>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货</w:t>
            </w:r>
            <w:r>
              <w:rPr>
                <w:rFonts w:ascii="宋体" w:hAnsi="宋体" w:cs="宋体" w:eastAsia="宋体" w:hint="default"/>
                <w:spacing w:val="-76"/>
                <w:sz w:val="21"/>
                <w:szCs w:val="21"/>
              </w:rPr>
              <w:t> </w:t>
            </w:r>
            <w:r>
              <w:rPr>
                <w:rFonts w:ascii="宋体" w:hAnsi="宋体" w:cs="宋体" w:eastAsia="宋体" w:hint="default"/>
                <w:spacing w:val="14"/>
                <w:sz w:val="21"/>
                <w:szCs w:val="21"/>
              </w:rPr>
              <w:t>处理及</w:t>
            </w:r>
            <w:r>
              <w:rPr>
                <w:rFonts w:ascii="宋体" w:hAnsi="宋体" w:cs="宋体" w:eastAsia="宋体" w:hint="default"/>
                <w:spacing w:val="-76"/>
                <w:sz w:val="21"/>
                <w:szCs w:val="21"/>
              </w:rPr>
              <w:t> </w:t>
            </w:r>
            <w:r>
              <w:rPr>
                <w:rFonts w:ascii="宋体" w:hAnsi="宋体" w:cs="宋体" w:eastAsia="宋体" w:hint="default"/>
                <w:spacing w:val="11"/>
                <w:sz w:val="21"/>
                <w:szCs w:val="21"/>
              </w:rPr>
              <w:t>配套</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401,419.74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131,129.38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91,022.09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49,330.25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45" w:right="0"/>
              <w:jc w:val="left"/>
              <w:rPr>
                <w:rFonts w:ascii="Times New Roman" w:hAnsi="Times New Roman" w:cs="Times New Roman" w:eastAsia="Times New Roman" w:hint="default"/>
                <w:sz w:val="21"/>
                <w:szCs w:val="21"/>
              </w:rPr>
            </w:pPr>
            <w:r>
              <w:rPr>
                <w:rFonts w:ascii="Times New Roman"/>
                <w:sz w:val="21"/>
              </w:rPr>
              <w:t>35,574.30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98,000.00</w:t>
            </w:r>
          </w:p>
        </w:tc>
      </w:tr>
    </w:tbl>
    <w:p>
      <w:pPr>
        <w:pStyle w:val="BodyText"/>
        <w:spacing w:line="314" w:lineRule="auto" w:before="42"/>
        <w:ind w:left="778" w:right="0"/>
        <w:jc w:val="left"/>
        <w:rPr>
          <w:rFonts w:ascii="宋体" w:hAnsi="宋体" w:cs="宋体" w:eastAsia="宋体" w:hint="default"/>
        </w:rPr>
      </w:pPr>
      <w:r>
        <w:rPr>
          <w:spacing w:val="-4"/>
        </w:rPr>
        <w:t>注：单个子公司净利润或单个参股公司的投资收益对公司净利润影响达 </w:t>
      </w:r>
      <w:r>
        <w:rPr>
          <w:rFonts w:ascii="宋体" w:hAnsi="宋体" w:cs="宋体" w:eastAsia="宋体" w:hint="default"/>
          <w:spacing w:val="-6"/>
        </w:rPr>
        <w:t>10%</w:t>
      </w:r>
      <w:r>
        <w:rPr>
          <w:spacing w:val="-6"/>
        </w:rPr>
        <w:t>以上的公司：青港物流、</w:t>
      </w:r>
      <w:r>
        <w:rPr>
          <w:spacing w:val="-71"/>
        </w:rPr>
        <w:t> </w:t>
      </w:r>
      <w:r>
        <w:rPr>
          <w:spacing w:val="-71"/>
        </w:rPr>
      </w:r>
      <w:r>
        <w:rPr>
          <w:rFonts w:ascii="宋体" w:hAnsi="宋体" w:cs="宋体" w:eastAsia="宋体" w:hint="default"/>
        </w:rPr>
        <w:t>QQCT</w:t>
      </w:r>
      <w:r>
        <w:rPr/>
        <w:t>，两家公司的营业收入和营业利润主要来源于主营业务。</w:t>
      </w:r>
      <w:r>
        <w:rPr>
          <w:rFonts w:ascii="宋体" w:hAnsi="宋体" w:cs="宋体" w:eastAsia="宋体" w:hint="default"/>
        </w:rPr>
        <w:t> </w:t>
      </w:r>
    </w:p>
    <w:p>
      <w:pPr>
        <w:pStyle w:val="BodyText"/>
        <w:spacing w:line="218" w:lineRule="exact"/>
        <w:ind w:left="778" w:right="0"/>
        <w:jc w:val="left"/>
        <w:rPr>
          <w:rFonts w:ascii="宋体" w:hAnsi="宋体" w:cs="宋体" w:eastAsia="宋体" w:hint="default"/>
        </w:rPr>
      </w:pPr>
      <w:r>
        <w:rPr>
          <w:rFonts w:ascii="宋体"/>
          <w:w w:val="100"/>
        </w:rPr>
        <w:t> </w:t>
      </w:r>
    </w:p>
    <w:p>
      <w:pPr>
        <w:pStyle w:val="Heading5"/>
        <w:tabs>
          <w:tab w:pos="1618" w:val="left" w:leader="none"/>
        </w:tabs>
        <w:spacing w:line="240" w:lineRule="auto"/>
        <w:ind w:left="778" w:right="0"/>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pStyle w:val="BodyText"/>
        <w:spacing w:line="273" w:lineRule="exact" w:before="58"/>
        <w:ind w:left="7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tabs>
          <w:tab w:pos="1618" w:val="left" w:leader="none"/>
        </w:tabs>
        <w:spacing w:line="290" w:lineRule="auto" w:before="0"/>
        <w:ind w:left="778" w:right="6068"/>
        <w:jc w:val="left"/>
        <w:rPr>
          <w:b w:val="0"/>
          <w:bCs w:val="0"/>
        </w:rPr>
      </w:pPr>
      <w:r>
        <w:rPr>
          <w:rFonts w:ascii="宋体" w:hAnsi="宋体" w:cs="宋体" w:eastAsia="宋体" w:hint="default"/>
          <w:b w:val="0"/>
          <w:bCs w:val="0"/>
          <w:w w:val="100"/>
        </w:rPr>
        <w:t> </w:t>
      </w:r>
      <w:r>
        <w:rPr>
          <w:w w:val="100"/>
        </w:rPr>
        <w:t>三、公</w:t>
      </w:r>
      <w:r>
        <w:rPr>
          <w:spacing w:val="-1"/>
          <w:w w:val="100"/>
        </w:rPr>
        <w:t>司</w:t>
      </w:r>
      <w:r>
        <w:rPr>
          <w:w w:val="100"/>
        </w:rPr>
        <w:t>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304" w:lineRule="auto" w:before="15"/>
        <w:ind w:left="119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随着腹地经济发展进入产业升级新时代，经济发展方式转变和结构深度调整将长期影响本集团</w:t>
      </w:r>
    </w:p>
    <w:p>
      <w:pPr>
        <w:pStyle w:val="BodyText"/>
        <w:spacing w:line="314" w:lineRule="auto" w:before="28"/>
        <w:ind w:left="778" w:right="524"/>
        <w:jc w:val="left"/>
        <w:rPr>
          <w:rFonts w:ascii="宋体" w:hAnsi="宋体" w:cs="宋体" w:eastAsia="宋体" w:hint="default"/>
        </w:rPr>
      </w:pPr>
      <w:r>
        <w:rPr>
          <w:spacing w:val="-2"/>
        </w:rPr>
        <w:t>吞吐量增速和需求结构。随着山东省及中西部腹地新旧动能转换、经济转型升级的深入推进，带动</w:t>
      </w:r>
      <w:r>
        <w:rPr>
          <w:spacing w:val="-25"/>
        </w:rPr>
        <w:t> </w:t>
      </w:r>
      <w:r>
        <w:rPr>
          <w:spacing w:val="-25"/>
        </w:rPr>
      </w:r>
      <w:r>
        <w:rPr/>
        <w:t>单位</w:t>
      </w:r>
      <w:r>
        <w:rPr>
          <w:spacing w:val="-57"/>
        </w:rPr>
        <w:t> </w:t>
      </w:r>
      <w:r>
        <w:rPr>
          <w:rFonts w:ascii="宋体" w:hAnsi="宋体" w:cs="宋体" w:eastAsia="宋体" w:hint="default"/>
        </w:rPr>
        <w:t>GDP</w:t>
      </w:r>
      <w:r>
        <w:rPr>
          <w:rFonts w:ascii="宋体" w:hAnsi="宋体" w:cs="宋体" w:eastAsia="宋体" w:hint="default"/>
          <w:spacing w:val="-57"/>
        </w:rPr>
        <w:t> </w:t>
      </w:r>
      <w:r>
        <w:rPr/>
        <w:t>货运需求进一步下降，本集团货物吞吐量将逐步由中高速增长向中低速增长过渡。</w:t>
      </w:r>
      <w:r>
        <w:rPr>
          <w:rFonts w:ascii="宋体" w:hAnsi="宋体" w:cs="宋体" w:eastAsia="宋体" w:hint="default"/>
        </w:rPr>
        <w:t> </w:t>
      </w:r>
    </w:p>
    <w:p>
      <w:pPr>
        <w:pStyle w:val="BodyText"/>
        <w:spacing w:line="314" w:lineRule="auto" w:before="20"/>
        <w:ind w:left="778" w:right="828" w:firstLine="420"/>
        <w:jc w:val="both"/>
        <w:rPr>
          <w:rFonts w:ascii="宋体" w:hAnsi="宋体" w:cs="宋体" w:eastAsia="宋体" w:hint="default"/>
        </w:rPr>
      </w:pPr>
      <w:r>
        <w:rPr>
          <w:spacing w:val="-2"/>
        </w:rPr>
        <w:t>“十四五”期间，本集团传统大宗能源、原材料运输需求逐步趋稳，集装箱运输将保持稳定增</w:t>
      </w:r>
      <w:r>
        <w:rPr>
          <w:w w:val="100"/>
        </w:rPr>
        <w:t> </w:t>
      </w:r>
      <w:r>
        <w:rPr>
          <w:spacing w:val="-2"/>
        </w:rPr>
        <w:t>长，原油、成品油等液体散货有望实现结构性增长，国际中转有较大发展潜力，港口发展的引擎正</w:t>
      </w:r>
      <w:r>
        <w:rPr>
          <w:spacing w:val="-25"/>
        </w:rPr>
        <w:t> </w:t>
      </w:r>
      <w:r>
        <w:rPr>
          <w:spacing w:val="-25"/>
        </w:rPr>
      </w:r>
      <w:r>
        <w:rPr>
          <w:spacing w:val="-2"/>
        </w:rPr>
        <w:t>在转换。未来腹地大宗散货运输市场以存量调整为主，增量相对有限，且随着重化工业朝沿海地区</w:t>
      </w:r>
      <w:r>
        <w:rPr>
          <w:spacing w:val="-25"/>
        </w:rPr>
        <w:t> </w:t>
      </w:r>
      <w:r>
        <w:rPr>
          <w:spacing w:val="-25"/>
        </w:rPr>
      </w:r>
      <w:r>
        <w:rPr/>
        <w:t>向临港地区的转移，临港地区将成为未来的主要增长点；集装箱将保持稳步增长。</w:t>
      </w:r>
      <w:r>
        <w:rPr>
          <w:rFonts w:ascii="宋体" w:hAnsi="宋体" w:cs="宋体" w:eastAsia="宋体" w:hint="default"/>
        </w:rPr>
        <w:t> </w:t>
      </w:r>
    </w:p>
    <w:p>
      <w:pPr>
        <w:pStyle w:val="BodyText"/>
        <w:spacing w:line="314" w:lineRule="auto" w:before="20"/>
        <w:ind w:left="778" w:right="828" w:firstLine="420"/>
        <w:jc w:val="both"/>
        <w:rPr>
          <w:rFonts w:ascii="宋体" w:hAnsi="宋体" w:cs="宋体" w:eastAsia="宋体" w:hint="default"/>
        </w:rPr>
      </w:pPr>
      <w:r>
        <w:rPr>
          <w:spacing w:val="-2"/>
        </w:rPr>
        <w:t>此外，新形势下交通运输行业的提质增效对综合运输成本优化提出了更高要求，海铁联运、河</w:t>
      </w:r>
      <w:r>
        <w:rPr>
          <w:w w:val="100"/>
        </w:rPr>
        <w:t> </w:t>
      </w:r>
      <w:r>
        <w:rPr>
          <w:spacing w:val="-2"/>
        </w:rPr>
        <w:t>海联运等多式联运的地位将进一步加强。随着董家口港区的蓬勃兴起，除了承接区域物资转移外，</w:t>
      </w:r>
      <w:r>
        <w:rPr>
          <w:spacing w:val="-25"/>
        </w:rPr>
        <w:t> </w:t>
      </w:r>
      <w:r>
        <w:rPr>
          <w:spacing w:val="-25"/>
        </w:rPr>
      </w:r>
      <w:r>
        <w:rPr>
          <w:spacing w:val="-2"/>
        </w:rPr>
        <w:t>临港产业将成为促进港口规模壮大的重要支撑。随着上合示范区、山东自贸区建设等国家重大战略</w:t>
      </w:r>
      <w:r>
        <w:rPr>
          <w:spacing w:val="-25"/>
        </w:rPr>
        <w:t> </w:t>
      </w:r>
      <w:r>
        <w:rPr>
          <w:spacing w:val="-25"/>
        </w:rPr>
      </w:r>
      <w:r>
        <w:rPr>
          <w:spacing w:val="-2"/>
        </w:rPr>
        <w:t>的叠加赋能，本集团在货物中转、集拼和国际分拨配送、贸易金融、航运服务能力提升等领域拓展</w:t>
      </w:r>
      <w:r>
        <w:rPr>
          <w:spacing w:val="-25"/>
        </w:rPr>
        <w:t> </w:t>
      </w:r>
      <w:r>
        <w:rPr>
          <w:spacing w:val="-25"/>
        </w:rPr>
      </w:r>
      <w:r>
        <w:rPr/>
        <w:t>空间较广，将发挥引领作用和试点效应。</w:t>
      </w:r>
      <w:r>
        <w:rPr>
          <w:rFonts w:ascii="宋体" w:hAnsi="宋体" w:cs="宋体" w:eastAsia="宋体" w:hint="default"/>
        </w:rPr>
        <w:t> </w:t>
      </w:r>
    </w:p>
    <w:p>
      <w:pPr>
        <w:pStyle w:val="BodyText"/>
        <w:spacing w:line="218" w:lineRule="exact"/>
        <w:ind w:left="778" w:right="0"/>
        <w:jc w:val="left"/>
        <w:rPr>
          <w:rFonts w:ascii="宋体" w:hAnsi="宋体" w:cs="宋体" w:eastAsia="宋体" w:hint="default"/>
        </w:rPr>
      </w:pPr>
      <w:r>
        <w:rPr>
          <w:rFonts w:ascii="宋体"/>
          <w:w w:val="100"/>
        </w:rPr>
        <w:t> </w:t>
      </w:r>
    </w:p>
    <w:p>
      <w:pPr>
        <w:pStyle w:val="Heading5"/>
        <w:tabs>
          <w:tab w:pos="1618" w:val="left" w:leader="none"/>
        </w:tabs>
        <w:spacing w:line="240" w:lineRule="auto" w:before="58"/>
        <w:ind w:left="77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公司发展战略</w:t>
      </w:r>
      <w:r>
        <w:rPr>
          <w:b w:val="0"/>
          <w:bCs w:val="0"/>
        </w:rPr>
      </w:r>
    </w:p>
    <w:p>
      <w:pPr>
        <w:pStyle w:val="BodyText"/>
        <w:spacing w:line="307" w:lineRule="auto" w:before="56"/>
        <w:ind w:left="119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6"/>
        </w:rPr>
        <w:t>本公司将以加快建设世界一流的海洋港口为目标，继续秉承“创新、协调、绿色、开放、共享”</w:t>
      </w:r>
    </w:p>
    <w:p>
      <w:pPr>
        <w:pStyle w:val="BodyText"/>
        <w:spacing w:line="314" w:lineRule="auto" w:before="26"/>
        <w:ind w:left="778" w:right="0"/>
        <w:jc w:val="left"/>
        <w:rPr>
          <w:rFonts w:ascii="宋体" w:hAnsi="宋体" w:cs="宋体" w:eastAsia="宋体" w:hint="default"/>
        </w:rPr>
      </w:pPr>
      <w:r>
        <w:rPr>
          <w:spacing w:val="-2"/>
        </w:rPr>
        <w:t>的发展理念，提速由门户港向枢纽港、由物流港向贸易港转变，创新引领，量效齐增，全面发展，</w:t>
      </w:r>
      <w:r>
        <w:rPr>
          <w:spacing w:val="-25"/>
        </w:rPr>
        <w:t> </w:t>
      </w:r>
      <w:r>
        <w:rPr>
          <w:spacing w:val="-25"/>
        </w:rPr>
      </w:r>
      <w:r>
        <w:rPr/>
        <w:t>拓展国际化发展空间，全面提升管理效能，为股东和社会创造更大价值。</w:t>
      </w:r>
      <w:r>
        <w:rPr>
          <w:rFonts w:ascii="宋体" w:hAnsi="宋体" w:cs="宋体" w:eastAsia="宋体" w:hint="default"/>
        </w:rPr>
        <w:t> </w:t>
      </w:r>
    </w:p>
    <w:p>
      <w:pPr>
        <w:pStyle w:val="BodyText"/>
        <w:spacing w:line="218" w:lineRule="exact"/>
        <w:ind w:left="778" w:right="0"/>
        <w:jc w:val="left"/>
        <w:rPr>
          <w:rFonts w:ascii="宋体" w:hAnsi="宋体" w:cs="宋体" w:eastAsia="宋体" w:hint="default"/>
        </w:rPr>
      </w:pPr>
      <w:r>
        <w:rPr>
          <w:rFonts w:ascii="宋体"/>
          <w:w w:val="100"/>
        </w:rPr>
        <w:t> </w:t>
      </w:r>
    </w:p>
    <w:p>
      <w:pPr>
        <w:pStyle w:val="Heading5"/>
        <w:tabs>
          <w:tab w:pos="1618" w:val="left" w:leader="none"/>
        </w:tabs>
        <w:spacing w:line="240" w:lineRule="auto" w:before="57"/>
        <w:ind w:left="77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pStyle w:val="BodyText"/>
        <w:spacing w:line="240" w:lineRule="auto" w:before="58"/>
        <w:ind w:left="7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778" w:right="790" w:firstLine="420"/>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1"/>
        </w:rPr>
        <w:t> </w:t>
      </w:r>
      <w:r>
        <w:rPr>
          <w:spacing w:val="-2"/>
        </w:rPr>
        <w:t>年，国际形势复杂多变，国内经济稳中向好的基本趋势不变。本集团将以加快建设世界一</w:t>
      </w:r>
      <w:r>
        <w:rPr>
          <w:w w:val="100"/>
        </w:rPr>
        <w:t> </w:t>
      </w:r>
      <w:r>
        <w:rPr>
          <w:spacing w:val="-2"/>
        </w:rPr>
        <w:t>流的海洋港口为目标，抢抓上合组织地方经贸合作示范区、山东自贸区等政策叠加机遇，持续深化</w:t>
      </w:r>
      <w:r>
        <w:rPr>
          <w:spacing w:val="-25"/>
        </w:rPr>
        <w:t> </w:t>
      </w:r>
      <w:r>
        <w:rPr>
          <w:spacing w:val="-25"/>
        </w:rPr>
      </w:r>
      <w:r>
        <w:rPr>
          <w:spacing w:val="-2"/>
        </w:rPr>
        <w:t>改革，加快转型升级，坚持业绩为王，拓展发展空间，全面提升管理效能，为股东和社会创造更大</w:t>
      </w:r>
      <w:r>
        <w:rPr>
          <w:spacing w:val="-25"/>
        </w:rPr>
        <w:t> </w:t>
      </w:r>
      <w:r>
        <w:rPr>
          <w:spacing w:val="-25"/>
        </w:rPr>
      </w:r>
      <w:r>
        <w:rPr/>
        <w:t>价值。</w:t>
      </w:r>
      <w:r>
        <w:rPr>
          <w:rFonts w:ascii="宋体" w:hAnsi="宋体" w:cs="宋体" w:eastAsia="宋体" w:hint="default"/>
        </w:rPr>
        <w:t> </w:t>
      </w:r>
    </w:p>
    <w:p>
      <w:pPr>
        <w:pStyle w:val="BodyText"/>
        <w:spacing w:line="314" w:lineRule="auto" w:before="20"/>
        <w:ind w:left="778" w:right="789" w:firstLine="420"/>
        <w:jc w:val="both"/>
      </w:pPr>
      <w:r>
        <w:rPr>
          <w:spacing w:val="-2"/>
        </w:rPr>
        <w:t>一是持续提升经营绩效。坚持陆海双向发力，海向增航线、扩舱容、拓中转，强化港口联动，</w:t>
      </w:r>
      <w:r>
        <w:rPr>
          <w:w w:val="100"/>
        </w:rPr>
        <w:t> </w:t>
      </w:r>
      <w:r>
        <w:rPr>
          <w:spacing w:val="-8"/>
          <w:w w:val="100"/>
        </w:rPr>
        <w:t>合力建设辐射东北亚港口群的中转网路</w:t>
      </w:r>
      <w:r>
        <w:rPr>
          <w:rFonts w:ascii="宋体" w:hAnsi="宋体" w:cs="宋体" w:eastAsia="宋体" w:hint="default"/>
          <w:spacing w:val="-8"/>
          <w:w w:val="100"/>
        </w:rPr>
        <w:t>,</w:t>
      </w:r>
      <w:r>
        <w:rPr>
          <w:spacing w:val="-8"/>
          <w:w w:val="100"/>
        </w:rPr>
        <w:t>打造北上南下内贸中转通道；陆向开班列、建陆港、拓货源，</w:t>
      </w:r>
      <w:r>
        <w:rPr>
          <w:spacing w:val="-82"/>
          <w:w w:val="100"/>
        </w:rPr>
        <w:t> </w:t>
      </w:r>
      <w:r>
        <w:rPr>
          <w:spacing w:val="-82"/>
          <w:w w:val="100"/>
        </w:rPr>
      </w:r>
      <w:r>
        <w:rPr>
          <w:spacing w:val="-6"/>
        </w:rPr>
        <w:t>优化内陆港布局，增开海铁联运班列，加快从门户港向枢纽港转型。抢抓政策机遇，融入“端到端”</w:t>
      </w:r>
    </w:p>
    <w:p>
      <w:pPr>
        <w:spacing w:after="0" w:line="314" w:lineRule="auto"/>
        <w:jc w:val="both"/>
        <w:sectPr>
          <w:footerReference w:type="default" r:id="rId20"/>
          <w:pgSz w:w="11910" w:h="16840"/>
          <w:pgMar w:footer="974" w:header="0" w:top="1120" w:bottom="1160" w:left="640" w:right="620"/>
          <w:pgNumType w:start="2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4" w:lineRule="auto" w:before="36"/>
        <w:ind w:left="138" w:right="148"/>
        <w:jc w:val="both"/>
        <w:rPr>
          <w:rFonts w:ascii="宋体" w:hAnsi="宋体" w:cs="宋体" w:eastAsia="宋体" w:hint="default"/>
        </w:rPr>
      </w:pPr>
      <w:r>
        <w:rPr>
          <w:spacing w:val="-2"/>
        </w:rPr>
        <w:t>全球物流供应链，做大中转集拼、保税加油、油品混合调和、冷链物流、跨境电商、滚装业务等新</w:t>
      </w:r>
      <w:r>
        <w:rPr>
          <w:spacing w:val="-25"/>
        </w:rPr>
        <w:t> </w:t>
      </w:r>
      <w:r>
        <w:rPr>
          <w:spacing w:val="-25"/>
        </w:rPr>
      </w:r>
      <w:r>
        <w:rPr>
          <w:spacing w:val="-2"/>
        </w:rPr>
        <w:t>兴业态。推动矿石国际中转、保税现货原油库等新模式，为客户提供综合服务，加快从物流港向贸</w:t>
      </w:r>
      <w:r>
        <w:rPr>
          <w:spacing w:val="-25"/>
        </w:rPr>
        <w:t> </w:t>
      </w:r>
      <w:r>
        <w:rPr>
          <w:spacing w:val="-25"/>
        </w:rPr>
      </w:r>
      <w:r>
        <w:rPr/>
        <w:t>易港转型。</w:t>
      </w:r>
      <w:r>
        <w:rPr>
          <w:rFonts w:ascii="宋体" w:hAnsi="宋体" w:cs="宋体" w:eastAsia="宋体" w:hint="default"/>
        </w:rPr>
        <w:t> </w:t>
      </w:r>
    </w:p>
    <w:p>
      <w:pPr>
        <w:pStyle w:val="BodyText"/>
        <w:spacing w:line="314" w:lineRule="auto" w:before="20"/>
        <w:ind w:left="138" w:right="148" w:firstLine="420"/>
        <w:jc w:val="both"/>
      </w:pPr>
      <w:r>
        <w:rPr>
          <w:spacing w:val="-2"/>
        </w:rPr>
        <w:t>二是持续增强发展潜力。加快建设智慧港口，不断完善自动化码头智慧作业系统。推进绿色港</w:t>
      </w:r>
      <w:r>
        <w:rPr>
          <w:w w:val="100"/>
        </w:rPr>
        <w:t> </w:t>
      </w:r>
      <w:r>
        <w:rPr>
          <w:spacing w:val="-2"/>
        </w:rPr>
        <w:t>口建设，推进码头堆场自动化建设，构建港口清洁低碳用能体系。加强重点工程建设，全力推进董</w:t>
      </w:r>
      <w:r>
        <w:rPr>
          <w:spacing w:val="-26"/>
        </w:rPr>
        <w:t> </w:t>
      </w:r>
      <w:r>
        <w:rPr>
          <w:spacing w:val="-26"/>
        </w:rPr>
      </w:r>
      <w:r>
        <w:rPr>
          <w:spacing w:val="-2"/>
        </w:rPr>
        <w:t>家口原油码头二期、原油商业储备库、中石油原油库及前湾港区海铁联运扩能一期工程建设。推动</w:t>
      </w:r>
      <w:r>
        <w:rPr>
          <w:spacing w:val="-25"/>
        </w:rPr>
        <w:t> </w:t>
      </w:r>
      <w:r>
        <w:rPr>
          <w:spacing w:val="-25"/>
        </w:rPr>
      </w:r>
      <w:r>
        <w:rPr>
          <w:spacing w:val="-2"/>
        </w:rPr>
        <w:t>合资合作，吸引优质企业在董家口临港区投资建设混矿、配矿、木材、粮食等临港加工产业和物流</w:t>
      </w:r>
      <w:r>
        <w:rPr>
          <w:spacing w:val="-25"/>
        </w:rPr>
        <w:t> </w:t>
      </w:r>
      <w:r>
        <w:rPr>
          <w:spacing w:val="-25"/>
        </w:rPr>
      </w:r>
      <w:r>
        <w:rPr>
          <w:spacing w:val="-2"/>
        </w:rPr>
        <w:t>中转基地。拓展国际化发展空间，推动意大利瓦多港码头、阿联酋阿布扎比哈里发港二期等国际化</w:t>
      </w:r>
      <w:r>
        <w:rPr>
          <w:spacing w:val="-25"/>
        </w:rPr>
        <w:t> </w:t>
      </w:r>
      <w:r>
        <w:rPr>
          <w:spacing w:val="-25"/>
        </w:rPr>
      </w:r>
      <w:r>
        <w:rPr/>
        <w:t>项目顺利运营。</w:t>
      </w:r>
    </w:p>
    <w:p>
      <w:pPr>
        <w:pStyle w:val="BodyText"/>
        <w:spacing w:line="314" w:lineRule="auto" w:before="20"/>
        <w:ind w:left="138" w:right="148" w:firstLine="420"/>
        <w:jc w:val="both"/>
        <w:rPr>
          <w:rFonts w:ascii="宋体" w:hAnsi="宋体" w:cs="宋体" w:eastAsia="宋体" w:hint="default"/>
        </w:rPr>
      </w:pPr>
      <w:r>
        <w:rPr>
          <w:spacing w:val="-2"/>
        </w:rPr>
        <w:t>三是持续提升管理效能。聚焦本质安全，建立全员安全责任清单，打造平安港口。完善现代化</w:t>
      </w:r>
      <w:r>
        <w:rPr>
          <w:w w:val="100"/>
        </w:rPr>
        <w:t> </w:t>
      </w:r>
      <w:r>
        <w:rPr>
          <w:spacing w:val="-2"/>
        </w:rPr>
        <w:t>治理体系，强化证券事务管理，打造资本市场标杆。创新人本管理，拓展员工职业发展通道，优化</w:t>
      </w:r>
      <w:r>
        <w:rPr>
          <w:spacing w:val="-25"/>
        </w:rPr>
        <w:t> </w:t>
      </w:r>
      <w:r>
        <w:rPr>
          <w:spacing w:val="-25"/>
        </w:rPr>
      </w:r>
      <w:r>
        <w:rPr/>
        <w:t>薪酬体系，办好员工实事，实现共建共用。</w:t>
      </w:r>
      <w:r>
        <w:rPr>
          <w:rFonts w:ascii="宋体" w:hAnsi="宋体" w:cs="宋体" w:eastAsia="宋体" w:hint="default"/>
        </w:rPr>
        <w:t> </w:t>
      </w:r>
    </w:p>
    <w:p>
      <w:pPr>
        <w:pStyle w:val="BodyText"/>
        <w:spacing w:line="218" w:lineRule="exact"/>
        <w:ind w:left="138" w:right="0"/>
        <w:jc w:val="both"/>
        <w:rPr>
          <w:rFonts w:ascii="宋体" w:hAnsi="宋体" w:cs="宋体" w:eastAsia="宋体" w:hint="default"/>
        </w:rPr>
      </w:pPr>
      <w:r>
        <w:rPr>
          <w:rFonts w:ascii="宋体"/>
          <w:w w:val="100"/>
        </w:rPr>
        <w:t> </w:t>
      </w:r>
    </w:p>
    <w:p>
      <w:pPr>
        <w:pStyle w:val="Heading5"/>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可能面对的风险</w:t>
      </w:r>
      <w:r>
        <w:rPr>
          <w:b w:val="0"/>
          <w:bCs w:val="0"/>
        </w:rPr>
      </w:r>
    </w:p>
    <w:p>
      <w:pPr>
        <w:pStyle w:val="BodyText"/>
        <w:spacing w:line="304" w:lineRule="auto" w:before="58"/>
        <w:ind w:left="558" w:right="6529"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宏观经济波动的风险</w:t>
      </w:r>
      <w:r>
        <w:rPr>
          <w:rFonts w:ascii="宋体" w:hAnsi="宋体" w:cs="宋体" w:eastAsia="宋体" w:hint="default"/>
        </w:rPr>
        <w:t> </w:t>
      </w:r>
    </w:p>
    <w:p>
      <w:pPr>
        <w:pStyle w:val="BodyText"/>
        <w:spacing w:line="314" w:lineRule="auto" w:before="28"/>
        <w:ind w:left="138" w:right="148" w:firstLine="420"/>
        <w:jc w:val="both"/>
        <w:rPr>
          <w:rFonts w:ascii="宋体" w:hAnsi="宋体" w:cs="宋体" w:eastAsia="宋体" w:hint="default"/>
        </w:rPr>
      </w:pPr>
      <w:r>
        <w:rPr>
          <w:spacing w:val="-2"/>
        </w:rPr>
        <w:t>港口行业属于国民经济基础产业，行业发展与宏观经济形势具有较高的关联度，受经济周期波</w:t>
      </w:r>
      <w:r>
        <w:rPr>
          <w:w w:val="100"/>
        </w:rPr>
        <w:t> </w:t>
      </w:r>
      <w:r>
        <w:rPr/>
        <w:t>动性影响较大。世界贸易的波动会影响到各国的进出口业务，进而影响到港口的经营状况。</w:t>
      </w:r>
      <w:r>
        <w:rPr>
          <w:rFonts w:ascii="宋体" w:hAnsi="宋体" w:cs="宋体" w:eastAsia="宋体" w:hint="default"/>
        </w:rPr>
        <w:t> </w:t>
      </w:r>
    </w:p>
    <w:p>
      <w:pPr>
        <w:pStyle w:val="BodyText"/>
        <w:spacing w:line="314" w:lineRule="auto" w:before="20"/>
        <w:ind w:left="138" w:right="148" w:firstLine="420"/>
        <w:jc w:val="both"/>
        <w:rPr>
          <w:rFonts w:ascii="宋体" w:hAnsi="宋体" w:cs="宋体" w:eastAsia="宋体" w:hint="default"/>
        </w:rPr>
      </w:pPr>
      <w:r>
        <w:rPr>
          <w:spacing w:val="-2"/>
        </w:rPr>
        <w:t>近期世界经济形势依然复杂严峻、国内经济结构转型升级，使经济继续回升的不确定性增加。</w:t>
      </w:r>
      <w:r>
        <w:rPr>
          <w:w w:val="100"/>
        </w:rPr>
        <w:t> </w:t>
      </w:r>
      <w:r>
        <w:rPr>
          <w:spacing w:val="-2"/>
        </w:rPr>
        <w:t>如果全球经济复苏的时间以及我国经济结构调整的周期比较长，进而影响我国的经济发展和国际、</w:t>
      </w:r>
      <w:r>
        <w:rPr>
          <w:spacing w:val="-25"/>
        </w:rPr>
        <w:t> </w:t>
      </w:r>
      <w:r>
        <w:rPr>
          <w:spacing w:val="-25"/>
        </w:rPr>
      </w:r>
      <w:r>
        <w:rPr/>
        <w:t>国内贸易量，则可能给公司的生产活动和经营业绩带来一定影响。</w:t>
      </w:r>
      <w:r>
        <w:rPr>
          <w:rFonts w:ascii="宋体" w:hAnsi="宋体" w:cs="宋体" w:eastAsia="宋体" w:hint="default"/>
        </w:rPr>
        <w:t> </w:t>
      </w:r>
    </w:p>
    <w:p>
      <w:pPr>
        <w:pStyle w:val="BodyText"/>
        <w:spacing w:line="314" w:lineRule="auto" w:before="20"/>
        <w:ind w:left="558" w:right="192"/>
        <w:jc w:val="left"/>
      </w:pPr>
      <w:r>
        <w:rPr>
          <w:rFonts w:ascii="宋体" w:hAnsi="宋体" w:cs="宋体" w:eastAsia="宋体" w:hint="default"/>
        </w:rPr>
        <w:t>2.</w:t>
      </w:r>
      <w:r>
        <w:rPr/>
        <w:t>对区域腹地经济发展依赖的风险</w:t>
      </w:r>
      <w:r>
        <w:rPr>
          <w:rFonts w:ascii="宋体" w:hAnsi="宋体" w:cs="宋体" w:eastAsia="宋体" w:hint="default"/>
          <w:w w:val="100"/>
        </w:rPr>
        <w:t> </w:t>
      </w:r>
      <w:r>
        <w:rPr>
          <w:spacing w:val="-2"/>
        </w:rPr>
        <w:t>公司的主要经济腹地包括山东、江苏、河北、山西及河南，延伸腹地包括陕西、宁夏、甘肃及</w:t>
      </w:r>
    </w:p>
    <w:p>
      <w:pPr>
        <w:pStyle w:val="BodyText"/>
        <w:spacing w:line="314" w:lineRule="auto" w:before="20"/>
        <w:ind w:left="138" w:right="192"/>
        <w:jc w:val="left"/>
        <w:rPr>
          <w:rFonts w:ascii="宋体" w:hAnsi="宋体" w:cs="宋体" w:eastAsia="宋体" w:hint="default"/>
        </w:rPr>
      </w:pPr>
      <w:r>
        <w:rPr>
          <w:spacing w:val="-2"/>
        </w:rPr>
        <w:t>新疆，该地区的经济发展状况以及对国际、国内贸易需求情况是影响公司发展的关键因素，如果其</w:t>
      </w:r>
      <w:r>
        <w:rPr>
          <w:spacing w:val="-25"/>
        </w:rPr>
        <w:t> </w:t>
      </w:r>
      <w:r>
        <w:rPr>
          <w:spacing w:val="-25"/>
        </w:rPr>
      </w:r>
      <w:r>
        <w:rPr/>
        <w:t>经济增长速度放缓或出现下滑，将对公司经营产生一定负面影响。</w:t>
      </w:r>
      <w:r>
        <w:rPr>
          <w:rFonts w:ascii="宋体" w:hAnsi="宋体" w:cs="宋体" w:eastAsia="宋体" w:hint="default"/>
        </w:rPr>
        <w:t> </w:t>
      </w:r>
    </w:p>
    <w:p>
      <w:pPr>
        <w:pStyle w:val="BodyText"/>
        <w:spacing w:line="314" w:lineRule="auto" w:before="20"/>
        <w:ind w:left="558" w:right="192"/>
        <w:jc w:val="left"/>
      </w:pPr>
      <w:r>
        <w:rPr>
          <w:rFonts w:ascii="宋体" w:hAnsi="宋体" w:cs="宋体" w:eastAsia="宋体" w:hint="default"/>
        </w:rPr>
        <w:t>3.</w:t>
      </w:r>
      <w:r>
        <w:rPr/>
        <w:t>港口费率调整的风险</w:t>
      </w:r>
      <w:r>
        <w:rPr>
          <w:rFonts w:ascii="宋体" w:hAnsi="宋体" w:cs="宋体" w:eastAsia="宋体" w:hint="default"/>
          <w:w w:val="100"/>
        </w:rPr>
        <w:t> </w:t>
      </w:r>
      <w:r>
        <w:rPr>
          <w:spacing w:val="-2"/>
        </w:rPr>
        <w:t>公司的主营业务收入主要来源于港口货物装卸及相关服务业务，其收费标准参照政府主管部门</w:t>
      </w:r>
    </w:p>
    <w:p>
      <w:pPr>
        <w:pStyle w:val="BodyText"/>
        <w:spacing w:line="314" w:lineRule="auto" w:before="20"/>
        <w:ind w:left="138" w:right="192"/>
        <w:jc w:val="left"/>
        <w:rPr>
          <w:rFonts w:ascii="宋体" w:hAnsi="宋体" w:cs="宋体" w:eastAsia="宋体" w:hint="default"/>
        </w:rPr>
      </w:pPr>
      <w:r>
        <w:rPr>
          <w:spacing w:val="-2"/>
        </w:rPr>
        <w:t>制定的《港口收费计费办法》等规定执行。如果国家调整港口收费规则或改变港口收费体制，公司</w:t>
      </w:r>
      <w:r>
        <w:rPr>
          <w:spacing w:val="-25"/>
        </w:rPr>
        <w:t> </w:t>
      </w:r>
      <w:r>
        <w:rPr>
          <w:spacing w:val="-25"/>
        </w:rPr>
      </w:r>
      <w:r>
        <w:rPr/>
        <w:t>的经营业绩将可能受到影响。</w:t>
      </w:r>
      <w:r>
        <w:rPr>
          <w:rFonts w:ascii="宋体" w:hAnsi="宋体" w:cs="宋体" w:eastAsia="宋体" w:hint="default"/>
        </w:rPr>
        <w:t> </w:t>
      </w:r>
    </w:p>
    <w:p>
      <w:pPr>
        <w:pStyle w:val="BodyText"/>
        <w:spacing w:line="314" w:lineRule="auto" w:before="20"/>
        <w:ind w:left="138" w:right="148" w:firstLine="420"/>
        <w:jc w:val="both"/>
        <w:rPr>
          <w:rFonts w:ascii="宋体" w:hAnsi="宋体" w:cs="宋体" w:eastAsia="宋体" w:hint="default"/>
        </w:rPr>
      </w:pPr>
      <w:r>
        <w:rPr>
          <w:spacing w:val="-2"/>
        </w:rPr>
        <w:t>公司将充分发挥服务综合性和货物多样性的优势，积极拓展多元化发展空间。不断加强集疏运</w:t>
      </w:r>
      <w:r>
        <w:rPr>
          <w:w w:val="100"/>
        </w:rPr>
        <w:t> </w:t>
      </w:r>
      <w:r>
        <w:rPr>
          <w:spacing w:val="-2"/>
        </w:rPr>
        <w:t>体系和内陆港建设，为客户提供一站式综合物流服务，巩固扩大货源腹地。全面加强公司管理，提</w:t>
      </w:r>
      <w:r>
        <w:rPr>
          <w:spacing w:val="-25"/>
        </w:rPr>
        <w:t> </w:t>
      </w:r>
      <w:r>
        <w:rPr>
          <w:spacing w:val="-25"/>
        </w:rPr>
      </w:r>
      <w:r>
        <w:rPr/>
        <w:t>速增量、提质增效，实现公司稳健发展。</w:t>
      </w:r>
      <w:r>
        <w:rPr>
          <w:rFonts w:ascii="宋体" w:hAnsi="宋体" w:cs="宋体" w:eastAsia="宋体" w:hint="default"/>
        </w:rPr>
        <w:t> </w:t>
      </w:r>
    </w:p>
    <w:p>
      <w:pPr>
        <w:pStyle w:val="BodyText"/>
        <w:spacing w:line="218" w:lineRule="exact"/>
        <w:ind w:left="138" w:right="0"/>
        <w:jc w:val="both"/>
        <w:rPr>
          <w:rFonts w:ascii="宋体" w:hAnsi="宋体" w:cs="宋体" w:eastAsia="宋体" w:hint="default"/>
        </w:rPr>
      </w:pPr>
      <w:r>
        <w:rPr>
          <w:rFonts w:ascii="宋体"/>
          <w:w w:val="100"/>
        </w:rPr>
        <w:t> </w:t>
      </w:r>
    </w:p>
    <w:p>
      <w:pPr>
        <w:pStyle w:val="Heading5"/>
        <w:spacing w:line="240" w:lineRule="auto" w:before="58"/>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00"/>
        </w:rPr>
        <w:t> </w:t>
      </w:r>
      <w:r>
        <w:rPr/>
        <w:t>其他</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210"/>
        <w:jc w:val="left"/>
        <w:rPr>
          <w:b w:val="0"/>
          <w:bCs w:val="0"/>
        </w:rPr>
      </w:pPr>
      <w:r>
        <w:rPr>
          <w:rFonts w:ascii="宋体" w:hAnsi="宋体" w:cs="宋体" w:eastAsia="宋体" w:hint="default"/>
          <w:b w:val="0"/>
          <w:bCs w:val="0"/>
          <w:w w:val="100"/>
        </w:rPr>
        <w:t> </w:t>
      </w:r>
      <w:r>
        <w:rPr>
          <w:w w:val="100"/>
        </w:rPr>
        <w:t>四、公司因不适用准则</w:t>
      </w:r>
      <w:r>
        <w:rPr>
          <w:spacing w:val="-3"/>
          <w:w w:val="100"/>
        </w:rPr>
        <w:t>规</w:t>
      </w:r>
      <w:r>
        <w:rPr>
          <w:w w:val="100"/>
        </w:rPr>
        <w:t>定</w:t>
      </w:r>
      <w:r>
        <w:rPr>
          <w:spacing w:val="-3"/>
          <w:w w:val="100"/>
        </w:rPr>
        <w:t>或</w:t>
      </w:r>
      <w:r>
        <w:rPr>
          <w:w w:val="100"/>
        </w:rPr>
        <w:t>国家秘密、商业秘</w:t>
      </w:r>
      <w:r>
        <w:rPr>
          <w:spacing w:val="-3"/>
          <w:w w:val="100"/>
        </w:rPr>
        <w:t>密</w:t>
      </w:r>
      <w:r>
        <w:rPr>
          <w:w w:val="100"/>
        </w:rPr>
        <w:t>等</w:t>
      </w:r>
      <w:r>
        <w:rPr>
          <w:spacing w:val="-3"/>
          <w:w w:val="100"/>
        </w:rPr>
        <w:t>特</w:t>
      </w:r>
      <w:r>
        <w:rPr>
          <w:w w:val="100"/>
        </w:rPr>
        <w:t>殊原因，未按准则</w:t>
      </w:r>
      <w:r>
        <w:rPr>
          <w:spacing w:val="-3"/>
          <w:w w:val="100"/>
        </w:rPr>
        <w:t>披</w:t>
      </w:r>
      <w:r>
        <w:rPr>
          <w:w w:val="100"/>
        </w:rPr>
        <w:t>露</w:t>
      </w:r>
      <w:r>
        <w:rPr>
          <w:spacing w:val="-3"/>
          <w:w w:val="100"/>
        </w:rPr>
        <w:t>的</w:t>
      </w:r>
      <w:r>
        <w:rPr>
          <w:w w:val="100"/>
        </w:rPr>
        <w:t>情况和原因说明</w:t>
      </w:r>
      <w:r>
        <w:rPr>
          <w:b w:val="0"/>
          <w:bCs w:val="0"/>
          <w:w w:val="100"/>
        </w:rPr>
      </w:r>
    </w:p>
    <w:p>
      <w:pPr>
        <w:pStyle w:val="Heading3"/>
        <w:spacing w:line="240" w:lineRule="auto" w:before="6"/>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13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0" w:footer="974" w:top="1120" w:bottom="1160" w:left="1280" w:right="1300"/>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55"/>
        <w:ind w:right="0"/>
        <w:jc w:val="center"/>
        <w:rPr>
          <w:b w:val="0"/>
          <w:bCs w:val="0"/>
        </w:rPr>
      </w:pPr>
      <w:bookmarkStart w:name="_TOC_250007" w:id="6"/>
      <w:r>
        <w:rPr>
          <w:w w:val="95"/>
        </w:rPr>
        <w:t>第五节</w:t>
      </w:r>
      <w:r>
        <w:rPr>
          <w:rFonts w:ascii="宋体" w:hAnsi="宋体" w:cs="宋体" w:eastAsia="宋体" w:hint="default"/>
          <w:w w:val="95"/>
        </w:rPr>
        <w:tab/>
      </w:r>
      <w:r>
        <w:rPr/>
        <w:t>重要事项</w:t>
      </w:r>
      <w:bookmarkEnd w:id="6"/>
      <w:r>
        <w:rPr>
          <w:b w:val="0"/>
          <w:bCs w:val="0"/>
        </w:rPr>
      </w:r>
    </w:p>
    <w:p>
      <w:pPr>
        <w:spacing w:line="240" w:lineRule="auto" w:before="4"/>
        <w:rPr>
          <w:rFonts w:ascii="黑体" w:hAnsi="黑体" w:cs="黑体" w:eastAsia="黑体" w:hint="default"/>
          <w:b/>
          <w:bCs/>
          <w:sz w:val="19"/>
          <w:szCs w:val="19"/>
        </w:rPr>
      </w:pPr>
    </w:p>
    <w:p>
      <w:pPr>
        <w:pStyle w:val="Heading5"/>
        <w:spacing w:line="240" w:lineRule="auto" w:before="0"/>
        <w:ind w:right="0"/>
        <w:jc w:val="both"/>
        <w:rPr>
          <w:b w:val="0"/>
          <w:bCs w:val="0"/>
        </w:rPr>
      </w:pPr>
      <w:r>
        <w:rPr/>
        <w:t>一、普通股利润分配或资本公积金转增预案</w:t>
      </w:r>
      <w:r>
        <w:rPr>
          <w:b w:val="0"/>
          <w:bCs w:val="0"/>
        </w:rPr>
      </w:r>
    </w:p>
    <w:p>
      <w:pPr>
        <w:pStyle w:val="Heading5"/>
        <w:spacing w:line="240" w:lineRule="auto"/>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3"/>
        <w:spacing w:line="240" w:lineRule="auto" w:before="25"/>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78"/>
        <w:ind w:right="105" w:firstLine="420"/>
        <w:jc w:val="left"/>
        <w:rPr>
          <w:rFonts w:ascii="宋体" w:hAnsi="宋体" w:cs="宋体" w:eastAsia="宋体" w:hint="default"/>
        </w:rPr>
      </w:pPr>
      <w:r>
        <w:rPr/>
        <w:t>按照中国证监会《上市公司监管指引第 </w:t>
      </w:r>
      <w:r>
        <w:rPr>
          <w:rFonts w:ascii="宋体" w:hAnsi="宋体" w:cs="宋体" w:eastAsia="宋体" w:hint="default"/>
        </w:rPr>
        <w:t>3 </w:t>
      </w:r>
      <w:r>
        <w:rPr/>
        <w:t>号</w:t>
      </w:r>
      <w:r>
        <w:rPr>
          <w:rFonts w:ascii="宋体" w:hAnsi="宋体" w:cs="宋体" w:eastAsia="宋体" w:hint="default"/>
        </w:rPr>
        <w:t>--</w:t>
      </w:r>
      <w:r>
        <w:rPr/>
        <w:t>上市公司现金分红》（证监会公告</w:t>
      </w:r>
      <w:r>
        <w:rPr>
          <w:rFonts w:ascii="宋体" w:hAnsi="宋体" w:cs="宋体" w:eastAsia="宋体" w:hint="default"/>
        </w:rPr>
        <w:t>[2013]43</w:t>
      </w:r>
      <w:r>
        <w:rPr>
          <w:rFonts w:ascii="宋体" w:hAnsi="宋体" w:cs="宋体" w:eastAsia="宋体" w:hint="default"/>
          <w:spacing w:val="-77"/>
        </w:rPr>
        <w:t> </w:t>
      </w:r>
      <w:r>
        <w:rPr/>
        <w:t>号）</w:t>
      </w:r>
      <w:r>
        <w:rPr>
          <w:spacing w:val="2"/>
          <w:w w:val="100"/>
        </w:rPr>
        <w:t> </w:t>
      </w:r>
      <w:r>
        <w:rPr/>
        <w:t>以及《上海证券交易所上市公司现金分红指引》等文件的相关要求，公司在《公司章程》中明确规</w:t>
      </w:r>
      <w:r>
        <w:rPr>
          <w:w w:val="100"/>
        </w:rPr>
        <w:t> </w:t>
      </w:r>
      <w:r>
        <w:rPr/>
        <w:t>定了公司的分红标准、分红比例，以及现金分红相对于股票股利在利润分配中的优先顺序，能够很</w:t>
      </w:r>
      <w:r>
        <w:rPr>
          <w:w w:val="100"/>
        </w:rPr>
        <w:t> </w:t>
      </w:r>
      <w:r>
        <w:rPr/>
        <w:t>好地实现对投资者的合理投资回报并兼顾公司的可持续性发展，建立了公司科学、持续、稳定的分</w:t>
      </w:r>
      <w:r>
        <w:rPr>
          <w:w w:val="100"/>
        </w:rPr>
        <w:t> </w:t>
      </w:r>
      <w:r>
        <w:rPr/>
        <w:t>红政策，体现了公司充分重视投资者特别是中小投资者的合理要求和意见，很好地维护了投资者特</w:t>
      </w:r>
      <w:r>
        <w:rPr>
          <w:w w:val="100"/>
        </w:rPr>
        <w:t> </w:t>
      </w:r>
      <w:r>
        <w:rPr/>
        <w:t>别是中小投资者的利益，利润分配政策的程序合规、透明。</w:t>
      </w:r>
      <w:r>
        <w:rPr>
          <w:rFonts w:ascii="宋体" w:hAnsi="宋体" w:cs="宋体" w:eastAsia="宋体" w:hint="default"/>
        </w:rPr>
        <w:t> </w:t>
      </w:r>
    </w:p>
    <w:p>
      <w:pPr>
        <w:pStyle w:val="BodyText"/>
        <w:spacing w:line="314" w:lineRule="auto" w:before="20"/>
        <w:ind w:right="248" w:firstLine="420"/>
        <w:jc w:val="both"/>
        <w:rPr>
          <w:rFonts w:ascii="宋体" w:hAnsi="宋体" w:cs="宋体" w:eastAsia="宋体" w:hint="default"/>
        </w:rPr>
      </w:pPr>
      <w:r>
        <w:rPr/>
        <w:t>根据公司制定的《首次公开发行</w:t>
      </w:r>
      <w:r>
        <w:rPr>
          <w:spacing w:val="-56"/>
        </w:rPr>
        <w:t> </w:t>
      </w:r>
      <w:r>
        <w:rPr>
          <w:rFonts w:ascii="宋体" w:hAnsi="宋体" w:cs="宋体" w:eastAsia="宋体" w:hint="default"/>
        </w:rPr>
        <w:t>A</w:t>
      </w:r>
      <w:r>
        <w:rPr>
          <w:rFonts w:ascii="宋体" w:hAnsi="宋体" w:cs="宋体" w:eastAsia="宋体" w:hint="default"/>
          <w:spacing w:val="-56"/>
        </w:rPr>
        <w:t> </w:t>
      </w:r>
      <w:r>
        <w:rPr/>
        <w:t>股股票并上市后三年股东分红回报规划》，公司在当年盈利</w:t>
      </w:r>
      <w:r>
        <w:rPr>
          <w:w w:val="100"/>
        </w:rPr>
        <w:t> </w:t>
      </w:r>
      <w:r>
        <w:rPr>
          <w:spacing w:val="-2"/>
        </w:rPr>
        <w:t>且累计未分配利润为正，同时满足审计机构对公司该年度财务报告出具标准无保留意见的审计报告</w:t>
      </w:r>
      <w:r>
        <w:rPr>
          <w:spacing w:val="-25"/>
        </w:rPr>
        <w:t> </w:t>
      </w:r>
      <w:r>
        <w:rPr>
          <w:spacing w:val="-25"/>
        </w:rPr>
      </w:r>
      <w:r>
        <w:rPr/>
        <w:t>的条件下，可以采取现金方式分配股利。公司每年现金分红不低于当年可用于分配利润的</w:t>
      </w:r>
      <w:r>
        <w:rPr>
          <w:spacing w:val="-56"/>
        </w:rPr>
        <w:t> </w:t>
      </w:r>
      <w:r>
        <w:rPr>
          <w:rFonts w:ascii="宋体" w:hAnsi="宋体" w:cs="宋体" w:eastAsia="宋体" w:hint="default"/>
        </w:rPr>
        <w:t>40%</w:t>
      </w:r>
      <w:r>
        <w:rPr/>
        <w:t>，当</w:t>
      </w:r>
      <w:r>
        <w:rPr>
          <w:spacing w:val="-3"/>
          <w:w w:val="100"/>
        </w:rPr>
        <w:t> </w:t>
      </w:r>
      <w:r>
        <w:rPr>
          <w:spacing w:val="-2"/>
        </w:rPr>
        <w:t>年可用于分配利润计算口径为按中国会计准则编制的合并财务报表中归属于母公司的净利润扣减累</w:t>
      </w:r>
      <w:r>
        <w:rPr>
          <w:spacing w:val="-25"/>
        </w:rPr>
        <w:t> </w:t>
      </w:r>
      <w:r>
        <w:rPr>
          <w:spacing w:val="-25"/>
        </w:rPr>
      </w:r>
      <w:r>
        <w:rPr>
          <w:spacing w:val="-2"/>
        </w:rPr>
        <w:t>计亏损弥补额、母子公司计提的法定公积金及必要的其他储备金额以及公司设立时发起人股东青岛</w:t>
      </w:r>
      <w:r>
        <w:rPr>
          <w:spacing w:val="-25"/>
        </w:rPr>
        <w:t> </w:t>
      </w:r>
      <w:r>
        <w:rPr>
          <w:spacing w:val="-25"/>
        </w:rPr>
      </w:r>
      <w:r>
        <w:rPr/>
        <w:t>港（集团）有限公司投入本公司的资产评估增值金额对年度净利润的影响等因素后的金额。</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t>公司于</w:t>
      </w:r>
      <w:r>
        <w:rPr>
          <w:spacing w:val="-56"/>
        </w:rPr>
        <w:t> </w:t>
      </w:r>
      <w:r>
        <w:rPr>
          <w:rFonts w:ascii="宋体" w:hAnsi="宋体" w:cs="宋体" w:eastAsia="宋体" w:hint="default"/>
        </w:rPr>
        <w:t>2020</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6"/>
        </w:rPr>
        <w:t> </w:t>
      </w:r>
      <w:r>
        <w:rPr/>
        <w:t>月</w:t>
      </w:r>
      <w:r>
        <w:rPr>
          <w:spacing w:val="-57"/>
        </w:rPr>
        <w:t> </w:t>
      </w:r>
      <w:r>
        <w:rPr>
          <w:rFonts w:ascii="宋体" w:hAnsi="宋体" w:cs="宋体" w:eastAsia="宋体" w:hint="default"/>
        </w:rPr>
        <w:t>26</w:t>
      </w:r>
      <w:r>
        <w:rPr>
          <w:rFonts w:ascii="宋体" w:hAnsi="宋体" w:cs="宋体" w:eastAsia="宋体" w:hint="default"/>
          <w:spacing w:val="-55"/>
        </w:rPr>
        <w:t> </w:t>
      </w:r>
      <w:r>
        <w:rPr/>
        <w:t>日召开了董事会，会议审议通过了《关于青岛港国际股份有限公司</w:t>
      </w:r>
      <w:r>
        <w:rPr>
          <w:spacing w:val="-56"/>
        </w:rPr>
        <w:t> </w:t>
      </w:r>
      <w:r>
        <w:rPr>
          <w:rFonts w:ascii="宋体" w:hAnsi="宋体" w:cs="宋体" w:eastAsia="宋体" w:hint="default"/>
        </w:rPr>
        <w:t>2019</w:t>
      </w:r>
    </w:p>
    <w:p>
      <w:pPr>
        <w:pStyle w:val="BodyText"/>
        <w:spacing w:line="240" w:lineRule="auto" w:before="85"/>
        <w:ind w:right="0"/>
        <w:jc w:val="both"/>
      </w:pPr>
      <w:r>
        <w:rPr/>
        <w:t>年度利润分配方案的议案》，将</w:t>
      </w:r>
      <w:r>
        <w:rPr>
          <w:spacing w:val="-55"/>
        </w:rPr>
        <w:t> </w:t>
      </w:r>
      <w:r>
        <w:rPr>
          <w:rFonts w:ascii="宋体" w:hAnsi="宋体" w:cs="宋体" w:eastAsia="宋体" w:hint="default"/>
        </w:rPr>
        <w:t>2019</w:t>
      </w:r>
      <w:r>
        <w:rPr>
          <w:rFonts w:ascii="宋体" w:hAnsi="宋体" w:cs="宋体" w:eastAsia="宋体" w:hint="default"/>
          <w:spacing w:val="-55"/>
        </w:rPr>
        <w:t> </w:t>
      </w:r>
      <w:r>
        <w:rPr/>
        <w:t>年度可用于分配利润</w:t>
      </w:r>
      <w:r>
        <w:rPr>
          <w:spacing w:val="-55"/>
        </w:rPr>
        <w:t> </w:t>
      </w:r>
      <w:r>
        <w:rPr>
          <w:rFonts w:ascii="宋体" w:hAnsi="宋体" w:cs="宋体" w:eastAsia="宋体" w:hint="default"/>
        </w:rPr>
        <w:t>324,943.06</w:t>
      </w:r>
      <w:r>
        <w:rPr>
          <w:rFonts w:ascii="宋体" w:hAnsi="宋体" w:cs="宋体" w:eastAsia="宋体" w:hint="default"/>
          <w:spacing w:val="-57"/>
        </w:rPr>
        <w:t> </w:t>
      </w:r>
      <w:r>
        <w:rPr/>
        <w:t>万元的</w:t>
      </w:r>
      <w:r>
        <w:rPr>
          <w:spacing w:val="-55"/>
        </w:rPr>
        <w:t> </w:t>
      </w:r>
      <w:r>
        <w:rPr>
          <w:rFonts w:ascii="宋体" w:hAnsi="宋体" w:cs="宋体" w:eastAsia="宋体" w:hint="default"/>
        </w:rPr>
        <w:t>40%</w:t>
      </w:r>
      <w:r>
        <w:rPr/>
        <w:t>，按照持股比例</w:t>
      </w:r>
    </w:p>
    <w:p>
      <w:pPr>
        <w:pStyle w:val="BodyText"/>
        <w:spacing w:line="240" w:lineRule="auto" w:before="85"/>
        <w:ind w:right="0"/>
        <w:jc w:val="both"/>
      </w:pPr>
      <w:r>
        <w:rPr>
          <w:spacing w:val="-3"/>
        </w:rPr>
        <w:t>向全体股东派发现金股利，即以公司总股本</w:t>
      </w:r>
      <w:r>
        <w:rPr>
          <w:spacing w:val="-48"/>
        </w:rPr>
        <w:t> </w:t>
      </w:r>
      <w:r>
        <w:rPr>
          <w:rFonts w:ascii="宋体" w:hAnsi="宋体" w:cs="宋体" w:eastAsia="宋体" w:hint="default"/>
        </w:rPr>
        <w:t>6,491,100,000</w:t>
      </w:r>
      <w:r>
        <w:rPr>
          <w:rFonts w:ascii="宋体" w:hAnsi="宋体" w:cs="宋体" w:eastAsia="宋体" w:hint="default"/>
          <w:spacing w:val="-48"/>
        </w:rPr>
        <w:t> </w:t>
      </w:r>
      <w:r>
        <w:rPr>
          <w:spacing w:val="-8"/>
        </w:rPr>
        <w:t>股计算，每</w:t>
      </w:r>
      <w:r>
        <w:rPr>
          <w:spacing w:val="-48"/>
        </w:rPr>
        <w:t> </w:t>
      </w:r>
      <w:r>
        <w:rPr>
          <w:rFonts w:ascii="宋体" w:hAnsi="宋体" w:cs="宋体" w:eastAsia="宋体" w:hint="default"/>
        </w:rPr>
        <w:t>10</w:t>
      </w:r>
      <w:r>
        <w:rPr>
          <w:rFonts w:ascii="宋体" w:hAnsi="宋体" w:cs="宋体" w:eastAsia="宋体" w:hint="default"/>
          <w:spacing w:val="-51"/>
        </w:rPr>
        <w:t> </w:t>
      </w:r>
      <w:r>
        <w:rPr/>
        <w:t>股派发现金红利</w:t>
      </w:r>
      <w:r>
        <w:rPr>
          <w:spacing w:val="-47"/>
        </w:rPr>
        <w:t> </w:t>
      </w:r>
      <w:r>
        <w:rPr>
          <w:rFonts w:ascii="宋体" w:hAnsi="宋体" w:cs="宋体" w:eastAsia="宋体" w:hint="default"/>
        </w:rPr>
        <w:t>2.003</w:t>
      </w:r>
      <w:r>
        <w:rPr>
          <w:rFonts w:ascii="宋体" w:hAnsi="宋体" w:cs="宋体" w:eastAsia="宋体" w:hint="default"/>
          <w:spacing w:val="-51"/>
        </w:rPr>
        <w:t> </w:t>
      </w:r>
      <w:r>
        <w:rPr/>
        <w:t>元</w:t>
      </w:r>
    </w:p>
    <w:p>
      <w:pPr>
        <w:pStyle w:val="BodyText"/>
        <w:spacing w:line="314" w:lineRule="auto" w:before="85"/>
        <w:ind w:right="250"/>
        <w:jc w:val="both"/>
        <w:rPr>
          <w:rFonts w:ascii="宋体" w:hAnsi="宋体" w:cs="宋体" w:eastAsia="宋体" w:hint="default"/>
        </w:rPr>
      </w:pPr>
      <w:r>
        <w:rPr/>
        <w:t>（含税）。实施上述利润分配方案，共需支付股利</w:t>
      </w:r>
      <w:r>
        <w:rPr>
          <w:spacing w:val="-57"/>
        </w:rPr>
        <w:t> </w:t>
      </w:r>
      <w:r>
        <w:rPr>
          <w:rFonts w:ascii="宋体" w:hAnsi="宋体" w:cs="宋体" w:eastAsia="宋体" w:hint="default"/>
        </w:rPr>
        <w:t>130,016.73</w:t>
      </w:r>
      <w:r>
        <w:rPr>
          <w:rFonts w:ascii="宋体" w:hAnsi="宋体" w:cs="宋体" w:eastAsia="宋体" w:hint="default"/>
          <w:spacing w:val="-54"/>
        </w:rPr>
        <w:t> </w:t>
      </w:r>
      <w:r>
        <w:rPr/>
        <w:t>万元，占</w:t>
      </w:r>
      <w:r>
        <w:rPr>
          <w:spacing w:val="-55"/>
        </w:rPr>
        <w:t> </w:t>
      </w:r>
      <w:r>
        <w:rPr>
          <w:rFonts w:ascii="宋体" w:hAnsi="宋体" w:cs="宋体" w:eastAsia="宋体" w:hint="default"/>
        </w:rPr>
        <w:t>2019</w:t>
      </w:r>
      <w:r>
        <w:rPr>
          <w:rFonts w:ascii="宋体" w:hAnsi="宋体" w:cs="宋体" w:eastAsia="宋体" w:hint="default"/>
          <w:spacing w:val="-55"/>
        </w:rPr>
        <w:t> </w:t>
      </w:r>
      <w:r>
        <w:rPr/>
        <w:t>年度归属于上市公司</w:t>
      </w:r>
      <w:r>
        <w:rPr>
          <w:w w:val="100"/>
        </w:rPr>
        <w:t> </w:t>
      </w:r>
      <w:r>
        <w:rPr/>
        <w:t>股东净利润的</w:t>
      </w:r>
      <w:r>
        <w:rPr>
          <w:spacing w:val="-56"/>
        </w:rPr>
        <w:t> </w:t>
      </w:r>
      <w:r>
        <w:rPr>
          <w:rFonts w:ascii="宋体" w:hAnsi="宋体" w:cs="宋体" w:eastAsia="宋体" w:hint="default"/>
        </w:rPr>
        <w:t>34.30%</w:t>
      </w:r>
      <w:r>
        <w:rPr/>
        <w:t>。利润分配方案已由独立董事发表意见，将提请公司</w:t>
      </w:r>
      <w:r>
        <w:rPr>
          <w:spacing w:val="-55"/>
        </w:rPr>
        <w:t> </w:t>
      </w:r>
      <w:r>
        <w:rPr>
          <w:rFonts w:ascii="宋体" w:hAnsi="宋体" w:cs="宋体" w:eastAsia="宋体" w:hint="default"/>
        </w:rPr>
        <w:t>2019</w:t>
      </w:r>
      <w:r>
        <w:rPr>
          <w:rFonts w:ascii="宋体" w:hAnsi="宋体" w:cs="宋体" w:eastAsia="宋体" w:hint="default"/>
          <w:spacing w:val="-56"/>
        </w:rPr>
        <w:t> </w:t>
      </w:r>
      <w:r>
        <w:rPr/>
        <w:t>年年度股东大会审</w:t>
      </w:r>
      <w:r>
        <w:rPr>
          <w:w w:val="100"/>
        </w:rPr>
        <w:t> </w:t>
      </w:r>
      <w:r>
        <w:rPr/>
        <w:t>议批准后于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5"/>
        </w:rPr>
        <w:t> </w:t>
      </w:r>
      <w:r>
        <w:rPr/>
        <w:t>日发放。</w:t>
      </w:r>
      <w:r>
        <w:rPr>
          <w:rFonts w:ascii="宋体" w:hAnsi="宋体" w:cs="宋体" w:eastAsia="宋体" w:hint="default"/>
        </w:rPr>
        <w:t> </w:t>
      </w:r>
    </w:p>
    <w:p>
      <w:pPr>
        <w:pStyle w:val="Heading3"/>
        <w:spacing w:line="251" w:lineRule="exact"/>
        <w:ind w:right="0"/>
        <w:jc w:val="both"/>
        <w:rPr>
          <w:rFonts w:ascii="宋体" w:hAnsi="宋体" w:cs="宋体" w:eastAsia="宋体" w:hint="default"/>
        </w:rPr>
      </w:pPr>
      <w:r>
        <w:rPr>
          <w:rFonts w:ascii="宋体"/>
        </w:rPr>
        <w:t> </w:t>
      </w:r>
    </w:p>
    <w:p>
      <w:pPr>
        <w:pStyle w:val="Heading5"/>
        <w:spacing w:line="240" w:lineRule="auto" w:before="64"/>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0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94"/>
        <w:gridCol w:w="1133"/>
        <w:gridCol w:w="992"/>
        <w:gridCol w:w="1135"/>
        <w:gridCol w:w="1702"/>
        <w:gridCol w:w="1805"/>
        <w:gridCol w:w="1522"/>
      </w:tblGrid>
      <w:tr>
        <w:trPr>
          <w:trHeight w:val="1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27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15"/>
              <w:ind w:left="105" w:right="101" w:hanging="3"/>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8"/>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7"/>
                <w:sz w:val="21"/>
                <w:szCs w:val="21"/>
              </w:rPr>
              <w:t>增数（股）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0" w:right="15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4" w:right="12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1"/>
                <w:sz w:val="21"/>
                <w:szCs w:val="21"/>
              </w:rPr>
              <w:t>司普通股股东</w:t>
            </w:r>
            <w:r>
              <w:rPr>
                <w:rFonts w:ascii="宋体" w:hAnsi="宋体" w:cs="宋体" w:eastAsia="宋体" w:hint="default"/>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33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2.003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1,300,167,330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3,790,143,318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34.30</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3.797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1,205,818,219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3,593,485,631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33.56</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1,258,852,451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3,042,959,443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41.37</w:t>
            </w:r>
          </w:p>
        </w:tc>
      </w:tr>
    </w:tbl>
    <w:p>
      <w:pPr>
        <w:pStyle w:val="BodyText"/>
        <w:spacing w:line="240" w:lineRule="exact"/>
        <w:ind w:right="0"/>
        <w:jc w:val="left"/>
      </w:pPr>
      <w:r>
        <w:rPr/>
        <w:t>注：公司于</w:t>
      </w:r>
      <w:r>
        <w:rPr>
          <w:spacing w:val="-54"/>
        </w:rPr>
        <w:t> </w:t>
      </w:r>
      <w:r>
        <w:rPr>
          <w:rFonts w:ascii="宋体" w:hAnsi="宋体" w:cs="宋体" w:eastAsia="宋体" w:hint="default"/>
        </w:rPr>
        <w:t>2019</w:t>
      </w:r>
      <w:r>
        <w:rPr>
          <w:rFonts w:ascii="宋体" w:hAnsi="宋体" w:cs="宋体" w:eastAsia="宋体" w:hint="default"/>
          <w:spacing w:val="-54"/>
        </w:rPr>
        <w:t> </w:t>
      </w:r>
      <w:r>
        <w:rPr/>
        <w:t>年派发的股息每</w:t>
      </w:r>
      <w:r>
        <w:rPr>
          <w:spacing w:val="-54"/>
        </w:rPr>
        <w:t> </w:t>
      </w:r>
      <w:r>
        <w:rPr>
          <w:rFonts w:ascii="宋体" w:hAnsi="宋体" w:cs="宋体" w:eastAsia="宋体" w:hint="default"/>
        </w:rPr>
        <w:t>10</w:t>
      </w:r>
      <w:r>
        <w:rPr>
          <w:rFonts w:ascii="宋体" w:hAnsi="宋体" w:cs="宋体" w:eastAsia="宋体" w:hint="default"/>
          <w:spacing w:val="-56"/>
        </w:rPr>
        <w:t> </w:t>
      </w:r>
      <w:r>
        <w:rPr/>
        <w:t>股</w:t>
      </w:r>
      <w:r>
        <w:rPr>
          <w:spacing w:val="-54"/>
        </w:rPr>
        <w:t> </w:t>
      </w:r>
      <w:r>
        <w:rPr>
          <w:rFonts w:ascii="宋体" w:hAnsi="宋体" w:cs="宋体" w:eastAsia="宋体" w:hint="default"/>
        </w:rPr>
        <w:t>3.797</w:t>
      </w:r>
      <w:r>
        <w:rPr>
          <w:rFonts w:ascii="宋体" w:hAnsi="宋体" w:cs="宋体" w:eastAsia="宋体" w:hint="default"/>
          <w:spacing w:val="-56"/>
        </w:rPr>
        <w:t> </w:t>
      </w:r>
      <w:r>
        <w:rPr/>
        <w:t>元（含税），为分配</w:t>
      </w:r>
      <w:r>
        <w:rPr>
          <w:spacing w:val="-54"/>
        </w:rPr>
        <w:t> </w:t>
      </w:r>
      <w:r>
        <w:rPr>
          <w:rFonts w:ascii="宋体" w:hAnsi="宋体" w:cs="宋体" w:eastAsia="宋体" w:hint="default"/>
        </w:rPr>
        <w:t>2017</w:t>
      </w:r>
      <w:r>
        <w:rPr>
          <w:rFonts w:ascii="宋体" w:hAnsi="宋体" w:cs="宋体" w:eastAsia="宋体" w:hint="default"/>
          <w:spacing w:val="-56"/>
        </w:rPr>
        <w:t> </w:t>
      </w:r>
      <w:r>
        <w:rPr/>
        <w:t>年度及</w:t>
      </w:r>
      <w:r>
        <w:rPr>
          <w:spacing w:val="-54"/>
        </w:rPr>
        <w:t> </w:t>
      </w:r>
      <w:r>
        <w:rPr>
          <w:rFonts w:ascii="宋体" w:hAnsi="宋体" w:cs="宋体" w:eastAsia="宋体" w:hint="default"/>
        </w:rPr>
        <w:t>2018</w:t>
      </w:r>
      <w:r>
        <w:rPr>
          <w:rFonts w:ascii="宋体" w:hAnsi="宋体" w:cs="宋体" w:eastAsia="宋体" w:hint="default"/>
          <w:spacing w:val="-53"/>
        </w:rPr>
        <w:t> </w:t>
      </w:r>
      <w:r>
        <w:rPr/>
        <w:t>年度的合计股</w:t>
      </w:r>
    </w:p>
    <w:p>
      <w:pPr>
        <w:pStyle w:val="BodyText"/>
        <w:spacing w:line="269" w:lineRule="exact"/>
        <w:ind w:right="0"/>
        <w:jc w:val="left"/>
        <w:rPr>
          <w:rFonts w:ascii="宋体" w:hAnsi="宋体" w:cs="宋体" w:eastAsia="宋体" w:hint="default"/>
        </w:rPr>
      </w:pPr>
      <w:r>
        <w:rPr/>
        <w:t>息。</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Heading3"/>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974" w:top="1120" w:bottom="1160" w:left="1200" w:right="12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5"/>
        <w:spacing w:line="272" w:lineRule="exact" w:before="0"/>
        <w:ind w:left="558" w:right="100"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5"/>
        </w:rPr>
        <w:t> </w:t>
      </w:r>
      <w:r>
        <w:rPr/>
        <w:t>报告期内盈利且母公司可供普通股股东分配利润为正，但未提出普通股现金利润分配方案预案</w:t>
      </w:r>
      <w:r>
        <w:rPr>
          <w:w w:val="100"/>
        </w:rPr>
        <w:t> </w:t>
      </w:r>
      <w:r>
        <w:rPr/>
        <w:t>的，公司应当详细披露原因以及未分配利润的用途和使用计划</w:t>
      </w:r>
      <w:r>
        <w:rPr>
          <w:b w:val="0"/>
          <w:bCs w:val="0"/>
        </w:rPr>
      </w:r>
    </w:p>
    <w:p>
      <w:pPr>
        <w:pStyle w:val="Heading3"/>
        <w:spacing w:line="312" w:lineRule="exact" w:before="27"/>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0"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before="36"/>
        <w:ind w:left="238" w:right="0"/>
        <w:jc w:val="left"/>
        <w:rPr>
          <w:b w:val="0"/>
          <w:bCs w:val="0"/>
        </w:rPr>
      </w:pPr>
      <w:r>
        <w:rPr/>
        <w:t>二、承诺事项履行情况</w:t>
      </w:r>
      <w:r>
        <w:rPr>
          <w:b w:val="0"/>
          <w:bCs w:val="0"/>
        </w:rPr>
      </w:r>
    </w:p>
    <w:p>
      <w:pPr>
        <w:pStyle w:val="Heading5"/>
        <w:tabs>
          <w:tab w:pos="805" w:val="left" w:leader="none"/>
        </w:tabs>
        <w:spacing w:line="240" w:lineRule="auto"/>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24"/>
        <w:gridCol w:w="1138"/>
        <w:gridCol w:w="1839"/>
        <w:gridCol w:w="5312"/>
        <w:gridCol w:w="1471"/>
        <w:gridCol w:w="701"/>
        <w:gridCol w:w="701"/>
        <w:gridCol w:w="1138"/>
        <w:gridCol w:w="1071"/>
      </w:tblGrid>
      <w:tr>
        <w:trPr>
          <w:trHeight w:val="1611"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80" w:lineRule="auto"/>
              <w:ind w:left="352" w:right="35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80" w:lineRule="auto"/>
              <w:ind w:left="2438" w:right="243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80" w:lineRule="auto"/>
              <w:ind w:left="520" w:right="201" w:hanging="317"/>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134"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134"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41" w:right="141"/>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110" w:right="106"/>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970" w:hRule="exact"/>
        </w:trPr>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78" w:lineRule="auto"/>
              <w:ind w:left="103" w:right="77"/>
              <w:jc w:val="both"/>
              <w:rPr>
                <w:rFonts w:ascii="宋体" w:hAnsi="宋体" w:cs="宋体" w:eastAsia="宋体" w:hint="default"/>
                <w:sz w:val="21"/>
                <w:szCs w:val="21"/>
              </w:rPr>
            </w:pPr>
            <w:r>
              <w:rPr>
                <w:rFonts w:ascii="宋体" w:hAnsi="宋体" w:cs="宋体" w:eastAsia="宋体" w:hint="default"/>
                <w:spacing w:val="15"/>
                <w:sz w:val="21"/>
                <w:szCs w:val="21"/>
              </w:rPr>
              <w:t>与首次公</w:t>
            </w:r>
            <w:r>
              <w:rPr>
                <w:rFonts w:ascii="宋体" w:hAnsi="宋体" w:cs="宋体" w:eastAsia="宋体" w:hint="default"/>
                <w:spacing w:val="-98"/>
                <w:sz w:val="21"/>
                <w:szCs w:val="21"/>
              </w:rPr>
              <w:t> </w:t>
            </w:r>
            <w:r>
              <w:rPr>
                <w:rFonts w:ascii="宋体" w:hAnsi="宋体" w:cs="宋体" w:eastAsia="宋体" w:hint="default"/>
                <w:spacing w:val="15"/>
                <w:sz w:val="21"/>
                <w:szCs w:val="21"/>
              </w:rPr>
              <w:t>开发行相</w:t>
            </w:r>
            <w:r>
              <w:rPr>
                <w:rFonts w:ascii="宋体" w:hAnsi="宋体" w:cs="宋体" w:eastAsia="宋体" w:hint="default"/>
                <w:spacing w:val="-98"/>
                <w:sz w:val="21"/>
                <w:szCs w:val="21"/>
              </w:rPr>
              <w:t> </w:t>
            </w:r>
            <w:r>
              <w:rPr>
                <w:rFonts w:ascii="宋体" w:hAnsi="宋体" w:cs="宋体" w:eastAsia="宋体" w:hint="default"/>
                <w:sz w:val="21"/>
                <w:szCs w:val="21"/>
              </w:rPr>
              <w:t>关的承诺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遵守关于上市公司控股股东股份锁定和限售的规定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48"/>
              <w:jc w:val="both"/>
              <w:rPr>
                <w:rFonts w:ascii="宋体" w:hAnsi="宋体" w:cs="宋体" w:eastAsia="宋体" w:hint="default"/>
                <w:sz w:val="21"/>
                <w:szCs w:val="21"/>
              </w:rPr>
            </w:pPr>
            <w:r>
              <w:rPr>
                <w:rFonts w:ascii="宋体" w:hAnsi="宋体" w:cs="宋体" w:eastAsia="宋体" w:hint="default"/>
                <w:spacing w:val="5"/>
                <w:sz w:val="21"/>
                <w:szCs w:val="21"/>
              </w:rPr>
              <w:t>青岛港</w:t>
            </w:r>
            <w:r>
              <w:rPr>
                <w:rFonts w:ascii="Times New Roman" w:hAnsi="Times New Roman" w:cs="Times New Roman" w:eastAsia="Times New Roman" w:hint="default"/>
                <w:spacing w:val="5"/>
                <w:sz w:val="21"/>
                <w:szCs w:val="21"/>
              </w:rPr>
              <w:t>A</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股股</w:t>
            </w:r>
            <w:r>
              <w:rPr>
                <w:rFonts w:ascii="宋体" w:hAnsi="宋体" w:cs="宋体" w:eastAsia="宋体" w:hint="default"/>
                <w:spacing w:val="-98"/>
                <w:sz w:val="21"/>
                <w:szCs w:val="21"/>
              </w:rPr>
              <w:t> </w:t>
            </w:r>
            <w:r>
              <w:rPr>
                <w:rFonts w:ascii="宋体" w:hAnsi="宋体" w:cs="宋体" w:eastAsia="宋体" w:hint="default"/>
                <w:spacing w:val="39"/>
                <w:sz w:val="21"/>
                <w:szCs w:val="21"/>
              </w:rPr>
              <w:t>票上市之日</w:t>
            </w:r>
            <w:r>
              <w:rPr>
                <w:rFonts w:ascii="宋体" w:hAnsi="宋体" w:cs="宋体" w:eastAsia="宋体" w:hint="default"/>
                <w:spacing w:val="-94"/>
                <w:sz w:val="21"/>
                <w:szCs w:val="21"/>
              </w:rPr>
              <w:t> </w:t>
            </w: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970"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上海中海码头</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遵守关于上市前股东股份锁定和限售的规定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48"/>
              <w:jc w:val="both"/>
              <w:rPr>
                <w:rFonts w:ascii="宋体" w:hAnsi="宋体" w:cs="宋体" w:eastAsia="宋体" w:hint="default"/>
                <w:sz w:val="21"/>
                <w:szCs w:val="21"/>
              </w:rPr>
            </w:pPr>
            <w:r>
              <w:rPr>
                <w:rFonts w:ascii="宋体" w:hAnsi="宋体" w:cs="宋体" w:eastAsia="宋体" w:hint="default"/>
                <w:spacing w:val="5"/>
                <w:sz w:val="21"/>
                <w:szCs w:val="21"/>
              </w:rPr>
              <w:t>青岛港</w:t>
            </w:r>
            <w:r>
              <w:rPr>
                <w:rFonts w:ascii="Times New Roman" w:hAnsi="Times New Roman" w:cs="Times New Roman" w:eastAsia="Times New Roman" w:hint="default"/>
                <w:spacing w:val="5"/>
                <w:sz w:val="21"/>
                <w:szCs w:val="21"/>
              </w:rPr>
              <w:t>A</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股股</w:t>
            </w:r>
            <w:r>
              <w:rPr>
                <w:rFonts w:ascii="宋体" w:hAnsi="宋体" w:cs="宋体" w:eastAsia="宋体" w:hint="default"/>
                <w:spacing w:val="-98"/>
                <w:sz w:val="21"/>
                <w:szCs w:val="21"/>
              </w:rPr>
              <w:t> </w:t>
            </w:r>
            <w:r>
              <w:rPr>
                <w:rFonts w:ascii="宋体" w:hAnsi="宋体" w:cs="宋体" w:eastAsia="宋体" w:hint="default"/>
                <w:spacing w:val="39"/>
                <w:sz w:val="21"/>
                <w:szCs w:val="21"/>
              </w:rPr>
              <w:t>票上市之日</w:t>
            </w:r>
            <w:r>
              <w:rPr>
                <w:rFonts w:ascii="宋体" w:hAnsi="宋体" w:cs="宋体" w:eastAsia="宋体" w:hint="default"/>
                <w:spacing w:val="-94"/>
                <w:sz w:val="21"/>
                <w:szCs w:val="21"/>
              </w:rPr>
              <w:t> </w:t>
            </w: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970"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both"/>
              <w:rPr>
                <w:rFonts w:ascii="宋体" w:hAnsi="宋体" w:cs="宋体" w:eastAsia="宋体" w:hint="default"/>
                <w:sz w:val="21"/>
                <w:szCs w:val="21"/>
              </w:rPr>
            </w:pPr>
            <w:r>
              <w:rPr>
                <w:rFonts w:ascii="宋体" w:hAnsi="宋体" w:cs="宋体" w:eastAsia="宋体" w:hint="default"/>
                <w:spacing w:val="-9"/>
                <w:sz w:val="21"/>
                <w:szCs w:val="21"/>
              </w:rPr>
              <w:t>中海码头、青岛远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洋、码来仓储、光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9"/>
                <w:sz w:val="21"/>
                <w:szCs w:val="21"/>
              </w:rPr>
              <w:t>控青岛、青岛国投</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遵守关于上市前股东股份锁定和限售的规定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48"/>
              <w:jc w:val="both"/>
              <w:rPr>
                <w:rFonts w:ascii="宋体" w:hAnsi="宋体" w:cs="宋体" w:eastAsia="宋体" w:hint="default"/>
                <w:sz w:val="21"/>
                <w:szCs w:val="21"/>
              </w:rPr>
            </w:pPr>
            <w:r>
              <w:rPr>
                <w:rFonts w:ascii="宋体" w:hAnsi="宋体" w:cs="宋体" w:eastAsia="宋体" w:hint="default"/>
                <w:spacing w:val="5"/>
                <w:sz w:val="21"/>
                <w:szCs w:val="21"/>
              </w:rPr>
              <w:t>青岛港</w:t>
            </w:r>
            <w:r>
              <w:rPr>
                <w:rFonts w:ascii="Times New Roman" w:hAnsi="Times New Roman" w:cs="Times New Roman" w:eastAsia="Times New Roman" w:hint="default"/>
                <w:spacing w:val="5"/>
                <w:sz w:val="21"/>
                <w:szCs w:val="21"/>
              </w:rPr>
              <w:t>A</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股股</w:t>
            </w:r>
            <w:r>
              <w:rPr>
                <w:rFonts w:ascii="宋体" w:hAnsi="宋体" w:cs="宋体" w:eastAsia="宋体" w:hint="default"/>
                <w:spacing w:val="-98"/>
                <w:sz w:val="21"/>
                <w:szCs w:val="21"/>
              </w:rPr>
              <w:t> </w:t>
            </w:r>
            <w:r>
              <w:rPr>
                <w:rFonts w:ascii="宋体" w:hAnsi="宋体" w:cs="宋体" w:eastAsia="宋体" w:hint="default"/>
                <w:spacing w:val="39"/>
                <w:sz w:val="21"/>
                <w:szCs w:val="21"/>
              </w:rPr>
              <w:t>票上市之日</w:t>
            </w:r>
            <w:r>
              <w:rPr>
                <w:rFonts w:ascii="宋体" w:hAnsi="宋体" w:cs="宋体" w:eastAsia="宋体" w:hint="default"/>
                <w:spacing w:val="-94"/>
                <w:sz w:val="21"/>
                <w:szCs w:val="21"/>
              </w:rPr>
              <w:t> </w:t>
            </w:r>
            <w:r>
              <w:rPr>
                <w:rFonts w:ascii="宋体" w:hAnsi="宋体" w:cs="宋体" w:eastAsia="宋体" w:hint="default"/>
                <w:sz w:val="21"/>
                <w:szCs w:val="21"/>
              </w:rPr>
              <w:t>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遵守上市公司控股股东股份减持的规定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上海码头</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遵守上市公司持股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以上股东股份减持的规定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1"/>
              <w:jc w:val="left"/>
              <w:rPr>
                <w:rFonts w:ascii="宋体" w:hAnsi="宋体" w:cs="宋体" w:eastAsia="宋体" w:hint="default"/>
                <w:sz w:val="21"/>
                <w:szCs w:val="21"/>
              </w:rPr>
            </w:pPr>
            <w:r>
              <w:rPr>
                <w:rFonts w:ascii="宋体" w:hAnsi="宋体" w:cs="宋体" w:eastAsia="宋体" w:hint="default"/>
                <w:spacing w:val="-9"/>
                <w:sz w:val="21"/>
                <w:szCs w:val="21"/>
              </w:rPr>
              <w:t>青岛远洋、中海码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头</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
              <w:ind w:left="100" w:right="102"/>
              <w:jc w:val="left"/>
              <w:rPr>
                <w:rFonts w:ascii="宋体" w:hAnsi="宋体" w:cs="宋体" w:eastAsia="宋体" w:hint="default"/>
                <w:sz w:val="21"/>
                <w:szCs w:val="21"/>
              </w:rPr>
            </w:pPr>
            <w:r>
              <w:rPr>
                <w:rFonts w:ascii="宋体" w:hAnsi="宋体" w:cs="宋体" w:eastAsia="宋体" w:hint="default"/>
                <w:spacing w:val="2"/>
                <w:sz w:val="21"/>
                <w:szCs w:val="21"/>
              </w:rPr>
              <w:t>遵守上市公司持股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以上股东的一致行动人股份减持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《招股说明书》披露内容真实、准确、完整</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《招股说明书》披露内容真实、准确、完整</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9"/>
                <w:sz w:val="21"/>
                <w:szCs w:val="21"/>
              </w:rPr>
              <w:t>董事、监事、高级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管理人员</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《招股说明书》披露内容真实、准确、完整</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112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left"/>
              <w:rPr>
                <w:rFonts w:ascii="宋体" w:hAnsi="宋体" w:cs="宋体" w:eastAsia="宋体" w:hint="default"/>
                <w:sz w:val="21"/>
                <w:szCs w:val="21"/>
              </w:rPr>
            </w:pPr>
            <w:r>
              <w:rPr>
                <w:rFonts w:ascii="宋体" w:hAnsi="宋体" w:cs="宋体" w:eastAsia="宋体" w:hint="default"/>
                <w:spacing w:val="-9"/>
                <w:sz w:val="21"/>
                <w:szCs w:val="21"/>
              </w:rPr>
              <w:t>董事、高级管理人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员</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对公司首次公开发行股票摊薄即期回报采取的填补措施</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headerReference w:type="default" r:id="rId21"/>
          <w:footerReference w:type="default" r:id="rId22"/>
          <w:pgSz w:w="16840" w:h="11910" w:orient="landscape"/>
          <w:pgMar w:header="880" w:footer="975" w:top="1120" w:bottom="1160" w:left="1180" w:right="940"/>
          <w:pgNumType w:start="25"/>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1124"/>
        <w:gridCol w:w="1138"/>
        <w:gridCol w:w="1839"/>
        <w:gridCol w:w="5312"/>
        <w:gridCol w:w="1471"/>
        <w:gridCol w:w="701"/>
        <w:gridCol w:w="701"/>
        <w:gridCol w:w="1138"/>
        <w:gridCol w:w="1071"/>
      </w:tblGrid>
      <w:tr>
        <w:trPr>
          <w:trHeight w:val="1608"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8" w:lineRule="auto"/>
              <w:ind w:left="352" w:right="35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8" w:lineRule="auto"/>
              <w:ind w:left="2438" w:right="243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8" w:lineRule="auto"/>
              <w:ind w:left="520" w:right="201" w:hanging="317"/>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0"/>
              <w:ind w:left="134"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0"/>
              <w:ind w:left="134"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1" w:right="141"/>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0"/>
              <w:ind w:left="110" w:right="106"/>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331" w:hRule="exact"/>
        </w:trPr>
        <w:tc>
          <w:tcPr>
            <w:tcW w:w="1124" w:type="dxa"/>
            <w:vMerge w:val="restart"/>
            <w:tcBorders>
              <w:top w:val="single" w:sz="4" w:space="0" w:color="000000"/>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如未履行《招股说明书》中所披露承诺将采取的措施</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如未履行《招股说明书》中所披露承诺将采取的措施</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651"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1"/>
              <w:jc w:val="left"/>
              <w:rPr>
                <w:rFonts w:ascii="宋体" w:hAnsi="宋体" w:cs="宋体" w:eastAsia="宋体" w:hint="default"/>
                <w:sz w:val="21"/>
                <w:szCs w:val="21"/>
              </w:rPr>
            </w:pPr>
            <w:r>
              <w:rPr>
                <w:rFonts w:ascii="宋体" w:hAnsi="宋体" w:cs="宋体" w:eastAsia="宋体" w:hint="default"/>
                <w:spacing w:val="-9"/>
                <w:sz w:val="21"/>
                <w:szCs w:val="21"/>
              </w:rPr>
              <w:t>董事、高级管理人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员</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0" w:right="0"/>
              <w:jc w:val="left"/>
              <w:rPr>
                <w:rFonts w:ascii="宋体" w:hAnsi="宋体" w:cs="宋体" w:eastAsia="宋体" w:hint="default"/>
                <w:sz w:val="21"/>
                <w:szCs w:val="21"/>
              </w:rPr>
            </w:pPr>
            <w:r>
              <w:rPr>
                <w:rFonts w:ascii="宋体" w:hAnsi="宋体" w:cs="宋体" w:eastAsia="宋体" w:hint="default"/>
                <w:sz w:val="21"/>
                <w:szCs w:val="21"/>
              </w:rPr>
              <w:t>如未履行《招股说明书》中所披露承诺将采取的措施</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1291"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77"/>
              <w:jc w:val="both"/>
              <w:rPr>
                <w:rFonts w:ascii="宋体" w:hAnsi="宋体" w:cs="宋体" w:eastAsia="宋体" w:hint="default"/>
                <w:sz w:val="21"/>
                <w:szCs w:val="21"/>
              </w:rPr>
            </w:pPr>
            <w:r>
              <w:rPr>
                <w:rFonts w:ascii="宋体" w:hAnsi="宋体" w:cs="宋体" w:eastAsia="宋体" w:hint="default"/>
                <w:spacing w:val="19"/>
                <w:sz w:val="21"/>
                <w:szCs w:val="21"/>
              </w:rPr>
              <w:t>青岛港集团、公</w:t>
            </w:r>
            <w:r>
              <w:rPr>
                <w:rFonts w:ascii="宋体" w:hAnsi="宋体" w:cs="宋体" w:eastAsia="宋体" w:hint="default"/>
                <w:spacing w:val="-86"/>
                <w:sz w:val="21"/>
                <w:szCs w:val="21"/>
              </w:rPr>
              <w:t> </w:t>
            </w:r>
            <w:r>
              <w:rPr>
                <w:rFonts w:ascii="宋体" w:hAnsi="宋体" w:cs="宋体" w:eastAsia="宋体" w:hint="default"/>
                <w:spacing w:val="-9"/>
                <w:sz w:val="21"/>
                <w:szCs w:val="21"/>
              </w:rPr>
              <w:t>司、董事（不含独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9"/>
                <w:sz w:val="21"/>
                <w:szCs w:val="21"/>
              </w:rPr>
              <w:t>立董事）、高级管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理人员</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8" w:lineRule="auto"/>
              <w:ind w:left="100" w:right="102"/>
              <w:jc w:val="left"/>
              <w:rPr>
                <w:rFonts w:ascii="宋体" w:hAnsi="宋体" w:cs="宋体" w:eastAsia="宋体" w:hint="default"/>
                <w:sz w:val="21"/>
                <w:szCs w:val="21"/>
              </w:rPr>
            </w:pPr>
            <w:r>
              <w:rPr>
                <w:rFonts w:ascii="宋体" w:hAnsi="宋体" w:cs="宋体" w:eastAsia="宋体" w:hint="default"/>
                <w:sz w:val="21"/>
                <w:szCs w:val="21"/>
              </w:rPr>
              <w:t>遵守关于上市公司控股股东、公司、公司董事（不含独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立董事）及高级管理人员股价稳定措施的规定</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72"/>
              <w:ind w:left="103" w:right="48"/>
              <w:jc w:val="both"/>
              <w:rPr>
                <w:rFonts w:ascii="宋体" w:hAnsi="宋体" w:cs="宋体" w:eastAsia="宋体" w:hint="default"/>
                <w:sz w:val="21"/>
                <w:szCs w:val="21"/>
              </w:rPr>
            </w:pPr>
            <w:r>
              <w:rPr>
                <w:rFonts w:ascii="宋体" w:hAnsi="宋体" w:cs="宋体" w:eastAsia="宋体" w:hint="default"/>
                <w:spacing w:val="5"/>
                <w:sz w:val="21"/>
                <w:szCs w:val="21"/>
              </w:rPr>
              <w:t>青岛港</w:t>
            </w:r>
            <w:r>
              <w:rPr>
                <w:rFonts w:ascii="Times New Roman" w:hAnsi="Times New Roman" w:cs="Times New Roman" w:eastAsia="Times New Roman" w:hint="default"/>
                <w:spacing w:val="5"/>
                <w:sz w:val="21"/>
                <w:szCs w:val="21"/>
              </w:rPr>
              <w:t>A</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股股</w:t>
            </w:r>
            <w:r>
              <w:rPr>
                <w:rFonts w:ascii="宋体" w:hAnsi="宋体" w:cs="宋体" w:eastAsia="宋体" w:hint="default"/>
                <w:spacing w:val="-98"/>
                <w:sz w:val="21"/>
                <w:szCs w:val="21"/>
              </w:rPr>
              <w:t> </w:t>
            </w:r>
            <w:r>
              <w:rPr>
                <w:rFonts w:ascii="宋体" w:hAnsi="宋体" w:cs="宋体" w:eastAsia="宋体" w:hint="default"/>
                <w:spacing w:val="39"/>
                <w:sz w:val="21"/>
                <w:szCs w:val="21"/>
              </w:rPr>
              <w:t>票上市之日</w:t>
            </w:r>
            <w:r>
              <w:rPr>
                <w:rFonts w:ascii="宋体" w:hAnsi="宋体" w:cs="宋体" w:eastAsia="宋体" w:hint="default"/>
                <w:spacing w:val="-94"/>
                <w:sz w:val="21"/>
                <w:szCs w:val="21"/>
              </w:rPr>
              <w:t> </w:t>
            </w:r>
            <w:r>
              <w:rPr>
                <w:rFonts w:ascii="宋体" w:hAnsi="宋体" w:cs="宋体" w:eastAsia="宋体" w:hint="default"/>
                <w:sz w:val="21"/>
                <w:szCs w:val="21"/>
              </w:rPr>
              <w:t>起三年内。</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避免同业竞争</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避免非经营性资金占用</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规范关联交易</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中远海运集团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规范关联交易</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1610"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80" w:lineRule="auto"/>
              <w:ind w:left="103" w:right="72"/>
              <w:jc w:val="both"/>
              <w:rPr>
                <w:rFonts w:ascii="宋体" w:hAnsi="宋体" w:cs="宋体" w:eastAsia="宋体" w:hint="default"/>
                <w:sz w:val="21"/>
                <w:szCs w:val="21"/>
              </w:rPr>
            </w:pPr>
            <w:r>
              <w:rPr>
                <w:rFonts w:ascii="宋体" w:hAnsi="宋体" w:cs="宋体" w:eastAsia="宋体" w:hint="default"/>
                <w:spacing w:val="18"/>
                <w:sz w:val="21"/>
                <w:szCs w:val="21"/>
              </w:rPr>
              <w:t>解决土地</w:t>
            </w:r>
            <w:r>
              <w:rPr>
                <w:rFonts w:ascii="宋体" w:hAnsi="宋体" w:cs="宋体" w:eastAsia="宋体" w:hint="default"/>
                <w:spacing w:val="-95"/>
                <w:sz w:val="21"/>
                <w:szCs w:val="21"/>
              </w:rPr>
              <w:t> </w:t>
            </w:r>
            <w:r>
              <w:rPr>
                <w:rFonts w:ascii="宋体" w:hAnsi="宋体" w:cs="宋体" w:eastAsia="宋体" w:hint="default"/>
                <w:spacing w:val="18"/>
                <w:sz w:val="21"/>
                <w:szCs w:val="21"/>
              </w:rPr>
              <w:t>等产权瑕</w:t>
            </w:r>
            <w:r>
              <w:rPr>
                <w:rFonts w:ascii="宋体" w:hAnsi="宋体" w:cs="宋体" w:eastAsia="宋体" w:hint="default"/>
                <w:spacing w:val="-95"/>
                <w:sz w:val="21"/>
                <w:szCs w:val="21"/>
              </w:rPr>
              <w:t> </w:t>
            </w:r>
            <w:r>
              <w:rPr>
                <w:rFonts w:ascii="宋体" w:hAnsi="宋体" w:cs="宋体" w:eastAsia="宋体" w:hint="default"/>
                <w:sz w:val="21"/>
                <w:szCs w:val="21"/>
              </w:rPr>
              <w:t>疵</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1"/>
              <w:ind w:left="100" w:right="101"/>
              <w:jc w:val="both"/>
              <w:rPr>
                <w:rFonts w:ascii="宋体" w:hAnsi="宋体" w:cs="宋体" w:eastAsia="宋体" w:hint="default"/>
                <w:sz w:val="21"/>
                <w:szCs w:val="21"/>
              </w:rPr>
            </w:pPr>
            <w:r>
              <w:rPr>
                <w:rFonts w:ascii="宋体" w:hAnsi="宋体" w:cs="宋体" w:eastAsia="宋体" w:hint="default"/>
                <w:sz w:val="21"/>
                <w:szCs w:val="21"/>
              </w:rPr>
              <w:t>及时足额补偿青岛港及其主要下属企业因未取得房屋所</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有权证而遭受的任何行政处罚、损失、索赔、支出和费</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用，及时足额补偿青岛港董家口港区港投万邦矿石码头</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项目的实施主体因未取得用地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用海批复而遭受的任何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行政处罚、损失、索赔、支出和费用。</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970" w:hRule="exact"/>
        </w:trPr>
        <w:tc>
          <w:tcPr>
            <w:tcW w:w="1124" w:type="dxa"/>
            <w:vMerge/>
            <w:tcBorders>
              <w:left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2"/>
              <w:jc w:val="both"/>
              <w:rPr>
                <w:rFonts w:ascii="宋体" w:hAnsi="宋体" w:cs="宋体" w:eastAsia="宋体" w:hint="default"/>
                <w:sz w:val="21"/>
                <w:szCs w:val="21"/>
              </w:rPr>
            </w:pPr>
            <w:r>
              <w:rPr>
                <w:rFonts w:ascii="宋体" w:hAnsi="宋体" w:cs="宋体" w:eastAsia="宋体" w:hint="default"/>
                <w:sz w:val="21"/>
                <w:szCs w:val="21"/>
              </w:rPr>
              <w:t>及时足额补偿青岛港及其主要下属企业租赁的青岛港集</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团及青岛港集团下属企业拥有的未取得房屋所有权证的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房屋而遭受的任何损失、索赔、支出和费用。</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650" w:hRule="exact"/>
        </w:trPr>
        <w:tc>
          <w:tcPr>
            <w:tcW w:w="1124" w:type="dxa"/>
            <w:vMerge/>
            <w:tcBorders>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2"/>
              <w:jc w:val="left"/>
              <w:rPr>
                <w:rFonts w:ascii="宋体" w:hAnsi="宋体" w:cs="宋体" w:eastAsia="宋体" w:hint="default"/>
                <w:sz w:val="21"/>
                <w:szCs w:val="21"/>
              </w:rPr>
            </w:pPr>
            <w:r>
              <w:rPr>
                <w:rFonts w:ascii="宋体" w:hAnsi="宋体" w:cs="宋体" w:eastAsia="宋体" w:hint="default"/>
                <w:sz w:val="21"/>
                <w:szCs w:val="21"/>
              </w:rPr>
              <w:t>及时足额补偿青岛港及其分公司因原告理资堂（上海）</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物流有限公司请求法院判令青岛鸿途物流有限公司及青</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32"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975" w:top="1120" w:bottom="1160" w:left="1180" w:right="9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1124"/>
        <w:gridCol w:w="1138"/>
        <w:gridCol w:w="1839"/>
        <w:gridCol w:w="5312"/>
        <w:gridCol w:w="1471"/>
        <w:gridCol w:w="701"/>
        <w:gridCol w:w="701"/>
        <w:gridCol w:w="1138"/>
        <w:gridCol w:w="1071"/>
      </w:tblGrid>
      <w:tr>
        <w:trPr>
          <w:trHeight w:val="1608"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8" w:lineRule="auto"/>
              <w:ind w:left="352" w:right="35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8" w:lineRule="auto"/>
              <w:ind w:left="2438" w:right="243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78" w:lineRule="auto"/>
              <w:ind w:left="520" w:right="201" w:hanging="317"/>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0"/>
              <w:ind w:left="134"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0"/>
              <w:ind w:left="134"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1" w:right="141"/>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0"/>
              <w:ind w:left="110" w:right="106"/>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说明下一</w:t>
            </w:r>
            <w:r>
              <w:rPr>
                <w:rFonts w:ascii="宋体" w:hAnsi="宋体" w:cs="宋体" w:eastAsia="宋体" w:hint="default"/>
                <w:w w:val="100"/>
                <w:sz w:val="21"/>
                <w:szCs w:val="21"/>
              </w:rPr>
              <w:t> </w:t>
            </w:r>
            <w:r>
              <w:rPr>
                <w:rFonts w:ascii="宋体" w:hAnsi="宋体" w:cs="宋体" w:eastAsia="宋体" w:hint="default"/>
                <w:sz w:val="21"/>
                <w:szCs w:val="21"/>
              </w:rPr>
              <w:t>步计划</w:t>
            </w:r>
          </w:p>
        </w:tc>
      </w:tr>
      <w:tr>
        <w:trPr>
          <w:trHeight w:val="973" w:hRule="exact"/>
        </w:trPr>
        <w:tc>
          <w:tcPr>
            <w:tcW w:w="112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岛港相关方交付其存放在青岛港的</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8,085.189</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吨铝锭或者</w:t>
            </w:r>
          </w:p>
          <w:p>
            <w:pPr>
              <w:pStyle w:val="TableParagraph"/>
              <w:spacing w:line="264" w:lineRule="auto" w:before="28"/>
              <w:ind w:left="100" w:right="100"/>
              <w:jc w:val="left"/>
              <w:rPr>
                <w:rFonts w:ascii="宋体" w:hAnsi="宋体" w:cs="宋体" w:eastAsia="宋体" w:hint="default"/>
                <w:sz w:val="21"/>
                <w:szCs w:val="21"/>
              </w:rPr>
            </w:pPr>
            <w:r>
              <w:rPr>
                <w:rFonts w:ascii="宋体" w:hAnsi="宋体" w:cs="宋体" w:eastAsia="宋体" w:hint="default"/>
                <w:sz w:val="21"/>
                <w:szCs w:val="21"/>
              </w:rPr>
              <w:t>赔偿相应货物价值约合 </w:t>
            </w:r>
            <w:r>
              <w:rPr>
                <w:rFonts w:ascii="Times New Roman" w:hAnsi="Times New Roman" w:cs="Times New Roman" w:eastAsia="Times New Roman" w:hint="default"/>
                <w:sz w:val="21"/>
                <w:szCs w:val="21"/>
              </w:rPr>
              <w:t>120,065,056.65</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元案件导致的全</w:t>
            </w:r>
            <w:r>
              <w:rPr>
                <w:rFonts w:ascii="宋体" w:hAnsi="宋体" w:cs="宋体" w:eastAsia="宋体" w:hint="default"/>
                <w:w w:val="100"/>
                <w:sz w:val="21"/>
                <w:szCs w:val="21"/>
              </w:rPr>
              <w:t> </w:t>
            </w:r>
            <w:r>
              <w:rPr>
                <w:rFonts w:ascii="宋体" w:hAnsi="宋体" w:cs="宋体" w:eastAsia="宋体" w:hint="default"/>
                <w:sz w:val="21"/>
                <w:szCs w:val="21"/>
              </w:rPr>
              <w:t>部损失。</w:t>
            </w:r>
          </w:p>
        </w:tc>
        <w:tc>
          <w:tcPr>
            <w:tcW w:w="147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72"/>
              <w:jc w:val="left"/>
              <w:rPr>
                <w:rFonts w:ascii="宋体" w:hAnsi="宋体" w:cs="宋体" w:eastAsia="宋体" w:hint="default"/>
                <w:sz w:val="21"/>
                <w:szCs w:val="21"/>
              </w:rPr>
            </w:pPr>
            <w:r>
              <w:rPr>
                <w:rFonts w:ascii="宋体" w:hAnsi="宋体" w:cs="宋体" w:eastAsia="宋体" w:hint="default"/>
                <w:spacing w:val="18"/>
                <w:sz w:val="21"/>
                <w:szCs w:val="21"/>
              </w:rPr>
              <w:t>解决同业</w:t>
            </w:r>
            <w:r>
              <w:rPr>
                <w:rFonts w:ascii="宋体" w:hAnsi="宋体" w:cs="宋体" w:eastAsia="宋体" w:hint="default"/>
                <w:spacing w:val="-95"/>
                <w:sz w:val="21"/>
                <w:szCs w:val="21"/>
              </w:rPr>
              <w:t> </w:t>
            </w:r>
            <w:r>
              <w:rPr>
                <w:rFonts w:ascii="宋体" w:hAnsi="宋体" w:cs="宋体" w:eastAsia="宋体" w:hint="default"/>
                <w:sz w:val="21"/>
                <w:szCs w:val="21"/>
              </w:rPr>
              <w:t>竞争</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0" w:right="98"/>
              <w:jc w:val="left"/>
              <w:rPr>
                <w:rFonts w:ascii="宋体" w:hAnsi="宋体" w:cs="宋体" w:eastAsia="宋体" w:hint="default"/>
                <w:sz w:val="21"/>
                <w:szCs w:val="21"/>
              </w:rPr>
            </w:pPr>
            <w:r>
              <w:rPr>
                <w:rFonts w:ascii="宋体" w:hAnsi="宋体" w:cs="宋体" w:eastAsia="宋体" w:hint="default"/>
                <w:sz w:val="21"/>
                <w:szCs w:val="21"/>
              </w:rPr>
              <w:t>遵守青岛港集团于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日作出的《关于解决和</w:t>
            </w:r>
            <w:r>
              <w:rPr>
                <w:rFonts w:ascii="宋体" w:hAnsi="宋体" w:cs="宋体" w:eastAsia="宋体" w:hint="default"/>
                <w:w w:val="100"/>
                <w:sz w:val="21"/>
                <w:szCs w:val="21"/>
              </w:rPr>
              <w:t> </w:t>
            </w:r>
            <w:r>
              <w:rPr>
                <w:rFonts w:ascii="宋体" w:hAnsi="宋体" w:cs="宋体" w:eastAsia="宋体" w:hint="default"/>
                <w:sz w:val="21"/>
                <w:szCs w:val="21"/>
              </w:rPr>
              <w:t>避免同业竞争的承诺函》。</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left="23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0" w:footer="975" w:top="1120" w:bottom="1160" w:left="118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tabs>
          <w:tab w:pos="865" w:val="left" w:leader="none"/>
        </w:tabs>
        <w:spacing w:line="264" w:lineRule="auto" w:before="36"/>
        <w:ind w:left="298" w:right="1129"/>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8" w:lineRule="exact"/>
        <w:ind w:left="298" w:right="0"/>
        <w:jc w:val="both"/>
        <w:rPr>
          <w:rFonts w:ascii="宋体" w:hAnsi="宋体" w:cs="宋体" w:eastAsia="宋体" w:hint="default"/>
        </w:rPr>
      </w:pPr>
      <w:r>
        <w:rPr/>
        <w:t>□已达到 </w:t>
      </w:r>
      <w:r>
        <w:rPr>
          <w:rFonts w:ascii="宋体" w:hAnsi="宋体" w:cs="宋体" w:eastAsia="宋体" w:hint="default"/>
        </w:rPr>
      </w:r>
      <w:r>
        <w:rPr/>
        <w:t>□未达到</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98" w:right="0"/>
        <w:jc w:val="both"/>
        <w:rPr>
          <w:rFonts w:ascii="宋体" w:hAnsi="宋体" w:cs="宋体" w:eastAsia="宋体" w:hint="default"/>
        </w:rPr>
      </w:pPr>
      <w:r>
        <w:rPr>
          <w:rFonts w:ascii="宋体"/>
        </w:rPr>
        <w:t> </w:t>
      </w:r>
    </w:p>
    <w:p>
      <w:pPr>
        <w:pStyle w:val="Heading5"/>
        <w:spacing w:line="240" w:lineRule="auto" w:before="64"/>
        <w:ind w:left="29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Heading3"/>
        <w:spacing w:line="313" w:lineRule="exact" w:before="23"/>
        <w:ind w:left="29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98" w:right="0"/>
        <w:jc w:val="both"/>
        <w:rPr>
          <w:rFonts w:ascii="宋体" w:hAnsi="宋体" w:cs="宋体" w:eastAsia="宋体" w:hint="default"/>
        </w:rPr>
      </w:pPr>
      <w:r>
        <w:rPr>
          <w:rFonts w:ascii="宋体"/>
        </w:rPr>
        <w:t> </w:t>
      </w:r>
    </w:p>
    <w:p>
      <w:pPr>
        <w:pStyle w:val="Heading5"/>
        <w:spacing w:line="240" w:lineRule="auto" w:before="64"/>
        <w:ind w:left="298" w:right="0"/>
        <w:jc w:val="both"/>
        <w:rPr>
          <w:b w:val="0"/>
          <w:bCs w:val="0"/>
        </w:rPr>
      </w:pPr>
      <w:r>
        <w:rPr/>
        <w:t>三、报告期内资金被占用情况及清欠进展情况</w:t>
      </w:r>
      <w:r>
        <w:rPr>
          <w:b w:val="0"/>
          <w:bCs w:val="0"/>
        </w:rPr>
      </w:r>
    </w:p>
    <w:p>
      <w:pPr>
        <w:pStyle w:val="Heading3"/>
        <w:spacing w:line="313" w:lineRule="exact" w:before="50"/>
        <w:ind w:left="29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98" w:right="0"/>
        <w:jc w:val="both"/>
        <w:rPr>
          <w:rFonts w:ascii="宋体" w:hAnsi="宋体" w:cs="宋体" w:eastAsia="宋体" w:hint="default"/>
        </w:rPr>
      </w:pPr>
      <w:r>
        <w:rPr>
          <w:rFonts w:ascii="宋体"/>
        </w:rPr>
        <w:t> </w:t>
      </w:r>
    </w:p>
    <w:p>
      <w:pPr>
        <w:pStyle w:val="Heading5"/>
        <w:spacing w:line="240" w:lineRule="auto" w:before="61"/>
        <w:ind w:left="298" w:right="0"/>
        <w:jc w:val="both"/>
        <w:rPr>
          <w:b w:val="0"/>
          <w:bCs w:val="0"/>
        </w:rPr>
      </w:pPr>
      <w:r>
        <w:rPr/>
        <w:t>四、公司对会计师事务所“非标准意见审计报告”的说明</w:t>
      </w:r>
      <w:r>
        <w:rPr>
          <w:b w:val="0"/>
          <w:bCs w:val="0"/>
        </w:rPr>
      </w:r>
    </w:p>
    <w:p>
      <w:pPr>
        <w:pStyle w:val="BodyText"/>
        <w:spacing w:line="270" w:lineRule="exact" w:before="59"/>
        <w:ind w:left="29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298" w:right="0"/>
        <w:jc w:val="both"/>
        <w:rPr>
          <w:rFonts w:ascii="宋体" w:hAnsi="宋体" w:cs="宋体" w:eastAsia="宋体" w:hint="default"/>
        </w:rPr>
      </w:pPr>
      <w:r>
        <w:rPr>
          <w:rFonts w:ascii="宋体"/>
        </w:rPr>
        <w:t> </w:t>
      </w:r>
    </w:p>
    <w:p>
      <w:pPr>
        <w:pStyle w:val="Heading5"/>
        <w:spacing w:line="240" w:lineRule="auto" w:before="64"/>
        <w:ind w:left="298" w:right="0"/>
        <w:jc w:val="both"/>
        <w:rPr>
          <w:b w:val="0"/>
          <w:bCs w:val="0"/>
        </w:rPr>
      </w:pPr>
      <w:r>
        <w:rPr/>
        <w:t>五、公司对会计政策、会计估计变更或重大会计差错更正原因和影响的分析说明</w:t>
      </w:r>
      <w:r>
        <w:rPr>
          <w:b w:val="0"/>
          <w:bCs w:val="0"/>
        </w:rPr>
      </w:r>
    </w:p>
    <w:p>
      <w:pPr>
        <w:pStyle w:val="Heading5"/>
        <w:spacing w:line="240" w:lineRule="auto" w:before="58"/>
        <w:ind w:left="298" w:right="0"/>
        <w:jc w:val="both"/>
        <w:rPr>
          <w:b w:val="0"/>
          <w:bCs w:val="0"/>
        </w:rPr>
      </w:pPr>
      <w:r>
        <w:rPr/>
        <w:t>（一）公司对会计政策、会计估计变更原因及影响的分析说明</w:t>
      </w:r>
      <w:r>
        <w:rPr>
          <w:b w:val="0"/>
          <w:bCs w:val="0"/>
        </w:rPr>
      </w:r>
    </w:p>
    <w:p>
      <w:pPr>
        <w:pStyle w:val="BodyText"/>
        <w:spacing w:line="240" w:lineRule="auto" w:before="56"/>
        <w:ind w:left="298" w:right="6053"/>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重要会计政策变更</w:t>
      </w:r>
    </w:p>
    <w:p>
      <w:pPr>
        <w:pStyle w:val="BodyText"/>
        <w:spacing w:line="240" w:lineRule="auto" w:before="73"/>
        <w:ind w:left="298" w:right="0"/>
        <w:jc w:val="both"/>
      </w:pPr>
      <w:r>
        <w:rPr/>
        <w:t>（</w:t>
      </w:r>
      <w:r>
        <w:rPr>
          <w:rFonts w:ascii="Times New Roman" w:hAnsi="Times New Roman" w:cs="Times New Roman" w:eastAsia="Times New Roman" w:hint="default"/>
        </w:rPr>
        <w:t>a</w:t>
      </w:r>
      <w:r>
        <w:rPr/>
        <w:t>）</w:t>
      </w:r>
      <w:r>
        <w:rPr>
          <w:spacing w:val="100"/>
        </w:rPr>
        <w:t> </w:t>
      </w:r>
      <w:r>
        <w:rPr>
          <w:rFonts w:ascii="宋体" w:hAnsi="宋体" w:cs="宋体" w:eastAsia="宋体" w:hint="default"/>
          <w:spacing w:val="100"/>
        </w:rPr>
      </w:r>
      <w:r>
        <w:rPr/>
        <w:t>企业财务报表格式</w:t>
      </w:r>
    </w:p>
    <w:p>
      <w:pPr>
        <w:pStyle w:val="BodyText"/>
        <w:spacing w:line="240" w:lineRule="auto" w:before="69"/>
        <w:ind w:left="718" w:right="0"/>
        <w:jc w:val="left"/>
      </w:pPr>
      <w:r>
        <w:rPr/>
        <w:t>财政部于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年颁布了修订后的《企业会计准则第</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租赁》</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新租赁准则</w:t>
      </w:r>
      <w:r>
        <w:rPr>
          <w:rFonts w:ascii="Times New Roman" w:hAnsi="Times New Roman" w:cs="Times New Roman" w:eastAsia="Times New Roman" w:hint="default"/>
        </w:rPr>
        <w:t>”)</w:t>
      </w:r>
      <w:r>
        <w:rPr/>
        <w:t>，</w:t>
      </w:r>
    </w:p>
    <w:p>
      <w:pPr>
        <w:pStyle w:val="BodyText"/>
        <w:spacing w:line="240" w:lineRule="auto" w:before="69"/>
        <w:ind w:left="298" w:right="0"/>
        <w:jc w:val="both"/>
      </w:pPr>
      <w:r>
        <w:rPr/>
        <w:t>并于</w:t>
      </w:r>
      <w:r>
        <w:rPr>
          <w:spacing w:val="-50"/>
        </w:rPr>
        <w:t> </w:t>
      </w:r>
      <w:r>
        <w:rPr>
          <w:rFonts w:ascii="Times New Roman" w:hAnsi="Times New Roman" w:cs="Times New Roman" w:eastAsia="Times New Roman" w:hint="default"/>
        </w:rPr>
        <w:t>2019 </w:t>
      </w:r>
      <w:r>
        <w:rPr/>
        <w:t>年颁布了《关于修订印发</w:t>
      </w:r>
      <w:r>
        <w:rPr>
          <w:spacing w:val="-50"/>
        </w:rPr>
        <w:t> </w:t>
      </w:r>
      <w:r>
        <w:rPr>
          <w:rFonts w:ascii="Times New Roman" w:hAnsi="Times New Roman" w:cs="Times New Roman" w:eastAsia="Times New Roman" w:hint="default"/>
        </w:rPr>
        <w:t>2019 </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[2019]6 </w:t>
      </w:r>
      <w:r>
        <w:rPr/>
        <w:t>号</w:t>
      </w:r>
      <w:r>
        <w:rPr>
          <w:rFonts w:ascii="Times New Roman" w:hAnsi="Times New Roman" w:cs="Times New Roman" w:eastAsia="Times New Roman" w:hint="default"/>
        </w:rPr>
        <w:t>)</w:t>
      </w:r>
      <w:r>
        <w:rPr/>
        <w:t>及修</w:t>
      </w:r>
    </w:p>
    <w:p>
      <w:pPr>
        <w:pStyle w:val="BodyText"/>
        <w:spacing w:line="240" w:lineRule="auto" w:before="69"/>
        <w:ind w:left="298" w:right="0"/>
        <w:jc w:val="both"/>
      </w:pPr>
      <w:r>
        <w:rPr>
          <w:spacing w:val="-4"/>
        </w:rPr>
        <w:t>订后的《企业会计准则第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非货币性资产交换》</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非货币性资产交换准则</w:t>
      </w:r>
      <w:r>
        <w:rPr>
          <w:rFonts w:ascii="Times New Roman" w:hAnsi="Times New Roman" w:cs="Times New Roman" w:eastAsia="Times New Roman" w:hint="default"/>
          <w:spacing w:val="-3"/>
        </w:rPr>
        <w:t>”)</w:t>
      </w:r>
      <w:r>
        <w:rPr>
          <w:spacing w:val="-3"/>
        </w:rPr>
        <w:t>和《企业</w:t>
      </w:r>
    </w:p>
    <w:p>
      <w:pPr>
        <w:pStyle w:val="BodyText"/>
        <w:spacing w:line="304" w:lineRule="auto" w:before="69"/>
        <w:ind w:left="298" w:right="209"/>
        <w:jc w:val="both"/>
      </w:pPr>
      <w:r>
        <w:rPr>
          <w:spacing w:val="-2"/>
          <w:w w:val="100"/>
        </w:rPr>
        <w:t>会计准则第</w:t>
      </w:r>
      <w:r>
        <w:rPr>
          <w:spacing w:val="-58"/>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5"/>
          <w:w w:val="100"/>
        </w:rPr>
        <w:t> </w:t>
      </w:r>
      <w:r>
        <w:rPr>
          <w:spacing w:val="-7"/>
          <w:w w:val="100"/>
        </w:rPr>
        <w:t>号</w:t>
      </w:r>
      <w:r>
        <w:rPr>
          <w:rFonts w:ascii="Times New Roman" w:hAnsi="Times New Roman" w:cs="Times New Roman" w:eastAsia="Times New Roman" w:hint="default"/>
          <w:spacing w:val="-7"/>
          <w:w w:val="100"/>
        </w:rPr>
        <w:t>——</w:t>
      </w:r>
      <w:r>
        <w:rPr>
          <w:spacing w:val="-7"/>
          <w:w w:val="100"/>
        </w:rPr>
        <w:t>债务重组》</w:t>
      </w:r>
      <w:r>
        <w:rPr>
          <w:rFonts w:ascii="Times New Roman" w:hAnsi="Times New Roman" w:cs="Times New Roman" w:eastAsia="Times New Roman" w:hint="default"/>
          <w:spacing w:val="-7"/>
          <w:w w:val="100"/>
        </w:rPr>
        <w:t>(</w:t>
      </w:r>
      <w:r>
        <w:rPr>
          <w:spacing w:val="-7"/>
          <w:w w:val="100"/>
        </w:rPr>
        <w:t>以下简称</w:t>
      </w:r>
      <w:r>
        <w:rPr>
          <w:rFonts w:ascii="Times New Roman" w:hAnsi="Times New Roman" w:cs="Times New Roman" w:eastAsia="Times New Roman" w:hint="default"/>
          <w:spacing w:val="-7"/>
          <w:w w:val="100"/>
        </w:rPr>
        <w:t>“</w:t>
      </w:r>
      <w:r>
        <w:rPr>
          <w:spacing w:val="-7"/>
          <w:w w:val="100"/>
        </w:rPr>
        <w:t>债务重组准则</w:t>
      </w:r>
      <w:r>
        <w:rPr>
          <w:rFonts w:ascii="Times New Roman" w:hAnsi="Times New Roman" w:cs="Times New Roman" w:eastAsia="Times New Roman" w:hint="default"/>
          <w:spacing w:val="-7"/>
          <w:w w:val="100"/>
        </w:rPr>
        <w:t>”)</w:t>
      </w:r>
      <w:r>
        <w:rPr>
          <w:spacing w:val="-7"/>
          <w:w w:val="100"/>
        </w:rPr>
        <w:t>，本集团已按照上述准则和通知编制</w:t>
      </w:r>
      <w:r>
        <w:rPr>
          <w:spacing w:val="-58"/>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1"/>
        </w:rPr>
        <w:t>年度的财务报表。修订后非货币性资产交换准则及债务重组准则对本集团及本公司无显著影响，其</w:t>
      </w:r>
      <w:r>
        <w:rPr>
          <w:spacing w:val="-20"/>
        </w:rPr>
        <w:t> </w:t>
      </w:r>
      <w:r>
        <w:rPr>
          <w:spacing w:val="-20"/>
        </w:rPr>
      </w:r>
      <w:r>
        <w:rPr/>
        <w:t>他修订对本集团及本公司报表的影响列示如下：</w:t>
      </w:r>
    </w:p>
    <w:p>
      <w:pPr>
        <w:spacing w:line="240" w:lineRule="auto" w:before="12"/>
        <w:rPr>
          <w:rFonts w:ascii="宋体" w:hAnsi="宋体" w:cs="宋体" w:eastAsia="宋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655"/>
        <w:gridCol w:w="4663"/>
      </w:tblGrid>
      <w:tr>
        <w:trPr>
          <w:trHeight w:val="221" w:hRule="exact"/>
        </w:trPr>
        <w:tc>
          <w:tcPr>
            <w:tcW w:w="655"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(i)</w:t>
            </w:r>
          </w:p>
        </w:tc>
        <w:tc>
          <w:tcPr>
            <w:tcW w:w="4663" w:type="dxa"/>
            <w:tcBorders>
              <w:top w:val="nil" w:sz="6" w:space="0" w:color="auto"/>
              <w:left w:val="nil" w:sz="6" w:space="0" w:color="auto"/>
              <w:bottom w:val="nil" w:sz="6" w:space="0" w:color="auto"/>
              <w:right w:val="nil" w:sz="6" w:space="0" w:color="auto"/>
            </w:tcBorders>
          </w:tcPr>
          <w:p>
            <w:pPr>
              <w:pStyle w:val="TableParagraph"/>
              <w:spacing w:line="221" w:lineRule="exact"/>
              <w:ind w:left="257" w:right="0"/>
              <w:jc w:val="left"/>
              <w:rPr>
                <w:rFonts w:ascii="宋体" w:hAnsi="宋体" w:cs="宋体" w:eastAsia="宋体" w:hint="default"/>
                <w:sz w:val="21"/>
                <w:szCs w:val="21"/>
              </w:rPr>
            </w:pPr>
            <w:r>
              <w:rPr>
                <w:rFonts w:ascii="宋体" w:hAnsi="宋体" w:cs="宋体" w:eastAsia="宋体" w:hint="default"/>
                <w:sz w:val="21"/>
                <w:szCs w:val="21"/>
              </w:rPr>
              <w:t>对合并资产负债表及利润表的影响列示如下：</w:t>
            </w:r>
          </w:p>
        </w:tc>
      </w:tr>
    </w:tbl>
    <w:p>
      <w:pPr>
        <w:pStyle w:val="BodyText"/>
        <w:spacing w:line="240" w:lineRule="auto" w:before="8"/>
        <w:ind w:left="0" w:right="211"/>
        <w:jc w:val="right"/>
      </w:pPr>
      <w:r>
        <w:rPr>
          <w:spacing w:val="-1"/>
        </w:rPr>
        <w:t>单位：元</w:t>
      </w:r>
    </w:p>
    <w:p>
      <w:pPr>
        <w:spacing w:line="240" w:lineRule="auto" w:before="8"/>
        <w:rPr>
          <w:rFonts w:ascii="宋体" w:hAnsi="宋体" w:cs="宋体" w:eastAsia="宋体" w:hint="default"/>
          <w:sz w:val="4"/>
          <w:szCs w:val="4"/>
        </w:rPr>
      </w:pPr>
    </w:p>
    <w:tbl>
      <w:tblPr>
        <w:tblW w:w="0" w:type="auto"/>
        <w:jc w:val="left"/>
        <w:tblInd w:w="809" w:type="dxa"/>
        <w:tblLayout w:type="fixed"/>
        <w:tblCellMar>
          <w:top w:w="0" w:type="dxa"/>
          <w:left w:w="0" w:type="dxa"/>
          <w:bottom w:w="0" w:type="dxa"/>
          <w:right w:w="0" w:type="dxa"/>
        </w:tblCellMar>
        <w:tblLook w:val="01E0"/>
      </w:tblPr>
      <w:tblGrid>
        <w:gridCol w:w="3262"/>
        <w:gridCol w:w="1675"/>
        <w:gridCol w:w="2038"/>
        <w:gridCol w:w="1517"/>
      </w:tblGrid>
      <w:tr>
        <w:trPr>
          <w:trHeight w:val="249"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bookmarkStart w:name="newtable_2.00_30.00" w:id="7"/>
            <w:bookmarkEnd w:id="7"/>
            <w:r>
              <w:rPr/>
            </w:r>
            <w:r>
              <w:rPr>
                <w:rFonts w:ascii="宋体" w:hAnsi="宋体" w:cs="宋体" w:eastAsia="宋体" w:hint="default"/>
                <w:sz w:val="21"/>
                <w:szCs w:val="21"/>
              </w:rPr>
              <w:t>会计政策变更的内容和原因</w:t>
            </w:r>
          </w:p>
        </w:tc>
        <w:tc>
          <w:tcPr>
            <w:tcW w:w="1675" w:type="dxa"/>
            <w:vMerge w:val="restart"/>
            <w:tcBorders>
              <w:top w:val="nil" w:sz="6" w:space="0" w:color="auto"/>
              <w:left w:val="nil" w:sz="6" w:space="0" w:color="auto"/>
              <w:right w:val="nil" w:sz="6" w:space="0" w:color="auto"/>
            </w:tcBorders>
          </w:tcPr>
          <w:p>
            <w:pPr>
              <w:pStyle w:val="TableParagraph"/>
              <w:spacing w:line="210" w:lineRule="exact"/>
              <w:ind w:left="116" w:right="0"/>
              <w:jc w:val="left"/>
              <w:rPr>
                <w:rFonts w:ascii="宋体" w:hAnsi="宋体" w:cs="宋体" w:eastAsia="宋体" w:hint="default"/>
                <w:sz w:val="21"/>
                <w:szCs w:val="21"/>
              </w:rPr>
            </w:pPr>
            <w:r>
              <w:rPr>
                <w:rFonts w:ascii="宋体" w:hAnsi="宋体" w:cs="宋体" w:eastAsia="宋体" w:hint="default"/>
                <w:spacing w:val="6"/>
                <w:sz w:val="21"/>
                <w:szCs w:val="21"/>
              </w:rPr>
              <w:t>受影响的报表项</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目名称</w:t>
            </w:r>
          </w:p>
        </w:tc>
        <w:tc>
          <w:tcPr>
            <w:tcW w:w="3555"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right="84"/>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671" w:hRule="exact"/>
        </w:trPr>
        <w:tc>
          <w:tcPr>
            <w:tcW w:w="3262" w:type="dxa"/>
            <w:tcBorders>
              <w:top w:val="nil" w:sz="6" w:space="0" w:color="auto"/>
              <w:left w:val="nil" w:sz="6" w:space="0" w:color="auto"/>
              <w:bottom w:val="nil" w:sz="6" w:space="0" w:color="auto"/>
              <w:right w:val="nil" w:sz="6" w:space="0" w:color="auto"/>
            </w:tcBorders>
          </w:tcPr>
          <w:p>
            <w:pPr/>
          </w:p>
        </w:tc>
        <w:tc>
          <w:tcPr>
            <w:tcW w:w="1675" w:type="dxa"/>
            <w:vMerge/>
            <w:tcBorders>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8" w:lineRule="exact"/>
              <w:ind w:left="9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82" w:lineRule="exact"/>
              <w:ind w:left="6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8" w:lineRule="exact"/>
              <w:ind w:left="67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82" w:lineRule="exact"/>
              <w:ind w:left="56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29" w:hRule="exact"/>
        </w:trPr>
        <w:tc>
          <w:tcPr>
            <w:tcW w:w="3262" w:type="dxa"/>
            <w:vMerge w:val="restart"/>
            <w:tcBorders>
              <w:top w:val="nil" w:sz="6" w:space="0" w:color="auto"/>
              <w:left w:val="nil" w:sz="6" w:space="0" w:color="auto"/>
              <w:right w:val="nil" w:sz="6" w:space="0" w:color="auto"/>
            </w:tcBorders>
          </w:tcPr>
          <w:p>
            <w:pPr>
              <w:pStyle w:val="TableParagraph"/>
              <w:spacing w:line="237" w:lineRule="auto" w:before="89"/>
              <w:ind w:left="200" w:right="114"/>
              <w:jc w:val="left"/>
              <w:rPr>
                <w:rFonts w:ascii="宋体" w:hAnsi="宋体" w:cs="宋体" w:eastAsia="宋体" w:hint="default"/>
                <w:sz w:val="21"/>
                <w:szCs w:val="21"/>
              </w:rPr>
            </w:pPr>
            <w:r>
              <w:rPr>
                <w:rFonts w:ascii="宋体" w:hAnsi="宋体" w:cs="宋体" w:eastAsia="宋体" w:hint="default"/>
                <w:sz w:val="21"/>
                <w:szCs w:val="21"/>
              </w:rPr>
              <w:t>本集团将以公允价值计量</w:t>
            </w:r>
            <w:r>
              <w:rPr>
                <w:rFonts w:ascii="宋体" w:hAnsi="宋体" w:cs="宋体" w:eastAsia="宋体" w:hint="default"/>
                <w:w w:val="100"/>
                <w:sz w:val="21"/>
                <w:szCs w:val="21"/>
              </w:rPr>
              <w:t> </w:t>
            </w:r>
            <w:r>
              <w:rPr>
                <w:rFonts w:ascii="宋体" w:hAnsi="宋体" w:cs="宋体" w:eastAsia="宋体" w:hint="default"/>
                <w:spacing w:val="-2"/>
                <w:sz w:val="21"/>
                <w:szCs w:val="21"/>
              </w:rPr>
              <w:t>且其变动计入其他综合收益的应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收票据自应收票据及应收账款重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分类至应收款项融资项目。</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6"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04" w:right="0"/>
              <w:jc w:val="left"/>
              <w:rPr>
                <w:rFonts w:ascii="Times New Roman" w:hAnsi="Times New Roman" w:cs="Times New Roman" w:eastAsia="Times New Roman" w:hint="default"/>
                <w:sz w:val="21"/>
                <w:szCs w:val="21"/>
              </w:rPr>
            </w:pPr>
            <w:r>
              <w:rPr>
                <w:rFonts w:ascii="Times New Roman"/>
                <w:sz w:val="21"/>
              </w:rPr>
              <w:t>670,396,485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9" w:right="0"/>
              <w:jc w:val="left"/>
              <w:rPr>
                <w:rFonts w:ascii="Times New Roman" w:hAnsi="Times New Roman" w:cs="Times New Roman" w:eastAsia="Times New Roman" w:hint="default"/>
                <w:sz w:val="21"/>
                <w:szCs w:val="21"/>
              </w:rPr>
            </w:pPr>
            <w:r>
              <w:rPr>
                <w:rFonts w:ascii="Times New Roman"/>
                <w:sz w:val="21"/>
              </w:rPr>
              <w:t>500,421,414</w:t>
            </w:r>
          </w:p>
        </w:tc>
      </w:tr>
      <w:tr>
        <w:trPr>
          <w:trHeight w:val="671" w:hRule="exact"/>
        </w:trPr>
        <w:tc>
          <w:tcPr>
            <w:tcW w:w="3262" w:type="dxa"/>
            <w:vMerge/>
            <w:tcBorders>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72" w:lineRule="exact" w:before="131"/>
              <w:ind w:left="375" w:right="454" w:hanging="260"/>
              <w:jc w:val="left"/>
              <w:rPr>
                <w:rFonts w:ascii="宋体" w:hAnsi="宋体" w:cs="宋体" w:eastAsia="宋体" w:hint="default"/>
                <w:sz w:val="21"/>
                <w:szCs w:val="21"/>
              </w:rPr>
            </w:pPr>
            <w:r>
              <w:rPr>
                <w:rFonts w:ascii="宋体" w:hAnsi="宋体" w:cs="宋体" w:eastAsia="宋体" w:hint="default"/>
                <w:sz w:val="21"/>
                <w:szCs w:val="21"/>
              </w:rPr>
              <w:t>应收票据及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应收账款</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544" w:right="0"/>
              <w:jc w:val="left"/>
              <w:rPr>
                <w:rFonts w:ascii="Times New Roman" w:hAnsi="Times New Roman" w:cs="Times New Roman" w:eastAsia="Times New Roman" w:hint="default"/>
                <w:sz w:val="21"/>
                <w:szCs w:val="21"/>
              </w:rPr>
            </w:pPr>
            <w:r>
              <w:rPr>
                <w:rFonts w:ascii="Times New Roman"/>
                <w:sz w:val="21"/>
              </w:rPr>
              <w:t>(670,396,485)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99" w:right="0"/>
              <w:jc w:val="left"/>
              <w:rPr>
                <w:rFonts w:ascii="Times New Roman" w:hAnsi="Times New Roman" w:cs="Times New Roman" w:eastAsia="Times New Roman" w:hint="default"/>
                <w:sz w:val="21"/>
                <w:szCs w:val="21"/>
              </w:rPr>
            </w:pPr>
            <w:r>
              <w:rPr>
                <w:rFonts w:ascii="Times New Roman"/>
                <w:sz w:val="21"/>
              </w:rPr>
              <w:t>(500,421,414)</w:t>
            </w:r>
          </w:p>
        </w:tc>
      </w:tr>
    </w:tbl>
    <w:p>
      <w:pPr>
        <w:spacing w:line="240" w:lineRule="auto" w:before="6"/>
        <w:rPr>
          <w:rFonts w:ascii="宋体" w:hAnsi="宋体" w:cs="宋体" w:eastAsia="宋体" w:hint="default"/>
          <w:sz w:val="21"/>
          <w:szCs w:val="21"/>
        </w:rPr>
      </w:pPr>
    </w:p>
    <w:tbl>
      <w:tblPr>
        <w:tblW w:w="0" w:type="auto"/>
        <w:jc w:val="left"/>
        <w:tblInd w:w="809" w:type="dxa"/>
        <w:tblLayout w:type="fixed"/>
        <w:tblCellMar>
          <w:top w:w="0" w:type="dxa"/>
          <w:left w:w="0" w:type="dxa"/>
          <w:bottom w:w="0" w:type="dxa"/>
          <w:right w:w="0" w:type="dxa"/>
        </w:tblCellMar>
        <w:tblLook w:val="01E0"/>
      </w:tblPr>
      <w:tblGrid>
        <w:gridCol w:w="3300"/>
        <w:gridCol w:w="1602"/>
        <w:gridCol w:w="1994"/>
        <w:gridCol w:w="1772"/>
      </w:tblGrid>
      <w:tr>
        <w:trPr>
          <w:trHeight w:val="258" w:hRule="exact"/>
        </w:trPr>
        <w:tc>
          <w:tcPr>
            <w:tcW w:w="3300" w:type="dxa"/>
            <w:vMerge w:val="restart"/>
            <w:tcBorders>
              <w:top w:val="nil" w:sz="6" w:space="0" w:color="auto"/>
              <w:left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bookmarkStart w:name="newtable_2.00_31.00" w:id="8"/>
            <w:bookmarkEnd w:id="8"/>
            <w:r>
              <w:rPr/>
            </w:r>
            <w:r>
              <w:rPr>
                <w:rFonts w:ascii="宋体" w:hAnsi="宋体" w:cs="宋体" w:eastAsia="宋体" w:hint="default"/>
                <w:spacing w:val="2"/>
                <w:sz w:val="21"/>
                <w:szCs w:val="21"/>
              </w:rPr>
              <w:t>本集团将应收票据及应收账款项</w:t>
            </w:r>
            <w:r>
              <w:rPr>
                <w:rFonts w:ascii="宋体" w:hAnsi="宋体" w:cs="宋体" w:eastAsia="宋体" w:hint="default"/>
                <w:sz w:val="21"/>
                <w:szCs w:val="21"/>
              </w:rPr>
            </w:r>
          </w:p>
          <w:p>
            <w:pPr>
              <w:pStyle w:val="TableParagraph"/>
              <w:spacing w:line="272" w:lineRule="exact" w:before="27"/>
              <w:ind w:left="200" w:right="76"/>
              <w:jc w:val="left"/>
              <w:rPr>
                <w:rFonts w:ascii="宋体" w:hAnsi="宋体" w:cs="宋体" w:eastAsia="宋体" w:hint="default"/>
                <w:sz w:val="21"/>
                <w:szCs w:val="21"/>
              </w:rPr>
            </w:pPr>
            <w:r>
              <w:rPr>
                <w:rFonts w:ascii="宋体" w:hAnsi="宋体" w:cs="宋体" w:eastAsia="宋体" w:hint="default"/>
                <w:spacing w:val="2"/>
                <w:sz w:val="21"/>
                <w:szCs w:val="21"/>
              </w:rPr>
              <w:t>目分拆为应收账款和应收票据项</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目。</w:t>
            </w:r>
          </w:p>
        </w:tc>
        <w:tc>
          <w:tcPr>
            <w:tcW w:w="1602" w:type="dxa"/>
            <w:tcBorders>
              <w:top w:val="nil" w:sz="6" w:space="0" w:color="auto"/>
              <w:left w:val="nil" w:sz="6" w:space="0" w:color="auto"/>
              <w:bottom w:val="nil" w:sz="6" w:space="0" w:color="auto"/>
              <w:right w:val="nil" w:sz="6" w:space="0" w:color="auto"/>
            </w:tcBorders>
          </w:tcPr>
          <w:p>
            <w:pPr>
              <w:pStyle w:val="TableParagraph"/>
              <w:spacing w:line="211" w:lineRule="exact"/>
              <w:ind w:left="7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4" w:type="dxa"/>
            <w:tcBorders>
              <w:top w:val="nil" w:sz="6" w:space="0" w:color="auto"/>
              <w:left w:val="nil" w:sz="6" w:space="0" w:color="auto"/>
              <w:bottom w:val="nil" w:sz="6" w:space="0" w:color="auto"/>
              <w:right w:val="nil" w:sz="6" w:space="0" w:color="auto"/>
            </w:tcBorders>
          </w:tcPr>
          <w:p>
            <w:pPr>
              <w:pStyle w:val="TableParagraph"/>
              <w:spacing w:line="237" w:lineRule="exact"/>
              <w:ind w:right="287"/>
              <w:jc w:val="right"/>
              <w:rPr>
                <w:rFonts w:ascii="Times New Roman" w:hAnsi="Times New Roman" w:cs="Times New Roman" w:eastAsia="Times New Roman" w:hint="default"/>
                <w:sz w:val="21"/>
                <w:szCs w:val="21"/>
              </w:rPr>
            </w:pPr>
            <w:r>
              <w:rPr>
                <w:rFonts w:ascii="Times New Roman"/>
                <w:spacing w:val="-1"/>
                <w:sz w:val="21"/>
              </w:rPr>
              <w:t>2,068,535,326</w:t>
            </w:r>
          </w:p>
        </w:tc>
        <w:tc>
          <w:tcPr>
            <w:tcW w:w="1772" w:type="dxa"/>
            <w:tcBorders>
              <w:top w:val="nil" w:sz="6" w:space="0" w:color="auto"/>
              <w:left w:val="nil" w:sz="6" w:space="0" w:color="auto"/>
              <w:bottom w:val="nil" w:sz="6" w:space="0" w:color="auto"/>
              <w:right w:val="nil" w:sz="6" w:space="0" w:color="auto"/>
            </w:tcBorders>
          </w:tcPr>
          <w:p>
            <w:pPr>
              <w:pStyle w:val="TableParagraph"/>
              <w:spacing w:line="237" w:lineRule="exact"/>
              <w:ind w:left="265" w:right="0"/>
              <w:jc w:val="left"/>
              <w:rPr>
                <w:rFonts w:ascii="Times New Roman" w:hAnsi="Times New Roman" w:cs="Times New Roman" w:eastAsia="Times New Roman" w:hint="default"/>
                <w:sz w:val="21"/>
                <w:szCs w:val="21"/>
              </w:rPr>
            </w:pPr>
            <w:r>
              <w:rPr>
                <w:rFonts w:ascii="Times New Roman"/>
                <w:sz w:val="21"/>
              </w:rPr>
              <w:t>1,873,364,887</w:t>
            </w:r>
          </w:p>
        </w:tc>
      </w:tr>
      <w:tr>
        <w:trPr>
          <w:trHeight w:val="282" w:hRule="exact"/>
        </w:trPr>
        <w:tc>
          <w:tcPr>
            <w:tcW w:w="3300" w:type="dxa"/>
            <w:vMerge/>
            <w:tcBorders>
              <w:left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left="7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7"/>
              <w:jc w:val="right"/>
              <w:rPr>
                <w:rFonts w:ascii="Times New Roman" w:hAnsi="Times New Roman" w:cs="Times New Roman" w:eastAsia="Times New Roman" w:hint="default"/>
                <w:sz w:val="21"/>
                <w:szCs w:val="21"/>
              </w:rPr>
            </w:pPr>
            <w:r>
              <w:rPr>
                <w:rFonts w:ascii="Times New Roman"/>
                <w:spacing w:val="-1"/>
                <w:sz w:val="21"/>
              </w:rPr>
              <w:t>65,198,592</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4"/>
              <w:jc w:val="right"/>
              <w:rPr>
                <w:rFonts w:ascii="Times New Roman" w:hAnsi="Times New Roman" w:cs="Times New Roman" w:eastAsia="Times New Roman" w:hint="default"/>
                <w:sz w:val="21"/>
                <w:szCs w:val="21"/>
              </w:rPr>
            </w:pPr>
            <w:r>
              <w:rPr>
                <w:rFonts w:ascii="Times New Roman"/>
                <w:spacing w:val="-1"/>
                <w:sz w:val="21"/>
              </w:rPr>
              <w:t>91,389,566</w:t>
            </w:r>
          </w:p>
        </w:tc>
      </w:tr>
      <w:tr>
        <w:trPr>
          <w:trHeight w:val="268" w:hRule="exact"/>
        </w:trPr>
        <w:tc>
          <w:tcPr>
            <w:tcW w:w="3300" w:type="dxa"/>
            <w:vMerge/>
            <w:tcBorders>
              <w:left w:val="nil" w:sz="6" w:space="0" w:color="auto"/>
              <w:bottom w:val="nil" w:sz="6" w:space="0" w:color="auto"/>
              <w:right w:val="nil" w:sz="6" w:space="0" w:color="auto"/>
            </w:tcBorders>
          </w:tcPr>
          <w:p>
            <w:pPr/>
          </w:p>
        </w:tc>
        <w:tc>
          <w:tcPr>
            <w:tcW w:w="1602" w:type="dxa"/>
            <w:vMerge w:val="restart"/>
            <w:tcBorders>
              <w:top w:val="nil" w:sz="6" w:space="0" w:color="auto"/>
              <w:left w:val="nil" w:sz="6" w:space="0" w:color="auto"/>
              <w:right w:val="nil" w:sz="6" w:space="0" w:color="auto"/>
            </w:tcBorders>
          </w:tcPr>
          <w:p>
            <w:pPr>
              <w:pStyle w:val="TableParagraph"/>
              <w:spacing w:line="235" w:lineRule="exact"/>
              <w:ind w:left="337" w:right="0" w:hanging="26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74" w:lineRule="exact"/>
              <w:ind w:left="33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263" w:hRule="exact"/>
        </w:trPr>
        <w:tc>
          <w:tcPr>
            <w:tcW w:w="3300" w:type="dxa"/>
            <w:tcBorders>
              <w:top w:val="nil" w:sz="6" w:space="0" w:color="auto"/>
              <w:left w:val="nil" w:sz="6" w:space="0" w:color="auto"/>
              <w:bottom w:val="nil" w:sz="6" w:space="0" w:color="auto"/>
              <w:right w:val="nil" w:sz="6" w:space="0" w:color="auto"/>
            </w:tcBorders>
          </w:tcPr>
          <w:p>
            <w:pPr/>
          </w:p>
        </w:tc>
        <w:tc>
          <w:tcPr>
            <w:tcW w:w="1602" w:type="dxa"/>
            <w:vMerge/>
            <w:tcBorders>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Times New Roman" w:hAnsi="Times New Roman" w:cs="Times New Roman" w:eastAsia="Times New Roman" w:hint="default"/>
                <w:sz w:val="21"/>
                <w:szCs w:val="21"/>
              </w:rPr>
            </w:pPr>
            <w:r>
              <w:rPr>
                <w:rFonts w:ascii="Times New Roman"/>
                <w:spacing w:val="-1"/>
                <w:sz w:val="21"/>
              </w:rPr>
              <w:t>(2,133,733,918)</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Times New Roman" w:hAnsi="Times New Roman" w:cs="Times New Roman" w:eastAsia="Times New Roman" w:hint="default"/>
                <w:sz w:val="21"/>
                <w:szCs w:val="21"/>
              </w:rPr>
            </w:pPr>
            <w:r>
              <w:rPr>
                <w:rFonts w:ascii="Times New Roman"/>
                <w:spacing w:val="-1"/>
                <w:sz w:val="21"/>
              </w:rPr>
              <w:t>(1,964,754,453)</w:t>
            </w:r>
          </w:p>
        </w:tc>
      </w:tr>
    </w:tbl>
    <w:p>
      <w:pPr>
        <w:spacing w:line="240" w:lineRule="auto" w:before="6"/>
        <w:rPr>
          <w:rFonts w:ascii="宋体" w:hAnsi="宋体" w:cs="宋体" w:eastAsia="宋体" w:hint="default"/>
          <w:sz w:val="21"/>
          <w:szCs w:val="21"/>
        </w:rPr>
      </w:pPr>
    </w:p>
    <w:tbl>
      <w:tblPr>
        <w:tblW w:w="0" w:type="auto"/>
        <w:jc w:val="left"/>
        <w:tblInd w:w="794" w:type="dxa"/>
        <w:tblLayout w:type="fixed"/>
        <w:tblCellMar>
          <w:top w:w="0" w:type="dxa"/>
          <w:left w:w="0" w:type="dxa"/>
          <w:bottom w:w="0" w:type="dxa"/>
          <w:right w:w="0" w:type="dxa"/>
        </w:tblCellMar>
        <w:tblLook w:val="01E0"/>
      </w:tblPr>
      <w:tblGrid>
        <w:gridCol w:w="3311"/>
        <w:gridCol w:w="1598"/>
        <w:gridCol w:w="2003"/>
        <w:gridCol w:w="1772"/>
      </w:tblGrid>
      <w:tr>
        <w:trPr>
          <w:trHeight w:val="258" w:hRule="exact"/>
        </w:trPr>
        <w:tc>
          <w:tcPr>
            <w:tcW w:w="3311" w:type="dxa"/>
            <w:vMerge w:val="restart"/>
            <w:tcBorders>
              <w:top w:val="nil" w:sz="6" w:space="0" w:color="auto"/>
              <w:left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bookmarkStart w:name="newtable_2.00_32.00" w:id="9"/>
            <w:bookmarkEnd w:id="9"/>
            <w:r>
              <w:rPr/>
            </w:r>
            <w:r>
              <w:rPr>
                <w:rFonts w:ascii="宋体" w:hAnsi="宋体" w:cs="宋体" w:eastAsia="宋体" w:hint="default"/>
                <w:spacing w:val="3"/>
                <w:sz w:val="21"/>
                <w:szCs w:val="21"/>
              </w:rPr>
              <w:t>本集团将应付票据及应付账款项</w:t>
            </w:r>
          </w:p>
          <w:p>
            <w:pPr>
              <w:pStyle w:val="TableParagraph"/>
              <w:spacing w:line="272" w:lineRule="exact" w:before="27"/>
              <w:ind w:left="200" w:right="79"/>
              <w:jc w:val="left"/>
              <w:rPr>
                <w:rFonts w:ascii="宋体" w:hAnsi="宋体" w:cs="宋体" w:eastAsia="宋体" w:hint="default"/>
                <w:sz w:val="21"/>
                <w:szCs w:val="21"/>
              </w:rPr>
            </w:pPr>
            <w:r>
              <w:rPr>
                <w:rFonts w:ascii="宋体" w:hAnsi="宋体" w:cs="宋体" w:eastAsia="宋体" w:hint="default"/>
                <w:spacing w:val="3"/>
                <w:sz w:val="21"/>
                <w:szCs w:val="21"/>
              </w:rPr>
              <w:t>目分拆为应付账款和应付票据项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目。</w:t>
            </w:r>
          </w:p>
        </w:tc>
        <w:tc>
          <w:tcPr>
            <w:tcW w:w="1598" w:type="dxa"/>
            <w:tcBorders>
              <w:top w:val="nil" w:sz="6" w:space="0" w:color="auto"/>
              <w:left w:val="nil" w:sz="6" w:space="0" w:color="auto"/>
              <w:bottom w:val="nil" w:sz="6" w:space="0" w:color="auto"/>
              <w:right w:val="nil" w:sz="6" w:space="0" w:color="auto"/>
            </w:tcBorders>
          </w:tcPr>
          <w:p>
            <w:pPr>
              <w:pStyle w:val="TableParagraph"/>
              <w:spacing w:line="211" w:lineRule="exact"/>
              <w:ind w:left="8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3" w:type="dxa"/>
            <w:tcBorders>
              <w:top w:val="nil" w:sz="6" w:space="0" w:color="auto"/>
              <w:left w:val="nil" w:sz="6" w:space="0" w:color="auto"/>
              <w:bottom w:val="nil" w:sz="6" w:space="0" w:color="auto"/>
              <w:right w:val="nil" w:sz="6" w:space="0" w:color="auto"/>
            </w:tcBorders>
          </w:tcPr>
          <w:p>
            <w:pPr>
              <w:pStyle w:val="TableParagraph"/>
              <w:spacing w:line="237" w:lineRule="exact"/>
              <w:ind w:right="287"/>
              <w:jc w:val="right"/>
              <w:rPr>
                <w:rFonts w:ascii="Times New Roman" w:hAnsi="Times New Roman" w:cs="Times New Roman" w:eastAsia="Times New Roman" w:hint="default"/>
                <w:sz w:val="21"/>
                <w:szCs w:val="21"/>
              </w:rPr>
            </w:pPr>
            <w:r>
              <w:rPr>
                <w:rFonts w:ascii="Times New Roman"/>
                <w:spacing w:val="-1"/>
                <w:sz w:val="21"/>
              </w:rPr>
              <w:t>1,581,607,319</w:t>
            </w:r>
          </w:p>
        </w:tc>
        <w:tc>
          <w:tcPr>
            <w:tcW w:w="1772" w:type="dxa"/>
            <w:tcBorders>
              <w:top w:val="nil" w:sz="6" w:space="0" w:color="auto"/>
              <w:left w:val="nil" w:sz="6" w:space="0" w:color="auto"/>
              <w:bottom w:val="nil" w:sz="6" w:space="0" w:color="auto"/>
              <w:right w:val="nil" w:sz="6" w:space="0" w:color="auto"/>
            </w:tcBorders>
          </w:tcPr>
          <w:p>
            <w:pPr>
              <w:pStyle w:val="TableParagraph"/>
              <w:spacing w:line="237" w:lineRule="exact"/>
              <w:ind w:left="272" w:right="0"/>
              <w:jc w:val="left"/>
              <w:rPr>
                <w:rFonts w:ascii="Times New Roman" w:hAnsi="Times New Roman" w:cs="Times New Roman" w:eastAsia="Times New Roman" w:hint="default"/>
                <w:sz w:val="21"/>
                <w:szCs w:val="21"/>
              </w:rPr>
            </w:pPr>
            <w:r>
              <w:rPr>
                <w:rFonts w:ascii="Times New Roman"/>
                <w:sz w:val="21"/>
              </w:rPr>
              <w:t>1,517,605,961</w:t>
            </w:r>
          </w:p>
        </w:tc>
      </w:tr>
      <w:tr>
        <w:trPr>
          <w:trHeight w:val="282" w:hRule="exact"/>
        </w:trPr>
        <w:tc>
          <w:tcPr>
            <w:tcW w:w="3311" w:type="dxa"/>
            <w:vMerge/>
            <w:tcBorders>
              <w:left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36" w:lineRule="exact"/>
              <w:ind w:left="8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7"/>
              <w:jc w:val="right"/>
              <w:rPr>
                <w:rFonts w:ascii="Times New Roman" w:hAnsi="Times New Roman" w:cs="Times New Roman" w:eastAsia="Times New Roman" w:hint="default"/>
                <w:sz w:val="21"/>
                <w:szCs w:val="21"/>
              </w:rPr>
            </w:pPr>
            <w:r>
              <w:rPr>
                <w:rFonts w:ascii="Times New Roman"/>
                <w:spacing w:val="-1"/>
                <w:sz w:val="21"/>
              </w:rPr>
              <w:t>957,024,876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8" w:right="0"/>
              <w:jc w:val="left"/>
              <w:rPr>
                <w:rFonts w:ascii="Times New Roman" w:hAnsi="Times New Roman" w:cs="Times New Roman" w:eastAsia="Times New Roman" w:hint="default"/>
                <w:sz w:val="21"/>
                <w:szCs w:val="21"/>
              </w:rPr>
            </w:pPr>
            <w:r>
              <w:rPr>
                <w:rFonts w:ascii="Times New Roman"/>
                <w:sz w:val="21"/>
              </w:rPr>
              <w:t>882,183,561</w:t>
            </w:r>
          </w:p>
        </w:tc>
      </w:tr>
      <w:tr>
        <w:trPr>
          <w:trHeight w:val="268" w:hRule="exact"/>
        </w:trPr>
        <w:tc>
          <w:tcPr>
            <w:tcW w:w="3311" w:type="dxa"/>
            <w:vMerge/>
            <w:tcBorders>
              <w:left w:val="nil" w:sz="6" w:space="0" w:color="auto"/>
              <w:bottom w:val="nil" w:sz="6" w:space="0" w:color="auto"/>
              <w:right w:val="nil" w:sz="6" w:space="0" w:color="auto"/>
            </w:tcBorders>
          </w:tcPr>
          <w:p>
            <w:pPr/>
          </w:p>
        </w:tc>
        <w:tc>
          <w:tcPr>
            <w:tcW w:w="1598" w:type="dxa"/>
            <w:vMerge w:val="restart"/>
            <w:tcBorders>
              <w:top w:val="nil" w:sz="6" w:space="0" w:color="auto"/>
              <w:left w:val="nil" w:sz="6" w:space="0" w:color="auto"/>
              <w:right w:val="nil" w:sz="6" w:space="0" w:color="auto"/>
            </w:tcBorders>
          </w:tcPr>
          <w:p>
            <w:pPr>
              <w:pStyle w:val="TableParagraph"/>
              <w:spacing w:line="235" w:lineRule="exact"/>
              <w:ind w:left="324" w:right="0" w:hanging="243"/>
              <w:jc w:val="left"/>
              <w:rPr>
                <w:rFonts w:ascii="宋体" w:hAnsi="宋体" w:cs="宋体" w:eastAsia="宋体" w:hint="default"/>
                <w:sz w:val="21"/>
                <w:szCs w:val="21"/>
              </w:rPr>
            </w:pPr>
            <w:r>
              <w:rPr>
                <w:rFonts w:ascii="宋体" w:hAnsi="宋体" w:cs="宋体" w:eastAsia="宋体" w:hint="default"/>
                <w:sz w:val="21"/>
                <w:szCs w:val="21"/>
              </w:rPr>
              <w:t>应付票据及</w:t>
            </w:r>
          </w:p>
          <w:p>
            <w:pPr>
              <w:pStyle w:val="TableParagraph"/>
              <w:spacing w:line="274" w:lineRule="exact"/>
              <w:ind w:left="3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263" w:hRule="exact"/>
        </w:trPr>
        <w:tc>
          <w:tcPr>
            <w:tcW w:w="3311" w:type="dxa"/>
            <w:tcBorders>
              <w:top w:val="nil" w:sz="6" w:space="0" w:color="auto"/>
              <w:left w:val="nil" w:sz="6" w:space="0" w:color="auto"/>
              <w:bottom w:val="nil" w:sz="6" w:space="0" w:color="auto"/>
              <w:right w:val="nil" w:sz="6" w:space="0" w:color="auto"/>
            </w:tcBorders>
          </w:tcPr>
          <w:p>
            <w:pPr/>
          </w:p>
        </w:tc>
        <w:tc>
          <w:tcPr>
            <w:tcW w:w="1598" w:type="dxa"/>
            <w:vMerge/>
            <w:tcBorders>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9"/>
              <w:jc w:val="right"/>
              <w:rPr>
                <w:rFonts w:ascii="Times New Roman" w:hAnsi="Times New Roman" w:cs="Times New Roman" w:eastAsia="Times New Roman" w:hint="default"/>
                <w:sz w:val="21"/>
                <w:szCs w:val="21"/>
              </w:rPr>
            </w:pPr>
            <w:r>
              <w:rPr>
                <w:rFonts w:ascii="Times New Roman"/>
                <w:spacing w:val="-1"/>
                <w:sz w:val="21"/>
              </w:rPr>
              <w:t>(2,538,632,195)</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21" w:right="0"/>
              <w:jc w:val="left"/>
              <w:rPr>
                <w:rFonts w:ascii="Times New Roman" w:hAnsi="Times New Roman" w:cs="Times New Roman" w:eastAsia="Times New Roman" w:hint="default"/>
                <w:sz w:val="21"/>
                <w:szCs w:val="21"/>
              </w:rPr>
            </w:pPr>
            <w:r>
              <w:rPr>
                <w:rFonts w:ascii="Times New Roman"/>
                <w:sz w:val="21"/>
              </w:rPr>
              <w:t>(2,399,789,522)</w:t>
            </w:r>
          </w:p>
        </w:tc>
      </w:tr>
    </w:tbl>
    <w:p>
      <w:pPr>
        <w:spacing w:after="0" w:line="240" w:lineRule="auto"/>
        <w:jc w:val="left"/>
        <w:rPr>
          <w:rFonts w:ascii="Times New Roman" w:hAnsi="Times New Roman" w:cs="Times New Roman" w:eastAsia="Times New Roman" w:hint="default"/>
          <w:sz w:val="21"/>
          <w:szCs w:val="21"/>
        </w:rPr>
        <w:sectPr>
          <w:headerReference w:type="default" r:id="rId23"/>
          <w:footerReference w:type="default" r:id="rId24"/>
          <w:pgSz w:w="11910" w:h="16840"/>
          <w:pgMar w:header="880" w:footer="974" w:top="1120" w:bottom="1160" w:left="1120" w:right="1200"/>
          <w:pgNumType w:start="2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638"/>
        <w:gridCol w:w="3537"/>
      </w:tblGrid>
      <w:tr>
        <w:trPr>
          <w:trHeight w:val="221" w:hRule="exact"/>
        </w:trPr>
        <w:tc>
          <w:tcPr>
            <w:tcW w:w="63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(ii)</w:t>
            </w:r>
          </w:p>
        </w:tc>
        <w:tc>
          <w:tcPr>
            <w:tcW w:w="3537" w:type="dxa"/>
            <w:tcBorders>
              <w:top w:val="nil" w:sz="6" w:space="0" w:color="auto"/>
              <w:left w:val="nil" w:sz="6" w:space="0" w:color="auto"/>
              <w:bottom w:val="nil" w:sz="6" w:space="0" w:color="auto"/>
              <w:right w:val="nil" w:sz="6" w:space="0" w:color="auto"/>
            </w:tcBorders>
          </w:tcPr>
          <w:p>
            <w:pPr>
              <w:pStyle w:val="TableParagraph"/>
              <w:spacing w:line="221" w:lineRule="exact"/>
              <w:ind w:left="183" w:right="0"/>
              <w:jc w:val="left"/>
              <w:rPr>
                <w:rFonts w:ascii="宋体" w:hAnsi="宋体" w:cs="宋体" w:eastAsia="宋体" w:hint="default"/>
                <w:sz w:val="21"/>
                <w:szCs w:val="21"/>
              </w:rPr>
            </w:pPr>
            <w:r>
              <w:rPr>
                <w:rFonts w:ascii="宋体" w:hAnsi="宋体" w:cs="宋体" w:eastAsia="宋体" w:hint="default"/>
                <w:sz w:val="21"/>
                <w:szCs w:val="21"/>
              </w:rPr>
              <w:t>对公司财务报表的影响列示如下：</w:t>
            </w:r>
          </w:p>
        </w:tc>
      </w:tr>
    </w:tbl>
    <w:p>
      <w:pPr>
        <w:spacing w:line="240" w:lineRule="auto" w:before="1"/>
        <w:rPr>
          <w:rFonts w:ascii="宋体" w:hAnsi="宋体" w:cs="宋体" w:eastAsia="宋体" w:hint="default"/>
          <w:sz w:val="23"/>
          <w:szCs w:val="23"/>
        </w:rPr>
      </w:pPr>
    </w:p>
    <w:tbl>
      <w:tblPr>
        <w:tblW w:w="0" w:type="auto"/>
        <w:jc w:val="left"/>
        <w:tblInd w:w="729" w:type="dxa"/>
        <w:tblLayout w:type="fixed"/>
        <w:tblCellMar>
          <w:top w:w="0" w:type="dxa"/>
          <w:left w:w="0" w:type="dxa"/>
          <w:bottom w:w="0" w:type="dxa"/>
          <w:right w:w="0" w:type="dxa"/>
        </w:tblCellMar>
        <w:tblLook w:val="01E0"/>
      </w:tblPr>
      <w:tblGrid>
        <w:gridCol w:w="3029"/>
        <w:gridCol w:w="1881"/>
        <w:gridCol w:w="2129"/>
        <w:gridCol w:w="1426"/>
      </w:tblGrid>
      <w:tr>
        <w:trPr>
          <w:trHeight w:val="249"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881" w:type="dxa"/>
            <w:vMerge w:val="restart"/>
            <w:tcBorders>
              <w:top w:val="nil" w:sz="6" w:space="0" w:color="auto"/>
              <w:left w:val="nil" w:sz="6" w:space="0" w:color="auto"/>
              <w:right w:val="nil" w:sz="6" w:space="0" w:color="auto"/>
            </w:tcBorders>
          </w:tcPr>
          <w:p>
            <w:pPr>
              <w:pStyle w:val="TableParagraph"/>
              <w:spacing w:line="210" w:lineRule="exact"/>
              <w:ind w:left="306"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64"/>
                <w:sz w:val="21"/>
                <w:szCs w:val="21"/>
              </w:rPr>
              <w:t> </w:t>
            </w:r>
            <w:r>
              <w:rPr>
                <w:rFonts w:ascii="宋体" w:hAnsi="宋体" w:cs="宋体" w:eastAsia="宋体" w:hint="default"/>
                <w:sz w:val="21"/>
                <w:szCs w:val="21"/>
              </w:rPr>
              <w:t>影</w:t>
            </w:r>
            <w:r>
              <w:rPr>
                <w:rFonts w:ascii="宋体" w:hAnsi="宋体" w:cs="宋体" w:eastAsia="宋体" w:hint="default"/>
                <w:spacing w:val="-64"/>
                <w:sz w:val="21"/>
                <w:szCs w:val="21"/>
              </w:rPr>
              <w:t> </w:t>
            </w:r>
            <w:r>
              <w:rPr>
                <w:rFonts w:ascii="宋体" w:hAnsi="宋体" w:cs="宋体" w:eastAsia="宋体" w:hint="default"/>
                <w:sz w:val="21"/>
                <w:szCs w:val="21"/>
              </w:rPr>
              <w:t>响</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表</w:t>
            </w:r>
          </w:p>
          <w:p>
            <w:pPr>
              <w:pStyle w:val="TableParagraph"/>
              <w:spacing w:line="274" w:lineRule="exact"/>
              <w:ind w:left="30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129" w:type="dxa"/>
            <w:tcBorders>
              <w:top w:val="nil" w:sz="6" w:space="0" w:color="auto"/>
              <w:left w:val="nil" w:sz="6" w:space="0" w:color="auto"/>
              <w:bottom w:val="single" w:sz="4" w:space="0" w:color="000000"/>
              <w:right w:val="nil" w:sz="6" w:space="0" w:color="auto"/>
            </w:tcBorders>
          </w:tcPr>
          <w:p>
            <w:pPr>
              <w:pStyle w:val="TableParagraph"/>
              <w:spacing w:line="211" w:lineRule="exact"/>
              <w:ind w:left="1310" w:right="-24"/>
              <w:jc w:val="left"/>
              <w:rPr>
                <w:rFonts w:ascii="宋体" w:hAnsi="宋体" w:cs="宋体" w:eastAsia="宋体" w:hint="default"/>
                <w:sz w:val="21"/>
                <w:szCs w:val="21"/>
              </w:rPr>
            </w:pPr>
            <w:r>
              <w:rPr>
                <w:rFonts w:ascii="宋体" w:hAnsi="宋体" w:cs="宋体" w:eastAsia="宋体" w:hint="default"/>
                <w:spacing w:val="-1"/>
                <w:sz w:val="21"/>
                <w:szCs w:val="21"/>
              </w:rPr>
              <w:t>影响金额</w:t>
            </w:r>
          </w:p>
        </w:tc>
        <w:tc>
          <w:tcPr>
            <w:tcW w:w="1426" w:type="dxa"/>
            <w:tcBorders>
              <w:top w:val="nil" w:sz="6" w:space="0" w:color="auto"/>
              <w:left w:val="nil" w:sz="6" w:space="0" w:color="auto"/>
              <w:bottom w:val="single" w:sz="4" w:space="0" w:color="000000"/>
              <w:right w:val="nil" w:sz="6" w:space="0" w:color="auto"/>
            </w:tcBorders>
          </w:tcPr>
          <w:p>
            <w:pPr/>
          </w:p>
        </w:tc>
      </w:tr>
      <w:tr>
        <w:trPr>
          <w:trHeight w:val="528" w:hRule="exact"/>
        </w:trPr>
        <w:tc>
          <w:tcPr>
            <w:tcW w:w="3029" w:type="dxa"/>
            <w:tcBorders>
              <w:top w:val="nil" w:sz="6" w:space="0" w:color="auto"/>
              <w:left w:val="nil" w:sz="6" w:space="0" w:color="auto"/>
              <w:bottom w:val="nil" w:sz="6" w:space="0" w:color="auto"/>
              <w:right w:val="nil" w:sz="6" w:space="0" w:color="auto"/>
            </w:tcBorders>
          </w:tcPr>
          <w:p>
            <w:pPr/>
          </w:p>
        </w:tc>
        <w:tc>
          <w:tcPr>
            <w:tcW w:w="1881" w:type="dxa"/>
            <w:vMerge/>
            <w:tcBorders>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7" w:lineRule="exact"/>
              <w:ind w:left="9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81" w:lineRule="exact"/>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7" w:lineRule="exact"/>
              <w:ind w:left="45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81" w:lineRule="exact"/>
              <w:ind w:left="35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8"/>
        <w:rPr>
          <w:rFonts w:ascii="宋体" w:hAnsi="宋体" w:cs="宋体" w:eastAsia="宋体" w:hint="default"/>
          <w:sz w:val="21"/>
          <w:szCs w:val="21"/>
        </w:rPr>
      </w:pPr>
    </w:p>
    <w:tbl>
      <w:tblPr>
        <w:tblW w:w="0" w:type="auto"/>
        <w:jc w:val="left"/>
        <w:tblInd w:w="729" w:type="dxa"/>
        <w:tblLayout w:type="fixed"/>
        <w:tblCellMar>
          <w:top w:w="0" w:type="dxa"/>
          <w:left w:w="0" w:type="dxa"/>
          <w:bottom w:w="0" w:type="dxa"/>
          <w:right w:w="0" w:type="dxa"/>
        </w:tblCellMar>
        <w:tblLook w:val="01E0"/>
      </w:tblPr>
      <w:tblGrid>
        <w:gridCol w:w="3216"/>
        <w:gridCol w:w="1795"/>
        <w:gridCol w:w="1908"/>
        <w:gridCol w:w="1697"/>
      </w:tblGrid>
      <w:tr>
        <w:trPr>
          <w:trHeight w:val="388" w:hRule="exact"/>
        </w:trPr>
        <w:tc>
          <w:tcPr>
            <w:tcW w:w="3216" w:type="dxa"/>
            <w:vMerge w:val="restart"/>
            <w:tcBorders>
              <w:top w:val="nil" w:sz="6" w:space="0" w:color="auto"/>
              <w:left w:val="nil" w:sz="6" w:space="0" w:color="auto"/>
              <w:right w:val="nil" w:sz="6" w:space="0" w:color="auto"/>
            </w:tcBorders>
          </w:tcPr>
          <w:p>
            <w:pPr>
              <w:pStyle w:val="TableParagraph"/>
              <w:spacing w:line="219" w:lineRule="exact"/>
              <w:ind w:left="200" w:right="0"/>
              <w:jc w:val="both"/>
              <w:rPr>
                <w:rFonts w:ascii="宋体" w:hAnsi="宋体" w:cs="宋体" w:eastAsia="宋体" w:hint="default"/>
                <w:sz w:val="21"/>
                <w:szCs w:val="21"/>
              </w:rPr>
            </w:pPr>
            <w:r>
              <w:rPr>
                <w:rFonts w:ascii="宋体" w:hAnsi="宋体" w:cs="宋体" w:eastAsia="宋体" w:hint="default"/>
                <w:spacing w:val="10"/>
                <w:sz w:val="21"/>
                <w:szCs w:val="21"/>
              </w:rPr>
              <w:t>本公司将以公允价值计量且其</w:t>
            </w:r>
          </w:p>
          <w:p>
            <w:pPr>
              <w:pStyle w:val="TableParagraph"/>
              <w:spacing w:line="237" w:lineRule="auto"/>
              <w:ind w:left="200" w:right="117"/>
              <w:jc w:val="both"/>
              <w:rPr>
                <w:rFonts w:ascii="宋体" w:hAnsi="宋体" w:cs="宋体" w:eastAsia="宋体" w:hint="default"/>
                <w:sz w:val="21"/>
                <w:szCs w:val="21"/>
              </w:rPr>
            </w:pPr>
            <w:r>
              <w:rPr>
                <w:rFonts w:ascii="宋体" w:hAnsi="宋体" w:cs="宋体" w:eastAsia="宋体" w:hint="default"/>
                <w:spacing w:val="10"/>
                <w:sz w:val="21"/>
                <w:szCs w:val="21"/>
              </w:rPr>
              <w:t>变动计入其他综合收益的应收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0"/>
                <w:sz w:val="21"/>
                <w:szCs w:val="21"/>
              </w:rPr>
              <w:t>票据自应收票据及应收账款重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分类至应收款项融资项目。</w:t>
            </w:r>
          </w:p>
        </w:tc>
        <w:tc>
          <w:tcPr>
            <w:tcW w:w="1795" w:type="dxa"/>
            <w:tcBorders>
              <w:top w:val="nil" w:sz="6" w:space="0" w:color="auto"/>
              <w:left w:val="nil" w:sz="6" w:space="0" w:color="auto"/>
              <w:bottom w:val="nil" w:sz="6" w:space="0" w:color="auto"/>
              <w:right w:val="nil" w:sz="6" w:space="0" w:color="auto"/>
            </w:tcBorders>
          </w:tcPr>
          <w:p>
            <w:pPr>
              <w:pStyle w:val="TableParagraph"/>
              <w:spacing w:line="221" w:lineRule="exact"/>
              <w:ind w:left="119"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908" w:type="dxa"/>
            <w:tcBorders>
              <w:top w:val="nil" w:sz="6" w:space="0" w:color="auto"/>
              <w:left w:val="nil" w:sz="6" w:space="0" w:color="auto"/>
              <w:bottom w:val="nil" w:sz="6" w:space="0" w:color="auto"/>
              <w:right w:val="nil" w:sz="6" w:space="0" w:color="auto"/>
            </w:tcBorders>
          </w:tcPr>
          <w:p>
            <w:pPr>
              <w:pStyle w:val="TableParagraph"/>
              <w:spacing w:line="215" w:lineRule="exact"/>
              <w:ind w:left="482" w:right="0"/>
              <w:jc w:val="left"/>
              <w:rPr>
                <w:rFonts w:ascii="Times New Roman" w:hAnsi="Times New Roman" w:cs="Times New Roman" w:eastAsia="Times New Roman" w:hint="default"/>
                <w:sz w:val="21"/>
                <w:szCs w:val="21"/>
              </w:rPr>
            </w:pPr>
            <w:r>
              <w:rPr>
                <w:rFonts w:ascii="Times New Roman"/>
                <w:sz w:val="21"/>
              </w:rPr>
              <w:t>357,958,050</w:t>
            </w:r>
          </w:p>
        </w:tc>
        <w:tc>
          <w:tcPr>
            <w:tcW w:w="1697" w:type="dxa"/>
            <w:tcBorders>
              <w:top w:val="nil" w:sz="6" w:space="0" w:color="auto"/>
              <w:left w:val="nil" w:sz="6" w:space="0" w:color="auto"/>
              <w:bottom w:val="nil" w:sz="6" w:space="0" w:color="auto"/>
              <w:right w:val="nil" w:sz="6" w:space="0" w:color="auto"/>
            </w:tcBorders>
          </w:tcPr>
          <w:p>
            <w:pPr>
              <w:pStyle w:val="TableParagraph"/>
              <w:spacing w:line="215" w:lineRule="exact"/>
              <w:ind w:left="64" w:right="0"/>
              <w:jc w:val="center"/>
              <w:rPr>
                <w:rFonts w:ascii="Times New Roman" w:hAnsi="Times New Roman" w:cs="Times New Roman" w:eastAsia="Times New Roman" w:hint="default"/>
                <w:sz w:val="21"/>
                <w:szCs w:val="21"/>
              </w:rPr>
            </w:pPr>
            <w:r>
              <w:rPr>
                <w:rFonts w:ascii="Times New Roman"/>
                <w:sz w:val="21"/>
              </w:rPr>
              <w:t>182,824,549</w:t>
            </w:r>
          </w:p>
        </w:tc>
      </w:tr>
      <w:tr>
        <w:trPr>
          <w:trHeight w:val="811" w:hRule="exact"/>
        </w:trPr>
        <w:tc>
          <w:tcPr>
            <w:tcW w:w="3216" w:type="dxa"/>
            <w:vMerge/>
            <w:tcBorders>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378" w:right="571" w:hanging="260"/>
              <w:jc w:val="left"/>
              <w:rPr>
                <w:rFonts w:ascii="宋体" w:hAnsi="宋体" w:cs="宋体" w:eastAsia="宋体" w:hint="default"/>
                <w:sz w:val="21"/>
                <w:szCs w:val="21"/>
              </w:rPr>
            </w:pPr>
            <w:r>
              <w:rPr>
                <w:rFonts w:ascii="宋体" w:hAnsi="宋体" w:cs="宋体" w:eastAsia="宋体" w:hint="default"/>
                <w:sz w:val="21"/>
                <w:szCs w:val="21"/>
              </w:rPr>
              <w:t>应收票据及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应收账款</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299"/>
              <w:jc w:val="right"/>
              <w:rPr>
                <w:rFonts w:ascii="Times New Roman" w:hAnsi="Times New Roman" w:cs="Times New Roman" w:eastAsia="Times New Roman" w:hint="default"/>
                <w:sz w:val="21"/>
                <w:szCs w:val="21"/>
              </w:rPr>
            </w:pPr>
            <w:r>
              <w:rPr>
                <w:rFonts w:ascii="Times New Roman"/>
                <w:spacing w:val="-1"/>
                <w:sz w:val="21"/>
              </w:rPr>
              <w:t>(357,958,050)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69" w:right="0"/>
              <w:jc w:val="center"/>
              <w:rPr>
                <w:rFonts w:ascii="Times New Roman" w:hAnsi="Times New Roman" w:cs="Times New Roman" w:eastAsia="Times New Roman" w:hint="default"/>
                <w:sz w:val="21"/>
                <w:szCs w:val="21"/>
              </w:rPr>
            </w:pPr>
            <w:r>
              <w:rPr>
                <w:rFonts w:ascii="Times New Roman"/>
                <w:sz w:val="21"/>
              </w:rPr>
              <w:t>(182,824,549)</w:t>
            </w:r>
          </w:p>
        </w:tc>
      </w:tr>
      <w:tr>
        <w:trPr>
          <w:trHeight w:val="394" w:hRule="exact"/>
        </w:trPr>
        <w:tc>
          <w:tcPr>
            <w:tcW w:w="3216" w:type="dxa"/>
            <w:vMerge w:val="restart"/>
            <w:tcBorders>
              <w:top w:val="nil" w:sz="6" w:space="0" w:color="auto"/>
              <w:left w:val="nil" w:sz="6" w:space="0" w:color="auto"/>
              <w:right w:val="nil" w:sz="6" w:space="0" w:color="auto"/>
            </w:tcBorders>
          </w:tcPr>
          <w:p>
            <w:pPr>
              <w:pStyle w:val="TableParagraph"/>
              <w:spacing w:line="237" w:lineRule="auto" w:before="79"/>
              <w:ind w:left="200" w:right="146"/>
              <w:jc w:val="both"/>
              <w:rPr>
                <w:rFonts w:ascii="宋体" w:hAnsi="宋体" w:cs="宋体" w:eastAsia="宋体" w:hint="default"/>
                <w:sz w:val="21"/>
                <w:szCs w:val="21"/>
              </w:rPr>
            </w:pPr>
            <w:r>
              <w:rPr>
                <w:rFonts w:ascii="宋体" w:hAnsi="宋体" w:cs="宋体" w:eastAsia="宋体" w:hint="default"/>
                <w:spacing w:val="8"/>
                <w:sz w:val="21"/>
                <w:szCs w:val="21"/>
              </w:rPr>
              <w:t>本公司将应收票据及应收账款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8"/>
                <w:sz w:val="21"/>
                <w:szCs w:val="21"/>
              </w:rPr>
              <w:t>项目分拆为应收账款和应收票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据项目。</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482" w:right="0"/>
              <w:jc w:val="left"/>
              <w:rPr>
                <w:rFonts w:ascii="Times New Roman" w:hAnsi="Times New Roman" w:cs="Times New Roman" w:eastAsia="Times New Roman" w:hint="default"/>
                <w:sz w:val="21"/>
                <w:szCs w:val="21"/>
              </w:rPr>
            </w:pPr>
            <w:r>
              <w:rPr>
                <w:rFonts w:ascii="Times New Roman"/>
                <w:sz w:val="21"/>
              </w:rPr>
              <w:t>726,398,006</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64" w:right="0"/>
              <w:jc w:val="center"/>
              <w:rPr>
                <w:rFonts w:ascii="Times New Roman" w:hAnsi="Times New Roman" w:cs="Times New Roman" w:eastAsia="Times New Roman" w:hint="default"/>
                <w:sz w:val="21"/>
                <w:szCs w:val="21"/>
              </w:rPr>
            </w:pPr>
            <w:r>
              <w:rPr>
                <w:rFonts w:ascii="Times New Roman"/>
                <w:sz w:val="21"/>
              </w:rPr>
              <w:t>956,905,662</w:t>
            </w:r>
          </w:p>
        </w:tc>
      </w:tr>
      <w:tr>
        <w:trPr>
          <w:trHeight w:val="272" w:hRule="exact"/>
        </w:trPr>
        <w:tc>
          <w:tcPr>
            <w:tcW w:w="3216" w:type="dxa"/>
            <w:vMerge/>
            <w:tcBorders>
              <w:left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32" w:lineRule="exact"/>
              <w:ind w:left="1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1"/>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9" w:right="0"/>
              <w:jc w:val="center"/>
              <w:rPr>
                <w:rFonts w:ascii="Times New Roman" w:hAnsi="Times New Roman" w:cs="Times New Roman" w:eastAsia="Times New Roman" w:hint="default"/>
                <w:sz w:val="21"/>
                <w:szCs w:val="21"/>
              </w:rPr>
            </w:pPr>
            <w:r>
              <w:rPr>
                <w:rFonts w:ascii="Times New Roman"/>
                <w:sz w:val="21"/>
              </w:rPr>
              <w:t>24,610,000</w:t>
            </w:r>
          </w:p>
        </w:tc>
      </w:tr>
      <w:tr>
        <w:trPr>
          <w:trHeight w:val="273" w:hRule="exact"/>
        </w:trPr>
        <w:tc>
          <w:tcPr>
            <w:tcW w:w="3216" w:type="dxa"/>
            <w:vMerge/>
            <w:tcBorders>
              <w:left w:val="nil" w:sz="6" w:space="0" w:color="auto"/>
              <w:bottom w:val="nil" w:sz="6" w:space="0" w:color="auto"/>
              <w:right w:val="nil" w:sz="6" w:space="0" w:color="auto"/>
            </w:tcBorders>
          </w:tcPr>
          <w:p>
            <w:pPr/>
          </w:p>
        </w:tc>
        <w:tc>
          <w:tcPr>
            <w:tcW w:w="1795" w:type="dxa"/>
            <w:vMerge w:val="restart"/>
            <w:tcBorders>
              <w:top w:val="nil" w:sz="6" w:space="0" w:color="auto"/>
              <w:left w:val="nil" w:sz="6" w:space="0" w:color="auto"/>
              <w:right w:val="nil" w:sz="6" w:space="0" w:color="auto"/>
            </w:tcBorders>
          </w:tcPr>
          <w:p>
            <w:pPr>
              <w:pStyle w:val="TableParagraph"/>
              <w:spacing w:line="231" w:lineRule="exact"/>
              <w:ind w:left="378" w:right="0" w:hanging="26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74" w:lineRule="exact"/>
              <w:ind w:left="37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252" w:hRule="exact"/>
        </w:trPr>
        <w:tc>
          <w:tcPr>
            <w:tcW w:w="3216" w:type="dxa"/>
            <w:tcBorders>
              <w:top w:val="nil" w:sz="6" w:space="0" w:color="auto"/>
              <w:left w:val="nil" w:sz="6" w:space="0" w:color="auto"/>
              <w:bottom w:val="nil" w:sz="6" w:space="0" w:color="auto"/>
              <w:right w:val="nil" w:sz="6" w:space="0" w:color="auto"/>
            </w:tcBorders>
          </w:tcPr>
          <w:p>
            <w:pPr/>
          </w:p>
        </w:tc>
        <w:tc>
          <w:tcPr>
            <w:tcW w:w="1795" w:type="dxa"/>
            <w:vMerge/>
            <w:tcBorders>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4"/>
              <w:jc w:val="right"/>
              <w:rPr>
                <w:rFonts w:ascii="Times New Roman" w:hAnsi="Times New Roman" w:cs="Times New Roman" w:eastAsia="Times New Roman" w:hint="default"/>
                <w:sz w:val="21"/>
                <w:szCs w:val="21"/>
              </w:rPr>
            </w:pPr>
            <w:r>
              <w:rPr>
                <w:rFonts w:ascii="Times New Roman"/>
                <w:spacing w:val="-1"/>
                <w:sz w:val="21"/>
              </w:rPr>
              <w:t>(726,398,006)</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3" w:right="0"/>
              <w:jc w:val="center"/>
              <w:rPr>
                <w:rFonts w:ascii="Times New Roman" w:hAnsi="Times New Roman" w:cs="Times New Roman" w:eastAsia="Times New Roman" w:hint="default"/>
                <w:sz w:val="21"/>
                <w:szCs w:val="21"/>
              </w:rPr>
            </w:pPr>
            <w:r>
              <w:rPr>
                <w:rFonts w:ascii="Times New Roman"/>
                <w:sz w:val="21"/>
              </w:rPr>
              <w:t>(981,515,662)</w:t>
            </w:r>
          </w:p>
        </w:tc>
      </w:tr>
    </w:tbl>
    <w:p>
      <w:pPr>
        <w:spacing w:line="240" w:lineRule="auto" w:before="9"/>
        <w:rPr>
          <w:rFonts w:ascii="宋体" w:hAnsi="宋体" w:cs="宋体" w:eastAsia="宋体" w:hint="default"/>
          <w:sz w:val="21"/>
          <w:szCs w:val="21"/>
        </w:rPr>
      </w:pPr>
    </w:p>
    <w:tbl>
      <w:tblPr>
        <w:tblW w:w="0" w:type="auto"/>
        <w:jc w:val="left"/>
        <w:tblInd w:w="729" w:type="dxa"/>
        <w:tblLayout w:type="fixed"/>
        <w:tblCellMar>
          <w:top w:w="0" w:type="dxa"/>
          <w:left w:w="0" w:type="dxa"/>
          <w:bottom w:w="0" w:type="dxa"/>
          <w:right w:w="0" w:type="dxa"/>
        </w:tblCellMar>
        <w:tblLook w:val="01E0"/>
      </w:tblPr>
      <w:tblGrid>
        <w:gridCol w:w="3200"/>
        <w:gridCol w:w="1728"/>
        <w:gridCol w:w="1998"/>
        <w:gridCol w:w="1689"/>
      </w:tblGrid>
      <w:tr>
        <w:trPr>
          <w:trHeight w:val="255" w:hRule="exact"/>
        </w:trPr>
        <w:tc>
          <w:tcPr>
            <w:tcW w:w="3200" w:type="dxa"/>
            <w:vMerge w:val="restart"/>
            <w:tcBorders>
              <w:top w:val="nil" w:sz="6" w:space="0" w:color="auto"/>
              <w:left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pacing w:val="7"/>
                <w:sz w:val="21"/>
                <w:szCs w:val="21"/>
              </w:rPr>
              <w:t>本公司将应付票据及应付账款</w:t>
            </w:r>
            <w:r>
              <w:rPr>
                <w:rFonts w:ascii="宋体" w:hAnsi="宋体" w:cs="宋体" w:eastAsia="宋体" w:hint="default"/>
                <w:sz w:val="21"/>
                <w:szCs w:val="21"/>
              </w:rPr>
            </w:r>
          </w:p>
          <w:p>
            <w:pPr>
              <w:pStyle w:val="TableParagraph"/>
              <w:spacing w:line="240" w:lineRule="auto"/>
              <w:ind w:left="200" w:right="132"/>
              <w:jc w:val="left"/>
              <w:rPr>
                <w:rFonts w:ascii="宋体" w:hAnsi="宋体" w:cs="宋体" w:eastAsia="宋体" w:hint="default"/>
                <w:sz w:val="21"/>
                <w:szCs w:val="21"/>
              </w:rPr>
            </w:pPr>
            <w:r>
              <w:rPr>
                <w:rFonts w:ascii="宋体" w:hAnsi="宋体" w:cs="宋体" w:eastAsia="宋体" w:hint="default"/>
                <w:spacing w:val="7"/>
                <w:sz w:val="21"/>
                <w:szCs w:val="21"/>
              </w:rPr>
              <w:t>项目分拆为应付账款和应付票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据项目。</w:t>
            </w:r>
          </w:p>
        </w:tc>
        <w:tc>
          <w:tcPr>
            <w:tcW w:w="1728" w:type="dxa"/>
            <w:tcBorders>
              <w:top w:val="nil" w:sz="6" w:space="0" w:color="auto"/>
              <w:left w:val="nil" w:sz="6" w:space="0" w:color="auto"/>
              <w:bottom w:val="nil" w:sz="6" w:space="0" w:color="auto"/>
              <w:right w:val="nil" w:sz="6" w:space="0" w:color="auto"/>
            </w:tcBorders>
          </w:tcPr>
          <w:p>
            <w:pPr>
              <w:pStyle w:val="TableParagraph"/>
              <w:spacing w:line="211" w:lineRule="exact"/>
              <w:ind w:left="1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98" w:type="dxa"/>
            <w:tcBorders>
              <w:top w:val="nil" w:sz="6" w:space="0" w:color="auto"/>
              <w:left w:val="nil" w:sz="6" w:space="0" w:color="auto"/>
              <w:bottom w:val="nil" w:sz="6" w:space="0" w:color="auto"/>
              <w:right w:val="nil" w:sz="6" w:space="0" w:color="auto"/>
            </w:tcBorders>
          </w:tcPr>
          <w:p>
            <w:pPr>
              <w:pStyle w:val="TableParagraph"/>
              <w:spacing w:line="234" w:lineRule="exact"/>
              <w:ind w:left="564" w:right="0"/>
              <w:jc w:val="left"/>
              <w:rPr>
                <w:rFonts w:ascii="Times New Roman" w:hAnsi="Times New Roman" w:cs="Times New Roman" w:eastAsia="Times New Roman" w:hint="default"/>
                <w:sz w:val="21"/>
                <w:szCs w:val="21"/>
              </w:rPr>
            </w:pPr>
            <w:r>
              <w:rPr>
                <w:rFonts w:ascii="Times New Roman"/>
                <w:sz w:val="21"/>
              </w:rPr>
              <w:t>578,764,979</w:t>
            </w:r>
          </w:p>
        </w:tc>
        <w:tc>
          <w:tcPr>
            <w:tcW w:w="1689" w:type="dxa"/>
            <w:tcBorders>
              <w:top w:val="nil" w:sz="6" w:space="0" w:color="auto"/>
              <w:left w:val="nil" w:sz="6" w:space="0" w:color="auto"/>
              <w:bottom w:val="nil" w:sz="6" w:space="0" w:color="auto"/>
              <w:right w:val="nil" w:sz="6" w:space="0" w:color="auto"/>
            </w:tcBorders>
          </w:tcPr>
          <w:p>
            <w:pPr>
              <w:pStyle w:val="TableParagraph"/>
              <w:spacing w:line="234" w:lineRule="exact"/>
              <w:ind w:left="55" w:right="0"/>
              <w:jc w:val="center"/>
              <w:rPr>
                <w:rFonts w:ascii="Times New Roman" w:hAnsi="Times New Roman" w:cs="Times New Roman" w:eastAsia="Times New Roman" w:hint="default"/>
                <w:sz w:val="21"/>
                <w:szCs w:val="21"/>
              </w:rPr>
            </w:pPr>
            <w:r>
              <w:rPr>
                <w:rFonts w:ascii="Times New Roman"/>
                <w:sz w:val="21"/>
              </w:rPr>
              <w:t>561,731,007</w:t>
            </w:r>
          </w:p>
        </w:tc>
      </w:tr>
      <w:tr>
        <w:trPr>
          <w:trHeight w:val="283" w:hRule="exact"/>
        </w:trPr>
        <w:tc>
          <w:tcPr>
            <w:tcW w:w="3200" w:type="dxa"/>
            <w:vMerge/>
            <w:tcBorders>
              <w:left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36" w:lineRule="exact"/>
              <w:ind w:left="1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64" w:right="0"/>
              <w:jc w:val="left"/>
              <w:rPr>
                <w:rFonts w:ascii="Times New Roman" w:hAnsi="Times New Roman" w:cs="Times New Roman" w:eastAsia="Times New Roman" w:hint="default"/>
                <w:sz w:val="21"/>
                <w:szCs w:val="21"/>
              </w:rPr>
            </w:pPr>
            <w:r>
              <w:rPr>
                <w:rFonts w:ascii="Times New Roman"/>
                <w:sz w:val="21"/>
              </w:rPr>
              <w:t>207,039,615</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 w:right="0"/>
              <w:jc w:val="center"/>
              <w:rPr>
                <w:rFonts w:ascii="Times New Roman" w:hAnsi="Times New Roman" w:cs="Times New Roman" w:eastAsia="Times New Roman" w:hint="default"/>
                <w:sz w:val="21"/>
                <w:szCs w:val="21"/>
              </w:rPr>
            </w:pPr>
            <w:r>
              <w:rPr>
                <w:rFonts w:ascii="Times New Roman"/>
                <w:sz w:val="21"/>
              </w:rPr>
              <w:t>225,818,064</w:t>
            </w:r>
          </w:p>
        </w:tc>
      </w:tr>
      <w:tr>
        <w:trPr>
          <w:trHeight w:val="268" w:hRule="exact"/>
        </w:trPr>
        <w:tc>
          <w:tcPr>
            <w:tcW w:w="3200" w:type="dxa"/>
            <w:vMerge/>
            <w:tcBorders>
              <w:left w:val="nil" w:sz="6" w:space="0" w:color="auto"/>
              <w:bottom w:val="nil" w:sz="6" w:space="0" w:color="auto"/>
              <w:right w:val="nil" w:sz="6" w:space="0" w:color="auto"/>
            </w:tcBorders>
          </w:tcPr>
          <w:p>
            <w:pPr/>
          </w:p>
        </w:tc>
        <w:tc>
          <w:tcPr>
            <w:tcW w:w="1728" w:type="dxa"/>
            <w:vMerge w:val="restart"/>
            <w:tcBorders>
              <w:top w:val="nil" w:sz="6" w:space="0" w:color="auto"/>
              <w:left w:val="nil" w:sz="6" w:space="0" w:color="auto"/>
              <w:right w:val="nil" w:sz="6" w:space="0" w:color="auto"/>
            </w:tcBorders>
          </w:tcPr>
          <w:p>
            <w:pPr>
              <w:pStyle w:val="TableParagraph"/>
              <w:spacing w:line="235" w:lineRule="exact"/>
              <w:ind w:left="377" w:right="0" w:hanging="243"/>
              <w:jc w:val="left"/>
              <w:rPr>
                <w:rFonts w:ascii="宋体" w:hAnsi="宋体" w:cs="宋体" w:eastAsia="宋体" w:hint="default"/>
                <w:sz w:val="21"/>
                <w:szCs w:val="21"/>
              </w:rPr>
            </w:pPr>
            <w:r>
              <w:rPr>
                <w:rFonts w:ascii="宋体" w:hAnsi="宋体" w:cs="宋体" w:eastAsia="宋体" w:hint="default"/>
                <w:sz w:val="21"/>
                <w:szCs w:val="21"/>
              </w:rPr>
              <w:t>应付票据及</w:t>
            </w:r>
          </w:p>
          <w:p>
            <w:pPr>
              <w:pStyle w:val="TableParagraph"/>
              <w:spacing w:line="273" w:lineRule="exact"/>
              <w:ind w:left="37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98"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261" w:hRule="exact"/>
        </w:trPr>
        <w:tc>
          <w:tcPr>
            <w:tcW w:w="3200" w:type="dxa"/>
            <w:tcBorders>
              <w:top w:val="nil" w:sz="6" w:space="0" w:color="auto"/>
              <w:left w:val="nil" w:sz="6" w:space="0" w:color="auto"/>
              <w:bottom w:val="nil" w:sz="6" w:space="0" w:color="auto"/>
              <w:right w:val="nil" w:sz="6" w:space="0" w:color="auto"/>
            </w:tcBorders>
          </w:tcPr>
          <w:p>
            <w:pPr/>
          </w:p>
        </w:tc>
        <w:tc>
          <w:tcPr>
            <w:tcW w:w="1728" w:type="dxa"/>
            <w:vMerge/>
            <w:tcBorders>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08" w:right="0"/>
              <w:jc w:val="left"/>
              <w:rPr>
                <w:rFonts w:ascii="Times New Roman" w:hAnsi="Times New Roman" w:cs="Times New Roman" w:eastAsia="Times New Roman" w:hint="default"/>
                <w:sz w:val="21"/>
                <w:szCs w:val="21"/>
              </w:rPr>
            </w:pPr>
            <w:r>
              <w:rPr>
                <w:rFonts w:ascii="Times New Roman"/>
                <w:sz w:val="21"/>
              </w:rPr>
              <w:t>(785,804,594)</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5" w:right="0"/>
              <w:jc w:val="center"/>
              <w:rPr>
                <w:rFonts w:ascii="Times New Roman" w:hAnsi="Times New Roman" w:cs="Times New Roman" w:eastAsia="Times New Roman" w:hint="default"/>
                <w:sz w:val="21"/>
                <w:szCs w:val="21"/>
              </w:rPr>
            </w:pPr>
            <w:r>
              <w:rPr>
                <w:rFonts w:ascii="Times New Roman"/>
                <w:sz w:val="21"/>
              </w:rPr>
              <w:t>(787,549,071)</w:t>
            </w:r>
          </w:p>
        </w:tc>
      </w:tr>
    </w:tbl>
    <w:p>
      <w:pPr>
        <w:spacing w:line="240" w:lineRule="auto" w:before="11"/>
        <w:rPr>
          <w:rFonts w:ascii="宋体" w:hAnsi="宋体" w:cs="宋体" w:eastAsia="宋体" w:hint="default"/>
          <w:sz w:val="13"/>
          <w:szCs w:val="13"/>
        </w:rPr>
      </w:pPr>
    </w:p>
    <w:p>
      <w:pPr>
        <w:pStyle w:val="BodyText"/>
        <w:spacing w:line="240" w:lineRule="auto" w:before="36"/>
        <w:ind w:right="0"/>
        <w:jc w:val="left"/>
      </w:pPr>
      <w:r>
        <w:rPr/>
        <w:t>（</w:t>
      </w:r>
      <w:r>
        <w:rPr>
          <w:rFonts w:ascii="Times New Roman" w:hAnsi="Times New Roman" w:cs="Times New Roman" w:eastAsia="Times New Roman" w:hint="default"/>
        </w:rPr>
        <w:t>b</w:t>
      </w:r>
      <w:r>
        <w:rPr/>
        <w:t>）</w:t>
      </w:r>
      <w:r>
        <w:rPr>
          <w:spacing w:val="91"/>
        </w:rPr>
        <w:t> </w:t>
      </w:r>
      <w:r>
        <w:rPr>
          <w:rFonts w:ascii="宋体" w:hAnsi="宋体" w:cs="宋体" w:eastAsia="宋体" w:hint="default"/>
          <w:spacing w:val="91"/>
        </w:rPr>
      </w:r>
      <w:r>
        <w:rPr/>
        <w:t>租赁</w:t>
      </w:r>
    </w:p>
    <w:p>
      <w:pPr>
        <w:pStyle w:val="Heading4"/>
        <w:spacing w:line="240" w:lineRule="auto"/>
        <w:ind w:left="1378" w:right="0"/>
        <w:jc w:val="left"/>
      </w:pPr>
      <w:r>
        <w:rPr/>
        <w:t>本集团及本公司于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日首次执行新租赁准则，根据相关规定，本集团及</w:t>
      </w:r>
    </w:p>
    <w:p>
      <w:pPr>
        <w:pStyle w:val="Heading4"/>
        <w:spacing w:line="292" w:lineRule="auto" w:before="55"/>
        <w:ind w:right="205"/>
        <w:jc w:val="both"/>
      </w:pPr>
      <w:r>
        <w:rPr>
          <w:spacing w:val="-4"/>
        </w:rPr>
        <w:t>本公司对于首次执行日前已存在的合同选择不再重新评估。本集团及本公司对于该准则的</w:t>
      </w:r>
      <w:r>
        <w:rPr>
          <w:spacing w:val="-46"/>
        </w:rPr>
        <w:t> </w:t>
      </w:r>
      <w:r>
        <w:rPr>
          <w:spacing w:val="-46"/>
        </w:rPr>
      </w:r>
      <w:r>
        <w:rPr/>
        <w:t>累积影响数调整</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spacing w:val="-3"/>
        </w:rPr>
        <w:t>年年初留存收益以及财务报表相关项目金额，</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2"/>
        </w:rPr>
        <w:t> </w:t>
      </w:r>
      <w:r>
        <w:rPr/>
        <w:t>年度的比较财务</w:t>
      </w:r>
      <w:r>
        <w:rPr>
          <w:spacing w:val="-107"/>
        </w:rPr>
        <w:t> </w:t>
      </w:r>
      <w:r>
        <w:rPr>
          <w:spacing w:val="-107"/>
        </w:rPr>
      </w:r>
      <w:r>
        <w:rPr/>
        <w:t>报表未重列。</w:t>
      </w:r>
    </w:p>
    <w:p>
      <w:pPr>
        <w:spacing w:line="240" w:lineRule="auto" w:before="11"/>
        <w:rPr>
          <w:rFonts w:ascii="宋体" w:hAnsi="宋体" w:cs="宋体" w:eastAsia="宋体" w:hint="default"/>
          <w:sz w:val="26"/>
          <w:szCs w:val="26"/>
        </w:rPr>
      </w:pPr>
    </w:p>
    <w:tbl>
      <w:tblPr>
        <w:tblW w:w="0" w:type="auto"/>
        <w:jc w:val="left"/>
        <w:tblInd w:w="834" w:type="dxa"/>
        <w:tblLayout w:type="fixed"/>
        <w:tblCellMar>
          <w:top w:w="0" w:type="dxa"/>
          <w:left w:w="0" w:type="dxa"/>
          <w:bottom w:w="0" w:type="dxa"/>
          <w:right w:w="0" w:type="dxa"/>
        </w:tblCellMar>
        <w:tblLook w:val="01E0"/>
      </w:tblPr>
      <w:tblGrid>
        <w:gridCol w:w="2968"/>
        <w:gridCol w:w="2439"/>
        <w:gridCol w:w="2062"/>
        <w:gridCol w:w="1241"/>
      </w:tblGrid>
      <w:tr>
        <w:trPr>
          <w:trHeight w:val="728" w:hRule="exact"/>
        </w:trPr>
        <w:tc>
          <w:tcPr>
            <w:tcW w:w="8710"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620" w:right="0"/>
              <w:jc w:val="left"/>
              <w:rPr>
                <w:rFonts w:ascii="宋体" w:hAnsi="宋体" w:cs="宋体" w:eastAsia="宋体" w:hint="default"/>
                <w:sz w:val="21"/>
                <w:szCs w:val="21"/>
              </w:rPr>
            </w:pPr>
            <w:r>
              <w:rPr>
                <w:rFonts w:ascii="宋体" w:hAnsi="宋体" w:cs="宋体" w:eastAsia="宋体" w:hint="default"/>
                <w:sz w:val="21"/>
                <w:szCs w:val="21"/>
              </w:rPr>
              <w:t>对于首次执行新租赁准则前已存在的经营租赁合同，本集团及本公司按照剩余租赁期区</w:t>
            </w:r>
          </w:p>
          <w:p>
            <w:pPr>
              <w:pStyle w:val="TableParagraph"/>
              <w:spacing w:line="240" w:lineRule="auto" w:before="85"/>
              <w:ind w:left="200" w:right="0"/>
              <w:jc w:val="left"/>
              <w:rPr>
                <w:rFonts w:ascii="宋体" w:hAnsi="宋体" w:cs="宋体" w:eastAsia="宋体" w:hint="default"/>
                <w:sz w:val="21"/>
                <w:szCs w:val="21"/>
              </w:rPr>
            </w:pPr>
            <w:r>
              <w:rPr>
                <w:rFonts w:ascii="宋体" w:hAnsi="宋体" w:cs="宋体" w:eastAsia="宋体" w:hint="default"/>
                <w:sz w:val="21"/>
                <w:szCs w:val="21"/>
              </w:rPr>
              <w:t>分不同的衔接方法：</w:t>
            </w:r>
          </w:p>
        </w:tc>
      </w:tr>
      <w:tr>
        <w:trPr>
          <w:trHeight w:val="404" w:hRule="exact"/>
        </w:trPr>
        <w:tc>
          <w:tcPr>
            <w:tcW w:w="2968"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67"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330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3"/>
              <w:ind w:left="8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99" w:hRule="exact"/>
        </w:trPr>
        <w:tc>
          <w:tcPr>
            <w:tcW w:w="2968"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
        </w:tc>
        <w:tc>
          <w:tcPr>
            <w:tcW w:w="2062" w:type="dxa"/>
            <w:tcBorders>
              <w:top w:val="single" w:sz="4" w:space="0" w:color="000000"/>
              <w:left w:val="nil" w:sz="6" w:space="0" w:color="auto"/>
              <w:bottom w:val="nil" w:sz="6" w:space="0" w:color="auto"/>
              <w:right w:val="nil" w:sz="6" w:space="0" w:color="auto"/>
            </w:tcBorders>
          </w:tcPr>
          <w:p>
            <w:pPr>
              <w:pStyle w:val="TableParagraph"/>
              <w:spacing w:line="248" w:lineRule="exact"/>
              <w:ind w:right="497"/>
              <w:jc w:val="right"/>
              <w:rPr>
                <w:rFonts w:ascii="宋体" w:hAnsi="宋体" w:cs="宋体" w:eastAsia="宋体" w:hint="default"/>
                <w:sz w:val="21"/>
                <w:szCs w:val="21"/>
              </w:rPr>
            </w:pPr>
            <w:r>
              <w:rPr>
                <w:rFonts w:ascii="宋体" w:hAnsi="宋体" w:cs="宋体" w:eastAsia="宋体" w:hint="default"/>
                <w:sz w:val="21"/>
                <w:szCs w:val="21"/>
              </w:rPr>
              <w:t>本集团</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hAnsi="宋体" w:cs="宋体" w:eastAsia="宋体" w:hint="default"/>
                <w:sz w:val="21"/>
                <w:szCs w:val="21"/>
              </w:rPr>
              <w:t>本公司</w:t>
            </w:r>
          </w:p>
        </w:tc>
      </w:tr>
      <w:tr>
        <w:trPr>
          <w:trHeight w:val="397" w:hRule="exact"/>
        </w:trPr>
        <w:tc>
          <w:tcPr>
            <w:tcW w:w="2968" w:type="dxa"/>
            <w:vMerge w:val="restart"/>
            <w:tcBorders>
              <w:top w:val="nil" w:sz="6" w:space="0" w:color="auto"/>
              <w:left w:val="nil" w:sz="6" w:space="0" w:color="auto"/>
              <w:right w:val="nil" w:sz="6" w:space="0" w:color="auto"/>
            </w:tcBorders>
          </w:tcPr>
          <w:p>
            <w:pPr>
              <w:pStyle w:val="TableParagraph"/>
              <w:spacing w:line="281" w:lineRule="exact" w:before="92"/>
              <w:ind w:left="200" w:right="0"/>
              <w:jc w:val="both"/>
              <w:rPr>
                <w:rFonts w:ascii="宋体" w:hAnsi="宋体" w:cs="宋体" w:eastAsia="宋体" w:hint="default"/>
                <w:sz w:val="21"/>
                <w:szCs w:val="21"/>
              </w:rPr>
            </w:pPr>
            <w:r>
              <w:rPr>
                <w:rFonts w:ascii="宋体" w:hAnsi="宋体" w:cs="宋体" w:eastAsia="宋体" w:hint="default"/>
                <w:sz w:val="21"/>
                <w:szCs w:val="21"/>
              </w:rPr>
              <w:t>剩余租赁期长于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17"/>
                <w:sz w:val="21"/>
                <w:szCs w:val="21"/>
              </w:rPr>
              <w:t>年的，本集</w:t>
            </w:r>
          </w:p>
          <w:p>
            <w:pPr>
              <w:pStyle w:val="TableParagraph"/>
              <w:spacing w:line="272" w:lineRule="exact"/>
              <w:ind w:left="200" w:right="0"/>
              <w:jc w:val="both"/>
              <w:rPr>
                <w:rFonts w:ascii="宋体" w:hAnsi="宋体" w:cs="宋体" w:eastAsia="宋体" w:hint="default"/>
                <w:sz w:val="21"/>
                <w:szCs w:val="21"/>
              </w:rPr>
            </w:pPr>
            <w:r>
              <w:rPr>
                <w:rFonts w:ascii="宋体" w:hAnsi="宋体" w:cs="宋体" w:eastAsia="宋体" w:hint="default"/>
                <w:sz w:val="21"/>
                <w:szCs w:val="21"/>
              </w:rPr>
              <w:t>团及本公司根据</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32" w:lineRule="auto"/>
              <w:ind w:left="200" w:right="106"/>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日的剩余租赁付款额和增量</w:t>
            </w:r>
            <w:r>
              <w:rPr>
                <w:rFonts w:ascii="宋体" w:hAnsi="宋体" w:cs="宋体" w:eastAsia="宋体" w:hint="default"/>
                <w:w w:val="100"/>
                <w:sz w:val="21"/>
                <w:szCs w:val="21"/>
              </w:rPr>
              <w:t> </w:t>
            </w:r>
            <w:r>
              <w:rPr>
                <w:rFonts w:ascii="宋体" w:hAnsi="宋体" w:cs="宋体" w:eastAsia="宋体" w:hint="default"/>
                <w:spacing w:val="-7"/>
                <w:sz w:val="21"/>
                <w:szCs w:val="21"/>
              </w:rPr>
              <w:t>借款利率确认租赁负债，并根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8"/>
                <w:sz w:val="21"/>
                <w:szCs w:val="21"/>
              </w:rPr>
              <w:t>据与租赁负债相等的金额确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认使用权资产。</w:t>
            </w: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97"/>
              <w:jc w:val="right"/>
              <w:rPr>
                <w:rFonts w:ascii="Times New Roman" w:hAnsi="Times New Roman" w:cs="Times New Roman" w:eastAsia="Times New Roman" w:hint="default"/>
                <w:sz w:val="21"/>
                <w:szCs w:val="21"/>
              </w:rPr>
            </w:pPr>
            <w:r>
              <w:rPr>
                <w:rFonts w:ascii="Times New Roman"/>
                <w:spacing w:val="-1"/>
                <w:sz w:val="21"/>
              </w:rPr>
              <w:t>111,072,577</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82" w:hRule="exact"/>
        </w:trPr>
        <w:tc>
          <w:tcPr>
            <w:tcW w:w="2968" w:type="dxa"/>
            <w:vMerge/>
            <w:tcBorders>
              <w:left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7"/>
              <w:jc w:val="right"/>
              <w:rPr>
                <w:rFonts w:ascii="Times New Roman" w:hAnsi="Times New Roman" w:cs="Times New Roman" w:eastAsia="Times New Roman" w:hint="default"/>
                <w:sz w:val="21"/>
                <w:szCs w:val="21"/>
              </w:rPr>
            </w:pPr>
            <w:r>
              <w:rPr>
                <w:rFonts w:ascii="Times New Roman"/>
                <w:spacing w:val="-1"/>
                <w:sz w:val="21"/>
              </w:rPr>
              <w:t>81,092,129</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1239" w:hRule="exact"/>
        </w:trPr>
        <w:tc>
          <w:tcPr>
            <w:tcW w:w="2968" w:type="dxa"/>
            <w:vMerge/>
            <w:tcBorders>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52"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97"/>
              <w:jc w:val="right"/>
              <w:rPr>
                <w:rFonts w:ascii="Times New Roman" w:hAnsi="Times New Roman" w:cs="Times New Roman" w:eastAsia="Times New Roman" w:hint="default"/>
                <w:sz w:val="21"/>
                <w:szCs w:val="21"/>
              </w:rPr>
            </w:pPr>
            <w:r>
              <w:rPr>
                <w:rFonts w:ascii="Times New Roman"/>
                <w:spacing w:val="-1"/>
                <w:sz w:val="21"/>
              </w:rPr>
              <w:t>29,980,448</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1723" w:hRule="exact"/>
        </w:trPr>
        <w:tc>
          <w:tcPr>
            <w:tcW w:w="8710" w:type="dxa"/>
            <w:gridSpan w:val="4"/>
            <w:tcBorders>
              <w:top w:val="nil" w:sz="6" w:space="0" w:color="auto"/>
              <w:left w:val="nil" w:sz="6" w:space="0" w:color="auto"/>
              <w:bottom w:val="nil" w:sz="6" w:space="0" w:color="auto"/>
              <w:right w:val="nil" w:sz="6" w:space="0" w:color="auto"/>
            </w:tcBorders>
          </w:tcPr>
          <w:p>
            <w:pPr>
              <w:pStyle w:val="TableParagraph"/>
              <w:spacing w:line="297" w:lineRule="auto" w:before="126"/>
              <w:ind w:left="200" w:right="0" w:firstLine="420"/>
              <w:jc w:val="left"/>
              <w:rPr>
                <w:rFonts w:ascii="宋体" w:hAnsi="宋体" w:cs="宋体" w:eastAsia="宋体" w:hint="default"/>
                <w:sz w:val="21"/>
                <w:szCs w:val="21"/>
              </w:rPr>
            </w:pPr>
            <w:r>
              <w:rPr>
                <w:rFonts w:ascii="宋体" w:hAnsi="宋体" w:cs="宋体" w:eastAsia="宋体" w:hint="default"/>
                <w:sz w:val="21"/>
                <w:szCs w:val="21"/>
              </w:rPr>
              <w:t>剩余租赁期短于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pacing w:val="-5"/>
                <w:sz w:val="21"/>
                <w:szCs w:val="21"/>
              </w:rPr>
              <w:t>年的，本集团及本公司采用简化方法，不确认使用权资产和租赁负债，</w:t>
            </w:r>
            <w:r>
              <w:rPr>
                <w:rFonts w:ascii="宋体" w:hAnsi="宋体" w:cs="宋体" w:eastAsia="宋体" w:hint="default"/>
                <w:w w:val="100"/>
                <w:sz w:val="21"/>
                <w:szCs w:val="21"/>
              </w:rPr>
              <w:t> </w:t>
            </w:r>
            <w:r>
              <w:rPr>
                <w:rFonts w:ascii="宋体" w:hAnsi="宋体" w:cs="宋体" w:eastAsia="宋体" w:hint="default"/>
                <w:sz w:val="21"/>
                <w:szCs w:val="21"/>
              </w:rPr>
              <w:t>对财务报表无显著影响。</w:t>
            </w:r>
          </w:p>
          <w:p>
            <w:pPr>
              <w:pStyle w:val="TableParagraph"/>
              <w:spacing w:line="240" w:lineRule="auto" w:before="9"/>
              <w:ind w:right="0"/>
              <w:jc w:val="left"/>
              <w:rPr>
                <w:rFonts w:ascii="宋体" w:hAnsi="宋体" w:cs="宋体" w:eastAsia="宋体" w:hint="default"/>
                <w:sz w:val="14"/>
                <w:szCs w:val="14"/>
              </w:rPr>
            </w:pPr>
          </w:p>
          <w:p>
            <w:pPr>
              <w:pStyle w:val="TableParagraph"/>
              <w:spacing w:line="360" w:lineRule="atLeast"/>
              <w:ind w:left="200" w:right="104" w:firstLine="420"/>
              <w:jc w:val="left"/>
              <w:rPr>
                <w:rFonts w:ascii="宋体" w:hAnsi="宋体" w:cs="宋体" w:eastAsia="宋体" w:hint="default"/>
                <w:sz w:val="21"/>
                <w:szCs w:val="21"/>
              </w:rPr>
            </w:pPr>
            <w:r>
              <w:rPr>
                <w:rFonts w:ascii="宋体" w:hAnsi="宋体" w:cs="宋体" w:eastAsia="宋体" w:hint="default"/>
                <w:spacing w:val="-2"/>
                <w:sz w:val="21"/>
                <w:szCs w:val="21"/>
              </w:rPr>
              <w:t>对于首次执行新租赁准则前已存在的低价值资产的经营租赁合同，本集团及本公司采用</w:t>
            </w:r>
            <w:r>
              <w:rPr>
                <w:rFonts w:ascii="宋体" w:hAnsi="宋体" w:cs="宋体" w:eastAsia="宋体" w:hint="default"/>
                <w:w w:val="100"/>
                <w:sz w:val="21"/>
                <w:szCs w:val="21"/>
              </w:rPr>
              <w:t> </w:t>
            </w:r>
            <w:r>
              <w:rPr>
                <w:rFonts w:ascii="宋体" w:hAnsi="宋体" w:cs="宋体" w:eastAsia="宋体" w:hint="default"/>
                <w:sz w:val="21"/>
                <w:szCs w:val="21"/>
              </w:rPr>
              <w:t>简化方法，不确认使用权资产和租赁负债，对财务报表无显著影响。</w:t>
            </w:r>
          </w:p>
        </w:tc>
      </w:tr>
    </w:tbl>
    <w:p>
      <w:pPr>
        <w:spacing w:after="0" w:line="360" w:lineRule="atLeast"/>
        <w:jc w:val="left"/>
        <w:rPr>
          <w:rFonts w:ascii="宋体" w:hAnsi="宋体" w:cs="宋体" w:eastAsia="宋体" w:hint="default"/>
          <w:sz w:val="21"/>
          <w:szCs w:val="21"/>
        </w:rPr>
        <w:sectPr>
          <w:pgSz w:w="11910" w:h="16840"/>
          <w:pgMar w:header="880" w:footer="974" w:top="1120" w:bottom="1160" w:left="120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tabs>
          <w:tab w:pos="6236" w:val="left" w:leader="none"/>
          <w:tab w:pos="7088" w:val="left" w:leader="none"/>
          <w:tab w:pos="9544" w:val="left" w:leader="none"/>
        </w:tabs>
        <w:spacing w:line="240" w:lineRule="auto" w:before="36"/>
        <w:ind w:left="4169" w:right="0"/>
        <w:jc w:val="left"/>
      </w:pPr>
      <w:r>
        <w:rPr/>
        <w:pict>
          <v:shape style="position:absolute;margin-left:109.989998pt;margin-top:19.268702pt;width:427pt;height:120.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3"/>
                    <w:gridCol w:w="2543"/>
                    <w:gridCol w:w="1798"/>
                    <w:gridCol w:w="1395"/>
                  </w:tblGrid>
                  <w:tr>
                    <w:trPr>
                      <w:trHeight w:val="769"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pacing w:val="-7"/>
                            <w:sz w:val="21"/>
                            <w:szCs w:val="21"/>
                          </w:rPr>
                          <w:t>因执行新租赁准则，本集团及</w:t>
                        </w:r>
                      </w:p>
                    </w:tc>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798" w:type="dxa"/>
                        <w:tcBorders>
                          <w:top w:val="nil" w:sz="6" w:space="0" w:color="auto"/>
                          <w:left w:val="nil" w:sz="6" w:space="0" w:color="auto"/>
                          <w:bottom w:val="nil" w:sz="6" w:space="0" w:color="auto"/>
                          <w:right w:val="nil" w:sz="6" w:space="0" w:color="auto"/>
                        </w:tcBorders>
                      </w:tcPr>
                      <w:p>
                        <w:pPr>
                          <w:pStyle w:val="TableParagraph"/>
                          <w:spacing w:line="211" w:lineRule="exact"/>
                          <w:ind w:left="404" w:right="0" w:firstLine="420"/>
                          <w:jc w:val="left"/>
                          <w:rPr>
                            <w:rFonts w:ascii="宋体" w:hAnsi="宋体" w:cs="宋体" w:eastAsia="宋体" w:hint="default"/>
                            <w:sz w:val="21"/>
                            <w:szCs w:val="21"/>
                          </w:rPr>
                        </w:pPr>
                        <w:r>
                          <w:rPr>
                            <w:rFonts w:ascii="宋体" w:hAnsi="宋体" w:cs="宋体" w:eastAsia="宋体" w:hint="default"/>
                            <w:sz w:val="21"/>
                            <w:szCs w:val="21"/>
                          </w:rPr>
                          <w:t>本集团</w:t>
                        </w: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04" w:right="0"/>
                          <w:jc w:val="left"/>
                          <w:rPr>
                            <w:rFonts w:ascii="Times New Roman" w:hAnsi="Times New Roman" w:cs="Times New Roman" w:eastAsia="Times New Roman" w:hint="default"/>
                            <w:sz w:val="21"/>
                            <w:szCs w:val="21"/>
                          </w:rPr>
                        </w:pPr>
                        <w:r>
                          <w:rPr>
                            <w:rFonts w:ascii="Times New Roman"/>
                            <w:sz w:val="21"/>
                          </w:rPr>
                          <w:t>548,731,094</w:t>
                        </w:r>
                      </w:p>
                    </w:tc>
                    <w:tc>
                      <w:tcPr>
                        <w:tcW w:w="1395" w:type="dxa"/>
                        <w:tcBorders>
                          <w:top w:val="nil" w:sz="6" w:space="0" w:color="auto"/>
                          <w:left w:val="nil" w:sz="6" w:space="0" w:color="auto"/>
                          <w:bottom w:val="nil" w:sz="6" w:space="0" w:color="auto"/>
                          <w:right w:val="nil" w:sz="6" w:space="0" w:color="auto"/>
                        </w:tcBorders>
                      </w:tcPr>
                      <w:p>
                        <w:pPr>
                          <w:pStyle w:val="TableParagraph"/>
                          <w:spacing w:line="211" w:lineRule="exact"/>
                          <w:ind w:left="344" w:right="0" w:firstLine="314"/>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44" w:right="0"/>
                          <w:jc w:val="left"/>
                          <w:rPr>
                            <w:rFonts w:ascii="Times New Roman" w:hAnsi="Times New Roman" w:cs="Times New Roman" w:eastAsia="Times New Roman" w:hint="default"/>
                            <w:sz w:val="21"/>
                            <w:szCs w:val="21"/>
                          </w:rPr>
                        </w:pPr>
                        <w:r>
                          <w:rPr>
                            <w:rFonts w:ascii="Times New Roman"/>
                            <w:sz w:val="21"/>
                          </w:rPr>
                          <w:t>99,283,159</w:t>
                        </w:r>
                      </w:p>
                    </w:tc>
                  </w:tr>
                  <w:tr>
                    <w:trPr>
                      <w:trHeight w:val="275"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1"/>
                            <w:szCs w:val="21"/>
                          </w:rPr>
                        </w:pPr>
                        <w:r>
                          <w:rPr>
                            <w:rFonts w:ascii="宋体" w:hAnsi="宋体" w:cs="宋体" w:eastAsia="宋体" w:hint="default"/>
                            <w:spacing w:val="8"/>
                            <w:sz w:val="21"/>
                            <w:szCs w:val="21"/>
                          </w:rPr>
                          <w:t>本公司将原计入固定资产的</w:t>
                        </w:r>
                      </w:p>
                    </w:tc>
                    <w:tc>
                      <w:tcPr>
                        <w:tcW w:w="2543" w:type="dxa"/>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0"/>
                          <w:jc w:val="right"/>
                          <w:rPr>
                            <w:rFonts w:ascii="Times New Roman" w:hAnsi="Times New Roman" w:cs="Times New Roman" w:eastAsia="Times New Roman" w:hint="default"/>
                            <w:sz w:val="21"/>
                            <w:szCs w:val="21"/>
                          </w:rPr>
                        </w:pPr>
                        <w:r>
                          <w:rPr>
                            <w:rFonts w:ascii="Times New Roman"/>
                            <w:spacing w:val="-1"/>
                            <w:sz w:val="21"/>
                          </w:rPr>
                          <w:t>(492,137,464)</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Times New Roman" w:hAnsi="Times New Roman" w:cs="Times New Roman" w:eastAsia="Times New Roman" w:hint="default"/>
                            <w:sz w:val="21"/>
                            <w:szCs w:val="21"/>
                          </w:rPr>
                        </w:pPr>
                        <w:r>
                          <w:rPr>
                            <w:rFonts w:ascii="Times New Roman"/>
                            <w:spacing w:val="-1"/>
                            <w:sz w:val="21"/>
                          </w:rPr>
                          <w:t>(99,283,159)</w:t>
                        </w:r>
                      </w:p>
                    </w:tc>
                  </w:tr>
                  <w:tr>
                    <w:trPr>
                      <w:trHeight w:val="274"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1"/>
                            <w:szCs w:val="21"/>
                          </w:rPr>
                        </w:pPr>
                        <w:r>
                          <w:rPr>
                            <w:rFonts w:ascii="宋体" w:hAnsi="宋体" w:cs="宋体" w:eastAsia="宋体" w:hint="default"/>
                            <w:spacing w:val="8"/>
                            <w:sz w:val="21"/>
                            <w:szCs w:val="21"/>
                          </w:rPr>
                          <w:t>融资租入固定资产重分类至</w:t>
                        </w:r>
                      </w:p>
                    </w:tc>
                    <w:tc>
                      <w:tcPr>
                        <w:tcW w:w="2543"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70"/>
                          <w:jc w:val="right"/>
                          <w:rPr>
                            <w:rFonts w:ascii="Times New Roman" w:hAnsi="Times New Roman" w:cs="Times New Roman" w:eastAsia="Times New Roman" w:hint="default"/>
                            <w:sz w:val="21"/>
                            <w:szCs w:val="21"/>
                          </w:rPr>
                        </w:pPr>
                        <w:r>
                          <w:rPr>
                            <w:rFonts w:ascii="Times New Roman"/>
                            <w:spacing w:val="-1"/>
                            <w:sz w:val="21"/>
                          </w:rPr>
                          <w:t>(56,593,630)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274"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21"/>
                            <w:szCs w:val="21"/>
                          </w:rPr>
                        </w:pPr>
                        <w:r>
                          <w:rPr>
                            <w:rFonts w:ascii="宋体" w:hAnsi="宋体" w:cs="宋体" w:eastAsia="宋体" w:hint="default"/>
                            <w:spacing w:val="-7"/>
                            <w:sz w:val="21"/>
                            <w:szCs w:val="21"/>
                          </w:rPr>
                          <w:t>使用权资产项目，并将原计入</w:t>
                        </w:r>
                      </w:p>
                    </w:tc>
                    <w:tc>
                      <w:tcPr>
                        <w:tcW w:w="254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0"/>
                          <w:jc w:val="right"/>
                          <w:rPr>
                            <w:rFonts w:ascii="Times New Roman" w:hAnsi="Times New Roman" w:cs="Times New Roman" w:eastAsia="Times New Roman" w:hint="default"/>
                            <w:sz w:val="21"/>
                            <w:szCs w:val="21"/>
                          </w:rPr>
                        </w:pPr>
                        <w:r>
                          <w:rPr>
                            <w:rFonts w:ascii="Times New Roman"/>
                            <w:spacing w:val="-1"/>
                            <w:sz w:val="21"/>
                          </w:rPr>
                          <w:t>(488,716,378)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Times New Roman" w:hAnsi="Times New Roman" w:cs="Times New Roman" w:eastAsia="Times New Roman" w:hint="default"/>
                            <w:sz w:val="21"/>
                            <w:szCs w:val="21"/>
                          </w:rPr>
                        </w:pPr>
                        <w:r>
                          <w:rPr>
                            <w:rFonts w:ascii="Times New Roman"/>
                            <w:spacing w:val="-1"/>
                            <w:sz w:val="21"/>
                          </w:rPr>
                          <w:t>(94,202,439)</w:t>
                        </w:r>
                      </w:p>
                    </w:tc>
                  </w:tr>
                  <w:tr>
                    <w:trPr>
                      <w:trHeight w:val="546" w:hRule="exact"/>
                    </w:trPr>
                    <w:tc>
                      <w:tcPr>
                        <w:tcW w:w="2803"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1"/>
                            <w:szCs w:val="21"/>
                          </w:rPr>
                        </w:pPr>
                        <w:r>
                          <w:rPr>
                            <w:rFonts w:ascii="宋体" w:hAnsi="宋体" w:cs="宋体" w:eastAsia="宋体" w:hint="default"/>
                            <w:spacing w:val="8"/>
                            <w:sz w:val="21"/>
                            <w:szCs w:val="21"/>
                          </w:rPr>
                          <w:t>长期应付款的应付融资租赁</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款重分类至租赁负债。</w:t>
                        </w:r>
                      </w:p>
                    </w:tc>
                    <w:tc>
                      <w:tcPr>
                        <w:tcW w:w="2543"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租赁负债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8"/>
                          <w:jc w:val="right"/>
                          <w:rPr>
                            <w:rFonts w:ascii="Times New Roman" w:hAnsi="Times New Roman" w:cs="Times New Roman" w:eastAsia="Times New Roman" w:hint="default"/>
                            <w:sz w:val="21"/>
                            <w:szCs w:val="21"/>
                          </w:rPr>
                        </w:pPr>
                        <w:r>
                          <w:rPr>
                            <w:rFonts w:ascii="Times New Roman"/>
                            <w:spacing w:val="-1"/>
                            <w:sz w:val="21"/>
                          </w:rPr>
                          <w:t>488,716,378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44" w:right="0"/>
                          <w:jc w:val="left"/>
                          <w:rPr>
                            <w:rFonts w:ascii="Times New Roman" w:hAnsi="Times New Roman" w:cs="Times New Roman" w:eastAsia="Times New Roman" w:hint="default"/>
                            <w:sz w:val="21"/>
                            <w:szCs w:val="21"/>
                          </w:rPr>
                        </w:pPr>
                        <w:r>
                          <w:rPr>
                            <w:rFonts w:ascii="Times New Roman"/>
                            <w:sz w:val="21"/>
                          </w:rPr>
                          <w:t>94,202,439</w:t>
                        </w:r>
                      </w:p>
                    </w:tc>
                  </w:tr>
                  <w:tr>
                    <w:trPr>
                      <w:trHeight w:val="264" w:hRule="exact"/>
                    </w:trPr>
                    <w:tc>
                      <w:tcPr>
                        <w:tcW w:w="2803" w:type="dxa"/>
                        <w:tcBorders>
                          <w:top w:val="nil" w:sz="6" w:space="0" w:color="auto"/>
                          <w:left w:val="nil" w:sz="6" w:space="0" w:color="auto"/>
                          <w:bottom w:val="nil" w:sz="6" w:space="0" w:color="auto"/>
                          <w:right w:val="nil" w:sz="6" w:space="0" w:color="auto"/>
                        </w:tcBorders>
                      </w:tcPr>
                      <w:p>
                        <w:pPr/>
                      </w:p>
                    </w:tc>
                    <w:tc>
                      <w:tcPr>
                        <w:tcW w:w="2543" w:type="dxa"/>
                        <w:tcBorders>
                          <w:top w:val="nil" w:sz="6" w:space="0" w:color="auto"/>
                          <w:left w:val="nil" w:sz="6" w:space="0" w:color="auto"/>
                          <w:bottom w:val="nil" w:sz="6" w:space="0" w:color="auto"/>
                          <w:right w:val="nil" w:sz="6" w:space="0" w:color="auto"/>
                        </w:tcBorders>
                      </w:tcPr>
                      <w:p>
                        <w:pPr>
                          <w:pStyle w:val="TableParagraph"/>
                          <w:spacing w:line="257" w:lineRule="exact"/>
                          <w:ind w:left="336" w:right="0"/>
                          <w:jc w:val="left"/>
                          <w:rPr>
                            <w:rFonts w:ascii="宋体" w:hAnsi="宋体" w:cs="宋体" w:eastAsia="宋体" w:hint="default"/>
                            <w:sz w:val="21"/>
                            <w:szCs w:val="21"/>
                          </w:rPr>
                        </w:pPr>
                        <w:r>
                          <w:rPr>
                            <w:rFonts w:ascii="宋体" w:hAnsi="宋体" w:cs="宋体" w:eastAsia="宋体" w:hint="default"/>
                            <w:sz w:val="21"/>
                            <w:szCs w:val="21"/>
                          </w:rPr>
                          <w:t>债</w:t>
                        </w:r>
                        <w:r>
                          <w:rPr>
                            <w:rFonts w:ascii="Times New Roman" w:hAnsi="Times New Roman" w:cs="Times New Roman" w:eastAsia="Times New Roman" w:hint="default"/>
                            <w:sz w:val="21"/>
                            <w:szCs w:val="21"/>
                          </w:rPr>
                          <w:t>—</w:t>
                        </w:r>
                        <w:r>
                          <w:rPr>
                            <w:rFonts w:ascii="宋体" w:hAnsi="宋体" w:cs="宋体" w:eastAsia="宋体" w:hint="default"/>
                            <w:sz w:val="21"/>
                            <w:szCs w:val="21"/>
                          </w:rPr>
                          <w:t>长期应付款</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0"/>
                          <w:jc w:val="right"/>
                          <w:rPr>
                            <w:rFonts w:ascii="Times New Roman" w:hAnsi="Times New Roman" w:cs="Times New Roman" w:eastAsia="Times New Roman" w:hint="default"/>
                            <w:sz w:val="21"/>
                            <w:szCs w:val="21"/>
                          </w:rPr>
                        </w:pPr>
                        <w:r>
                          <w:rPr>
                            <w:rFonts w:ascii="Times New Roman"/>
                            <w:spacing w:val="-1"/>
                            <w:sz w:val="21"/>
                          </w:rPr>
                          <w:t>(68,548,706)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Times New Roman" w:hAnsi="Times New Roman" w:cs="Times New Roman" w:eastAsia="Times New Roman" w:hint="default"/>
                            <w:sz w:val="21"/>
                            <w:szCs w:val="21"/>
                          </w:rPr>
                        </w:pPr>
                        <w:r>
                          <w:rPr>
                            <w:rFonts w:ascii="Times New Roman"/>
                            <w:spacing w:val="-1"/>
                            <w:sz w:val="21"/>
                          </w:rPr>
                          <w:t>(25,843,958)</w:t>
                        </w:r>
                      </w:p>
                    </w:tc>
                  </w:tr>
                </w:tbl>
                <w:p>
                  <w:pPr/>
                </w:p>
              </w:txbxContent>
            </v:textbox>
            <w10:wrap type="none"/>
          </v:shape>
        </w:pict>
      </w:r>
      <w:r>
        <w:rPr>
          <w:spacing w:val="-2"/>
          <w:position w:val="-13"/>
        </w:rPr>
        <w:t>受影响的报表项目</w:t>
        <w:tab/>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u w:val="single" w:color="000000"/>
        </w:rPr>
        <w:t>2019</w:t>
      </w:r>
      <w:r>
        <w:rPr>
          <w:rFonts w:ascii="Times New Roman" w:hAnsi="Times New Roman" w:cs="Times New Roman" w:eastAsia="Times New Roman" w:hint="default"/>
          <w:spacing w:val="-2"/>
          <w:u w:val="single" w:color="000000"/>
        </w:rPr>
        <w:t> </w:t>
      </w:r>
      <w:r>
        <w:rPr>
          <w:u w:val="single" w:color="000000"/>
        </w:rPr>
        <w:t>年</w:t>
      </w:r>
      <w:r>
        <w:rPr>
          <w:spacing w:val="-52"/>
          <w:u w:val="single" w:color="000000"/>
        </w:rPr>
        <w:t> </w:t>
      </w:r>
      <w:r>
        <w:rPr>
          <w:rFonts w:ascii="Times New Roman" w:hAnsi="Times New Roman" w:cs="Times New Roman" w:eastAsia="Times New Roman" w:hint="default"/>
          <w:u w:val="single" w:color="000000"/>
        </w:rPr>
        <w:t>1</w:t>
      </w:r>
      <w:r>
        <w:rPr>
          <w:rFonts w:ascii="Times New Roman" w:hAnsi="Times New Roman" w:cs="Times New Roman" w:eastAsia="Times New Roman" w:hint="default"/>
          <w:spacing w:val="-1"/>
          <w:u w:val="single" w:color="000000"/>
        </w:rPr>
        <w:t> </w:t>
      </w:r>
      <w:r>
        <w:rPr>
          <w:u w:val="single" w:color="000000"/>
        </w:rPr>
        <w:t>月</w:t>
      </w:r>
      <w:r>
        <w:rPr>
          <w:spacing w:val="-52"/>
          <w:u w:val="single" w:color="000000"/>
        </w:rPr>
        <w:t> </w:t>
      </w:r>
      <w:r>
        <w:rPr>
          <w:rFonts w:ascii="Times New Roman" w:hAnsi="Times New Roman" w:cs="Times New Roman" w:eastAsia="Times New Roman" w:hint="default"/>
          <w:u w:val="single" w:color="000000"/>
        </w:rPr>
        <w:t>1</w:t>
      </w:r>
      <w:r>
        <w:rPr>
          <w:rFonts w:ascii="Times New Roman" w:hAnsi="Times New Roman" w:cs="Times New Roman" w:eastAsia="Times New Roman" w:hint="default"/>
          <w:spacing w:val="-2"/>
          <w:u w:val="single" w:color="000000"/>
        </w:rPr>
        <w:t> </w:t>
      </w:r>
      <w:r>
        <w:rPr>
          <w:u w:val="single" w:color="000000"/>
        </w:rPr>
        <w:t>日</w:t>
        <w:tab/>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exact" w:before="36"/>
        <w:ind w:left="3891" w:right="3614"/>
        <w:jc w:val="center"/>
      </w:pPr>
      <w:r>
        <w:rPr/>
        <w:t>一年内到期的非流动负</w:t>
      </w:r>
    </w:p>
    <w:p>
      <w:pPr>
        <w:pStyle w:val="BodyText"/>
        <w:tabs>
          <w:tab w:pos="6855" w:val="left" w:leader="none"/>
          <w:tab w:pos="8488" w:val="left" w:leader="none"/>
        </w:tabs>
        <w:spacing w:line="299" w:lineRule="exact"/>
        <w:ind w:left="4138" w:right="0"/>
        <w:jc w:val="left"/>
        <w:rPr>
          <w:rFonts w:ascii="Times New Roman" w:hAnsi="Times New Roman" w:cs="Times New Roman" w:eastAsia="Times New Roman" w:hint="default"/>
        </w:rPr>
      </w:pPr>
      <w:r>
        <w:rPr>
          <w:spacing w:val="-1"/>
          <w:position w:val="1"/>
        </w:rPr>
        <w:t>债</w:t>
      </w:r>
      <w:r>
        <w:rPr>
          <w:rFonts w:ascii="Times New Roman" w:hAnsi="Times New Roman" w:cs="Times New Roman" w:eastAsia="Times New Roman" w:hint="default"/>
          <w:spacing w:val="-1"/>
          <w:position w:val="1"/>
        </w:rPr>
        <w:t>—</w:t>
      </w:r>
      <w:r>
        <w:rPr>
          <w:spacing w:val="-1"/>
          <w:position w:val="1"/>
        </w:rPr>
        <w:t>租赁负债</w:t>
        <w:tab/>
      </w:r>
      <w:r>
        <w:rPr>
          <w:rFonts w:ascii="Times New Roman" w:hAnsi="Times New Roman" w:cs="Times New Roman" w:eastAsia="Times New Roman" w:hint="default"/>
          <w:spacing w:val="-1"/>
        </w:rPr>
        <w:t>68,548,706</w:t>
        <w:tab/>
        <w:t>25,843,958</w:t>
      </w:r>
    </w:p>
    <w:p>
      <w:pPr>
        <w:spacing w:line="240" w:lineRule="auto" w:before="2"/>
        <w:rPr>
          <w:rFonts w:ascii="Times New Roman" w:hAnsi="Times New Roman" w:cs="Times New Roman" w:eastAsia="Times New Roman" w:hint="default"/>
          <w:sz w:val="28"/>
          <w:szCs w:val="28"/>
        </w:rPr>
      </w:pPr>
    </w:p>
    <w:p>
      <w:pPr>
        <w:pStyle w:val="BodyText"/>
        <w:spacing w:line="297" w:lineRule="auto"/>
        <w:ind w:left="1034" w:right="201" w:firstLine="420"/>
        <w:jc w:val="left"/>
      </w:pPr>
      <w:r>
        <w:rPr/>
        <w:t>于</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日，本集团及本公司在计量租赁负债时，对于具有相似特征的租赁合</w:t>
      </w:r>
      <w:r>
        <w:rPr>
          <w:w w:val="100"/>
        </w:rPr>
        <w:t> </w:t>
      </w:r>
      <w:r>
        <w:rPr>
          <w:spacing w:val="-2"/>
        </w:rPr>
        <w:t>同采用同一折现率，所采用的增量借款利率的加权平均值为</w:t>
      </w:r>
      <w:r>
        <w:rPr>
          <w:spacing w:val="6"/>
        </w:rPr>
        <w:t> </w:t>
      </w:r>
      <w:r>
        <w:rPr>
          <w:rFonts w:ascii="Times New Roman" w:hAnsi="Times New Roman" w:cs="Times New Roman" w:eastAsia="Times New Roman" w:hint="default"/>
          <w:spacing w:val="-2"/>
        </w:rPr>
        <w:t>4.75%</w:t>
      </w:r>
      <w:r>
        <w:rPr>
          <w:spacing w:val="-2"/>
        </w:rPr>
        <w:t>。</w:t>
      </w:r>
    </w:p>
    <w:p>
      <w:pPr>
        <w:pStyle w:val="BodyText"/>
        <w:spacing w:line="297" w:lineRule="auto" w:before="13"/>
        <w:ind w:left="1034" w:right="201" w:firstLine="420"/>
        <w:jc w:val="left"/>
      </w:pPr>
      <w:r>
        <w:rPr/>
        <w:t>于</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日，本集团及本公司将原租赁准则下披露的尚未支付的最低经营租赁</w:t>
      </w:r>
      <w:r>
        <w:rPr>
          <w:w w:val="100"/>
        </w:rPr>
        <w:t> </w:t>
      </w:r>
      <w:r>
        <w:rPr/>
        <w:t>付款额调整为新租赁准则下确认的租赁负债的调节表如下：</w:t>
      </w:r>
    </w:p>
    <w:p>
      <w:pPr>
        <w:spacing w:line="240" w:lineRule="auto" w:before="6"/>
        <w:rPr>
          <w:rFonts w:ascii="宋体" w:hAnsi="宋体" w:cs="宋体" w:eastAsia="宋体" w:hint="default"/>
          <w:sz w:val="21"/>
          <w:szCs w:val="21"/>
        </w:rPr>
      </w:pPr>
    </w:p>
    <w:tbl>
      <w:tblPr>
        <w:tblW w:w="0" w:type="auto"/>
        <w:jc w:val="left"/>
        <w:tblInd w:w="671" w:type="dxa"/>
        <w:tblLayout w:type="fixed"/>
        <w:tblCellMar>
          <w:top w:w="0" w:type="dxa"/>
          <w:left w:w="0" w:type="dxa"/>
          <w:bottom w:w="0" w:type="dxa"/>
          <w:right w:w="0" w:type="dxa"/>
        </w:tblCellMar>
        <w:tblLook w:val="01E0"/>
      </w:tblPr>
      <w:tblGrid>
        <w:gridCol w:w="5455"/>
        <w:gridCol w:w="1880"/>
        <w:gridCol w:w="1440"/>
      </w:tblGrid>
      <w:tr>
        <w:trPr>
          <w:trHeight w:val="365" w:hRule="exact"/>
        </w:trPr>
        <w:tc>
          <w:tcPr>
            <w:tcW w:w="5455"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11" w:lineRule="exact"/>
              <w:ind w:left="967"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1440"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21"/>
                <w:szCs w:val="21"/>
              </w:rPr>
            </w:pPr>
            <w:r>
              <w:rPr>
                <w:rFonts w:ascii="宋体" w:hAnsi="宋体" w:cs="宋体" w:eastAsia="宋体" w:hint="default"/>
                <w:sz w:val="21"/>
                <w:szCs w:val="21"/>
              </w:rPr>
              <w:t>本公司</w:t>
            </w:r>
          </w:p>
        </w:tc>
      </w:tr>
      <w:tr>
        <w:trPr>
          <w:trHeight w:val="405"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日披露未来最低经营租赁付款额</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547" w:right="0"/>
              <w:jc w:val="left"/>
              <w:rPr>
                <w:rFonts w:ascii="Times New Roman" w:hAnsi="Times New Roman" w:cs="Times New Roman" w:eastAsia="Times New Roman" w:hint="default"/>
                <w:sz w:val="21"/>
                <w:szCs w:val="21"/>
              </w:rPr>
            </w:pPr>
            <w:r>
              <w:rPr>
                <w:rFonts w:ascii="Times New Roman"/>
                <w:sz w:val="21"/>
              </w:rPr>
              <w:t>122,029,345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545"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按增量借款利率折现计算的上述最低经营租赁付款额</w:t>
            </w:r>
          </w:p>
          <w:p>
            <w:pPr>
              <w:pStyle w:val="TableParagraph"/>
              <w:spacing w:line="274" w:lineRule="exact"/>
              <w:ind w:left="425" w:right="0"/>
              <w:jc w:val="left"/>
              <w:rPr>
                <w:rFonts w:ascii="宋体" w:hAnsi="宋体" w:cs="宋体" w:eastAsia="宋体" w:hint="default"/>
                <w:sz w:val="21"/>
                <w:szCs w:val="21"/>
              </w:rPr>
            </w:pPr>
            <w:r>
              <w:rPr>
                <w:rFonts w:ascii="宋体" w:hAnsi="宋体" w:cs="宋体" w:eastAsia="宋体" w:hint="default"/>
                <w:sz w:val="21"/>
                <w:szCs w:val="21"/>
              </w:rPr>
              <w:t>的现值</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111,072,577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77"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加：</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日应付融资租赁款</w:t>
            </w:r>
          </w:p>
        </w:tc>
        <w:tc>
          <w:tcPr>
            <w:tcW w:w="1880" w:type="dxa"/>
            <w:tcBorders>
              <w:top w:val="nil" w:sz="6" w:space="0" w:color="auto"/>
              <w:left w:val="nil" w:sz="6" w:space="0" w:color="auto"/>
              <w:bottom w:val="nil" w:sz="6" w:space="0" w:color="auto"/>
              <w:right w:val="nil" w:sz="6" w:space="0" w:color="auto"/>
            </w:tcBorders>
          </w:tcPr>
          <w:p>
            <w:pPr>
              <w:pStyle w:val="TableParagraph"/>
              <w:tabs>
                <w:tab w:pos="547" w:val="left" w:leader="none"/>
                <w:tab w:pos="2158" w:val="left" w:leader="none"/>
              </w:tabs>
              <w:spacing w:line="240" w:lineRule="auto" w:before="14"/>
              <w:ind w:left="14" w:right="-279"/>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557,265,084</w:t>
              <w:tab/>
            </w:r>
            <w:r>
              <w:rPr>
                <w:rFonts w:ascii="Times New Roman"/>
                <w:sz w:val="21"/>
              </w:rPr>
            </w:r>
          </w:p>
        </w:tc>
        <w:tc>
          <w:tcPr>
            <w:tcW w:w="1440" w:type="dxa"/>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14"/>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120,046,397</w:t>
              <w:tab/>
            </w:r>
            <w:r>
              <w:rPr>
                <w:rFonts w:ascii="Times New Roman"/>
                <w:spacing w:val="-1"/>
                <w:sz w:val="21"/>
              </w:rPr>
            </w:r>
          </w:p>
        </w:tc>
      </w:tr>
      <w:tr>
        <w:trPr>
          <w:trHeight w:val="555" w:hRule="exact"/>
        </w:trPr>
        <w:tc>
          <w:tcPr>
            <w:tcW w:w="5455"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日确认的租赁负债</w:t>
            </w:r>
            <w:r>
              <w:rPr>
                <w:rFonts w:ascii="Times New Roman" w:hAnsi="Times New Roman" w:cs="Times New Roman" w:eastAsia="Times New Roman" w:hint="default"/>
                <w:sz w:val="21"/>
                <w:szCs w:val="21"/>
              </w:rPr>
              <w:t>(</w:t>
            </w:r>
            <w:r>
              <w:rPr>
                <w:rFonts w:ascii="宋体" w:hAnsi="宋体" w:cs="宋体" w:eastAsia="宋体" w:hint="default"/>
                <w:sz w:val="21"/>
                <w:szCs w:val="21"/>
              </w:rPr>
              <w:t>含一年内到期的</w:t>
            </w:r>
          </w:p>
          <w:p>
            <w:pPr>
              <w:pStyle w:val="TableParagraph"/>
              <w:spacing w:line="281" w:lineRule="exact"/>
              <w:ind w:left="4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非流动负债</w:t>
            </w:r>
            <w:r>
              <w:rPr>
                <w:rFonts w:ascii="Times New Roman" w:hAnsi="Times New Roman" w:cs="Times New Roman" w:eastAsia="Times New Roman" w:hint="default"/>
                <w:sz w:val="21"/>
                <w:szCs w:val="21"/>
              </w:rPr>
              <w:t>)</w:t>
            </w:r>
          </w:p>
        </w:tc>
        <w:tc>
          <w:tcPr>
            <w:tcW w:w="188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47" w:right="0"/>
              <w:jc w:val="left"/>
              <w:rPr>
                <w:rFonts w:ascii="Times New Roman" w:hAnsi="Times New Roman" w:cs="Times New Roman" w:eastAsia="Times New Roman" w:hint="default"/>
                <w:sz w:val="21"/>
                <w:szCs w:val="21"/>
              </w:rPr>
            </w:pPr>
            <w:r>
              <w:rPr>
                <w:rFonts w:ascii="Times New Roman"/>
                <w:sz w:val="21"/>
              </w:rPr>
              <w:t>668,337,661</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120,046,397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5"/>
          <w:pgSz w:w="11910" w:h="16840"/>
          <w:pgMar w:footer="974" w:header="880" w:top="1120" w:bottom="1160" w:left="1200" w:right="1060"/>
        </w:sectPr>
      </w:pPr>
    </w:p>
    <w:p>
      <w:pPr>
        <w:pStyle w:val="Heading5"/>
        <w:spacing w:line="240" w:lineRule="auto" w:before="36"/>
        <w:ind w:right="0"/>
        <w:jc w:val="left"/>
        <w:rPr>
          <w:b w:val="0"/>
          <w:bCs w:val="0"/>
        </w:rPr>
      </w:pPr>
      <w:r>
        <w:rPr>
          <w:spacing w:val="-1"/>
        </w:rPr>
        <w:t>（二）公司对重大会计差错更正原因及影响的分析说明</w:t>
      </w:r>
      <w:r>
        <w:rPr>
          <w:b w:val="0"/>
          <w:bCs w:val="0"/>
          <w:spacing w:val="-1"/>
        </w:rPr>
      </w:r>
    </w:p>
    <w:p>
      <w:pPr>
        <w:pStyle w:val="BodyText"/>
        <w:spacing w:line="270" w:lineRule="exact"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（三）与前任会计师事务所进行的沟通情况</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（四）其他说明</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六、聘任、解聘会计师事务所情况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060"/>
          <w:cols w:num="2" w:equalWidth="0">
            <w:col w:w="5282" w:space="1478"/>
            <w:col w:w="289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412"/>
        <w:gridCol w:w="4911"/>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r>
              <w:rPr>
                <w:rFonts w:ascii="宋体" w:hAnsi="宋体" w:cs="宋体" w:eastAsia="宋体" w:hint="default"/>
                <w:sz w:val="21"/>
                <w:szCs w:val="21"/>
              </w:rPr>
              <w:t> </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4,850,000</w:t>
            </w:r>
            <w:r>
              <w:rPr>
                <w:rFonts w:ascii="宋体"/>
                <w:sz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41"/>
        <w:gridCol w:w="4596"/>
        <w:gridCol w:w="1786"/>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12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941"/>
        <w:gridCol w:w="4596"/>
        <w:gridCol w:w="1786"/>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4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1,260,000</w:t>
            </w:r>
            <w:r>
              <w:rPr>
                <w:rFonts w:ascii="宋体"/>
                <w:sz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4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81"/>
        <w:ind w:right="288" w:firstLine="420"/>
        <w:jc w:val="both"/>
        <w:rPr>
          <w:rFonts w:ascii="宋体" w:hAnsi="宋体" w:cs="宋体" w:eastAsia="宋体" w:hint="default"/>
        </w:rPr>
      </w:pPr>
      <w:r>
        <w:rPr>
          <w:spacing w:val="-2"/>
        </w:rPr>
        <w:t>公司</w:t>
      </w:r>
      <w:r>
        <w:rPr>
          <w:rFonts w:ascii="宋体" w:hAnsi="宋体" w:cs="宋体" w:eastAsia="宋体" w:hint="default"/>
          <w:spacing w:val="-2"/>
        </w:rPr>
        <w:t>2018</w:t>
      </w:r>
      <w:r>
        <w:rPr>
          <w:spacing w:val="-2"/>
        </w:rPr>
        <w:t>年度股东大会审议通过了《关于聘任青岛港国际股份有限公司</w:t>
      </w:r>
      <w:r>
        <w:rPr>
          <w:rFonts w:ascii="宋体" w:hAnsi="宋体" w:cs="宋体" w:eastAsia="宋体" w:hint="default"/>
          <w:spacing w:val="-2"/>
        </w:rPr>
        <w:t>2019</w:t>
      </w:r>
      <w:r>
        <w:rPr>
          <w:spacing w:val="-2"/>
        </w:rPr>
        <w:t>年度会计师事务所</w:t>
      </w:r>
      <w:r>
        <w:rPr>
          <w:w w:val="100"/>
        </w:rPr>
        <w:t> </w:t>
      </w:r>
      <w:r>
        <w:rPr>
          <w:spacing w:val="-2"/>
        </w:rPr>
        <w:t>的议案》，同意公司续聘普华永道中天会计师事务所（特殊普通合伙）为公司</w:t>
      </w:r>
      <w:r>
        <w:rPr>
          <w:rFonts w:ascii="宋体" w:hAnsi="宋体" w:cs="宋体" w:eastAsia="宋体" w:hint="default"/>
          <w:spacing w:val="-2"/>
        </w:rPr>
        <w:t>2019</w:t>
      </w:r>
      <w:r>
        <w:rPr>
          <w:spacing w:val="-2"/>
        </w:rPr>
        <w:t>年度会计师事务</w:t>
      </w:r>
      <w:r>
        <w:rPr>
          <w:spacing w:val="-21"/>
        </w:rPr>
        <w:t> </w:t>
      </w:r>
      <w:r>
        <w:rPr>
          <w:spacing w:val="-21"/>
        </w:rPr>
      </w:r>
      <w:r>
        <w:rPr>
          <w:spacing w:val="-2"/>
        </w:rPr>
        <w:t>所，同意授权董事会并由董事会授权公司董事长或副董事长及其授权人士厘定聘任会计师事务所的</w:t>
      </w:r>
      <w:r>
        <w:rPr>
          <w:spacing w:val="-25"/>
        </w:rPr>
        <w:t> </w:t>
      </w:r>
      <w:r>
        <w:rPr>
          <w:spacing w:val="-25"/>
        </w:rPr>
      </w:r>
      <w:r>
        <w:rPr/>
        <w:t>酬金。</w:t>
      </w:r>
      <w:r>
        <w:rPr>
          <w:rFonts w:ascii="宋体" w:hAnsi="宋体" w:cs="宋体" w:eastAsia="宋体" w:hint="default"/>
        </w:rPr>
        <w:t> </w:t>
      </w:r>
    </w:p>
    <w:p>
      <w:pPr>
        <w:pStyle w:val="Heading3"/>
        <w:spacing w:line="251" w:lineRule="exact"/>
        <w:ind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审计期间改聘会计师事务所的情况说明</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1"/>
        <w:rPr>
          <w:rFonts w:ascii="宋体" w:hAnsi="宋体" w:cs="宋体" w:eastAsia="宋体" w:hint="default"/>
          <w:sz w:val="27"/>
          <w:szCs w:val="27"/>
        </w:rPr>
      </w:pPr>
    </w:p>
    <w:p>
      <w:pPr>
        <w:pStyle w:val="Heading5"/>
        <w:spacing w:line="290" w:lineRule="auto" w:before="0"/>
        <w:ind w:right="656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73" w:lineRule="exact" w:before="14"/>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6671"/>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6252"/>
        <w:jc w:val="left"/>
        <w:rPr>
          <w:b w:val="0"/>
          <w:bCs w:val="0"/>
        </w:rPr>
      </w:pPr>
      <w:r>
        <w:rPr>
          <w:rFonts w:ascii="宋体" w:hAnsi="宋体" w:cs="宋体" w:eastAsia="宋体" w:hint="default"/>
          <w:b w:val="0"/>
          <w:bCs w:val="0"/>
          <w:w w:val="100"/>
        </w:rPr>
        <w:t> </w:t>
      </w:r>
      <w:r>
        <w:rPr>
          <w:w w:val="100"/>
        </w:rPr>
        <w:t>八、面临终止上市的情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7090"/>
        <w:jc w:val="left"/>
        <w:rPr>
          <w:b w:val="0"/>
          <w:bCs w:val="0"/>
        </w:rPr>
      </w:pPr>
      <w:r>
        <w:rPr>
          <w:rFonts w:ascii="宋体" w:hAnsi="宋体" w:cs="宋体" w:eastAsia="宋体" w:hint="default"/>
          <w:b w:val="0"/>
          <w:bCs w:val="0"/>
          <w:w w:val="100"/>
        </w:rPr>
        <w:t> </w:t>
      </w:r>
      <w:r>
        <w:rPr>
          <w:w w:val="100"/>
        </w:rPr>
        <w:t>九、破产重整相关事项</w:t>
      </w:r>
      <w:r>
        <w:rPr>
          <w:b w:val="0"/>
          <w:bCs w:val="0"/>
          <w:w w:val="100"/>
        </w:rPr>
      </w:r>
    </w:p>
    <w:p>
      <w:pPr>
        <w:pStyle w:val="Heading3"/>
        <w:spacing w:line="313" w:lineRule="exact"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t>十、重大诉讼、仲裁事项</w:t>
      </w:r>
      <w:r>
        <w:rPr>
          <w:b w:val="0"/>
          <w:bCs w:val="0"/>
        </w:rPr>
      </w:r>
    </w:p>
    <w:p>
      <w:pPr>
        <w:pStyle w:val="Heading3"/>
        <w:spacing w:line="240" w:lineRule="auto" w:before="52"/>
        <w:ind w:right="0"/>
        <w:jc w:val="left"/>
        <w:rPr>
          <w:rFonts w:ascii="宋体" w:hAnsi="宋体" w:cs="宋体" w:eastAsia="宋体" w:hint="default"/>
        </w:rPr>
      </w:pPr>
      <w:r>
        <w:rPr/>
        <w:t>√本年度公司有重大诉讼、仲裁事项</w:t>
      </w:r>
      <w:r>
        <w:rPr>
          <w:spacing w:val="1"/>
        </w:rPr>
        <w:t> </w:t>
      </w:r>
      <w:r>
        <w:rPr>
          <w:rFonts w:ascii="宋体" w:hAnsi="宋体" w:cs="宋体" w:eastAsia="宋体" w:hint="default"/>
          <w:spacing w:val="1"/>
        </w:rPr>
      </w:r>
      <w:r>
        <w:rPr/>
        <w:t>□本年度公司无重大诉讼、仲裁事项</w:t>
      </w:r>
      <w:r>
        <w:rPr>
          <w:rFonts w:ascii="宋体" w:hAnsi="宋体" w:cs="宋体" w:eastAsia="宋体" w:hint="default"/>
        </w:rPr>
        <w:t>  </w:t>
      </w:r>
    </w:p>
    <w:p>
      <w:pPr>
        <w:pStyle w:val="Heading5"/>
        <w:spacing w:line="240" w:lineRule="auto" w:before="64"/>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Heading3"/>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340"/>
        <w:gridCol w:w="1841"/>
      </w:tblGrid>
      <w:tr>
        <w:trPr>
          <w:trHeight w:val="329" w:hRule="exact"/>
        </w:trPr>
        <w:tc>
          <w:tcPr>
            <w:tcW w:w="7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5"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531" w:hRule="exact"/>
        </w:trPr>
        <w:tc>
          <w:tcPr>
            <w:tcW w:w="734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1"/>
              <w:ind w:left="103" w:right="98" w:firstLine="420"/>
              <w:jc w:val="both"/>
              <w:rPr>
                <w:rFonts w:ascii="宋体" w:hAnsi="宋体" w:cs="宋体" w:eastAsia="宋体" w:hint="default"/>
                <w:sz w:val="21"/>
                <w:szCs w:val="21"/>
              </w:rPr>
            </w:pPr>
            <w:r>
              <w:rPr>
                <w:rFonts w:ascii="宋体" w:hAnsi="宋体" w:cs="宋体" w:eastAsia="宋体" w:hint="default"/>
                <w:spacing w:val="16"/>
                <w:sz w:val="21"/>
                <w:szCs w:val="21"/>
              </w:rPr>
              <w:t>原告理资堂（</w:t>
            </w:r>
            <w:r>
              <w:rPr>
                <w:rFonts w:ascii="宋体" w:hAnsi="宋体" w:cs="宋体" w:eastAsia="宋体" w:hint="default"/>
                <w:spacing w:val="-67"/>
                <w:sz w:val="21"/>
                <w:szCs w:val="21"/>
              </w:rPr>
              <w:t> </w:t>
            </w:r>
            <w:r>
              <w:rPr>
                <w:rFonts w:ascii="宋体" w:hAnsi="宋体" w:cs="宋体" w:eastAsia="宋体" w:hint="default"/>
                <w:spacing w:val="13"/>
                <w:sz w:val="21"/>
                <w:szCs w:val="21"/>
              </w:rPr>
              <w:t>上海）</w:t>
            </w:r>
            <w:r>
              <w:rPr>
                <w:rFonts w:ascii="宋体" w:hAnsi="宋体" w:cs="宋体" w:eastAsia="宋体" w:hint="default"/>
                <w:spacing w:val="-67"/>
                <w:sz w:val="21"/>
                <w:szCs w:val="21"/>
              </w:rPr>
              <w:t> </w:t>
            </w:r>
            <w:r>
              <w:rPr>
                <w:rFonts w:ascii="宋体" w:hAnsi="宋体" w:cs="宋体" w:eastAsia="宋体" w:hint="default"/>
                <w:spacing w:val="18"/>
                <w:sz w:val="21"/>
                <w:szCs w:val="21"/>
              </w:rPr>
              <w:t>物流有限公司凭转货证明及相关文件要求提取</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8,085.189 </w:t>
            </w:r>
            <w:r>
              <w:rPr>
                <w:rFonts w:ascii="宋体" w:hAnsi="宋体" w:cs="宋体" w:eastAsia="宋体" w:hint="default"/>
                <w:spacing w:val="-4"/>
                <w:sz w:val="21"/>
                <w:szCs w:val="21"/>
              </w:rPr>
              <w:t>吨货物时，被告青岛鸿途物流有限公司及青岛港相关方（青岛港集团</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大港分公司、公司大港分公司、青岛港集团、本公司）予以拒绝。青岛港相关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方认为未向原告出具过仓单、也未收到原告的货物，与原告之间不存在保管合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同法律关系，且原告提供的转货证明并不能证明其系涉案货物的所有权人。另</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外，青岛港相关方在保管合同法律关系中也仅对存货人负有交付货物义务、对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货物所有权人不具有保管合同项下的交货义务。</w:t>
            </w:r>
          </w:p>
          <w:p>
            <w:pPr>
              <w:pStyle w:val="TableParagraph"/>
              <w:spacing w:line="240" w:lineRule="auto" w:before="15"/>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日，青岛海事法院开庭审理本案，青岛海事法院于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日作出《民事裁定书》（（</w:t>
            </w:r>
            <w:r>
              <w:rPr>
                <w:rFonts w:ascii="Times New Roman" w:hAnsi="Times New Roman" w:cs="Times New Roman" w:eastAsia="Times New Roman" w:hint="default"/>
                <w:spacing w:val="-4"/>
                <w:sz w:val="21"/>
                <w:szCs w:val="21"/>
              </w:rPr>
              <w:t>2014</w:t>
            </w:r>
            <w:r>
              <w:rPr>
                <w:rFonts w:ascii="宋体" w:hAnsi="宋体" w:cs="宋体" w:eastAsia="宋体" w:hint="default"/>
                <w:spacing w:val="-4"/>
                <w:sz w:val="21"/>
                <w:szCs w:val="21"/>
              </w:rPr>
              <w:t>）青海法海商初字第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794</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号之二），因</w:t>
            </w:r>
          </w:p>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pacing w:val="-8"/>
                <w:sz w:val="21"/>
                <w:szCs w:val="21"/>
              </w:rPr>
              <w:t>本案涉及犯罪嫌疑，裁定中止诉讼。青岛海事法院于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pacing w:val="-16"/>
                <w:sz w:val="21"/>
                <w:szCs w:val="21"/>
              </w:rPr>
              <w:t>日发出《通</w:t>
            </w:r>
          </w:p>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pacing w:val="-5"/>
                <w:sz w:val="21"/>
                <w:szCs w:val="21"/>
              </w:rPr>
              <w:t>知》（（</w:t>
            </w:r>
            <w:r>
              <w:rPr>
                <w:rFonts w:ascii="Times New Roman" w:hAnsi="Times New Roman" w:cs="Times New Roman" w:eastAsia="Times New Roman" w:hint="default"/>
                <w:spacing w:val="-5"/>
                <w:sz w:val="21"/>
                <w:szCs w:val="21"/>
              </w:rPr>
              <w:t>2014</w:t>
            </w:r>
            <w:r>
              <w:rPr>
                <w:rFonts w:ascii="宋体" w:hAnsi="宋体" w:cs="宋体" w:eastAsia="宋体" w:hint="default"/>
                <w:spacing w:val="-5"/>
                <w:sz w:val="21"/>
                <w:szCs w:val="21"/>
              </w:rPr>
              <w:t>）青海法海商初字第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794-7</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号），因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日青岛市公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1" w:right="0"/>
              <w:jc w:val="left"/>
              <w:rPr>
                <w:rFonts w:ascii="宋体" w:hAnsi="宋体" w:cs="宋体" w:eastAsia="宋体" w:hint="default"/>
                <w:sz w:val="21"/>
                <w:szCs w:val="21"/>
              </w:rPr>
            </w:pPr>
            <w:r>
              <w:rPr>
                <w:rFonts w:ascii="宋体" w:hAnsi="宋体" w:cs="宋体" w:eastAsia="宋体" w:hint="default"/>
                <w:spacing w:val="29"/>
                <w:sz w:val="21"/>
                <w:szCs w:val="21"/>
              </w:rPr>
              <w:t>公司分别于</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46"/>
              <w:ind w:left="100"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w:t>
            </w:r>
          </w:p>
          <w:p>
            <w:pPr>
              <w:pStyle w:val="TableParagraph"/>
              <w:spacing w:line="240" w:lineRule="auto" w:before="29"/>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p>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日及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8 </w:t>
            </w:r>
            <w:r>
              <w:rPr>
                <w:rFonts w:ascii="宋体" w:hAnsi="宋体" w:cs="宋体" w:eastAsia="宋体" w:hint="default"/>
                <w:spacing w:val="-11"/>
                <w:sz w:val="21"/>
                <w:szCs w:val="21"/>
              </w:rPr>
              <w:t>日、</w:t>
            </w:r>
            <w:r>
              <w:rPr>
                <w:rFonts w:ascii="Times New Roman" w:hAnsi="Times New Roman" w:cs="Times New Roman" w:eastAsia="Times New Roman" w:hint="default"/>
                <w:spacing w:val="-11"/>
                <w:sz w:val="21"/>
                <w:szCs w:val="21"/>
              </w:rPr>
              <w:t>2019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4</w:t>
            </w:r>
          </w:p>
          <w:p>
            <w:pPr>
              <w:pStyle w:val="TableParagraph"/>
              <w:spacing w:line="266" w:lineRule="auto" w:before="28"/>
              <w:ind w:left="100" w:right="24"/>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26 </w:t>
            </w:r>
            <w:r>
              <w:rPr>
                <w:rFonts w:ascii="宋体" w:hAnsi="宋体" w:cs="宋体" w:eastAsia="宋体" w:hint="default"/>
                <w:sz w:val="21"/>
                <w:szCs w:val="21"/>
              </w:rPr>
              <w:t>日刊登在香</w:t>
            </w:r>
            <w:r>
              <w:rPr>
                <w:rFonts w:ascii="宋体" w:hAnsi="宋体" w:cs="宋体" w:eastAsia="宋体" w:hint="default"/>
                <w:w w:val="100"/>
                <w:sz w:val="21"/>
                <w:szCs w:val="21"/>
              </w:rPr>
              <w:t> </w:t>
            </w:r>
            <w:r>
              <w:rPr>
                <w:rFonts w:ascii="宋体" w:hAnsi="宋体" w:cs="宋体" w:eastAsia="宋体" w:hint="default"/>
                <w:spacing w:val="53"/>
                <w:sz w:val="21"/>
                <w:szCs w:val="21"/>
              </w:rPr>
              <w:t>港联交所</w:t>
            </w:r>
            <w:r>
              <w:rPr>
                <w:rFonts w:ascii="宋体" w:hAnsi="宋体" w:cs="宋体" w:eastAsia="宋体" w:hint="default"/>
                <w:spacing w:val="-20"/>
                <w:sz w:val="21"/>
                <w:szCs w:val="21"/>
              </w:rPr>
              <w:t> </w:t>
            </w:r>
            <w:r>
              <w:rPr>
                <w:rFonts w:ascii="宋体" w:hAnsi="宋体" w:cs="宋体" w:eastAsia="宋体" w:hint="default"/>
                <w:spacing w:val="36"/>
                <w:sz w:val="21"/>
                <w:szCs w:val="21"/>
              </w:rPr>
              <w:t>网站</w:t>
            </w:r>
            <w:r>
              <w:rPr>
                <w:rFonts w:ascii="宋体" w:hAnsi="宋体" w:cs="宋体" w:eastAsia="宋体" w:hint="default"/>
                <w:spacing w:val="-31"/>
                <w:sz w:val="21"/>
                <w:szCs w:val="21"/>
              </w:rPr>
              <w:t> </w:t>
            </w:r>
            <w:r>
              <w:rPr>
                <w:rFonts w:ascii="宋体" w:hAnsi="宋体" w:cs="宋体" w:eastAsia="宋体" w:hint="default"/>
                <w:sz w:val="21"/>
                <w:szCs w:val="21"/>
              </w:rPr>
            </w:r>
          </w:p>
          <w:p>
            <w:pPr>
              <w:pStyle w:val="TableParagraph"/>
              <w:spacing w:line="264" w:lineRule="auto" w:before="21"/>
              <w:ind w:left="100" w:right="10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www.hkexnews.</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pacing w:val="-39"/>
                <w:sz w:val="21"/>
                <w:szCs w:val="21"/>
              </w:rPr>
            </w:r>
            <w:r>
              <w:rPr>
                <w:rFonts w:ascii="Times New Roman" w:hAnsi="Times New Roman" w:cs="Times New Roman" w:eastAsia="Times New Roman" w:hint="default"/>
                <w:sz w:val="21"/>
                <w:szCs w:val="21"/>
              </w:rPr>
              <w:t>hk</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11"/>
                <w:sz w:val="21"/>
                <w:szCs w:val="21"/>
              </w:rPr>
              <w:t>及公</w:t>
            </w:r>
            <w:r>
              <w:rPr>
                <w:rFonts w:ascii="宋体" w:hAnsi="宋体" w:cs="宋体" w:eastAsia="宋体" w:hint="default"/>
                <w:spacing w:val="-77"/>
                <w:sz w:val="21"/>
                <w:szCs w:val="21"/>
              </w:rPr>
              <w:t> </w:t>
            </w:r>
            <w:r>
              <w:rPr>
                <w:rFonts w:ascii="宋体" w:hAnsi="宋体" w:cs="宋体" w:eastAsia="宋体" w:hint="default"/>
                <w:spacing w:val="11"/>
                <w:sz w:val="21"/>
                <w:szCs w:val="21"/>
              </w:rPr>
              <w:t>司网</w:t>
            </w:r>
            <w:r>
              <w:rPr>
                <w:rFonts w:ascii="宋体" w:hAnsi="宋体" w:cs="宋体" w:eastAsia="宋体" w:hint="default"/>
                <w:spacing w:val="-77"/>
                <w:sz w:val="21"/>
                <w:szCs w:val="21"/>
              </w:rPr>
              <w:t> </w:t>
            </w:r>
            <w:r>
              <w:rPr>
                <w:rFonts w:ascii="宋体" w:hAnsi="宋体" w:cs="宋体" w:eastAsia="宋体" w:hint="default"/>
                <w:sz w:val="21"/>
                <w:szCs w:val="21"/>
              </w:rPr>
              <w:t>站</w:t>
            </w:r>
          </w:p>
          <w:p>
            <w:pPr>
              <w:pStyle w:val="TableParagraph"/>
              <w:spacing w:line="240" w:lineRule="auto" w:before="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www.qingdao-p</w:t>
            </w:r>
          </w:p>
        </w:tc>
      </w:tr>
    </w:tbl>
    <w:p>
      <w:pPr>
        <w:spacing w:after="0" w:line="240" w:lineRule="auto"/>
        <w:jc w:val="left"/>
        <w:rPr>
          <w:rFonts w:ascii="Times New Roman" w:hAnsi="Times New Roman" w:cs="Times New Roman" w:eastAsia="Times New Roman" w:hint="default"/>
          <w:sz w:val="21"/>
          <w:szCs w:val="21"/>
        </w:rPr>
        <w:sectPr>
          <w:footerReference w:type="default" r:id="rId26"/>
          <w:pgSz w:w="11910" w:h="16840"/>
          <w:pgMar w:footer="974" w:header="880" w:top="1120" w:bottom="1160" w:left="1200" w:right="116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7340"/>
        <w:gridCol w:w="1841"/>
      </w:tblGrid>
      <w:tr>
        <w:trPr>
          <w:trHeight w:val="2571" w:hRule="exact"/>
        </w:trPr>
        <w:tc>
          <w:tcPr>
            <w:tcW w:w="7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pacing w:val="3"/>
                <w:sz w:val="21"/>
                <w:szCs w:val="21"/>
              </w:rPr>
              <w:t>安局市南分局函复该案仍未接到有关单位的报案材料，决定恢复本案诉讼。</w:t>
            </w:r>
            <w:r>
              <w:rPr>
                <w:rFonts w:ascii="宋体" w:hAnsi="宋体" w:cs="宋体" w:eastAsia="宋体" w:hint="default"/>
                <w:sz w:val="21"/>
                <w:szCs w:val="21"/>
              </w:rPr>
            </w:r>
          </w:p>
          <w:p>
            <w:pPr>
              <w:pStyle w:val="TableParagraph"/>
              <w:spacing w:line="240" w:lineRule="auto" w:before="44"/>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日，本案在青岛海事法院进行了开庭审理，</w:t>
            </w:r>
            <w:r>
              <w:rPr>
                <w:rFonts w:ascii="Times New Roman" w:hAnsi="Times New Roman" w:cs="Times New Roman" w:eastAsia="Times New Roman" w:hint="default"/>
                <w:spacing w:val="-7"/>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66" w:lineRule="auto" w:before="28"/>
              <w:ind w:left="103" w:right="101"/>
              <w:jc w:val="left"/>
              <w:rPr>
                <w:rFonts w:ascii="宋体" w:hAnsi="宋体" w:cs="宋体" w:eastAsia="宋体" w:hint="default"/>
                <w:sz w:val="21"/>
                <w:szCs w:val="21"/>
              </w:rPr>
            </w:pPr>
            <w:r>
              <w:rPr>
                <w:rFonts w:ascii="宋体" w:hAnsi="宋体" w:cs="宋体" w:eastAsia="宋体" w:hint="default"/>
                <w:sz w:val="21"/>
                <w:szCs w:val="21"/>
              </w:rPr>
              <w:t>青岛海事法院作出《民事判决书》（（</w:t>
            </w:r>
            <w:r>
              <w:rPr>
                <w:rFonts w:ascii="Times New Roman" w:hAnsi="Times New Roman" w:cs="Times New Roman" w:eastAsia="Times New Roman" w:hint="default"/>
                <w:sz w:val="21"/>
                <w:szCs w:val="21"/>
              </w:rPr>
              <w:t>2014</w:t>
            </w:r>
            <w:r>
              <w:rPr>
                <w:rFonts w:ascii="宋体" w:hAnsi="宋体" w:cs="宋体" w:eastAsia="宋体" w:hint="default"/>
                <w:sz w:val="21"/>
                <w:szCs w:val="21"/>
              </w:rPr>
              <w:t>）青海法海商初字第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794</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号），判</w:t>
            </w:r>
            <w:r>
              <w:rPr>
                <w:rFonts w:ascii="宋体" w:hAnsi="宋体" w:cs="宋体" w:eastAsia="宋体" w:hint="default"/>
                <w:w w:val="100"/>
                <w:sz w:val="21"/>
                <w:szCs w:val="21"/>
              </w:rPr>
              <w:t> </w:t>
            </w:r>
            <w:r>
              <w:rPr>
                <w:rFonts w:ascii="宋体" w:hAnsi="宋体" w:cs="宋体" w:eastAsia="宋体" w:hint="default"/>
                <w:sz w:val="21"/>
                <w:szCs w:val="21"/>
              </w:rPr>
              <w:t>决驳回原告的诉讼请求。原告已提起上诉。</w:t>
            </w:r>
          </w:p>
          <w:p>
            <w:pPr>
              <w:pStyle w:val="TableParagraph"/>
              <w:spacing w:line="264" w:lineRule="auto" w:before="21"/>
              <w:ind w:left="103" w:right="9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日，本公司及大港分公司收到山东省高级人民法院关于上</w:t>
            </w:r>
            <w:r>
              <w:rPr>
                <w:rFonts w:ascii="宋体" w:hAnsi="宋体" w:cs="宋体" w:eastAsia="宋体" w:hint="default"/>
                <w:w w:val="100"/>
                <w:sz w:val="21"/>
                <w:szCs w:val="21"/>
              </w:rPr>
              <w:t> </w:t>
            </w:r>
            <w:r>
              <w:rPr>
                <w:rFonts w:ascii="宋体" w:hAnsi="宋体" w:cs="宋体" w:eastAsia="宋体" w:hint="default"/>
                <w:sz w:val="21"/>
                <w:szCs w:val="21"/>
              </w:rPr>
              <w:t>述案件的民事裁定书，裁定如下：（</w:t>
            </w:r>
            <w:r>
              <w:rPr>
                <w:rFonts w:ascii="Times New Roman" w:hAnsi="Times New Roman" w:cs="Times New Roman" w:eastAsia="Times New Roman" w:hint="default"/>
                <w:sz w:val="21"/>
                <w:szCs w:val="21"/>
              </w:rPr>
              <w:t>1</w:t>
            </w:r>
            <w:r>
              <w:rPr>
                <w:rFonts w:ascii="宋体" w:hAnsi="宋体" w:cs="宋体" w:eastAsia="宋体" w:hint="default"/>
                <w:sz w:val="21"/>
                <w:szCs w:val="21"/>
              </w:rPr>
              <w:t>）因上诉人理资堂物流未在法院指定的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期限内缴纳上诉费，案件按理资堂自动撤回上诉处理；（</w:t>
            </w:r>
            <w:r>
              <w:rPr>
                <w:rFonts w:ascii="Times New Roman" w:hAnsi="Times New Roman" w:cs="Times New Roman" w:eastAsia="Times New Roman" w:hint="default"/>
                <w:sz w:val="21"/>
                <w:szCs w:val="21"/>
              </w:rPr>
              <w:t>2</w:t>
            </w:r>
            <w:r>
              <w:rPr>
                <w:rFonts w:ascii="宋体" w:hAnsi="宋体" w:cs="宋体" w:eastAsia="宋体" w:hint="default"/>
                <w:sz w:val="21"/>
                <w:szCs w:val="21"/>
              </w:rPr>
              <w:t>）裁定为终审裁定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且自裁定书送达之日起发生法律效力。</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ort.com</w:t>
            </w:r>
            <w:r>
              <w:rPr>
                <w:rFonts w:ascii="宋体" w:hAnsi="宋体" w:cs="宋体" w:eastAsia="宋体" w:hint="default"/>
                <w:spacing w:val="-7"/>
                <w:sz w:val="21"/>
                <w:szCs w:val="21"/>
              </w:rPr>
              <w:t>）之公告及</w:t>
            </w:r>
          </w:p>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《招股说明书》</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73" w:lineRule="exact" w:before="3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4" w:lineRule="exact" w:before="29"/>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0"/>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3"/>
          <w:w w:val="100"/>
        </w:rPr>
        <w:t>、</w:t>
      </w:r>
      <w:r>
        <w:rPr>
          <w:w w:val="100"/>
        </w:rPr>
        <w:t>监</w:t>
      </w:r>
      <w:r>
        <w:rPr>
          <w:spacing w:val="-3"/>
          <w:w w:val="100"/>
        </w:rPr>
        <w:t>事</w:t>
      </w:r>
      <w:r>
        <w:rPr>
          <w:w w:val="100"/>
        </w:rPr>
        <w:t>、高级管理人员、</w:t>
      </w:r>
      <w:r>
        <w:rPr>
          <w:spacing w:val="-3"/>
          <w:w w:val="100"/>
        </w:rPr>
        <w:t>控</w:t>
      </w:r>
      <w:r>
        <w:rPr>
          <w:w w:val="100"/>
        </w:rPr>
        <w:t>股</w:t>
      </w:r>
      <w:r>
        <w:rPr>
          <w:spacing w:val="-3"/>
          <w:w w:val="100"/>
        </w:rPr>
        <w:t>股</w:t>
      </w:r>
      <w:r>
        <w:rPr>
          <w:w w:val="100"/>
        </w:rPr>
        <w:t>东、实际控制人、</w:t>
      </w:r>
      <w:r>
        <w:rPr>
          <w:spacing w:val="-3"/>
          <w:w w:val="100"/>
        </w:rPr>
        <w:t>收</w:t>
      </w:r>
      <w:r>
        <w:rPr>
          <w:w w:val="100"/>
        </w:rPr>
        <w:t>购</w:t>
      </w:r>
      <w:r>
        <w:rPr>
          <w:spacing w:val="-3"/>
          <w:w w:val="100"/>
        </w:rPr>
        <w:t>人</w:t>
      </w:r>
      <w:r>
        <w:rPr>
          <w:w w:val="100"/>
        </w:rPr>
        <w:t>处罚及整改情况</w:t>
      </w:r>
      <w:r>
        <w:rPr>
          <w:b w:val="0"/>
          <w:bCs w:val="0"/>
          <w:w w:val="100"/>
        </w:rPr>
      </w:r>
    </w:p>
    <w:p>
      <w:pPr>
        <w:pStyle w:val="BodyText"/>
        <w:spacing w:line="271" w:lineRule="exact"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十二、报告期内公司及其控股股东、实际控制人诚信状况的说明</w:t>
      </w:r>
      <w:r>
        <w:rPr>
          <w:b w:val="0"/>
          <w:bCs w:val="0"/>
        </w:rPr>
      </w:r>
    </w:p>
    <w:p>
      <w:pPr>
        <w:pStyle w:val="BodyText"/>
        <w:spacing w:line="307"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报告期内，公司及公司控股股东、实际控制人不存在未履行法院生效判决、所负数额较大的债</w:t>
      </w:r>
    </w:p>
    <w:p>
      <w:pPr>
        <w:pStyle w:val="BodyText"/>
        <w:spacing w:line="240" w:lineRule="auto" w:before="26"/>
        <w:ind w:right="0"/>
        <w:jc w:val="left"/>
        <w:rPr>
          <w:rFonts w:ascii="宋体" w:hAnsi="宋体" w:cs="宋体" w:eastAsia="宋体" w:hint="default"/>
        </w:rPr>
      </w:pPr>
      <w:r>
        <w:rPr/>
        <w:t>务到期未清偿等情况。</w:t>
      </w:r>
      <w:r>
        <w:rPr>
          <w:rFonts w:ascii="宋体" w:hAnsi="宋体" w:cs="宋体" w:eastAsia="宋体" w:hint="default"/>
        </w:rPr>
        <w:t> </w:t>
      </w:r>
    </w:p>
    <w:p>
      <w:pPr>
        <w:pStyle w:val="Heading5"/>
        <w:spacing w:line="290" w:lineRule="auto" w:before="8"/>
        <w:ind w:right="200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Heading3"/>
        <w:spacing w:line="313" w:lineRule="exact" w:before="6"/>
        <w:ind w:right="0"/>
        <w:jc w:val="left"/>
        <w:rPr>
          <w:rFonts w:ascii="宋体" w:hAnsi="宋体" w:cs="宋体" w:eastAsia="宋体" w:hint="default"/>
          <w:sz w:val="21"/>
          <w:szCs w:val="21"/>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w w:val="100"/>
          <w:sz w:val="21"/>
          <w:szCs w:val="21"/>
        </w:rPr>
        <w:t> </w:t>
      </w:r>
    </w:p>
    <w:p>
      <w:pPr>
        <w:pStyle w:val="Heading3"/>
        <w:spacing w:line="313" w:lineRule="exact"/>
        <w:ind w:right="0"/>
        <w:jc w:val="left"/>
        <w:rPr>
          <w:rFonts w:ascii="宋体" w:hAnsi="宋体" w:cs="宋体" w:eastAsia="宋体" w:hint="default"/>
        </w:rPr>
      </w:pPr>
      <w:r>
        <w:rPr>
          <w:rFonts w:ascii="宋体"/>
        </w:rPr>
        <w:t> </w:t>
      </w:r>
    </w:p>
    <w:p>
      <w:pPr>
        <w:spacing w:line="290" w:lineRule="auto" w:before="61"/>
        <w:ind w:left="218" w:right="48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8"/>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right="71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员工持股计划情况</w:t>
      </w:r>
      <w:r>
        <w:rPr>
          <w:rFonts w:ascii="宋体" w:hAnsi="宋体" w:cs="宋体" w:eastAsia="宋体" w:hint="default"/>
        </w:rPr>
        <w:t> </w:t>
      </w:r>
    </w:p>
    <w:p>
      <w:pPr>
        <w:pStyle w:val="BodyText"/>
        <w:spacing w:line="274" w:lineRule="exact" w:before="23"/>
        <w:ind w:right="71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其他激励措施</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716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5"/>
        <w:spacing w:line="240" w:lineRule="auto" w:before="14"/>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5"/>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974" w:top="1120" w:bottom="1160" w:left="120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740" w:right="1080"/>
        </w:sectPr>
      </w:pPr>
    </w:p>
    <w:p>
      <w:pPr>
        <w:pStyle w:val="BodyText"/>
        <w:spacing w:line="240" w:lineRule="auto" w:before="170"/>
        <w:ind w:left="678" w:right="0"/>
        <w:jc w:val="left"/>
        <w:rPr>
          <w:rFonts w:ascii="宋体" w:hAnsi="宋体" w:cs="宋体" w:eastAsia="宋体" w:hint="default"/>
        </w:rPr>
      </w:pPr>
      <w:r>
        <w:rPr>
          <w:rFonts w:ascii="宋体"/>
          <w:w w:val="100"/>
        </w:rPr>
        <w:t> </w:t>
      </w:r>
    </w:p>
    <w:p>
      <w:pPr>
        <w:pStyle w:val="Heading5"/>
        <w:spacing w:line="240" w:lineRule="auto"/>
        <w:ind w:left="67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1098" w:right="0"/>
        <w:jc w:val="left"/>
        <w:rPr>
          <w:rFonts w:ascii="宋体" w:hAnsi="宋体" w:cs="宋体" w:eastAsia="宋体" w:hint="default"/>
        </w:rPr>
      </w:pPr>
      <w:r>
        <w:rPr/>
        <w:t>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年日常关联交易进展情况如下所示：</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678"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740" w:right="1080"/>
          <w:cols w:num="2" w:equalWidth="0">
            <w:col w:w="6265" w:space="283"/>
            <w:col w:w="354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67"/>
        <w:gridCol w:w="3545"/>
        <w:gridCol w:w="2410"/>
        <w:gridCol w:w="1135"/>
        <w:gridCol w:w="1179"/>
        <w:gridCol w:w="1025"/>
      </w:tblGrid>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87" w:right="9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9"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77" w:right="0"/>
              <w:jc w:val="left"/>
              <w:rPr>
                <w:rFonts w:ascii="宋体" w:hAnsi="宋体" w:cs="宋体" w:eastAsia="宋体" w:hint="default"/>
                <w:sz w:val="18"/>
                <w:szCs w:val="18"/>
              </w:rPr>
            </w:pPr>
            <w:r>
              <w:rPr>
                <w:rFonts w:ascii="宋体" w:hAnsi="宋体" w:cs="宋体" w:eastAsia="宋体" w:hint="default"/>
                <w:b/>
                <w:bCs/>
                <w:sz w:val="18"/>
                <w:szCs w:val="18"/>
              </w:rPr>
              <w:t>关联交易协议名称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b/>
                <w:bCs/>
                <w:sz w:val="18"/>
                <w:szCs w:val="18"/>
              </w:rPr>
              <w:t>关联交易方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31" w:right="42" w:firstLine="158"/>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实际发生额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43" w:right="56" w:firstLine="67"/>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预计金额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公司及其子公司向青岛港集团及其子公司</w:t>
            </w:r>
            <w:r>
              <w:rPr>
                <w:rFonts w:ascii="宋体" w:hAnsi="宋体" w:cs="宋体" w:eastAsia="宋体" w:hint="default"/>
                <w:sz w:val="18"/>
                <w:szCs w:val="18"/>
              </w:rPr>
              <w:t> 销售产品和服务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32" w:lineRule="exact" w:before="24"/>
              <w:ind w:left="103" w:right="11"/>
              <w:jc w:val="left"/>
              <w:rPr>
                <w:rFonts w:ascii="宋体" w:hAnsi="宋体" w:cs="宋体" w:eastAsia="宋体" w:hint="default"/>
                <w:sz w:val="18"/>
                <w:szCs w:val="18"/>
              </w:rPr>
            </w:pPr>
            <w:r>
              <w:rPr>
                <w:rFonts w:ascii="宋体" w:hAnsi="宋体" w:cs="宋体" w:eastAsia="宋体" w:hint="default"/>
                <w:spacing w:val="2"/>
                <w:sz w:val="18"/>
                <w:szCs w:val="18"/>
              </w:rPr>
              <w:t>与青岛港（集团）有限公司</w:t>
            </w:r>
            <w:r>
              <w:rPr>
                <w:rFonts w:ascii="宋体" w:hAnsi="宋体" w:cs="宋体" w:eastAsia="宋体" w:hint="default"/>
                <w:sz w:val="18"/>
                <w:szCs w:val="18"/>
              </w:rPr>
              <w:t> 综合产品和服务框架协议</w:t>
            </w:r>
            <w:r>
              <w:rPr>
                <w:rFonts w:ascii="宋体" w:hAnsi="宋体" w:cs="宋体" w:eastAsia="宋体" w:hint="default"/>
                <w:spacing w:val="-55"/>
                <w:sz w:val="18"/>
                <w:szCs w:val="18"/>
              </w:rPr>
              <w:t> </w:t>
            </w:r>
            <w:r>
              <w:rPr>
                <w:rFonts w:ascii="宋体" w:hAnsi="宋体" w:cs="宋体" w:eastAsia="宋体" w:hint="default"/>
                <w:sz w:val="18"/>
                <w:szCs w:val="18"/>
              </w:rPr>
              <w:t>I</w:t>
            </w:r>
            <w:r>
              <w:rPr>
                <w:rFonts w:ascii="宋体" w:hAnsi="宋体" w:cs="宋体" w:eastAsia="宋体" w:hint="default"/>
                <w:sz w:val="18"/>
                <w:szCs w:val="18"/>
              </w:rPr>
              <w:t>》</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青岛港（集 团）有限公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38,458</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57,800</w:t>
            </w:r>
            <w:r>
              <w:rPr>
                <w:rFonts w:ascii="宋体"/>
                <w:sz w:val="18"/>
              </w:rPr>
              <w:t> </w:t>
            </w:r>
          </w:p>
        </w:tc>
      </w:tr>
      <w:tr>
        <w:trPr>
          <w:trHeight w:val="94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公司及其子公司向青岛港集团及其子公司</w:t>
            </w:r>
            <w:r>
              <w:rPr>
                <w:rFonts w:ascii="宋体" w:hAnsi="宋体" w:cs="宋体" w:eastAsia="宋体" w:hint="default"/>
                <w:sz w:val="18"/>
                <w:szCs w:val="18"/>
              </w:rPr>
              <w:t> 购买产品和服务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《青岛港（集团）有限公司</w:t>
            </w: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2"/>
                <w:sz w:val="18"/>
                <w:szCs w:val="18"/>
              </w:rPr>
              <w:t>与青岛港国际股份有限公司</w:t>
            </w:r>
            <w:r>
              <w:rPr>
                <w:rFonts w:ascii="宋体" w:hAnsi="宋体" w:cs="宋体" w:eastAsia="宋体" w:hint="default"/>
                <w:sz w:val="18"/>
                <w:szCs w:val="18"/>
              </w:rPr>
              <w:t> </w:t>
            </w:r>
            <w:r>
              <w:rPr>
                <w:rFonts w:ascii="宋体" w:hAnsi="宋体" w:cs="宋体" w:eastAsia="宋体" w:hint="default"/>
                <w:spacing w:val="19"/>
                <w:sz w:val="18"/>
                <w:szCs w:val="18"/>
              </w:rPr>
              <w:t>综合产品和服务框架协议</w:t>
            </w:r>
            <w:r>
              <w:rPr>
                <w:rFonts w:ascii="宋体" w:hAnsi="宋体" w:cs="宋体" w:eastAsia="宋体" w:hint="default"/>
                <w:spacing w:val="-69"/>
                <w:sz w:val="18"/>
                <w:szCs w:val="18"/>
              </w:rPr>
              <w:t> </w:t>
            </w:r>
            <w:r>
              <w:rPr>
                <w:rFonts w:ascii="宋体" w:hAnsi="宋体" w:cs="宋体" w:eastAsia="宋体" w:hint="default"/>
                <w:sz w:val="18"/>
                <w:szCs w:val="18"/>
              </w:rPr>
              <w:t>II</w:t>
            </w: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5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6,797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8,000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公司及其子公司向青岛港集团及其子公司</w:t>
            </w:r>
            <w:r>
              <w:rPr>
                <w:rFonts w:ascii="宋体" w:hAnsi="宋体" w:cs="宋体" w:eastAsia="宋体" w:hint="default"/>
                <w:sz w:val="18"/>
                <w:szCs w:val="18"/>
              </w:rPr>
              <w:t> 出租资产</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2"/>
                <w:sz w:val="18"/>
                <w:szCs w:val="18"/>
              </w:rPr>
              <w:t>与青岛港（集团）有限公司</w:t>
            </w:r>
            <w:r>
              <w:rPr>
                <w:rFonts w:ascii="宋体" w:hAnsi="宋体" w:cs="宋体" w:eastAsia="宋体" w:hint="default"/>
                <w:sz w:val="18"/>
                <w:szCs w:val="18"/>
              </w:rPr>
              <w:t> 资</w:t>
            </w:r>
            <w:r>
              <w:rPr>
                <w:rFonts w:ascii="宋体" w:hAnsi="宋体" w:cs="宋体" w:eastAsia="宋体" w:hint="default"/>
                <w:spacing w:val="-47"/>
                <w:sz w:val="18"/>
                <w:szCs w:val="18"/>
              </w:rPr>
              <w:t> </w:t>
            </w:r>
            <w:r>
              <w:rPr>
                <w:rFonts w:ascii="宋体" w:hAnsi="宋体" w:cs="宋体" w:eastAsia="宋体" w:hint="default"/>
                <w:sz w:val="18"/>
                <w:szCs w:val="18"/>
              </w:rPr>
              <w:t>产</w:t>
            </w:r>
            <w:r>
              <w:rPr>
                <w:rFonts w:ascii="宋体" w:hAnsi="宋体" w:cs="宋体" w:eastAsia="宋体" w:hint="default"/>
                <w:spacing w:val="-47"/>
                <w:sz w:val="18"/>
                <w:szCs w:val="18"/>
              </w:rPr>
              <w:t> </w:t>
            </w:r>
            <w:r>
              <w:rPr>
                <w:rFonts w:ascii="宋体" w:hAnsi="宋体" w:cs="宋体" w:eastAsia="宋体" w:hint="default"/>
                <w:sz w:val="18"/>
                <w:szCs w:val="18"/>
              </w:rPr>
              <w:t>租</w:t>
            </w:r>
            <w:r>
              <w:rPr>
                <w:rFonts w:ascii="宋体" w:hAnsi="宋体" w:cs="宋体" w:eastAsia="宋体" w:hint="default"/>
                <w:spacing w:val="-47"/>
                <w:sz w:val="18"/>
                <w:szCs w:val="18"/>
              </w:rPr>
              <w:t> </w:t>
            </w:r>
            <w:r>
              <w:rPr>
                <w:rFonts w:ascii="宋体" w:hAnsi="宋体" w:cs="宋体" w:eastAsia="宋体" w:hint="default"/>
                <w:sz w:val="18"/>
                <w:szCs w:val="18"/>
              </w:rPr>
              <w:t>赁</w:t>
            </w:r>
            <w:r>
              <w:rPr>
                <w:rFonts w:ascii="宋体" w:hAnsi="宋体" w:cs="宋体" w:eastAsia="宋体" w:hint="default"/>
                <w:spacing w:val="-47"/>
                <w:sz w:val="18"/>
                <w:szCs w:val="18"/>
              </w:rPr>
              <w:t> </w:t>
            </w:r>
            <w:r>
              <w:rPr>
                <w:rFonts w:ascii="宋体" w:hAnsi="宋体" w:cs="宋体" w:eastAsia="宋体" w:hint="default"/>
                <w:sz w:val="18"/>
                <w:szCs w:val="18"/>
              </w:rPr>
              <w:t>框</w:t>
            </w:r>
            <w:r>
              <w:rPr>
                <w:rFonts w:ascii="宋体" w:hAnsi="宋体" w:cs="宋体" w:eastAsia="宋体" w:hint="default"/>
                <w:spacing w:val="-47"/>
                <w:sz w:val="18"/>
                <w:szCs w:val="18"/>
              </w:rPr>
              <w:t> </w:t>
            </w:r>
            <w:r>
              <w:rPr>
                <w:rFonts w:ascii="宋体" w:hAnsi="宋体" w:cs="宋体" w:eastAsia="宋体" w:hint="default"/>
                <w:sz w:val="18"/>
                <w:szCs w:val="18"/>
              </w:rPr>
              <w:t>架</w:t>
            </w:r>
            <w:r>
              <w:rPr>
                <w:rFonts w:ascii="宋体" w:hAnsi="宋体" w:cs="宋体" w:eastAsia="宋体" w:hint="default"/>
                <w:spacing w:val="-45"/>
                <w:sz w:val="18"/>
                <w:szCs w:val="18"/>
              </w:rPr>
              <w:t> </w:t>
            </w:r>
            <w:r>
              <w:rPr>
                <w:rFonts w:ascii="宋体" w:hAnsi="宋体" w:cs="宋体" w:eastAsia="宋体" w:hint="default"/>
                <w:sz w:val="18"/>
                <w:szCs w:val="18"/>
              </w:rPr>
              <w:t>协</w:t>
            </w:r>
            <w:r>
              <w:rPr>
                <w:rFonts w:ascii="宋体" w:hAnsi="宋体" w:cs="宋体" w:eastAsia="宋体" w:hint="default"/>
                <w:spacing w:val="-47"/>
                <w:sz w:val="18"/>
                <w:szCs w:val="18"/>
              </w:rPr>
              <w:t> </w:t>
            </w:r>
            <w:r>
              <w:rPr>
                <w:rFonts w:ascii="宋体" w:hAnsi="宋体" w:cs="宋体" w:eastAsia="宋体" w:hint="default"/>
                <w:sz w:val="18"/>
                <w:szCs w:val="18"/>
              </w:rPr>
              <w:t>议</w:t>
            </w:r>
            <w:r>
              <w:rPr>
                <w:rFonts w:ascii="宋体" w:hAnsi="宋体" w:cs="宋体" w:eastAsia="宋体" w:hint="default"/>
                <w:spacing w:val="46"/>
                <w:sz w:val="18"/>
                <w:szCs w:val="18"/>
              </w:rPr>
              <w:t> </w:t>
            </w:r>
            <w:r>
              <w:rPr>
                <w:rFonts w:ascii="宋体" w:hAnsi="宋体" w:cs="宋体" w:eastAsia="宋体" w:hint="default"/>
                <w:sz w:val="18"/>
                <w:szCs w:val="18"/>
              </w:rPr>
              <w:t>I</w:t>
            </w:r>
            <w:r>
              <w:rPr>
                <w:rFonts w:ascii="宋体" w:hAnsi="宋体" w:cs="宋体" w:eastAsia="宋体" w:hint="default"/>
                <w:spacing w:val="-46"/>
                <w:sz w:val="18"/>
                <w:szCs w:val="18"/>
              </w:rPr>
              <w:t> </w:t>
            </w:r>
            <w:r>
              <w:rPr>
                <w:rFonts w:ascii="宋体" w:hAnsi="宋体" w:cs="宋体" w:eastAsia="宋体" w:hint="default"/>
                <w:sz w:val="18"/>
                <w:szCs w:val="18"/>
              </w:rPr>
              <w:t>》</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196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700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公司及其子公司向青岛港集团及其子公司</w:t>
            </w:r>
            <w:r>
              <w:rPr>
                <w:rFonts w:ascii="宋体" w:hAnsi="宋体" w:cs="宋体" w:eastAsia="宋体" w:hint="default"/>
                <w:sz w:val="18"/>
                <w:szCs w:val="18"/>
              </w:rPr>
              <w:t> 承租资产</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《青岛港（集团）有限公司</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2"/>
                <w:sz w:val="18"/>
                <w:szCs w:val="18"/>
              </w:rPr>
              <w:t>与青岛港国际股份有限公司</w:t>
            </w:r>
            <w:r>
              <w:rPr>
                <w:rFonts w:ascii="宋体" w:hAnsi="宋体" w:cs="宋体" w:eastAsia="宋体" w:hint="default"/>
                <w:sz w:val="18"/>
                <w:szCs w:val="18"/>
              </w:rPr>
              <w:t> </w:t>
            </w:r>
            <w:r>
              <w:rPr>
                <w:rFonts w:ascii="宋体" w:hAnsi="宋体" w:cs="宋体" w:eastAsia="宋体" w:hint="default"/>
                <w:spacing w:val="28"/>
                <w:sz w:val="18"/>
                <w:szCs w:val="18"/>
              </w:rPr>
              <w:t>资产租赁框架协议 </w:t>
            </w:r>
            <w:r>
              <w:rPr>
                <w:rFonts w:ascii="宋体" w:hAnsi="宋体" w:cs="宋体" w:eastAsia="宋体" w:hint="default"/>
                <w:sz w:val="18"/>
                <w:szCs w:val="18"/>
              </w:rPr>
              <w:t>II</w:t>
            </w:r>
            <w:r>
              <w:rPr>
                <w:rFonts w:ascii="宋体" w:hAnsi="宋体" w:cs="宋体" w:eastAsia="宋体" w:hint="default"/>
                <w:spacing w:val="-42"/>
                <w:sz w:val="18"/>
                <w:szCs w:val="18"/>
              </w:rPr>
              <w:t> </w:t>
            </w:r>
            <w:r>
              <w:rPr>
                <w:rFonts w:ascii="宋体" w:hAnsi="宋体" w:cs="宋体" w:eastAsia="宋体" w:hint="default"/>
                <w:sz w:val="18"/>
                <w:szCs w:val="18"/>
              </w:rPr>
              <w:t>》</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9,482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16,000</w:t>
            </w:r>
            <w:r>
              <w:rPr>
                <w:rFonts w:ascii="宋体"/>
                <w:sz w:val="18"/>
              </w:rPr>
              <w:t>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提供委托贷款最高余额（含应计利息）</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《青岛港（集团）有限公司</w:t>
            </w:r>
          </w:p>
          <w:p>
            <w:pPr>
              <w:pStyle w:val="TableParagraph"/>
              <w:spacing w:line="232" w:lineRule="exact" w:before="24"/>
              <w:ind w:left="103" w:right="27"/>
              <w:jc w:val="left"/>
              <w:rPr>
                <w:rFonts w:ascii="宋体" w:hAnsi="宋体" w:cs="宋体" w:eastAsia="宋体" w:hint="default"/>
                <w:sz w:val="18"/>
                <w:szCs w:val="18"/>
              </w:rPr>
            </w:pPr>
            <w:r>
              <w:rPr>
                <w:rFonts w:ascii="宋体" w:hAnsi="宋体" w:cs="宋体" w:eastAsia="宋体" w:hint="default"/>
                <w:spacing w:val="2"/>
                <w:sz w:val="18"/>
                <w:szCs w:val="18"/>
              </w:rPr>
              <w:t>与青岛港国际股份有限公司</w:t>
            </w:r>
            <w:r>
              <w:rPr>
                <w:rFonts w:ascii="宋体" w:hAnsi="宋体" w:cs="宋体" w:eastAsia="宋体" w:hint="default"/>
                <w:sz w:val="18"/>
                <w:szCs w:val="18"/>
              </w:rPr>
              <w:t> </w:t>
            </w:r>
            <w:r>
              <w:rPr>
                <w:rFonts w:ascii="宋体" w:hAnsi="宋体" w:cs="宋体" w:eastAsia="宋体" w:hint="default"/>
                <w:spacing w:val="64"/>
                <w:sz w:val="18"/>
                <w:szCs w:val="18"/>
              </w:rPr>
              <w:t>委托贷款框架协议》</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青岛港（集 团）有限公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164,204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9" w:right="0"/>
              <w:jc w:val="center"/>
              <w:rPr>
                <w:rFonts w:ascii="宋体" w:hAnsi="宋体" w:cs="宋体" w:eastAsia="宋体" w:hint="default"/>
                <w:sz w:val="18"/>
                <w:szCs w:val="18"/>
              </w:rPr>
            </w:pPr>
            <w:r>
              <w:rPr>
                <w:rFonts w:ascii="宋体"/>
                <w:sz w:val="18"/>
              </w:rPr>
              <w:t>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7"/>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提供融资租赁最高余额</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3"/>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与青岛港（集团）有限公司</w:t>
            </w:r>
            <w:r>
              <w:rPr>
                <w:rFonts w:ascii="宋体" w:hAnsi="宋体" w:cs="宋体" w:eastAsia="宋体" w:hint="default"/>
                <w:sz w:val="18"/>
                <w:szCs w:val="18"/>
              </w:rPr>
              <w:t> </w:t>
            </w:r>
            <w:r>
              <w:rPr>
                <w:rFonts w:ascii="宋体" w:hAnsi="宋体" w:cs="宋体" w:eastAsia="宋体" w:hint="default"/>
                <w:spacing w:val="19"/>
                <w:sz w:val="18"/>
                <w:szCs w:val="18"/>
              </w:rPr>
              <w:t>综合融资服务框架协议》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117,573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210,000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9" w:right="0"/>
              <w:jc w:val="center"/>
              <w:rPr>
                <w:rFonts w:ascii="宋体" w:hAnsi="宋体" w:cs="宋体" w:eastAsia="宋体" w:hint="default"/>
                <w:sz w:val="18"/>
                <w:szCs w:val="18"/>
              </w:rPr>
            </w:pPr>
            <w:r>
              <w:rPr>
                <w:rFonts w:ascii="宋体"/>
                <w:sz w:val="18"/>
              </w:rPr>
              <w:t>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提供融资租赁租金</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5,713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9" w:right="0"/>
              <w:jc w:val="center"/>
              <w:rPr>
                <w:rFonts w:ascii="宋体" w:hAnsi="宋体" w:cs="宋体" w:eastAsia="宋体" w:hint="default"/>
                <w:sz w:val="18"/>
                <w:szCs w:val="18"/>
              </w:rPr>
            </w:pPr>
            <w:r>
              <w:rPr>
                <w:rFonts w:ascii="宋体"/>
                <w:sz w:val="18"/>
              </w:rPr>
              <w:t>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提供商业保理最高余额</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17,264</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9" w:right="0"/>
              <w:jc w:val="center"/>
              <w:rPr>
                <w:rFonts w:ascii="宋体" w:hAnsi="宋体" w:cs="宋体" w:eastAsia="宋体" w:hint="default"/>
                <w:sz w:val="18"/>
                <w:szCs w:val="18"/>
              </w:rPr>
            </w:pPr>
            <w:r>
              <w:rPr>
                <w:rFonts w:ascii="宋体"/>
                <w:sz w:val="18"/>
              </w:rPr>
              <w:t>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提供商业保理利息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288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4,000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10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提供商业保理中间业务</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500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11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提供小额贷款最高余额</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12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106"/>
              <w:jc w:val="left"/>
              <w:rPr>
                <w:rFonts w:ascii="宋体" w:hAnsi="宋体" w:cs="宋体" w:eastAsia="宋体" w:hint="default"/>
                <w:sz w:val="18"/>
                <w:szCs w:val="18"/>
              </w:rPr>
            </w:pPr>
            <w:r>
              <w:rPr>
                <w:rFonts w:ascii="宋体" w:hAnsi="宋体" w:cs="宋体" w:eastAsia="宋体" w:hint="default"/>
                <w:spacing w:val="4"/>
                <w:sz w:val="18"/>
                <w:szCs w:val="18"/>
              </w:rPr>
              <w:t>青岛港集团及其子公司向公司及其子公司</w:t>
            </w:r>
            <w:r>
              <w:rPr>
                <w:rFonts w:ascii="宋体" w:hAnsi="宋体" w:cs="宋体" w:eastAsia="宋体" w:hint="default"/>
                <w:sz w:val="18"/>
                <w:szCs w:val="18"/>
              </w:rPr>
              <w:t> 提供小额贷款利息</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1,000 </w:t>
            </w:r>
          </w:p>
        </w:tc>
      </w:tr>
      <w:tr>
        <w:trPr>
          <w:trHeight w:val="94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13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公司及其子公司向中远海运集团及其子公</w:t>
            </w:r>
            <w:r>
              <w:rPr>
                <w:rFonts w:ascii="宋体" w:hAnsi="宋体" w:cs="宋体" w:eastAsia="宋体" w:hint="default"/>
                <w:sz w:val="18"/>
                <w:szCs w:val="18"/>
              </w:rPr>
              <w:t> 司销售产品和服务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37" w:lineRule="auto" w:before="1"/>
              <w:ind w:left="103" w:right="106"/>
              <w:jc w:val="both"/>
              <w:rPr>
                <w:rFonts w:ascii="宋体" w:hAnsi="宋体" w:cs="宋体" w:eastAsia="宋体" w:hint="default"/>
                <w:sz w:val="18"/>
                <w:szCs w:val="18"/>
              </w:rPr>
            </w:pPr>
            <w:r>
              <w:rPr>
                <w:rFonts w:ascii="宋体" w:hAnsi="宋体" w:cs="宋体" w:eastAsia="宋体" w:hint="default"/>
                <w:spacing w:val="2"/>
                <w:sz w:val="18"/>
                <w:szCs w:val="18"/>
              </w:rPr>
              <w:t>与中国远洋海运集团有限公</w:t>
            </w:r>
            <w:r>
              <w:rPr>
                <w:rFonts w:ascii="宋体" w:hAnsi="宋体" w:cs="宋体" w:eastAsia="宋体" w:hint="default"/>
                <w:sz w:val="18"/>
                <w:szCs w:val="18"/>
              </w:rPr>
              <w:t> </w:t>
            </w:r>
            <w:r>
              <w:rPr>
                <w:rFonts w:ascii="宋体" w:hAnsi="宋体" w:cs="宋体" w:eastAsia="宋体" w:hint="default"/>
                <w:spacing w:val="2"/>
                <w:sz w:val="18"/>
                <w:szCs w:val="18"/>
              </w:rPr>
              <w:t>司综合产品和服务框架协议</w:t>
            </w:r>
            <w:r>
              <w:rPr>
                <w:rFonts w:ascii="宋体" w:hAnsi="宋体" w:cs="宋体" w:eastAsia="宋体" w:hint="default"/>
                <w:sz w:val="18"/>
                <w:szCs w:val="18"/>
              </w:rPr>
              <w:t> </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中国远洋海 运集团有限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61,339</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83,000</w:t>
            </w:r>
            <w:r>
              <w:rPr>
                <w:rFonts w:ascii="宋体"/>
                <w:sz w:val="18"/>
              </w:rPr>
              <w:t> </w:t>
            </w:r>
          </w:p>
        </w:tc>
      </w:tr>
      <w:tr>
        <w:trPr>
          <w:trHeight w:val="94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14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公司及其子公司向中远海运集团及其子公</w:t>
            </w:r>
            <w:r>
              <w:rPr>
                <w:rFonts w:ascii="宋体" w:hAnsi="宋体" w:cs="宋体" w:eastAsia="宋体" w:hint="default"/>
                <w:sz w:val="18"/>
                <w:szCs w:val="18"/>
              </w:rPr>
              <w:t> 司购买产品和服务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《中国远洋海运集团有限公</w:t>
            </w:r>
          </w:p>
          <w:p>
            <w:pPr>
              <w:pStyle w:val="TableParagraph"/>
              <w:spacing w:line="232" w:lineRule="exact" w:before="24"/>
              <w:ind w:left="103" w:right="106"/>
              <w:jc w:val="both"/>
              <w:rPr>
                <w:rFonts w:ascii="宋体" w:hAnsi="宋体" w:cs="宋体" w:eastAsia="宋体" w:hint="default"/>
                <w:sz w:val="18"/>
                <w:szCs w:val="18"/>
              </w:rPr>
            </w:pPr>
            <w:r>
              <w:rPr>
                <w:rFonts w:ascii="宋体" w:hAnsi="宋体" w:cs="宋体" w:eastAsia="宋体" w:hint="default"/>
                <w:spacing w:val="2"/>
                <w:sz w:val="18"/>
                <w:szCs w:val="18"/>
              </w:rPr>
              <w:t>司与青岛港国际股份有限公</w:t>
            </w:r>
            <w:r>
              <w:rPr>
                <w:rFonts w:ascii="宋体" w:hAnsi="宋体" w:cs="宋体" w:eastAsia="宋体" w:hint="default"/>
                <w:sz w:val="18"/>
                <w:szCs w:val="18"/>
              </w:rPr>
              <w:t> </w:t>
            </w:r>
            <w:r>
              <w:rPr>
                <w:rFonts w:ascii="宋体" w:hAnsi="宋体" w:cs="宋体" w:eastAsia="宋体" w:hint="default"/>
                <w:spacing w:val="2"/>
                <w:sz w:val="18"/>
                <w:szCs w:val="18"/>
              </w:rPr>
              <w:t>司综合产品和服务框架协议</w:t>
            </w:r>
            <w:r>
              <w:rPr>
                <w:rFonts w:ascii="宋体" w:hAnsi="宋体" w:cs="宋体" w:eastAsia="宋体" w:hint="default"/>
                <w:sz w:val="18"/>
                <w:szCs w:val="18"/>
              </w:rPr>
              <w:t> </w:t>
            </w:r>
            <w:r>
              <w:rPr>
                <w:rFonts w:ascii="宋体" w:hAnsi="宋体" w:cs="宋体" w:eastAsia="宋体" w:hint="default"/>
                <w:sz w:val="18"/>
                <w:szCs w:val="18"/>
              </w:rPr>
              <w:t>II</w:t>
            </w: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5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23,018</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39,000</w:t>
            </w:r>
            <w:r>
              <w:rPr>
                <w:rFonts w:ascii="宋体"/>
                <w:sz w:val="18"/>
              </w:rPr>
              <w:t>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15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公司及其子公司向中远海运集团及其子公</w:t>
            </w:r>
            <w:r>
              <w:rPr>
                <w:rFonts w:ascii="宋体" w:hAnsi="宋体" w:cs="宋体" w:eastAsia="宋体" w:hint="default"/>
                <w:sz w:val="18"/>
                <w:szCs w:val="18"/>
              </w:rPr>
              <w:t> 司出租资产</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2"/>
                <w:sz w:val="18"/>
                <w:szCs w:val="18"/>
              </w:rPr>
              <w:t>与中国远洋海运集团有限公</w:t>
            </w:r>
            <w:r>
              <w:rPr>
                <w:rFonts w:ascii="宋体" w:hAnsi="宋体" w:cs="宋体" w:eastAsia="宋体" w:hint="default"/>
                <w:sz w:val="18"/>
                <w:szCs w:val="18"/>
              </w:rPr>
              <w:t> 司</w:t>
            </w:r>
            <w:r>
              <w:rPr>
                <w:rFonts w:ascii="宋体" w:hAnsi="宋体" w:cs="宋体" w:eastAsia="宋体" w:hint="default"/>
                <w:spacing w:val="-47"/>
                <w:sz w:val="18"/>
                <w:szCs w:val="18"/>
              </w:rPr>
              <w:t> </w:t>
            </w: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z w:val="18"/>
                <w:szCs w:val="18"/>
              </w:rPr>
              <w:t>产</w:t>
            </w:r>
            <w:r>
              <w:rPr>
                <w:rFonts w:ascii="宋体" w:hAnsi="宋体" w:cs="宋体" w:eastAsia="宋体" w:hint="default"/>
                <w:spacing w:val="-47"/>
                <w:sz w:val="18"/>
                <w:szCs w:val="18"/>
              </w:rPr>
              <w:t> </w:t>
            </w:r>
            <w:r>
              <w:rPr>
                <w:rFonts w:ascii="宋体" w:hAnsi="宋体" w:cs="宋体" w:eastAsia="宋体" w:hint="default"/>
                <w:sz w:val="18"/>
                <w:szCs w:val="18"/>
              </w:rPr>
              <w:t>租</w:t>
            </w:r>
            <w:r>
              <w:rPr>
                <w:rFonts w:ascii="宋体" w:hAnsi="宋体" w:cs="宋体" w:eastAsia="宋体" w:hint="default"/>
                <w:spacing w:val="-47"/>
                <w:sz w:val="18"/>
                <w:szCs w:val="18"/>
              </w:rPr>
              <w:t> </w:t>
            </w:r>
            <w:r>
              <w:rPr>
                <w:rFonts w:ascii="宋体" w:hAnsi="宋体" w:cs="宋体" w:eastAsia="宋体" w:hint="default"/>
                <w:sz w:val="18"/>
                <w:szCs w:val="18"/>
              </w:rPr>
              <w:t>赁</w:t>
            </w:r>
            <w:r>
              <w:rPr>
                <w:rFonts w:ascii="宋体" w:hAnsi="宋体" w:cs="宋体" w:eastAsia="宋体" w:hint="default"/>
                <w:spacing w:val="-47"/>
                <w:sz w:val="18"/>
                <w:szCs w:val="18"/>
              </w:rPr>
              <w:t> </w:t>
            </w:r>
            <w:r>
              <w:rPr>
                <w:rFonts w:ascii="宋体" w:hAnsi="宋体" w:cs="宋体" w:eastAsia="宋体" w:hint="default"/>
                <w:sz w:val="18"/>
                <w:szCs w:val="18"/>
              </w:rPr>
              <w:t>框</w:t>
            </w:r>
            <w:r>
              <w:rPr>
                <w:rFonts w:ascii="宋体" w:hAnsi="宋体" w:cs="宋体" w:eastAsia="宋体" w:hint="default"/>
                <w:spacing w:val="-45"/>
                <w:sz w:val="18"/>
                <w:szCs w:val="18"/>
              </w:rPr>
              <w:t> </w:t>
            </w:r>
            <w:r>
              <w:rPr>
                <w:rFonts w:ascii="宋体" w:hAnsi="宋体" w:cs="宋体" w:eastAsia="宋体" w:hint="default"/>
                <w:sz w:val="18"/>
                <w:szCs w:val="18"/>
              </w:rPr>
              <w:t>架</w:t>
            </w:r>
            <w:r>
              <w:rPr>
                <w:rFonts w:ascii="宋体" w:hAnsi="宋体" w:cs="宋体" w:eastAsia="宋体" w:hint="default"/>
                <w:spacing w:val="-47"/>
                <w:sz w:val="18"/>
                <w:szCs w:val="18"/>
              </w:rPr>
              <w:t> </w:t>
            </w:r>
            <w:r>
              <w:rPr>
                <w:rFonts w:ascii="宋体" w:hAnsi="宋体" w:cs="宋体" w:eastAsia="宋体" w:hint="default"/>
                <w:sz w:val="18"/>
                <w:szCs w:val="18"/>
              </w:rPr>
              <w:t>协</w:t>
            </w:r>
            <w:r>
              <w:rPr>
                <w:rFonts w:ascii="宋体" w:hAnsi="宋体" w:cs="宋体" w:eastAsia="宋体" w:hint="default"/>
                <w:spacing w:val="-47"/>
                <w:sz w:val="18"/>
                <w:szCs w:val="18"/>
              </w:rPr>
              <w:t> </w:t>
            </w:r>
            <w:r>
              <w:rPr>
                <w:rFonts w:ascii="宋体" w:hAnsi="宋体" w:cs="宋体" w:eastAsia="宋体" w:hint="default"/>
                <w:sz w:val="18"/>
                <w:szCs w:val="18"/>
              </w:rPr>
              <w:t>议</w:t>
            </w:r>
            <w:r>
              <w:rPr>
                <w:rFonts w:ascii="宋体" w:hAnsi="宋体" w:cs="宋体" w:eastAsia="宋体" w:hint="default"/>
                <w:spacing w:val="-47"/>
                <w:sz w:val="18"/>
                <w:szCs w:val="18"/>
              </w:rPr>
              <w:t> </w:t>
            </w:r>
            <w:r>
              <w:rPr>
                <w:rFonts w:ascii="宋体" w:hAnsi="宋体" w:cs="宋体" w:eastAsia="宋体" w:hint="default"/>
                <w:sz w:val="18"/>
                <w:szCs w:val="18"/>
              </w:rPr>
              <w:t>》</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3,630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6,000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16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公司及其子公司向青岛港董家口矿石码头</w:t>
            </w:r>
            <w:r>
              <w:rPr>
                <w:rFonts w:ascii="宋体" w:hAnsi="宋体" w:cs="宋体" w:eastAsia="宋体" w:hint="default"/>
                <w:sz w:val="18"/>
                <w:szCs w:val="18"/>
              </w:rPr>
              <w:t> 有限公司购买产品和服务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与青岛港董家口矿石码头有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96"/>
              <w:jc w:val="left"/>
              <w:rPr>
                <w:rFonts w:ascii="宋体" w:hAnsi="宋体" w:cs="宋体" w:eastAsia="宋体" w:hint="default"/>
                <w:sz w:val="18"/>
                <w:szCs w:val="18"/>
              </w:rPr>
            </w:pPr>
            <w:r>
              <w:rPr>
                <w:rFonts w:ascii="宋体" w:hAnsi="宋体" w:cs="宋体" w:eastAsia="宋体" w:hint="default"/>
                <w:spacing w:val="4"/>
                <w:sz w:val="18"/>
                <w:szCs w:val="18"/>
              </w:rPr>
              <w:t>青岛港董家 口矿石码头</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26,528</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114,000</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160" w:left="740" w:right="10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567"/>
        <w:gridCol w:w="3545"/>
        <w:gridCol w:w="2410"/>
        <w:gridCol w:w="1135"/>
        <w:gridCol w:w="1179"/>
        <w:gridCol w:w="1025"/>
      </w:tblGrid>
      <w:tr>
        <w:trPr>
          <w:trHeight w:val="51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87" w:right="9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9"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77" w:right="0"/>
              <w:jc w:val="left"/>
              <w:rPr>
                <w:rFonts w:ascii="宋体" w:hAnsi="宋体" w:cs="宋体" w:eastAsia="宋体" w:hint="default"/>
                <w:sz w:val="18"/>
                <w:szCs w:val="18"/>
              </w:rPr>
            </w:pPr>
            <w:r>
              <w:rPr>
                <w:rFonts w:ascii="宋体" w:hAnsi="宋体" w:cs="宋体" w:eastAsia="宋体" w:hint="default"/>
                <w:b/>
                <w:bCs/>
                <w:sz w:val="18"/>
                <w:szCs w:val="18"/>
              </w:rPr>
              <w:t>关联交易协议名称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0" w:right="0"/>
              <w:jc w:val="left"/>
              <w:rPr>
                <w:rFonts w:ascii="宋体" w:hAnsi="宋体" w:cs="宋体" w:eastAsia="宋体" w:hint="default"/>
                <w:sz w:val="18"/>
                <w:szCs w:val="18"/>
              </w:rPr>
            </w:pPr>
            <w:r>
              <w:rPr>
                <w:rFonts w:ascii="宋体" w:hAnsi="宋体" w:cs="宋体" w:eastAsia="宋体" w:hint="default"/>
                <w:b/>
                <w:bCs/>
                <w:sz w:val="18"/>
                <w:szCs w:val="18"/>
              </w:rPr>
              <w:t>关联交易方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31" w:right="42" w:firstLine="158"/>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实际发生额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43" w:right="56" w:firstLine="67"/>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预计金额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17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公司及其子公司向青岛港董家口矿石码头</w:t>
            </w:r>
            <w:r>
              <w:rPr>
                <w:rFonts w:ascii="宋体" w:hAnsi="宋体" w:cs="宋体" w:eastAsia="宋体" w:hint="default"/>
                <w:sz w:val="18"/>
                <w:szCs w:val="18"/>
              </w:rPr>
              <w:t> 有限公司销售产品和服务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限公司综合产品和服务框架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57,272</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75,000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18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公司及其子公司向青岛港董家口矿石码头</w:t>
            </w:r>
            <w:r>
              <w:rPr>
                <w:rFonts w:ascii="宋体" w:hAnsi="宋体" w:cs="宋体" w:eastAsia="宋体" w:hint="default"/>
                <w:sz w:val="18"/>
                <w:szCs w:val="18"/>
              </w:rPr>
              <w:t> 有限公司出租资产</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1,180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4,000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19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公司及其子公司向青岛前湾联合集装箱码</w:t>
            </w:r>
            <w:r>
              <w:rPr>
                <w:rFonts w:ascii="宋体" w:hAnsi="宋体" w:cs="宋体" w:eastAsia="宋体" w:hint="default"/>
                <w:sz w:val="18"/>
                <w:szCs w:val="18"/>
              </w:rPr>
              <w:t> 头有限责任公司购买产品和服务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与青岛前湾联合集装箱码头</w:t>
            </w:r>
            <w:r>
              <w:rPr>
                <w:rFonts w:ascii="宋体" w:hAnsi="宋体" w:cs="宋体" w:eastAsia="宋体" w:hint="default"/>
                <w:sz w:val="18"/>
                <w:szCs w:val="18"/>
              </w:rPr>
              <w:t> </w:t>
            </w:r>
            <w:r>
              <w:rPr>
                <w:rFonts w:ascii="宋体" w:hAnsi="宋体" w:cs="宋体" w:eastAsia="宋体" w:hint="default"/>
                <w:spacing w:val="2"/>
                <w:sz w:val="18"/>
                <w:szCs w:val="18"/>
              </w:rPr>
              <w:t>有限责任公司综合产品和服</w:t>
            </w:r>
            <w:r>
              <w:rPr>
                <w:rFonts w:ascii="宋体" w:hAnsi="宋体" w:cs="宋体" w:eastAsia="宋体" w:hint="default"/>
                <w:sz w:val="18"/>
                <w:szCs w:val="18"/>
              </w:rPr>
              <w:t> </w:t>
            </w:r>
            <w:r>
              <w:rPr>
                <w:rFonts w:ascii="宋体" w:hAnsi="宋体" w:cs="宋体" w:eastAsia="宋体" w:hint="default"/>
                <w:spacing w:val="14"/>
                <w:sz w:val="18"/>
                <w:szCs w:val="18"/>
              </w:rPr>
              <w:t>务框架协议》（</w:t>
            </w:r>
            <w:r>
              <w:rPr>
                <w:rFonts w:ascii="宋体" w:hAnsi="宋体" w:cs="宋体" w:eastAsia="宋体" w:hint="default"/>
                <w:spacing w:val="-70"/>
                <w:sz w:val="18"/>
                <w:szCs w:val="18"/>
              </w:rPr>
              <w:t> </w:t>
            </w:r>
            <w:r>
              <w:rPr>
                <w:rFonts w:ascii="宋体" w:hAnsi="宋体" w:cs="宋体" w:eastAsia="宋体" w:hint="default"/>
                <w:sz w:val="18"/>
                <w:szCs w:val="18"/>
              </w:rPr>
              <w:t>2018-2019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9"/>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青岛前湾联 合集装箱码 头有限责任 </w:t>
            </w:r>
            <w:r>
              <w:rPr>
                <w:rFonts w:ascii="宋体" w:hAnsi="宋体" w:cs="宋体" w:eastAsia="宋体" w:hint="default"/>
                <w:sz w:val="18"/>
                <w:szCs w:val="18"/>
              </w:rPr>
              <w:t>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4,190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4,500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公司及其子公司向青岛前湾联合集装箱码</w:t>
            </w:r>
            <w:r>
              <w:rPr>
                <w:rFonts w:ascii="宋体" w:hAnsi="宋体" w:cs="宋体" w:eastAsia="宋体" w:hint="default"/>
                <w:sz w:val="18"/>
                <w:szCs w:val="18"/>
              </w:rPr>
              <w:t> 头有限责任公司销售产品和服务</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17,176</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26,000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公司及其子公司向青岛前湾联合集装箱码</w:t>
            </w:r>
            <w:r>
              <w:rPr>
                <w:rFonts w:ascii="宋体" w:hAnsi="宋体" w:cs="宋体" w:eastAsia="宋体" w:hint="default"/>
                <w:sz w:val="18"/>
                <w:szCs w:val="18"/>
              </w:rPr>
              <w:t> 头有限责任公司出租资产</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978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1,600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22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公司及其子公司向青岛前湾联合集装箱码</w:t>
            </w:r>
            <w:r>
              <w:rPr>
                <w:rFonts w:ascii="宋体" w:hAnsi="宋体" w:cs="宋体" w:eastAsia="宋体" w:hint="default"/>
                <w:sz w:val="18"/>
                <w:szCs w:val="18"/>
              </w:rPr>
              <w:t> 头有限责任公司承租资产</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2,001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500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公司及其子公司向青岛前湾新联合集装箱</w:t>
            </w:r>
            <w:r>
              <w:rPr>
                <w:rFonts w:ascii="宋体" w:hAnsi="宋体" w:cs="宋体" w:eastAsia="宋体" w:hint="default"/>
                <w:sz w:val="18"/>
                <w:szCs w:val="18"/>
              </w:rPr>
              <w:t> 码头有限责任公司购买产品和服务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与青岛前湾新联合集装箱码</w:t>
            </w:r>
            <w:r>
              <w:rPr>
                <w:rFonts w:ascii="宋体" w:hAnsi="宋体" w:cs="宋体" w:eastAsia="宋体" w:hint="default"/>
                <w:sz w:val="18"/>
                <w:szCs w:val="18"/>
              </w:rPr>
              <w:t> </w:t>
            </w:r>
            <w:r>
              <w:rPr>
                <w:rFonts w:ascii="宋体" w:hAnsi="宋体" w:cs="宋体" w:eastAsia="宋体" w:hint="default"/>
                <w:spacing w:val="2"/>
                <w:sz w:val="18"/>
                <w:szCs w:val="18"/>
              </w:rPr>
              <w:t>头有限责任公司综合产品和</w:t>
            </w:r>
            <w:r>
              <w:rPr>
                <w:rFonts w:ascii="宋体" w:hAnsi="宋体" w:cs="宋体" w:eastAsia="宋体" w:hint="default"/>
                <w:sz w:val="18"/>
                <w:szCs w:val="18"/>
              </w:rPr>
              <w:t> </w:t>
            </w:r>
            <w:r>
              <w:rPr>
                <w:rFonts w:ascii="宋体" w:hAnsi="宋体" w:cs="宋体" w:eastAsia="宋体" w:hint="default"/>
                <w:spacing w:val="-4"/>
                <w:sz w:val="18"/>
                <w:szCs w:val="18"/>
              </w:rPr>
              <w:t>服务框架协议》（</w:t>
            </w:r>
            <w:r>
              <w:rPr>
                <w:rFonts w:ascii="宋体" w:hAnsi="宋体" w:cs="宋体" w:eastAsia="宋体" w:hint="default"/>
                <w:spacing w:val="-4"/>
                <w:sz w:val="18"/>
                <w:szCs w:val="18"/>
              </w:rPr>
              <w:t>2018-2019</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青岛前湾新 联合集装箱 码头有限责 </w:t>
            </w:r>
            <w:r>
              <w:rPr>
                <w:rFonts w:ascii="宋体" w:hAnsi="宋体" w:cs="宋体" w:eastAsia="宋体" w:hint="default"/>
                <w:sz w:val="18"/>
                <w:szCs w:val="18"/>
              </w:rPr>
              <w:t>任公司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159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250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公司及其子公司向青岛前湾新联合集装箱</w:t>
            </w:r>
            <w:r>
              <w:rPr>
                <w:rFonts w:ascii="宋体" w:hAnsi="宋体" w:cs="宋体" w:eastAsia="宋体" w:hint="default"/>
                <w:sz w:val="18"/>
                <w:szCs w:val="18"/>
              </w:rPr>
              <w:t> 码头有限责任公司销售产品和服务</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2,985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7,000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25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公司及其子公司向青岛前湾新联合集装箱</w:t>
            </w:r>
            <w:r>
              <w:rPr>
                <w:rFonts w:ascii="宋体" w:hAnsi="宋体" w:cs="宋体" w:eastAsia="宋体" w:hint="default"/>
                <w:sz w:val="18"/>
                <w:szCs w:val="18"/>
              </w:rPr>
              <w:t> 码头有限责任公司出租资产</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157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400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公司及其子公司向青岛长荣集装箱储运有</w:t>
            </w:r>
            <w:r>
              <w:rPr>
                <w:rFonts w:ascii="宋体" w:hAnsi="宋体" w:cs="宋体" w:eastAsia="宋体" w:hint="default"/>
                <w:sz w:val="18"/>
                <w:szCs w:val="18"/>
              </w:rPr>
              <w:t> 限公司购买产品和服务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7" w:lineRule="auto"/>
              <w:ind w:left="103" w:right="106"/>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与青岛长荣集装箱储运有限</w:t>
            </w:r>
            <w:r>
              <w:rPr>
                <w:rFonts w:ascii="宋体" w:hAnsi="宋体" w:cs="宋体" w:eastAsia="宋体" w:hint="default"/>
                <w:sz w:val="18"/>
                <w:szCs w:val="18"/>
              </w:rPr>
              <w:t> </w:t>
            </w:r>
            <w:r>
              <w:rPr>
                <w:rFonts w:ascii="宋体" w:hAnsi="宋体" w:cs="宋体" w:eastAsia="宋体" w:hint="default"/>
                <w:spacing w:val="2"/>
                <w:sz w:val="18"/>
                <w:szCs w:val="18"/>
              </w:rPr>
              <w:t>公司综合产品和服务框架协</w:t>
            </w:r>
            <w:r>
              <w:rPr>
                <w:rFonts w:ascii="宋体" w:hAnsi="宋体" w:cs="宋体" w:eastAsia="宋体" w:hint="default"/>
                <w:sz w:val="18"/>
                <w:szCs w:val="18"/>
              </w:rPr>
              <w:t> 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青岛长荣集 装箱储运有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96</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公司及其子公司向青岛长荣集装箱储运有</w:t>
            </w:r>
            <w:r>
              <w:rPr>
                <w:rFonts w:ascii="宋体" w:hAnsi="宋体" w:cs="宋体" w:eastAsia="宋体" w:hint="default"/>
                <w:sz w:val="18"/>
                <w:szCs w:val="18"/>
              </w:rPr>
              <w:t> 限公司销售产品和服务</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4,257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7,000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28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公司及其子公司向青岛长荣集装箱储运有</w:t>
            </w:r>
            <w:r>
              <w:rPr>
                <w:rFonts w:ascii="宋体" w:hAnsi="宋体" w:cs="宋体" w:eastAsia="宋体" w:hint="default"/>
                <w:sz w:val="18"/>
                <w:szCs w:val="18"/>
              </w:rPr>
              <w:t> 限公司出租资产</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998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1,600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29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公司及其子公司向华能青岛港务有限公司</w:t>
            </w:r>
            <w:r>
              <w:rPr>
                <w:rFonts w:ascii="宋体" w:hAnsi="宋体" w:cs="宋体" w:eastAsia="宋体" w:hint="default"/>
                <w:sz w:val="18"/>
                <w:szCs w:val="18"/>
              </w:rPr>
              <w:t> 购买产品和服务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34" w:lineRule="exact" w:before="43"/>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与华能青岛港务有限公司综</w:t>
            </w:r>
            <w:r>
              <w:rPr>
                <w:rFonts w:ascii="宋体" w:hAnsi="宋体" w:cs="宋体" w:eastAsia="宋体" w:hint="default"/>
                <w:sz w:val="18"/>
                <w:szCs w:val="18"/>
              </w:rPr>
              <w:t> </w:t>
            </w:r>
            <w:r>
              <w:rPr>
                <w:rFonts w:ascii="宋体" w:hAnsi="宋体" w:cs="宋体" w:eastAsia="宋体" w:hint="default"/>
                <w:spacing w:val="19"/>
                <w:sz w:val="18"/>
                <w:szCs w:val="18"/>
              </w:rPr>
              <w:t>合产品和服务框架协议》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2" w:lineRule="exact"/>
              <w:ind w:left="103" w:right="30"/>
              <w:jc w:val="left"/>
              <w:rPr>
                <w:rFonts w:ascii="宋体" w:hAnsi="宋体" w:cs="宋体" w:eastAsia="宋体" w:hint="default"/>
                <w:sz w:val="18"/>
                <w:szCs w:val="18"/>
              </w:rPr>
            </w:pPr>
            <w:r>
              <w:rPr>
                <w:rFonts w:ascii="宋体" w:hAnsi="宋体" w:cs="宋体" w:eastAsia="宋体" w:hint="default"/>
                <w:spacing w:val="4"/>
                <w:sz w:val="18"/>
                <w:szCs w:val="18"/>
              </w:rPr>
              <w:t>华能青岛港 </w:t>
            </w:r>
            <w:r>
              <w:rPr>
                <w:rFonts w:ascii="宋体" w:hAnsi="宋体" w:cs="宋体" w:eastAsia="宋体" w:hint="default"/>
                <w:sz w:val="18"/>
                <w:szCs w:val="18"/>
              </w:rPr>
              <w:t>务有限公司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3,167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4,500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30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公司及其子公司向华能青岛港务有限公司</w:t>
            </w:r>
            <w:r>
              <w:rPr>
                <w:rFonts w:ascii="宋体" w:hAnsi="宋体" w:cs="宋体" w:eastAsia="宋体" w:hint="default"/>
                <w:sz w:val="18"/>
                <w:szCs w:val="18"/>
              </w:rPr>
              <w:t> 销售产品和服务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221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1,000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7" w:right="0"/>
              <w:jc w:val="center"/>
              <w:rPr>
                <w:rFonts w:ascii="宋体" w:hAnsi="宋体" w:cs="宋体" w:eastAsia="宋体" w:hint="default"/>
                <w:sz w:val="18"/>
                <w:szCs w:val="18"/>
              </w:rPr>
            </w:pPr>
            <w:r>
              <w:rPr>
                <w:rFonts w:ascii="宋体"/>
                <w:sz w:val="18"/>
              </w:rPr>
              <w:t>31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公司及其子公司向威海青威集装箱码头有</w:t>
            </w:r>
            <w:r>
              <w:rPr>
                <w:rFonts w:ascii="宋体" w:hAnsi="宋体" w:cs="宋体" w:eastAsia="宋体" w:hint="default"/>
                <w:sz w:val="18"/>
                <w:szCs w:val="18"/>
              </w:rPr>
              <w:t> 限公司销售产品和服务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37" w:lineRule="auto"/>
              <w:ind w:left="103" w:right="106"/>
              <w:jc w:val="both"/>
              <w:rPr>
                <w:rFonts w:ascii="宋体" w:hAnsi="宋体" w:cs="宋体" w:eastAsia="宋体" w:hint="default"/>
                <w:sz w:val="18"/>
                <w:szCs w:val="18"/>
              </w:rPr>
            </w:pPr>
            <w:r>
              <w:rPr>
                <w:rFonts w:ascii="宋体" w:hAnsi="宋体" w:cs="宋体" w:eastAsia="宋体" w:hint="default"/>
                <w:spacing w:val="2"/>
                <w:sz w:val="18"/>
                <w:szCs w:val="18"/>
              </w:rPr>
              <w:t>与威海青威集装箱码头有限</w:t>
            </w:r>
            <w:r>
              <w:rPr>
                <w:rFonts w:ascii="宋体" w:hAnsi="宋体" w:cs="宋体" w:eastAsia="宋体" w:hint="default"/>
                <w:sz w:val="18"/>
                <w:szCs w:val="18"/>
              </w:rPr>
              <w:t> </w:t>
            </w:r>
            <w:r>
              <w:rPr>
                <w:rFonts w:ascii="宋体" w:hAnsi="宋体" w:cs="宋体" w:eastAsia="宋体" w:hint="default"/>
                <w:spacing w:val="2"/>
                <w:sz w:val="18"/>
                <w:szCs w:val="18"/>
              </w:rPr>
              <w:t>公司综合产品和服务框架协</w:t>
            </w:r>
            <w:r>
              <w:rPr>
                <w:rFonts w:ascii="宋体" w:hAnsi="宋体" w:cs="宋体" w:eastAsia="宋体" w:hint="default"/>
                <w:sz w:val="18"/>
                <w:szCs w:val="18"/>
              </w:rPr>
              <w:t> 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03" w:right="96"/>
              <w:jc w:val="both"/>
              <w:rPr>
                <w:rFonts w:ascii="宋体" w:hAnsi="宋体" w:cs="宋体" w:eastAsia="宋体" w:hint="default"/>
                <w:sz w:val="18"/>
                <w:szCs w:val="18"/>
              </w:rPr>
            </w:pPr>
            <w:r>
              <w:rPr>
                <w:rFonts w:ascii="宋体" w:hAnsi="宋体" w:cs="宋体" w:eastAsia="宋体" w:hint="default"/>
                <w:spacing w:val="4"/>
                <w:sz w:val="18"/>
                <w:szCs w:val="18"/>
              </w:rPr>
              <w:t>威海青威集 装箱码头有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122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200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7" w:right="0"/>
              <w:jc w:val="center"/>
              <w:rPr>
                <w:rFonts w:ascii="宋体" w:hAnsi="宋体" w:cs="宋体" w:eastAsia="宋体" w:hint="default"/>
                <w:sz w:val="18"/>
                <w:szCs w:val="18"/>
              </w:rPr>
            </w:pPr>
            <w:r>
              <w:rPr>
                <w:rFonts w:ascii="宋体"/>
                <w:sz w:val="18"/>
              </w:rPr>
              <w:t>32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公司及其子公司向青岛港华物流有限公司</w:t>
            </w:r>
            <w:r>
              <w:rPr>
                <w:rFonts w:ascii="宋体" w:hAnsi="宋体" w:cs="宋体" w:eastAsia="宋体" w:hint="default"/>
                <w:sz w:val="18"/>
                <w:szCs w:val="18"/>
              </w:rPr>
              <w:t> 销售产品和服务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2"/>
                <w:sz w:val="18"/>
                <w:szCs w:val="18"/>
              </w:rPr>
              <w:t>与青岛港华物流有限公司综</w:t>
            </w:r>
            <w:r>
              <w:rPr>
                <w:rFonts w:ascii="宋体" w:hAnsi="宋体" w:cs="宋体" w:eastAsia="宋体" w:hint="default"/>
                <w:sz w:val="18"/>
                <w:szCs w:val="18"/>
              </w:rPr>
              <w:t> </w:t>
            </w:r>
            <w:r>
              <w:rPr>
                <w:rFonts w:ascii="宋体" w:hAnsi="宋体" w:cs="宋体" w:eastAsia="宋体" w:hint="default"/>
                <w:spacing w:val="19"/>
                <w:sz w:val="18"/>
                <w:szCs w:val="18"/>
              </w:rPr>
              <w:t>合产品和服务框架协议》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30"/>
              <w:jc w:val="left"/>
              <w:rPr>
                <w:rFonts w:ascii="宋体" w:hAnsi="宋体" w:cs="宋体" w:eastAsia="宋体" w:hint="default"/>
                <w:sz w:val="18"/>
                <w:szCs w:val="18"/>
              </w:rPr>
            </w:pPr>
            <w:r>
              <w:rPr>
                <w:rFonts w:ascii="宋体" w:hAnsi="宋体" w:cs="宋体" w:eastAsia="宋体" w:hint="default"/>
                <w:spacing w:val="4"/>
                <w:sz w:val="18"/>
                <w:szCs w:val="18"/>
              </w:rPr>
              <w:t>青岛港华物 </w:t>
            </w:r>
            <w:r>
              <w:rPr>
                <w:rFonts w:ascii="宋体" w:hAnsi="宋体" w:cs="宋体" w:eastAsia="宋体" w:hint="default"/>
                <w:sz w:val="18"/>
                <w:szCs w:val="18"/>
              </w:rPr>
              <w:t>流有限公司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1,000 </w:t>
            </w:r>
          </w:p>
        </w:tc>
      </w:tr>
      <w:tr>
        <w:trPr>
          <w:trHeight w:val="943"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7" w:right="0"/>
              <w:jc w:val="center"/>
              <w:rPr>
                <w:rFonts w:ascii="宋体" w:hAnsi="宋体" w:cs="宋体" w:eastAsia="宋体" w:hint="default"/>
                <w:sz w:val="18"/>
                <w:szCs w:val="18"/>
              </w:rPr>
            </w:pPr>
            <w:r>
              <w:rPr>
                <w:rFonts w:ascii="宋体"/>
                <w:sz w:val="18"/>
              </w:rPr>
              <w:t>33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公司及其子公司向青岛港董家口中外运物</w:t>
            </w:r>
            <w:r>
              <w:rPr>
                <w:rFonts w:ascii="宋体" w:hAnsi="宋体" w:cs="宋体" w:eastAsia="宋体" w:hint="default"/>
                <w:sz w:val="18"/>
                <w:szCs w:val="18"/>
              </w:rPr>
              <w:t> 流有限公司销售产品和服务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p>
          <w:p>
            <w:pPr>
              <w:pStyle w:val="TableParagraph"/>
              <w:spacing w:line="232" w:lineRule="exact" w:before="24"/>
              <w:ind w:left="103" w:right="11"/>
              <w:jc w:val="both"/>
              <w:rPr>
                <w:rFonts w:ascii="宋体" w:hAnsi="宋体" w:cs="宋体" w:eastAsia="宋体" w:hint="default"/>
                <w:sz w:val="18"/>
                <w:szCs w:val="18"/>
              </w:rPr>
            </w:pPr>
            <w:r>
              <w:rPr>
                <w:rFonts w:ascii="宋体" w:hAnsi="宋体" w:cs="宋体" w:eastAsia="宋体" w:hint="default"/>
                <w:spacing w:val="2"/>
                <w:sz w:val="18"/>
                <w:szCs w:val="18"/>
              </w:rPr>
              <w:t>与青岛港董家口中外运物流</w:t>
            </w:r>
            <w:r>
              <w:rPr>
                <w:rFonts w:ascii="宋体" w:hAnsi="宋体" w:cs="宋体" w:eastAsia="宋体" w:hint="default"/>
                <w:sz w:val="18"/>
                <w:szCs w:val="18"/>
              </w:rPr>
              <w:t> </w:t>
            </w:r>
            <w:r>
              <w:rPr>
                <w:rFonts w:ascii="宋体" w:hAnsi="宋体" w:cs="宋体" w:eastAsia="宋体" w:hint="default"/>
                <w:spacing w:val="2"/>
                <w:sz w:val="18"/>
                <w:szCs w:val="18"/>
              </w:rPr>
              <w:t>有限公司综合产品和服务框</w:t>
            </w:r>
            <w:r>
              <w:rPr>
                <w:rFonts w:ascii="宋体" w:hAnsi="宋体" w:cs="宋体" w:eastAsia="宋体" w:hint="default"/>
                <w:sz w:val="18"/>
                <w:szCs w:val="18"/>
              </w:rPr>
              <w:t> </w:t>
            </w:r>
            <w:r>
              <w:rPr>
                <w:rFonts w:ascii="宋体" w:hAnsi="宋体" w:cs="宋体" w:eastAsia="宋体" w:hint="default"/>
                <w:spacing w:val="-2"/>
                <w:sz w:val="18"/>
                <w:szCs w:val="18"/>
              </w:rPr>
              <w:t>架协议》（</w:t>
            </w:r>
            <w:r>
              <w:rPr>
                <w:rFonts w:ascii="宋体" w:hAnsi="宋体" w:cs="宋体" w:eastAsia="宋体" w:hint="default"/>
                <w:spacing w:val="-2"/>
                <w:sz w:val="18"/>
                <w:szCs w:val="18"/>
              </w:rPr>
              <w:t>2018-2019</w:t>
            </w:r>
            <w:r>
              <w:rPr>
                <w:rFonts w:ascii="宋体" w:hAnsi="宋体" w:cs="宋体" w:eastAsia="宋体" w:hint="default"/>
                <w:spacing w:val="-28"/>
                <w:sz w:val="18"/>
                <w:szCs w:val="18"/>
              </w:rPr>
              <w:t> </w:t>
            </w:r>
            <w:r>
              <w:rPr>
                <w:rFonts w:ascii="宋体" w:hAnsi="宋体" w:cs="宋体" w:eastAsia="宋体" w:hint="default"/>
                <w:spacing w:val="-32"/>
                <w:sz w:val="18"/>
                <w:szCs w:val="18"/>
              </w:rPr>
              <w:t>年度）</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0"/>
              <w:jc w:val="both"/>
              <w:rPr>
                <w:rFonts w:ascii="宋体" w:hAnsi="宋体" w:cs="宋体" w:eastAsia="宋体" w:hint="default"/>
                <w:sz w:val="18"/>
                <w:szCs w:val="18"/>
              </w:rPr>
            </w:pPr>
            <w:r>
              <w:rPr>
                <w:rFonts w:ascii="宋体" w:hAnsi="宋体" w:cs="宋体" w:eastAsia="宋体" w:hint="default"/>
                <w:spacing w:val="4"/>
                <w:sz w:val="18"/>
                <w:szCs w:val="18"/>
              </w:rPr>
              <w:t>青岛港董家 口中外运物 </w:t>
            </w:r>
            <w:r>
              <w:rPr>
                <w:rFonts w:ascii="宋体" w:hAnsi="宋体" w:cs="宋体" w:eastAsia="宋体" w:hint="default"/>
                <w:sz w:val="18"/>
                <w:szCs w:val="18"/>
              </w:rPr>
              <w:t>流有限公司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200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34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9"/>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公司及其子公司向青岛港联海国际物流有</w:t>
            </w:r>
            <w:r>
              <w:rPr>
                <w:rFonts w:ascii="宋体" w:hAnsi="宋体" w:cs="宋体" w:eastAsia="宋体" w:hint="default"/>
                <w:sz w:val="18"/>
                <w:szCs w:val="18"/>
              </w:rPr>
              <w:t> 限公司购买产品和服务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32" w:lineRule="exact" w:before="45"/>
              <w:ind w:left="103" w:right="106"/>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与青岛港联海国际物流有限</w:t>
            </w:r>
            <w:r>
              <w:rPr>
                <w:rFonts w:ascii="宋体" w:hAnsi="宋体" w:cs="宋体" w:eastAsia="宋体" w:hint="default"/>
                <w:sz w:val="18"/>
                <w:szCs w:val="18"/>
              </w:rPr>
              <w:t> </w:t>
            </w:r>
            <w:r>
              <w:rPr>
                <w:rFonts w:ascii="宋体" w:hAnsi="宋体" w:cs="宋体" w:eastAsia="宋体" w:hint="default"/>
                <w:spacing w:val="2"/>
                <w:sz w:val="18"/>
                <w:szCs w:val="18"/>
              </w:rPr>
              <w:t>公司综合产品和服务框架协</w:t>
            </w:r>
            <w:r>
              <w:rPr>
                <w:rFonts w:ascii="宋体" w:hAnsi="宋体" w:cs="宋体" w:eastAsia="宋体" w:hint="default"/>
                <w:sz w:val="18"/>
                <w:szCs w:val="18"/>
              </w:rPr>
              <w:t> 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37" w:lineRule="auto" w:before="138"/>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青岛港联海 国际物流有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524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550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35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公司及其子公司向青岛港联海国际物流有</w:t>
            </w:r>
            <w:r>
              <w:rPr>
                <w:rFonts w:ascii="宋体" w:hAnsi="宋体" w:cs="宋体" w:eastAsia="宋体" w:hint="default"/>
                <w:sz w:val="18"/>
                <w:szCs w:val="18"/>
              </w:rPr>
              <w:t> 限公司销售产品和服务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2,339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2,000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36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公司及其子公司向青岛港（临沂）高速物</w:t>
            </w:r>
            <w:r>
              <w:rPr>
                <w:rFonts w:ascii="宋体" w:hAnsi="宋体" w:cs="宋体" w:eastAsia="宋体" w:hint="default"/>
                <w:sz w:val="18"/>
                <w:szCs w:val="18"/>
              </w:rPr>
              <w:t> 流有限公司购买产品和服务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37" w:lineRule="auto" w:before="20"/>
              <w:ind w:left="103" w:right="11"/>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与青岛港（临沂）高速物流</w:t>
            </w:r>
            <w:r>
              <w:rPr>
                <w:rFonts w:ascii="宋体" w:hAnsi="宋体" w:cs="宋体" w:eastAsia="宋体" w:hint="default"/>
                <w:sz w:val="18"/>
                <w:szCs w:val="18"/>
              </w:rPr>
              <w:t> </w:t>
            </w:r>
            <w:r>
              <w:rPr>
                <w:rFonts w:ascii="宋体" w:hAnsi="宋体" w:cs="宋体" w:eastAsia="宋体" w:hint="default"/>
                <w:spacing w:val="2"/>
                <w:sz w:val="18"/>
                <w:szCs w:val="18"/>
              </w:rPr>
              <w:t>有限公司综合产品和服务框</w:t>
            </w:r>
            <w:r>
              <w:rPr>
                <w:rFonts w:ascii="宋体" w:hAnsi="宋体" w:cs="宋体" w:eastAsia="宋体" w:hint="default"/>
                <w:sz w:val="18"/>
                <w:szCs w:val="18"/>
              </w:rPr>
              <w:t> </w:t>
            </w:r>
            <w:r>
              <w:rPr>
                <w:rFonts w:ascii="宋体" w:hAnsi="宋体" w:cs="宋体" w:eastAsia="宋体" w:hint="default"/>
                <w:spacing w:val="-2"/>
                <w:sz w:val="18"/>
                <w:szCs w:val="18"/>
              </w:rPr>
              <w:t>架协议》（</w:t>
            </w:r>
            <w:r>
              <w:rPr>
                <w:rFonts w:ascii="宋体" w:hAnsi="宋体" w:cs="宋体" w:eastAsia="宋体" w:hint="default"/>
                <w:spacing w:val="-2"/>
                <w:sz w:val="18"/>
                <w:szCs w:val="18"/>
              </w:rPr>
              <w:t>2018-2019</w:t>
            </w:r>
            <w:r>
              <w:rPr>
                <w:rFonts w:ascii="宋体" w:hAnsi="宋体" w:cs="宋体" w:eastAsia="宋体" w:hint="default"/>
                <w:spacing w:val="-28"/>
                <w:sz w:val="18"/>
                <w:szCs w:val="18"/>
              </w:rPr>
              <w:t> </w:t>
            </w:r>
            <w:r>
              <w:rPr>
                <w:rFonts w:ascii="宋体" w:hAnsi="宋体" w:cs="宋体" w:eastAsia="宋体" w:hint="default"/>
                <w:spacing w:val="-32"/>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32" w:lineRule="exact" w:before="160"/>
              <w:ind w:left="103" w:right="30"/>
              <w:jc w:val="both"/>
              <w:rPr>
                <w:rFonts w:ascii="宋体" w:hAnsi="宋体" w:cs="宋体" w:eastAsia="宋体" w:hint="default"/>
                <w:sz w:val="18"/>
                <w:szCs w:val="18"/>
              </w:rPr>
            </w:pPr>
            <w:r>
              <w:rPr>
                <w:rFonts w:ascii="宋体" w:hAnsi="宋体" w:cs="宋体" w:eastAsia="宋体" w:hint="default"/>
                <w:spacing w:val="4"/>
                <w:sz w:val="18"/>
                <w:szCs w:val="18"/>
              </w:rPr>
              <w:t>青岛港（临 沂）高速物 </w:t>
            </w:r>
            <w:r>
              <w:rPr>
                <w:rFonts w:ascii="宋体" w:hAnsi="宋体" w:cs="宋体" w:eastAsia="宋体" w:hint="default"/>
                <w:sz w:val="18"/>
                <w:szCs w:val="18"/>
              </w:rPr>
              <w:t>流有限公司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377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1,000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37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公司及其子公司向青岛港（临沂）高速物</w:t>
            </w:r>
            <w:r>
              <w:rPr>
                <w:rFonts w:ascii="宋体" w:hAnsi="宋体" w:cs="宋体" w:eastAsia="宋体" w:hint="default"/>
                <w:sz w:val="18"/>
                <w:szCs w:val="18"/>
              </w:rPr>
              <w:t> 流有限公司销售产品和服务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300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38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公司及其子公司向青岛西岸鑫通物流有限</w:t>
            </w:r>
            <w:r>
              <w:rPr>
                <w:rFonts w:ascii="宋体" w:hAnsi="宋体" w:cs="宋体" w:eastAsia="宋体" w:hint="default"/>
                <w:sz w:val="18"/>
                <w:szCs w:val="18"/>
              </w:rPr>
              <w:t> 公司销售产品和服务</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37" w:lineRule="auto" w:before="20"/>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《青岛港国际股份有限公司</w:t>
            </w:r>
            <w:r>
              <w:rPr>
                <w:rFonts w:ascii="宋体" w:hAnsi="宋体" w:cs="宋体" w:eastAsia="宋体" w:hint="default"/>
                <w:sz w:val="18"/>
                <w:szCs w:val="18"/>
              </w:rPr>
              <w:t> </w:t>
            </w:r>
            <w:r>
              <w:rPr>
                <w:rFonts w:ascii="宋体" w:hAnsi="宋体" w:cs="宋体" w:eastAsia="宋体" w:hint="default"/>
                <w:spacing w:val="2"/>
                <w:sz w:val="18"/>
                <w:szCs w:val="18"/>
              </w:rPr>
              <w:t>与青岛西岸鑫通物流有限公</w:t>
            </w:r>
            <w:r>
              <w:rPr>
                <w:rFonts w:ascii="宋体" w:hAnsi="宋体" w:cs="宋体" w:eastAsia="宋体" w:hint="default"/>
                <w:sz w:val="18"/>
                <w:szCs w:val="18"/>
              </w:rPr>
              <w:t> </w:t>
            </w:r>
            <w:r>
              <w:rPr>
                <w:rFonts w:ascii="宋体" w:hAnsi="宋体" w:cs="宋体" w:eastAsia="宋体" w:hint="default"/>
                <w:spacing w:val="19"/>
                <w:sz w:val="18"/>
                <w:szCs w:val="18"/>
              </w:rPr>
              <w:t>司综合产品和服务框架协</w:t>
            </w:r>
            <w:r>
              <w:rPr>
                <w:rFonts w:ascii="宋体" w:hAnsi="宋体" w:cs="宋体" w:eastAsia="宋体" w:hint="default"/>
                <w:spacing w:val="-69"/>
                <w:sz w:val="18"/>
                <w:szCs w:val="18"/>
              </w:rPr>
              <w:t> </w:t>
            </w:r>
            <w:r>
              <w:rPr>
                <w:rFonts w:ascii="宋体" w:hAnsi="宋体" w:cs="宋体" w:eastAsia="宋体" w:hint="default"/>
                <w:sz w:val="18"/>
                <w:szCs w:val="18"/>
              </w:rPr>
              <w:t>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32" w:lineRule="exact" w:before="160"/>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青岛西岸鑫 通物流有限 </w:t>
            </w:r>
            <w:r>
              <w:rPr>
                <w:rFonts w:ascii="宋体" w:hAnsi="宋体" w:cs="宋体" w:eastAsia="宋体" w:hint="default"/>
                <w:sz w:val="18"/>
                <w:szCs w:val="18"/>
              </w:rPr>
              <w:t>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460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200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39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公司及其子公司向青岛西岸鑫通物流有限</w:t>
            </w:r>
            <w:r>
              <w:rPr>
                <w:rFonts w:ascii="宋体" w:hAnsi="宋体" w:cs="宋体" w:eastAsia="宋体" w:hint="default"/>
                <w:sz w:val="18"/>
                <w:szCs w:val="18"/>
              </w:rPr>
              <w:t> 公司出租资产</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914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1,400 </w:t>
            </w:r>
          </w:p>
        </w:tc>
      </w:tr>
    </w:tbl>
    <w:p>
      <w:pPr>
        <w:spacing w:after="0" w:line="240" w:lineRule="auto"/>
        <w:jc w:val="right"/>
        <w:rPr>
          <w:rFonts w:ascii="宋体" w:hAnsi="宋体" w:cs="宋体" w:eastAsia="宋体" w:hint="default"/>
          <w:sz w:val="18"/>
          <w:szCs w:val="18"/>
        </w:rPr>
        <w:sectPr>
          <w:pgSz w:w="11910" w:h="16840"/>
          <w:pgMar w:header="880" w:footer="974" w:top="1120" w:bottom="1160" w:left="740" w:right="10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567"/>
        <w:gridCol w:w="3545"/>
        <w:gridCol w:w="2410"/>
        <w:gridCol w:w="1135"/>
        <w:gridCol w:w="1179"/>
        <w:gridCol w:w="1025"/>
      </w:tblGrid>
      <w:tr>
        <w:trPr>
          <w:trHeight w:val="51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87" w:right="9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9"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77" w:right="0"/>
              <w:jc w:val="left"/>
              <w:rPr>
                <w:rFonts w:ascii="宋体" w:hAnsi="宋体" w:cs="宋体" w:eastAsia="宋体" w:hint="default"/>
                <w:sz w:val="18"/>
                <w:szCs w:val="18"/>
              </w:rPr>
            </w:pPr>
            <w:r>
              <w:rPr>
                <w:rFonts w:ascii="宋体" w:hAnsi="宋体" w:cs="宋体" w:eastAsia="宋体" w:hint="default"/>
                <w:b/>
                <w:bCs/>
                <w:sz w:val="18"/>
                <w:szCs w:val="18"/>
              </w:rPr>
              <w:t>关联交易协议名称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0" w:right="0"/>
              <w:jc w:val="left"/>
              <w:rPr>
                <w:rFonts w:ascii="宋体" w:hAnsi="宋体" w:cs="宋体" w:eastAsia="宋体" w:hint="default"/>
                <w:sz w:val="18"/>
                <w:szCs w:val="18"/>
              </w:rPr>
            </w:pPr>
            <w:r>
              <w:rPr>
                <w:rFonts w:ascii="宋体" w:hAnsi="宋体" w:cs="宋体" w:eastAsia="宋体" w:hint="default"/>
                <w:b/>
                <w:bCs/>
                <w:sz w:val="18"/>
                <w:szCs w:val="18"/>
              </w:rPr>
              <w:t>关联交易方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31" w:right="42" w:firstLine="158"/>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实际发生额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43" w:right="56" w:firstLine="67"/>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预计金额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40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财务公司向青岛港集团及其子公司提供存</w:t>
            </w:r>
            <w:r>
              <w:rPr>
                <w:rFonts w:ascii="宋体" w:hAnsi="宋体" w:cs="宋体" w:eastAsia="宋体" w:hint="default"/>
                <w:sz w:val="18"/>
                <w:szCs w:val="18"/>
              </w:rPr>
              <w:t> 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2" w:lineRule="exact"/>
              <w:ind w:left="103" w:right="27"/>
              <w:jc w:val="both"/>
              <w:rPr>
                <w:rFonts w:ascii="宋体" w:hAnsi="宋体" w:cs="宋体" w:eastAsia="宋体" w:hint="default"/>
                <w:sz w:val="18"/>
                <w:szCs w:val="18"/>
              </w:rPr>
            </w:pPr>
            <w:r>
              <w:rPr>
                <w:rFonts w:ascii="宋体" w:hAnsi="宋体" w:cs="宋体" w:eastAsia="宋体" w:hint="default"/>
                <w:spacing w:val="2"/>
                <w:sz w:val="18"/>
                <w:szCs w:val="18"/>
              </w:rPr>
              <w:t>《青岛港（集团）有限公司</w:t>
            </w:r>
            <w:r>
              <w:rPr>
                <w:rFonts w:ascii="宋体" w:hAnsi="宋体" w:cs="宋体" w:eastAsia="宋体" w:hint="default"/>
                <w:sz w:val="18"/>
                <w:szCs w:val="18"/>
              </w:rPr>
              <w:t> </w:t>
            </w:r>
            <w:r>
              <w:rPr>
                <w:rFonts w:ascii="宋体" w:hAnsi="宋体" w:cs="宋体" w:eastAsia="宋体" w:hint="default"/>
                <w:spacing w:val="2"/>
                <w:sz w:val="18"/>
                <w:szCs w:val="18"/>
              </w:rPr>
              <w:t>与青岛港财务有限责任公司</w:t>
            </w:r>
            <w:r>
              <w:rPr>
                <w:rFonts w:ascii="宋体" w:hAnsi="宋体" w:cs="宋体" w:eastAsia="宋体" w:hint="default"/>
                <w:sz w:val="18"/>
                <w:szCs w:val="18"/>
              </w:rPr>
              <w:t> </w:t>
            </w:r>
            <w:r>
              <w:rPr>
                <w:rFonts w:ascii="宋体" w:hAnsi="宋体" w:cs="宋体" w:eastAsia="宋体" w:hint="default"/>
                <w:spacing w:val="64"/>
                <w:sz w:val="18"/>
                <w:szCs w:val="18"/>
              </w:rPr>
              <w:t>金融服务框架协议》</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青岛港（集 团）有限公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412,950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900,000</w:t>
            </w:r>
            <w:r>
              <w:rPr>
                <w:rFonts w:ascii="宋体"/>
                <w:sz w:val="18"/>
              </w:rPr>
              <w:t> </w:t>
            </w:r>
          </w:p>
        </w:tc>
      </w:tr>
      <w:tr>
        <w:trPr>
          <w:trHeight w:val="47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41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财务公司向青岛港集团及其子公司提供中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间业务服务</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650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42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财务公司向青岛港集团及其子公司提供贷</w:t>
            </w:r>
            <w:r>
              <w:rPr>
                <w:rFonts w:ascii="宋体" w:hAnsi="宋体" w:cs="宋体" w:eastAsia="宋体" w:hint="default"/>
                <w:sz w:val="18"/>
                <w:szCs w:val="18"/>
              </w:rPr>
              <w:t> 款服务最高余额（含应计利息）</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182,148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360,000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43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103" w:right="101"/>
              <w:jc w:val="left"/>
              <w:rPr>
                <w:rFonts w:ascii="宋体" w:hAnsi="宋体" w:cs="宋体" w:eastAsia="宋体" w:hint="default"/>
                <w:sz w:val="18"/>
                <w:szCs w:val="18"/>
              </w:rPr>
            </w:pPr>
            <w:r>
              <w:rPr>
                <w:rFonts w:ascii="宋体" w:hAnsi="宋体" w:cs="宋体" w:eastAsia="宋体" w:hint="default"/>
                <w:spacing w:val="4"/>
                <w:sz w:val="18"/>
                <w:szCs w:val="18"/>
              </w:rPr>
              <w:t>财务公司向青岛港董家口矿石码头有限公</w:t>
            </w:r>
            <w:r>
              <w:rPr>
                <w:rFonts w:ascii="宋体" w:hAnsi="宋体" w:cs="宋体" w:eastAsia="宋体" w:hint="default"/>
                <w:sz w:val="18"/>
                <w:szCs w:val="18"/>
              </w:rPr>
              <w:t> 司提供存款服务最高余额（含应计利息）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32" w:lineRule="exact"/>
              <w:ind w:left="103" w:right="106"/>
              <w:jc w:val="both"/>
              <w:rPr>
                <w:rFonts w:ascii="宋体" w:hAnsi="宋体" w:cs="宋体" w:eastAsia="宋体" w:hint="default"/>
                <w:sz w:val="18"/>
                <w:szCs w:val="18"/>
              </w:rPr>
            </w:pPr>
            <w:r>
              <w:rPr>
                <w:rFonts w:ascii="宋体" w:hAnsi="宋体" w:cs="宋体" w:eastAsia="宋体" w:hint="default"/>
                <w:spacing w:val="2"/>
                <w:sz w:val="18"/>
                <w:szCs w:val="18"/>
              </w:rPr>
              <w:t>《青岛港董家口矿石码头有</w:t>
            </w:r>
            <w:r>
              <w:rPr>
                <w:rFonts w:ascii="宋体" w:hAnsi="宋体" w:cs="宋体" w:eastAsia="宋体" w:hint="default"/>
                <w:sz w:val="18"/>
                <w:szCs w:val="18"/>
              </w:rPr>
              <w:t> </w:t>
            </w:r>
            <w:r>
              <w:rPr>
                <w:rFonts w:ascii="宋体" w:hAnsi="宋体" w:cs="宋体" w:eastAsia="宋体" w:hint="default"/>
                <w:spacing w:val="2"/>
                <w:sz w:val="18"/>
                <w:szCs w:val="18"/>
              </w:rPr>
              <w:t>限公司与青岛港财务有限责</w:t>
            </w:r>
            <w:r>
              <w:rPr>
                <w:rFonts w:ascii="宋体" w:hAnsi="宋体" w:cs="宋体" w:eastAsia="宋体" w:hint="default"/>
                <w:sz w:val="18"/>
                <w:szCs w:val="18"/>
              </w:rPr>
              <w:t> </w:t>
            </w:r>
            <w:r>
              <w:rPr>
                <w:rFonts w:ascii="宋体" w:hAnsi="宋体" w:cs="宋体" w:eastAsia="宋体" w:hint="default"/>
                <w:spacing w:val="2"/>
                <w:sz w:val="18"/>
                <w:szCs w:val="18"/>
              </w:rPr>
              <w:t>任公司金融服务框架协议》</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青岛港董家 口矿石码头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7,944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44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1"/>
              <w:jc w:val="left"/>
              <w:rPr>
                <w:rFonts w:ascii="宋体" w:hAnsi="宋体" w:cs="宋体" w:eastAsia="宋体" w:hint="default"/>
                <w:sz w:val="18"/>
                <w:szCs w:val="18"/>
              </w:rPr>
            </w:pPr>
            <w:r>
              <w:rPr>
                <w:rFonts w:ascii="宋体" w:hAnsi="宋体" w:cs="宋体" w:eastAsia="宋体" w:hint="default"/>
                <w:spacing w:val="4"/>
                <w:sz w:val="18"/>
                <w:szCs w:val="18"/>
              </w:rPr>
              <w:t>财务公司向青岛港董家口矿石码头有限公</w:t>
            </w:r>
            <w:r>
              <w:rPr>
                <w:rFonts w:ascii="宋体" w:hAnsi="宋体" w:cs="宋体" w:eastAsia="宋体" w:hint="default"/>
                <w:sz w:val="18"/>
                <w:szCs w:val="18"/>
              </w:rPr>
              <w:t> 司提供信贷服务最高余额（含应计利息）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24,539</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70,000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45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财务公司向青岛港董家口矿石码头有限公</w:t>
            </w:r>
            <w:r>
              <w:rPr>
                <w:rFonts w:ascii="宋体" w:hAnsi="宋体" w:cs="宋体" w:eastAsia="宋体" w:hint="default"/>
                <w:sz w:val="18"/>
                <w:szCs w:val="18"/>
              </w:rPr>
              <w:t> 司提供中间业务服务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71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46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财务公司向青岛前湾联合集装箱码头有限</w:t>
            </w:r>
          </w:p>
          <w:p>
            <w:pPr>
              <w:pStyle w:val="TableParagraph"/>
              <w:spacing w:line="232" w:lineRule="exact" w:before="23"/>
              <w:ind w:left="103" w:right="106"/>
              <w:jc w:val="left"/>
              <w:rPr>
                <w:rFonts w:ascii="宋体" w:hAnsi="宋体" w:cs="宋体" w:eastAsia="宋体" w:hint="default"/>
                <w:sz w:val="18"/>
                <w:szCs w:val="18"/>
              </w:rPr>
            </w:pPr>
            <w:r>
              <w:rPr>
                <w:rFonts w:ascii="宋体" w:hAnsi="宋体" w:cs="宋体" w:eastAsia="宋体" w:hint="default"/>
                <w:spacing w:val="4"/>
                <w:sz w:val="18"/>
                <w:szCs w:val="18"/>
              </w:rPr>
              <w:t>责任公司提供存款服务最高余额（含应计</w:t>
            </w:r>
            <w:r>
              <w:rPr>
                <w:rFonts w:ascii="宋体" w:hAnsi="宋体" w:cs="宋体" w:eastAsia="宋体" w:hint="default"/>
                <w:sz w:val="18"/>
                <w:szCs w:val="18"/>
              </w:rPr>
              <w:t> 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37" w:lineRule="auto"/>
              <w:ind w:left="103" w:right="90"/>
              <w:jc w:val="both"/>
              <w:rPr>
                <w:rFonts w:ascii="宋体" w:hAnsi="宋体" w:cs="宋体" w:eastAsia="宋体" w:hint="default"/>
                <w:sz w:val="18"/>
                <w:szCs w:val="18"/>
              </w:rPr>
            </w:pPr>
            <w:r>
              <w:rPr>
                <w:rFonts w:ascii="宋体" w:hAnsi="宋体" w:cs="宋体" w:eastAsia="宋体" w:hint="default"/>
                <w:spacing w:val="2"/>
                <w:sz w:val="18"/>
                <w:szCs w:val="18"/>
              </w:rPr>
              <w:t>《青岛前湾联合集装箱码头</w:t>
            </w:r>
            <w:r>
              <w:rPr>
                <w:rFonts w:ascii="宋体" w:hAnsi="宋体" w:cs="宋体" w:eastAsia="宋体" w:hint="default"/>
                <w:sz w:val="18"/>
                <w:szCs w:val="18"/>
              </w:rPr>
              <w:t> </w:t>
            </w:r>
            <w:r>
              <w:rPr>
                <w:rFonts w:ascii="宋体" w:hAnsi="宋体" w:cs="宋体" w:eastAsia="宋体" w:hint="default"/>
                <w:spacing w:val="2"/>
                <w:sz w:val="18"/>
                <w:szCs w:val="18"/>
              </w:rPr>
              <w:t>有限责任公司与青岛港财务</w:t>
            </w:r>
            <w:r>
              <w:rPr>
                <w:rFonts w:ascii="宋体" w:hAnsi="宋体" w:cs="宋体" w:eastAsia="宋体" w:hint="default"/>
                <w:sz w:val="18"/>
                <w:szCs w:val="18"/>
              </w:rPr>
              <w:t> </w:t>
            </w:r>
            <w:r>
              <w:rPr>
                <w:rFonts w:ascii="宋体" w:hAnsi="宋体" w:cs="宋体" w:eastAsia="宋体" w:hint="default"/>
                <w:spacing w:val="2"/>
                <w:sz w:val="18"/>
                <w:szCs w:val="18"/>
              </w:rPr>
              <w:t>有限责任公司金融服务框架</w:t>
            </w:r>
            <w:r>
              <w:rPr>
                <w:rFonts w:ascii="宋体" w:hAnsi="宋体" w:cs="宋体" w:eastAsia="宋体" w:hint="default"/>
                <w:sz w:val="18"/>
                <w:szCs w:val="18"/>
              </w:rPr>
              <w:t> 协议》（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青岛前湾联 合集装箱码 头有限责任 </w:t>
            </w:r>
            <w:r>
              <w:rPr>
                <w:rFonts w:ascii="宋体" w:hAnsi="宋体" w:cs="宋体" w:eastAsia="宋体" w:hint="default"/>
                <w:sz w:val="18"/>
                <w:szCs w:val="18"/>
              </w:rPr>
              <w:t>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24,320</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80,000</w:t>
            </w:r>
            <w:r>
              <w:rPr>
                <w:rFonts w:ascii="宋体"/>
                <w:sz w:val="18"/>
              </w:rPr>
              <w:t> </w:t>
            </w:r>
          </w:p>
        </w:tc>
      </w:tr>
      <w:tr>
        <w:trPr>
          <w:trHeight w:val="71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47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财务公司向青岛前湾联合集装箱码头有限</w:t>
            </w:r>
          </w:p>
          <w:p>
            <w:pPr>
              <w:pStyle w:val="TableParagraph"/>
              <w:spacing w:line="232" w:lineRule="exact" w:before="24"/>
              <w:ind w:left="103" w:right="106"/>
              <w:jc w:val="left"/>
              <w:rPr>
                <w:rFonts w:ascii="宋体" w:hAnsi="宋体" w:cs="宋体" w:eastAsia="宋体" w:hint="default"/>
                <w:sz w:val="18"/>
                <w:szCs w:val="18"/>
              </w:rPr>
            </w:pPr>
            <w:r>
              <w:rPr>
                <w:rFonts w:ascii="宋体" w:hAnsi="宋体" w:cs="宋体" w:eastAsia="宋体" w:hint="default"/>
                <w:spacing w:val="4"/>
                <w:sz w:val="18"/>
                <w:szCs w:val="18"/>
              </w:rPr>
              <w:t>责任公司提供信贷服务最高余额（含应计</w:t>
            </w:r>
            <w:r>
              <w:rPr>
                <w:rFonts w:ascii="宋体" w:hAnsi="宋体" w:cs="宋体" w:eastAsia="宋体" w:hint="default"/>
                <w:sz w:val="18"/>
                <w:szCs w:val="18"/>
              </w:rPr>
              <w:t> 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35,497</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48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财务公司向青岛前湾联合集装箱码头有限</w:t>
            </w:r>
            <w:r>
              <w:rPr>
                <w:rFonts w:ascii="宋体" w:hAnsi="宋体" w:cs="宋体" w:eastAsia="宋体" w:hint="default"/>
                <w:sz w:val="18"/>
                <w:szCs w:val="18"/>
              </w:rPr>
              <w:t> 责任公司提供中间业务服务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71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49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财务公司向青岛前湾新联合集装箱码头有</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限责任公司提供存款服务最高余额（含应</w:t>
            </w:r>
            <w:r>
              <w:rPr>
                <w:rFonts w:ascii="宋体" w:hAnsi="宋体" w:cs="宋体" w:eastAsia="宋体" w:hint="default"/>
                <w:sz w:val="18"/>
                <w:szCs w:val="18"/>
              </w:rPr>
              <w:t> 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7" w:lineRule="auto"/>
              <w:ind w:left="103" w:right="11"/>
              <w:jc w:val="both"/>
              <w:rPr>
                <w:rFonts w:ascii="宋体" w:hAnsi="宋体" w:cs="宋体" w:eastAsia="宋体" w:hint="default"/>
                <w:sz w:val="18"/>
                <w:szCs w:val="18"/>
              </w:rPr>
            </w:pPr>
            <w:r>
              <w:rPr>
                <w:rFonts w:ascii="宋体" w:hAnsi="宋体" w:cs="宋体" w:eastAsia="宋体" w:hint="default"/>
                <w:spacing w:val="2"/>
                <w:sz w:val="18"/>
                <w:szCs w:val="18"/>
              </w:rPr>
              <w:t>《青岛前湾新联合集装箱码</w:t>
            </w:r>
            <w:r>
              <w:rPr>
                <w:rFonts w:ascii="宋体" w:hAnsi="宋体" w:cs="宋体" w:eastAsia="宋体" w:hint="default"/>
                <w:sz w:val="18"/>
                <w:szCs w:val="18"/>
              </w:rPr>
              <w:t> </w:t>
            </w:r>
            <w:r>
              <w:rPr>
                <w:rFonts w:ascii="宋体" w:hAnsi="宋体" w:cs="宋体" w:eastAsia="宋体" w:hint="default"/>
                <w:spacing w:val="2"/>
                <w:sz w:val="18"/>
                <w:szCs w:val="18"/>
              </w:rPr>
              <w:t>头有限责任公司与青岛港财</w:t>
            </w:r>
            <w:r>
              <w:rPr>
                <w:rFonts w:ascii="宋体" w:hAnsi="宋体" w:cs="宋体" w:eastAsia="宋体" w:hint="default"/>
                <w:sz w:val="18"/>
                <w:szCs w:val="18"/>
              </w:rPr>
              <w:t> </w:t>
            </w:r>
            <w:r>
              <w:rPr>
                <w:rFonts w:ascii="宋体" w:hAnsi="宋体" w:cs="宋体" w:eastAsia="宋体" w:hint="default"/>
                <w:spacing w:val="2"/>
                <w:sz w:val="18"/>
                <w:szCs w:val="18"/>
              </w:rPr>
              <w:t>务有限责任公司金融服务框</w:t>
            </w:r>
            <w:r>
              <w:rPr>
                <w:rFonts w:ascii="宋体" w:hAnsi="宋体" w:cs="宋体" w:eastAsia="宋体" w:hint="default"/>
                <w:sz w:val="18"/>
                <w:szCs w:val="18"/>
              </w:rPr>
              <w:t> </w:t>
            </w:r>
            <w:r>
              <w:rPr>
                <w:rFonts w:ascii="宋体" w:hAnsi="宋体" w:cs="宋体" w:eastAsia="宋体" w:hint="default"/>
                <w:spacing w:val="-2"/>
                <w:sz w:val="18"/>
                <w:szCs w:val="18"/>
              </w:rPr>
              <w:t>架协议》（</w:t>
            </w:r>
            <w:r>
              <w:rPr>
                <w:rFonts w:ascii="宋体" w:hAnsi="宋体" w:cs="宋体" w:eastAsia="宋体" w:hint="default"/>
                <w:spacing w:val="-2"/>
                <w:sz w:val="18"/>
                <w:szCs w:val="18"/>
              </w:rPr>
              <w:t>2018-2019</w:t>
            </w:r>
            <w:r>
              <w:rPr>
                <w:rFonts w:ascii="宋体" w:hAnsi="宋体" w:cs="宋体" w:eastAsia="宋体" w:hint="default"/>
                <w:spacing w:val="-28"/>
                <w:sz w:val="18"/>
                <w:szCs w:val="18"/>
              </w:rPr>
              <w:t> </w:t>
            </w:r>
            <w:r>
              <w:rPr>
                <w:rFonts w:ascii="宋体" w:hAnsi="宋体" w:cs="宋体" w:eastAsia="宋体" w:hint="default"/>
                <w:spacing w:val="-32"/>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7" w:lineRule="auto"/>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青岛前湾新 联合集装箱 码头有限责 </w:t>
            </w:r>
            <w:r>
              <w:rPr>
                <w:rFonts w:ascii="宋体" w:hAnsi="宋体" w:cs="宋体" w:eastAsia="宋体" w:hint="default"/>
                <w:sz w:val="18"/>
                <w:szCs w:val="18"/>
              </w:rPr>
              <w:t>任公司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10,736</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710"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sz w:val="18"/>
              </w:rPr>
              <w:t>50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财务公司向青岛前湾新联合集装箱码头有</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4"/>
                <w:sz w:val="18"/>
                <w:szCs w:val="18"/>
              </w:rPr>
              <w:t>限责任公司提供信贷服务最高余额（含应</w:t>
            </w:r>
            <w:r>
              <w:rPr>
                <w:rFonts w:ascii="宋体" w:hAnsi="宋体" w:cs="宋体" w:eastAsia="宋体" w:hint="default"/>
                <w:sz w:val="18"/>
                <w:szCs w:val="18"/>
              </w:rPr>
              <w:t> 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3,547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51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财务公司向青岛前湾新联合集装箱码头有</w:t>
            </w:r>
            <w:r>
              <w:rPr>
                <w:rFonts w:ascii="宋体" w:hAnsi="宋体" w:cs="宋体" w:eastAsia="宋体" w:hint="default"/>
                <w:sz w:val="18"/>
                <w:szCs w:val="18"/>
              </w:rPr>
              <w:t> 限责任公司提供中间业务服务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52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财务公司向青岛长荣集装箱储运有限公司</w:t>
            </w:r>
            <w:r>
              <w:rPr>
                <w:rFonts w:ascii="宋体" w:hAnsi="宋体" w:cs="宋体" w:eastAsia="宋体" w:hint="default"/>
                <w:sz w:val="18"/>
                <w:szCs w:val="18"/>
              </w:rPr>
              <w:t> 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《青岛长荣集装箱储运有限</w:t>
            </w:r>
            <w:r>
              <w:rPr>
                <w:rFonts w:ascii="宋体" w:hAnsi="宋体" w:cs="宋体" w:eastAsia="宋体" w:hint="default"/>
                <w:sz w:val="18"/>
                <w:szCs w:val="18"/>
              </w:rPr>
              <w:t> </w:t>
            </w:r>
            <w:r>
              <w:rPr>
                <w:rFonts w:ascii="宋体" w:hAnsi="宋体" w:cs="宋体" w:eastAsia="宋体" w:hint="default"/>
                <w:spacing w:val="2"/>
                <w:sz w:val="18"/>
                <w:szCs w:val="18"/>
              </w:rPr>
              <w:t>公司与青岛港财务有限责任</w:t>
            </w:r>
            <w:r>
              <w:rPr>
                <w:rFonts w:ascii="宋体" w:hAnsi="宋体" w:cs="宋体" w:eastAsia="宋体" w:hint="default"/>
                <w:sz w:val="18"/>
                <w:szCs w:val="18"/>
              </w:rPr>
              <w:t> </w:t>
            </w:r>
            <w:r>
              <w:rPr>
                <w:rFonts w:ascii="宋体" w:hAnsi="宋体" w:cs="宋体" w:eastAsia="宋体" w:hint="default"/>
                <w:spacing w:val="19"/>
                <w:sz w:val="18"/>
                <w:szCs w:val="18"/>
              </w:rPr>
              <w:t>公司金融服务框架协议》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青岛长荣集 装箱储运有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1,926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53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财务公司向青岛长荣集装箱储运有限公司</w:t>
            </w:r>
            <w:r>
              <w:rPr>
                <w:rFonts w:ascii="宋体" w:hAnsi="宋体" w:cs="宋体" w:eastAsia="宋体" w:hint="default"/>
                <w:sz w:val="18"/>
                <w:szCs w:val="18"/>
              </w:rPr>
              <w:t> 提供信贷服务最高余额（含应计利息）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54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财务公司向青岛长荣集装箱储运有限公司</w:t>
            </w:r>
            <w:r>
              <w:rPr>
                <w:rFonts w:ascii="宋体" w:hAnsi="宋体" w:cs="宋体" w:eastAsia="宋体" w:hint="default"/>
                <w:sz w:val="18"/>
                <w:szCs w:val="18"/>
              </w:rPr>
              <w:t> 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55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财务公司向华能青岛港务有限公司提供存</w:t>
            </w:r>
            <w:r>
              <w:rPr>
                <w:rFonts w:ascii="宋体" w:hAnsi="宋体" w:cs="宋体" w:eastAsia="宋体" w:hint="default"/>
                <w:sz w:val="18"/>
                <w:szCs w:val="18"/>
              </w:rPr>
              <w:t> 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2"/>
                <w:sz w:val="18"/>
                <w:szCs w:val="18"/>
              </w:rPr>
              <w:t>《华能青岛港务有限公司与</w:t>
            </w:r>
            <w:r>
              <w:rPr>
                <w:rFonts w:ascii="宋体" w:hAnsi="宋体" w:cs="宋体" w:eastAsia="宋体" w:hint="default"/>
                <w:sz w:val="18"/>
                <w:szCs w:val="18"/>
              </w:rPr>
              <w:t> </w:t>
            </w:r>
            <w:r>
              <w:rPr>
                <w:rFonts w:ascii="宋体" w:hAnsi="宋体" w:cs="宋体" w:eastAsia="宋体" w:hint="default"/>
                <w:spacing w:val="2"/>
                <w:sz w:val="18"/>
                <w:szCs w:val="18"/>
              </w:rPr>
              <w:t>青岛港财务有限责任公司金</w:t>
            </w:r>
            <w:r>
              <w:rPr>
                <w:rFonts w:ascii="宋体" w:hAnsi="宋体" w:cs="宋体" w:eastAsia="宋体" w:hint="default"/>
                <w:sz w:val="18"/>
                <w:szCs w:val="18"/>
              </w:rPr>
              <w:t> 融 服 务 框 架 协 议 </w:t>
            </w:r>
            <w:r>
              <w:rPr>
                <w:rFonts w:ascii="宋体" w:hAnsi="宋体" w:cs="宋体" w:eastAsia="宋体" w:hint="default"/>
                <w:spacing w:val="35"/>
                <w:sz w:val="18"/>
                <w:szCs w:val="18"/>
              </w:rPr>
              <w:t> </w:t>
            </w:r>
            <w:r>
              <w:rPr>
                <w:rFonts w:ascii="宋体" w:hAnsi="宋体" w:cs="宋体" w:eastAsia="宋体" w:hint="default"/>
                <w:sz w:val="18"/>
                <w:szCs w:val="18"/>
              </w:rPr>
              <w:t>》</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30"/>
              <w:jc w:val="left"/>
              <w:rPr>
                <w:rFonts w:ascii="宋体" w:hAnsi="宋体" w:cs="宋体" w:eastAsia="宋体" w:hint="default"/>
                <w:sz w:val="18"/>
                <w:szCs w:val="18"/>
              </w:rPr>
            </w:pPr>
            <w:r>
              <w:rPr>
                <w:rFonts w:ascii="宋体" w:hAnsi="宋体" w:cs="宋体" w:eastAsia="宋体" w:hint="default"/>
                <w:spacing w:val="4"/>
                <w:sz w:val="18"/>
                <w:szCs w:val="18"/>
              </w:rPr>
              <w:t>华能青岛港 </w:t>
            </w:r>
            <w:r>
              <w:rPr>
                <w:rFonts w:ascii="宋体" w:hAnsi="宋体" w:cs="宋体" w:eastAsia="宋体" w:hint="default"/>
                <w:sz w:val="18"/>
                <w:szCs w:val="18"/>
              </w:rPr>
              <w:t>务有限公司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4,020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56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财务公司向华能青岛港务有限公司提供信</w:t>
            </w:r>
            <w:r>
              <w:rPr>
                <w:rFonts w:ascii="宋体" w:hAnsi="宋体" w:cs="宋体" w:eastAsia="宋体" w:hint="default"/>
                <w:sz w:val="18"/>
                <w:szCs w:val="18"/>
              </w:rPr>
              <w:t> 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47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57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财务公司向华能青岛港务有限公司提供中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1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7" w:right="0"/>
              <w:jc w:val="center"/>
              <w:rPr>
                <w:rFonts w:ascii="宋体" w:hAnsi="宋体" w:cs="宋体" w:eastAsia="宋体" w:hint="default"/>
                <w:sz w:val="18"/>
                <w:szCs w:val="18"/>
              </w:rPr>
            </w:pPr>
            <w:r>
              <w:rPr>
                <w:rFonts w:ascii="宋体"/>
                <w:sz w:val="18"/>
              </w:rPr>
              <w:t>58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财务公司向青岛港华物流有限公司提供存</w:t>
            </w:r>
            <w:r>
              <w:rPr>
                <w:rFonts w:ascii="宋体" w:hAnsi="宋体" w:cs="宋体" w:eastAsia="宋体" w:hint="default"/>
                <w:sz w:val="18"/>
                <w:szCs w:val="18"/>
              </w:rPr>
              <w:t> 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2"/>
                <w:sz w:val="18"/>
                <w:szCs w:val="18"/>
              </w:rPr>
              <w:t>《青岛港华物流有限公司与</w:t>
            </w:r>
            <w:r>
              <w:rPr>
                <w:rFonts w:ascii="宋体" w:hAnsi="宋体" w:cs="宋体" w:eastAsia="宋体" w:hint="default"/>
                <w:sz w:val="18"/>
                <w:szCs w:val="18"/>
              </w:rPr>
              <w:t> </w:t>
            </w:r>
            <w:r>
              <w:rPr>
                <w:rFonts w:ascii="宋体" w:hAnsi="宋体" w:cs="宋体" w:eastAsia="宋体" w:hint="default"/>
                <w:spacing w:val="2"/>
                <w:sz w:val="18"/>
                <w:szCs w:val="18"/>
              </w:rPr>
              <w:t>青岛港财务有限责任公司金</w:t>
            </w:r>
            <w:r>
              <w:rPr>
                <w:rFonts w:ascii="宋体" w:hAnsi="宋体" w:cs="宋体" w:eastAsia="宋体" w:hint="default"/>
                <w:sz w:val="18"/>
                <w:szCs w:val="18"/>
              </w:rPr>
              <w:t> 融 服 务 框 架 协 议 </w:t>
            </w:r>
            <w:r>
              <w:rPr>
                <w:rFonts w:ascii="宋体" w:hAnsi="宋体" w:cs="宋体" w:eastAsia="宋体" w:hint="default"/>
                <w:spacing w:val="35"/>
                <w:sz w:val="18"/>
                <w:szCs w:val="18"/>
              </w:rPr>
              <w:t> </w:t>
            </w:r>
            <w:r>
              <w:rPr>
                <w:rFonts w:ascii="宋体" w:hAnsi="宋体" w:cs="宋体" w:eastAsia="宋体" w:hint="default"/>
                <w:sz w:val="18"/>
                <w:szCs w:val="18"/>
              </w:rPr>
              <w:t>》</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30"/>
              <w:jc w:val="left"/>
              <w:rPr>
                <w:rFonts w:ascii="宋体" w:hAnsi="宋体" w:cs="宋体" w:eastAsia="宋体" w:hint="default"/>
                <w:sz w:val="18"/>
                <w:szCs w:val="18"/>
              </w:rPr>
            </w:pPr>
            <w:r>
              <w:rPr>
                <w:rFonts w:ascii="宋体" w:hAnsi="宋体" w:cs="宋体" w:eastAsia="宋体" w:hint="default"/>
                <w:spacing w:val="4"/>
                <w:sz w:val="18"/>
                <w:szCs w:val="18"/>
              </w:rPr>
              <w:t>青岛港华物 </w:t>
            </w:r>
            <w:r>
              <w:rPr>
                <w:rFonts w:ascii="宋体" w:hAnsi="宋体" w:cs="宋体" w:eastAsia="宋体" w:hint="default"/>
                <w:sz w:val="18"/>
                <w:szCs w:val="18"/>
              </w:rPr>
              <w:t>流有限公司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1"/>
              <w:jc w:val="right"/>
              <w:rPr>
                <w:rFonts w:ascii="宋体" w:hAnsi="宋体" w:cs="宋体" w:eastAsia="宋体" w:hint="default"/>
                <w:sz w:val="18"/>
                <w:szCs w:val="18"/>
              </w:rPr>
            </w:pPr>
            <w:r>
              <w:rPr>
                <w:rFonts w:ascii="宋体"/>
                <w:sz w:val="18"/>
              </w:rPr>
              <w:t>1,524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59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财务公司向青岛港华物流有限公司提供信</w:t>
            </w:r>
            <w:r>
              <w:rPr>
                <w:rFonts w:ascii="宋体" w:hAnsi="宋体" w:cs="宋体" w:eastAsia="宋体" w:hint="default"/>
                <w:sz w:val="18"/>
                <w:szCs w:val="18"/>
              </w:rPr>
              <w:t> 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47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60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财务公司向青岛港华物流有限公司提供中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61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1"/>
              <w:jc w:val="left"/>
              <w:rPr>
                <w:rFonts w:ascii="宋体" w:hAnsi="宋体" w:cs="宋体" w:eastAsia="宋体" w:hint="default"/>
                <w:sz w:val="18"/>
                <w:szCs w:val="18"/>
              </w:rPr>
            </w:pPr>
            <w:r>
              <w:rPr>
                <w:rFonts w:ascii="宋体" w:hAnsi="宋体" w:cs="宋体" w:eastAsia="宋体" w:hint="default"/>
                <w:spacing w:val="4"/>
                <w:sz w:val="18"/>
                <w:szCs w:val="18"/>
              </w:rPr>
              <w:t>财务公司向青岛港董家口中外运物流有限</w:t>
            </w:r>
            <w:r>
              <w:rPr>
                <w:rFonts w:ascii="宋体" w:hAnsi="宋体" w:cs="宋体" w:eastAsia="宋体" w:hint="default"/>
                <w:sz w:val="18"/>
                <w:szCs w:val="18"/>
              </w:rPr>
              <w:t> </w:t>
            </w:r>
            <w:r>
              <w:rPr>
                <w:rFonts w:ascii="宋体" w:hAnsi="宋体" w:cs="宋体" w:eastAsia="宋体" w:hint="default"/>
                <w:spacing w:val="-5"/>
                <w:sz w:val="18"/>
                <w:szCs w:val="18"/>
              </w:rPr>
              <w:t>公司提供存款服务最高余额（含应计利息）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《青岛港董家口中外运物流</w:t>
            </w:r>
            <w:r>
              <w:rPr>
                <w:rFonts w:ascii="宋体" w:hAnsi="宋体" w:cs="宋体" w:eastAsia="宋体" w:hint="default"/>
                <w:sz w:val="18"/>
                <w:szCs w:val="18"/>
              </w:rPr>
              <w:t> </w:t>
            </w:r>
            <w:r>
              <w:rPr>
                <w:rFonts w:ascii="宋体" w:hAnsi="宋体" w:cs="宋体" w:eastAsia="宋体" w:hint="default"/>
                <w:spacing w:val="2"/>
                <w:sz w:val="18"/>
                <w:szCs w:val="18"/>
              </w:rPr>
              <w:t>有限公司与青岛港财务有限</w:t>
            </w:r>
            <w:r>
              <w:rPr>
                <w:rFonts w:ascii="宋体" w:hAnsi="宋体" w:cs="宋体" w:eastAsia="宋体" w:hint="default"/>
                <w:sz w:val="18"/>
                <w:szCs w:val="18"/>
              </w:rPr>
              <w:t> </w:t>
            </w:r>
            <w:r>
              <w:rPr>
                <w:rFonts w:ascii="宋体" w:hAnsi="宋体" w:cs="宋体" w:eastAsia="宋体" w:hint="default"/>
                <w:spacing w:val="19"/>
                <w:sz w:val="18"/>
                <w:szCs w:val="18"/>
              </w:rPr>
              <w:t>责任公司金融服务框架协</w:t>
            </w:r>
            <w:r>
              <w:rPr>
                <w:rFonts w:ascii="宋体" w:hAnsi="宋体" w:cs="宋体" w:eastAsia="宋体" w:hint="default"/>
                <w:spacing w:val="-69"/>
                <w:sz w:val="18"/>
                <w:szCs w:val="18"/>
              </w:rPr>
              <w:t> </w:t>
            </w:r>
            <w:r>
              <w:rPr>
                <w:rFonts w:ascii="宋体" w:hAnsi="宋体" w:cs="宋体" w:eastAsia="宋体" w:hint="default"/>
                <w:sz w:val="18"/>
                <w:szCs w:val="18"/>
              </w:rPr>
              <w:t>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2" w:lineRule="exact"/>
              <w:ind w:left="103" w:right="30"/>
              <w:jc w:val="both"/>
              <w:rPr>
                <w:rFonts w:ascii="宋体" w:hAnsi="宋体" w:cs="宋体" w:eastAsia="宋体" w:hint="default"/>
                <w:sz w:val="18"/>
                <w:szCs w:val="18"/>
              </w:rPr>
            </w:pPr>
            <w:r>
              <w:rPr>
                <w:rFonts w:ascii="宋体" w:hAnsi="宋体" w:cs="宋体" w:eastAsia="宋体" w:hint="default"/>
                <w:spacing w:val="4"/>
                <w:sz w:val="18"/>
                <w:szCs w:val="18"/>
              </w:rPr>
              <w:t>青岛港董家 口中外运物 </w:t>
            </w:r>
            <w:r>
              <w:rPr>
                <w:rFonts w:ascii="宋体" w:hAnsi="宋体" w:cs="宋体" w:eastAsia="宋体" w:hint="default"/>
                <w:sz w:val="18"/>
                <w:szCs w:val="18"/>
              </w:rPr>
              <w:t>流有限公司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2,635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62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11"/>
              <w:jc w:val="left"/>
              <w:rPr>
                <w:rFonts w:ascii="宋体" w:hAnsi="宋体" w:cs="宋体" w:eastAsia="宋体" w:hint="default"/>
                <w:sz w:val="18"/>
                <w:szCs w:val="18"/>
              </w:rPr>
            </w:pPr>
            <w:r>
              <w:rPr>
                <w:rFonts w:ascii="宋体" w:hAnsi="宋体" w:cs="宋体" w:eastAsia="宋体" w:hint="default"/>
                <w:spacing w:val="4"/>
                <w:sz w:val="18"/>
                <w:szCs w:val="18"/>
              </w:rPr>
              <w:t>财务公司向青岛港董家口中外运物流有限</w:t>
            </w:r>
            <w:r>
              <w:rPr>
                <w:rFonts w:ascii="宋体" w:hAnsi="宋体" w:cs="宋体" w:eastAsia="宋体" w:hint="default"/>
                <w:sz w:val="18"/>
                <w:szCs w:val="18"/>
              </w:rPr>
              <w:t> </w:t>
            </w:r>
            <w:r>
              <w:rPr>
                <w:rFonts w:ascii="宋体" w:hAnsi="宋体" w:cs="宋体" w:eastAsia="宋体" w:hint="default"/>
                <w:spacing w:val="-5"/>
                <w:sz w:val="18"/>
                <w:szCs w:val="18"/>
              </w:rPr>
              <w:t>公司提供信贷服务最高余额（含应计利息）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63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财务公司向青岛港董家口中外运物流有限</w:t>
            </w:r>
            <w:r>
              <w:rPr>
                <w:rFonts w:ascii="宋体" w:hAnsi="宋体" w:cs="宋体" w:eastAsia="宋体" w:hint="default"/>
                <w:sz w:val="18"/>
                <w:szCs w:val="18"/>
              </w:rPr>
              <w:t> 公司提供中间业务服务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120" w:bottom="1160" w:left="740" w:right="10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567"/>
        <w:gridCol w:w="3545"/>
        <w:gridCol w:w="2410"/>
        <w:gridCol w:w="1135"/>
        <w:gridCol w:w="1179"/>
        <w:gridCol w:w="1025"/>
      </w:tblGrid>
      <w:tr>
        <w:trPr>
          <w:trHeight w:val="519"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87" w:right="98"/>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89"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77" w:right="0"/>
              <w:jc w:val="left"/>
              <w:rPr>
                <w:rFonts w:ascii="宋体" w:hAnsi="宋体" w:cs="宋体" w:eastAsia="宋体" w:hint="default"/>
                <w:sz w:val="18"/>
                <w:szCs w:val="18"/>
              </w:rPr>
            </w:pPr>
            <w:r>
              <w:rPr>
                <w:rFonts w:ascii="宋体" w:hAnsi="宋体" w:cs="宋体" w:eastAsia="宋体" w:hint="default"/>
                <w:b/>
                <w:bCs/>
                <w:sz w:val="18"/>
                <w:szCs w:val="18"/>
              </w:rPr>
              <w:t>关联交易协议名称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0" w:right="0"/>
              <w:jc w:val="left"/>
              <w:rPr>
                <w:rFonts w:ascii="宋体" w:hAnsi="宋体" w:cs="宋体" w:eastAsia="宋体" w:hint="default"/>
                <w:sz w:val="18"/>
                <w:szCs w:val="18"/>
              </w:rPr>
            </w:pPr>
            <w:r>
              <w:rPr>
                <w:rFonts w:ascii="宋体" w:hAnsi="宋体" w:cs="宋体" w:eastAsia="宋体" w:hint="default"/>
                <w:b/>
                <w:bCs/>
                <w:sz w:val="18"/>
                <w:szCs w:val="18"/>
              </w:rPr>
              <w:t>关联交易方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31" w:right="42" w:firstLine="158"/>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实际发生额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43" w:right="56" w:firstLine="67"/>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预计金额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64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财务公司向威海青威集装箱码头有限公司</w:t>
            </w:r>
            <w:r>
              <w:rPr>
                <w:rFonts w:ascii="宋体" w:hAnsi="宋体" w:cs="宋体" w:eastAsia="宋体" w:hint="default"/>
                <w:sz w:val="18"/>
                <w:szCs w:val="18"/>
              </w:rPr>
              <w:t> 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32" w:lineRule="exact"/>
              <w:ind w:left="103" w:right="77"/>
              <w:jc w:val="both"/>
              <w:rPr>
                <w:rFonts w:ascii="宋体" w:hAnsi="宋体" w:cs="宋体" w:eastAsia="宋体" w:hint="default"/>
                <w:sz w:val="18"/>
                <w:szCs w:val="18"/>
              </w:rPr>
            </w:pPr>
            <w:r>
              <w:rPr>
                <w:rFonts w:ascii="宋体" w:hAnsi="宋体" w:cs="宋体" w:eastAsia="宋体" w:hint="default"/>
                <w:spacing w:val="2"/>
                <w:sz w:val="18"/>
                <w:szCs w:val="18"/>
              </w:rPr>
              <w:t>《威海青威集装箱码头有限</w:t>
            </w:r>
            <w:r>
              <w:rPr>
                <w:rFonts w:ascii="宋体" w:hAnsi="宋体" w:cs="宋体" w:eastAsia="宋体" w:hint="default"/>
                <w:sz w:val="18"/>
                <w:szCs w:val="18"/>
              </w:rPr>
              <w:t> </w:t>
            </w:r>
            <w:r>
              <w:rPr>
                <w:rFonts w:ascii="宋体" w:hAnsi="宋体" w:cs="宋体" w:eastAsia="宋体" w:hint="default"/>
                <w:spacing w:val="2"/>
                <w:sz w:val="18"/>
                <w:szCs w:val="18"/>
              </w:rPr>
              <w:t>公司与青岛港财务有限责任</w:t>
            </w:r>
            <w:r>
              <w:rPr>
                <w:rFonts w:ascii="宋体" w:hAnsi="宋体" w:cs="宋体" w:eastAsia="宋体" w:hint="default"/>
                <w:sz w:val="18"/>
                <w:szCs w:val="18"/>
              </w:rPr>
              <w:t> </w:t>
            </w:r>
            <w:r>
              <w:rPr>
                <w:rFonts w:ascii="宋体" w:hAnsi="宋体" w:cs="宋体" w:eastAsia="宋体" w:hint="default"/>
                <w:spacing w:val="19"/>
                <w:sz w:val="18"/>
                <w:szCs w:val="18"/>
              </w:rPr>
              <w:t>公司金融服务框架协议》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威海青威集 装箱码头有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500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65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财务公司向威海青威集装箱码头有限公司</w:t>
            </w:r>
            <w:r>
              <w:rPr>
                <w:rFonts w:ascii="宋体" w:hAnsi="宋体" w:cs="宋体" w:eastAsia="宋体" w:hint="default"/>
                <w:sz w:val="18"/>
                <w:szCs w:val="18"/>
              </w:rPr>
              <w:t> 提供信贷服务最高余额（含应计利息）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66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财务公司向威海青威集装箱码头有限公司</w:t>
            </w:r>
            <w:r>
              <w:rPr>
                <w:rFonts w:ascii="宋体" w:hAnsi="宋体" w:cs="宋体" w:eastAsia="宋体" w:hint="default"/>
                <w:sz w:val="18"/>
                <w:szCs w:val="18"/>
              </w:rPr>
              <w:t> 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67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1"/>
              <w:jc w:val="left"/>
              <w:rPr>
                <w:rFonts w:ascii="宋体" w:hAnsi="宋体" w:cs="宋体" w:eastAsia="宋体" w:hint="default"/>
                <w:sz w:val="18"/>
                <w:szCs w:val="18"/>
              </w:rPr>
            </w:pPr>
            <w:r>
              <w:rPr>
                <w:rFonts w:ascii="宋体" w:hAnsi="宋体" w:cs="宋体" w:eastAsia="宋体" w:hint="default"/>
                <w:spacing w:val="4"/>
                <w:sz w:val="18"/>
                <w:szCs w:val="18"/>
              </w:rPr>
              <w:t>财务公司向青岛港（临沂）高速物流有限</w:t>
            </w:r>
            <w:r>
              <w:rPr>
                <w:rFonts w:ascii="宋体" w:hAnsi="宋体" w:cs="宋体" w:eastAsia="宋体" w:hint="default"/>
                <w:sz w:val="18"/>
                <w:szCs w:val="18"/>
              </w:rPr>
              <w:t> </w:t>
            </w:r>
            <w:r>
              <w:rPr>
                <w:rFonts w:ascii="宋体" w:hAnsi="宋体" w:cs="宋体" w:eastAsia="宋体" w:hint="default"/>
                <w:spacing w:val="-5"/>
                <w:sz w:val="18"/>
                <w:szCs w:val="18"/>
              </w:rPr>
              <w:t>公司提供存款服务最高余额（含应计利息）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《青岛港（临沂）高速物流</w:t>
            </w:r>
            <w:r>
              <w:rPr>
                <w:rFonts w:ascii="宋体" w:hAnsi="宋体" w:cs="宋体" w:eastAsia="宋体" w:hint="default"/>
                <w:sz w:val="18"/>
                <w:szCs w:val="18"/>
              </w:rPr>
              <w:t> </w:t>
            </w:r>
            <w:r>
              <w:rPr>
                <w:rFonts w:ascii="宋体" w:hAnsi="宋体" w:cs="宋体" w:eastAsia="宋体" w:hint="default"/>
                <w:spacing w:val="2"/>
                <w:sz w:val="18"/>
                <w:szCs w:val="18"/>
              </w:rPr>
              <w:t>有限公司与青岛港财务有限</w:t>
            </w:r>
            <w:r>
              <w:rPr>
                <w:rFonts w:ascii="宋体" w:hAnsi="宋体" w:cs="宋体" w:eastAsia="宋体" w:hint="default"/>
                <w:sz w:val="18"/>
                <w:szCs w:val="18"/>
              </w:rPr>
              <w:t> </w:t>
            </w:r>
            <w:r>
              <w:rPr>
                <w:rFonts w:ascii="宋体" w:hAnsi="宋体" w:cs="宋体" w:eastAsia="宋体" w:hint="default"/>
                <w:spacing w:val="19"/>
                <w:sz w:val="18"/>
                <w:szCs w:val="18"/>
              </w:rPr>
              <w:t>责任公司金融服务框架协</w:t>
            </w:r>
            <w:r>
              <w:rPr>
                <w:rFonts w:ascii="宋体" w:hAnsi="宋体" w:cs="宋体" w:eastAsia="宋体" w:hint="default"/>
                <w:spacing w:val="-69"/>
                <w:sz w:val="18"/>
                <w:szCs w:val="18"/>
              </w:rPr>
              <w:t> </w:t>
            </w:r>
            <w:r>
              <w:rPr>
                <w:rFonts w:ascii="宋体" w:hAnsi="宋体" w:cs="宋体" w:eastAsia="宋体" w:hint="default"/>
                <w:sz w:val="18"/>
                <w:szCs w:val="18"/>
              </w:rPr>
              <w:t>议》（</w:t>
            </w:r>
            <w:r>
              <w:rPr>
                <w:rFonts w:ascii="宋体" w:hAnsi="宋体" w:cs="宋体" w:eastAsia="宋体" w:hint="default"/>
                <w:sz w:val="18"/>
                <w:szCs w:val="18"/>
              </w:rPr>
              <w:t>2018-2019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03" w:right="30"/>
              <w:jc w:val="both"/>
              <w:rPr>
                <w:rFonts w:ascii="宋体" w:hAnsi="宋体" w:cs="宋体" w:eastAsia="宋体" w:hint="default"/>
                <w:sz w:val="18"/>
                <w:szCs w:val="18"/>
              </w:rPr>
            </w:pPr>
            <w:r>
              <w:rPr>
                <w:rFonts w:ascii="宋体" w:hAnsi="宋体" w:cs="宋体" w:eastAsia="宋体" w:hint="default"/>
                <w:spacing w:val="4"/>
                <w:sz w:val="18"/>
                <w:szCs w:val="18"/>
              </w:rPr>
              <w:t>青岛港（临 沂）高速物 </w:t>
            </w:r>
            <w:r>
              <w:rPr>
                <w:rFonts w:ascii="宋体" w:hAnsi="宋体" w:cs="宋体" w:eastAsia="宋体" w:hint="default"/>
                <w:sz w:val="18"/>
                <w:szCs w:val="18"/>
              </w:rPr>
              <w:t>流有限公司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5,000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68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1"/>
              <w:jc w:val="left"/>
              <w:rPr>
                <w:rFonts w:ascii="宋体" w:hAnsi="宋体" w:cs="宋体" w:eastAsia="宋体" w:hint="default"/>
                <w:sz w:val="18"/>
                <w:szCs w:val="18"/>
              </w:rPr>
            </w:pPr>
            <w:r>
              <w:rPr>
                <w:rFonts w:ascii="宋体" w:hAnsi="宋体" w:cs="宋体" w:eastAsia="宋体" w:hint="default"/>
                <w:spacing w:val="4"/>
                <w:sz w:val="18"/>
                <w:szCs w:val="18"/>
              </w:rPr>
              <w:t>财务公司向青岛港（临沂）高速物流有限</w:t>
            </w:r>
            <w:r>
              <w:rPr>
                <w:rFonts w:ascii="宋体" w:hAnsi="宋体" w:cs="宋体" w:eastAsia="宋体" w:hint="default"/>
                <w:sz w:val="18"/>
                <w:szCs w:val="18"/>
              </w:rPr>
              <w:t> </w:t>
            </w:r>
            <w:r>
              <w:rPr>
                <w:rFonts w:ascii="宋体" w:hAnsi="宋体" w:cs="宋体" w:eastAsia="宋体" w:hint="default"/>
                <w:spacing w:val="-5"/>
                <w:sz w:val="18"/>
                <w:szCs w:val="18"/>
              </w:rPr>
              <w:t>公司提供信贷服务最高余额（含应计利息）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69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财务公司向青岛港（临沂）高速物流有限</w:t>
            </w:r>
            <w:r>
              <w:rPr>
                <w:rFonts w:ascii="宋体" w:hAnsi="宋体" w:cs="宋体" w:eastAsia="宋体" w:hint="default"/>
                <w:sz w:val="18"/>
                <w:szCs w:val="18"/>
              </w:rPr>
              <w:t> 公司提供中间业务服务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70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3"/>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财务公司向青岛港联海国际物流有限公司</w:t>
            </w:r>
            <w:r>
              <w:rPr>
                <w:rFonts w:ascii="宋体" w:hAnsi="宋体" w:cs="宋体" w:eastAsia="宋体" w:hint="default"/>
                <w:sz w:val="18"/>
                <w:szCs w:val="18"/>
              </w:rPr>
              <w:t> 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32" w:lineRule="exact"/>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《青岛港联海国际物流有限</w:t>
            </w:r>
            <w:r>
              <w:rPr>
                <w:rFonts w:ascii="宋体" w:hAnsi="宋体" w:cs="宋体" w:eastAsia="宋体" w:hint="default"/>
                <w:sz w:val="18"/>
                <w:szCs w:val="18"/>
              </w:rPr>
              <w:t> </w:t>
            </w:r>
            <w:r>
              <w:rPr>
                <w:rFonts w:ascii="宋体" w:hAnsi="宋体" w:cs="宋体" w:eastAsia="宋体" w:hint="default"/>
                <w:spacing w:val="2"/>
                <w:sz w:val="18"/>
                <w:szCs w:val="18"/>
              </w:rPr>
              <w:t>公司与青岛港财务有限责任</w:t>
            </w:r>
            <w:r>
              <w:rPr>
                <w:rFonts w:ascii="宋体" w:hAnsi="宋体" w:cs="宋体" w:eastAsia="宋体" w:hint="default"/>
                <w:sz w:val="18"/>
                <w:szCs w:val="18"/>
              </w:rPr>
              <w:t> </w:t>
            </w:r>
            <w:r>
              <w:rPr>
                <w:rFonts w:ascii="宋体" w:hAnsi="宋体" w:cs="宋体" w:eastAsia="宋体" w:hint="default"/>
                <w:spacing w:val="19"/>
                <w:sz w:val="18"/>
                <w:szCs w:val="18"/>
              </w:rPr>
              <w:t>公司金融服务框架协议》</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2018-2019</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青岛港联海 国际物流有 </w:t>
            </w:r>
            <w:r>
              <w:rPr>
                <w:rFonts w:ascii="宋体" w:hAnsi="宋体" w:cs="宋体" w:eastAsia="宋体" w:hint="default"/>
                <w:sz w:val="18"/>
                <w:szCs w:val="18"/>
              </w:rPr>
              <w:t>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3,167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20,000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71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财务公司向青岛港联海国际物流有限公司</w:t>
            </w:r>
            <w:r>
              <w:rPr>
                <w:rFonts w:ascii="宋体" w:hAnsi="宋体" w:cs="宋体" w:eastAsia="宋体" w:hint="default"/>
                <w:sz w:val="18"/>
                <w:szCs w:val="18"/>
              </w:rPr>
              <w:t> 提供信贷服务最高余额（含应计利息）</w:t>
            </w:r>
            <w:r>
              <w:rPr>
                <w:rFonts w:ascii="宋体" w:hAnsi="宋体" w:cs="宋体" w:eastAsia="宋体" w:hint="default"/>
                <w:sz w:val="18"/>
                <w:szCs w:val="18"/>
              </w:rPr>
              <w:t> </w:t>
            </w:r>
          </w:p>
        </w:tc>
        <w:tc>
          <w:tcPr>
            <w:tcW w:w="2410"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518"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87" w:right="0"/>
              <w:jc w:val="center"/>
              <w:rPr>
                <w:rFonts w:ascii="宋体" w:hAnsi="宋体" w:cs="宋体" w:eastAsia="宋体" w:hint="default"/>
                <w:sz w:val="18"/>
                <w:szCs w:val="18"/>
              </w:rPr>
            </w:pPr>
            <w:r>
              <w:rPr>
                <w:rFonts w:ascii="宋体"/>
                <w:sz w:val="18"/>
              </w:rPr>
              <w:t>72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财务公司向青岛港联海国际物流有限公司</w:t>
            </w:r>
            <w:r>
              <w:rPr>
                <w:rFonts w:ascii="宋体" w:hAnsi="宋体" w:cs="宋体" w:eastAsia="宋体" w:hint="default"/>
                <w:sz w:val="18"/>
                <w:szCs w:val="18"/>
              </w:rPr>
              <w:t> 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1"/>
              <w:jc w:val="right"/>
              <w:rPr>
                <w:rFonts w:ascii="宋体" w:hAnsi="宋体" w:cs="宋体" w:eastAsia="宋体" w:hint="default"/>
                <w:sz w:val="18"/>
                <w:szCs w:val="18"/>
              </w:rPr>
            </w:pPr>
            <w:r>
              <w:rPr>
                <w:rFonts w:ascii="宋体"/>
                <w:spacing w:val="-1"/>
                <w:sz w:val="18"/>
              </w:rPr>
              <w:t>10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73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2"/>
              <w:ind w:left="103" w:right="11"/>
              <w:jc w:val="left"/>
              <w:rPr>
                <w:rFonts w:ascii="宋体" w:hAnsi="宋体" w:cs="宋体" w:eastAsia="宋体" w:hint="default"/>
                <w:sz w:val="18"/>
                <w:szCs w:val="18"/>
              </w:rPr>
            </w:pPr>
            <w:r>
              <w:rPr>
                <w:rFonts w:ascii="宋体" w:hAnsi="宋体" w:cs="宋体" w:eastAsia="宋体" w:hint="default"/>
                <w:spacing w:val="4"/>
                <w:sz w:val="18"/>
                <w:szCs w:val="18"/>
              </w:rPr>
              <w:t>财务公司向青岛东港国际集装箱储运有限</w:t>
            </w:r>
            <w:r>
              <w:rPr>
                <w:rFonts w:ascii="宋体" w:hAnsi="宋体" w:cs="宋体" w:eastAsia="宋体" w:hint="default"/>
                <w:sz w:val="18"/>
                <w:szCs w:val="18"/>
              </w:rPr>
              <w:t> </w:t>
            </w:r>
            <w:r>
              <w:rPr>
                <w:rFonts w:ascii="宋体" w:hAnsi="宋体" w:cs="宋体" w:eastAsia="宋体" w:hint="default"/>
                <w:spacing w:val="-5"/>
                <w:sz w:val="18"/>
                <w:szCs w:val="18"/>
              </w:rPr>
              <w:t>公司提供存款服务最高余额（含应计利息）</w:t>
            </w:r>
            <w:r>
              <w:rPr>
                <w:rFonts w:ascii="宋体" w:hAnsi="宋体" w:cs="宋体" w:eastAsia="宋体" w:hint="default"/>
                <w:sz w:val="18"/>
                <w:szCs w:val="18"/>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32" w:lineRule="exact" w:before="44"/>
              <w:ind w:left="103" w:right="77"/>
              <w:jc w:val="both"/>
              <w:rPr>
                <w:rFonts w:ascii="宋体" w:hAnsi="宋体" w:cs="宋体" w:eastAsia="宋体" w:hint="default"/>
                <w:sz w:val="18"/>
                <w:szCs w:val="18"/>
              </w:rPr>
            </w:pPr>
            <w:r>
              <w:rPr>
                <w:rFonts w:ascii="宋体" w:hAnsi="宋体" w:cs="宋体" w:eastAsia="宋体" w:hint="default"/>
                <w:spacing w:val="2"/>
                <w:sz w:val="18"/>
                <w:szCs w:val="18"/>
              </w:rPr>
              <w:t>《青岛东港国际集装箱储运</w:t>
            </w:r>
            <w:r>
              <w:rPr>
                <w:rFonts w:ascii="宋体" w:hAnsi="宋体" w:cs="宋体" w:eastAsia="宋体" w:hint="default"/>
                <w:sz w:val="18"/>
                <w:szCs w:val="18"/>
              </w:rPr>
              <w:t> </w:t>
            </w:r>
            <w:r>
              <w:rPr>
                <w:rFonts w:ascii="宋体" w:hAnsi="宋体" w:cs="宋体" w:eastAsia="宋体" w:hint="default"/>
                <w:spacing w:val="2"/>
                <w:sz w:val="18"/>
                <w:szCs w:val="18"/>
              </w:rPr>
              <w:t>有限公司与青岛港财务有限</w:t>
            </w:r>
            <w:r>
              <w:rPr>
                <w:rFonts w:ascii="宋体" w:hAnsi="宋体" w:cs="宋体" w:eastAsia="宋体" w:hint="default"/>
                <w:sz w:val="18"/>
                <w:szCs w:val="18"/>
              </w:rPr>
              <w:t> </w:t>
            </w:r>
            <w:r>
              <w:rPr>
                <w:rFonts w:ascii="宋体" w:hAnsi="宋体" w:cs="宋体" w:eastAsia="宋体" w:hint="default"/>
                <w:spacing w:val="19"/>
                <w:sz w:val="18"/>
                <w:szCs w:val="18"/>
              </w:rPr>
              <w:t>责任公司金融服务框架协</w:t>
            </w:r>
            <w:r>
              <w:rPr>
                <w:rFonts w:ascii="宋体" w:hAnsi="宋体" w:cs="宋体" w:eastAsia="宋体" w:hint="default"/>
                <w:spacing w:val="-69"/>
                <w:sz w:val="18"/>
                <w:szCs w:val="18"/>
              </w:rPr>
              <w:t> </w:t>
            </w:r>
            <w:r>
              <w:rPr>
                <w:rFonts w:ascii="宋体" w:hAnsi="宋体" w:cs="宋体" w:eastAsia="宋体" w:hint="default"/>
                <w:sz w:val="18"/>
                <w:szCs w:val="18"/>
              </w:rPr>
              <w:t>议》（</w:t>
            </w:r>
            <w:r>
              <w:rPr>
                <w:rFonts w:ascii="宋体" w:hAnsi="宋体" w:cs="宋体" w:eastAsia="宋体" w:hint="default"/>
                <w:sz w:val="18"/>
                <w:szCs w:val="18"/>
              </w:rPr>
              <w:t>2018-2020</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37" w:lineRule="auto" w:before="137"/>
              <w:ind w:left="103" w:right="30"/>
              <w:jc w:val="both"/>
              <w:rPr>
                <w:rFonts w:ascii="宋体" w:hAnsi="宋体" w:cs="宋体" w:eastAsia="宋体" w:hint="default"/>
                <w:sz w:val="18"/>
                <w:szCs w:val="18"/>
              </w:rPr>
            </w:pPr>
            <w:r>
              <w:rPr>
                <w:rFonts w:ascii="宋体" w:hAnsi="宋体" w:cs="宋体" w:eastAsia="宋体" w:hint="default"/>
                <w:spacing w:val="4"/>
                <w:sz w:val="18"/>
                <w:szCs w:val="18"/>
              </w:rPr>
              <w:t>青岛东港国 际集装箱储 </w:t>
            </w:r>
            <w:r>
              <w:rPr>
                <w:rFonts w:ascii="宋体" w:hAnsi="宋体" w:cs="宋体" w:eastAsia="宋体" w:hint="default"/>
                <w:sz w:val="18"/>
                <w:szCs w:val="18"/>
              </w:rPr>
              <w:t>运有限公司</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1,706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23,000</w:t>
            </w:r>
            <w:r>
              <w:rPr>
                <w:rFonts w:ascii="宋体"/>
                <w:sz w:val="18"/>
              </w:rPr>
              <w:t> </w:t>
            </w:r>
          </w:p>
        </w:tc>
      </w:tr>
      <w:tr>
        <w:trPr>
          <w:trHeight w:val="52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 w:right="0"/>
              <w:jc w:val="center"/>
              <w:rPr>
                <w:rFonts w:ascii="宋体" w:hAnsi="宋体" w:cs="宋体" w:eastAsia="宋体" w:hint="default"/>
                <w:sz w:val="18"/>
                <w:szCs w:val="18"/>
              </w:rPr>
            </w:pPr>
            <w:r>
              <w:rPr>
                <w:rFonts w:ascii="宋体"/>
                <w:sz w:val="18"/>
              </w:rPr>
              <w:t>74 </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3" w:right="106"/>
              <w:jc w:val="left"/>
              <w:rPr>
                <w:rFonts w:ascii="宋体" w:hAnsi="宋体" w:cs="宋体" w:eastAsia="宋体" w:hint="default"/>
                <w:sz w:val="18"/>
                <w:szCs w:val="18"/>
              </w:rPr>
            </w:pPr>
            <w:r>
              <w:rPr>
                <w:rFonts w:ascii="宋体" w:hAnsi="宋体" w:cs="宋体" w:eastAsia="宋体" w:hint="default"/>
                <w:spacing w:val="4"/>
                <w:sz w:val="18"/>
                <w:szCs w:val="18"/>
              </w:rPr>
              <w:t>财务公司向青岛东港国际集装箱储运有限</w:t>
            </w:r>
            <w:r>
              <w:rPr>
                <w:rFonts w:ascii="宋体" w:hAnsi="宋体" w:cs="宋体" w:eastAsia="宋体" w:hint="default"/>
                <w:sz w:val="18"/>
                <w:szCs w:val="18"/>
              </w:rPr>
              <w:t> 公司提供中间业务服务</w:t>
            </w:r>
            <w:r>
              <w:rPr>
                <w:rFonts w:ascii="宋体" w:hAnsi="宋体" w:cs="宋体" w:eastAsia="宋体" w:hint="default"/>
                <w:sz w:val="18"/>
                <w:szCs w:val="18"/>
              </w:rPr>
              <w:t> </w:t>
            </w:r>
          </w:p>
        </w:tc>
        <w:tc>
          <w:tcPr>
            <w:tcW w:w="241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500 </w:t>
            </w:r>
          </w:p>
        </w:tc>
      </w:tr>
    </w:tbl>
    <w:p>
      <w:pPr>
        <w:pStyle w:val="BodyText"/>
        <w:spacing w:line="240" w:lineRule="auto" w:before="74"/>
        <w:ind w:left="678" w:right="83"/>
        <w:jc w:val="left"/>
        <w:rPr>
          <w:rFonts w:ascii="宋体" w:hAnsi="宋体" w:cs="宋体" w:eastAsia="宋体" w:hint="default"/>
        </w:rPr>
      </w:pPr>
      <w:r>
        <w:rPr/>
        <w:t>说明：</w:t>
      </w:r>
      <w:r>
        <w:rPr>
          <w:rFonts w:ascii="宋体" w:hAnsi="宋体" w:cs="宋体" w:eastAsia="宋体" w:hint="default"/>
        </w:rPr>
        <w:t> </w:t>
      </w:r>
    </w:p>
    <w:p>
      <w:pPr>
        <w:pStyle w:val="BodyText"/>
        <w:spacing w:line="297" w:lineRule="auto" w:before="92"/>
        <w:ind w:left="678" w:right="83" w:firstLine="420"/>
        <w:jc w:val="left"/>
        <w:rPr>
          <w:rFonts w:ascii="宋体" w:hAnsi="宋体" w:cs="宋体" w:eastAsia="宋体" w:hint="default"/>
        </w:rPr>
      </w:pPr>
      <w:r>
        <w:rPr/>
        <w:t>（</w:t>
      </w:r>
      <w:r>
        <w:rPr>
          <w:rFonts w:ascii="Times New Roman" w:hAnsi="Times New Roman" w:cs="Times New Roman" w:eastAsia="Times New Roman" w:hint="default"/>
        </w:rPr>
        <w:t>1</w:t>
      </w:r>
      <w:r>
        <w:rPr/>
        <w:t>）有关公司关联方和关联关系、关联交易主要内容和定价政策等详细内容，请参阅公司于</w:t>
      </w:r>
      <w:r>
        <w:rPr>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日在《中国证券报》、《上海证券报》、《证券日报》、《证券时报》和上海证券</w:t>
      </w:r>
      <w:r>
        <w:rPr>
          <w:w w:val="100"/>
        </w:rPr>
        <w:t> </w:t>
      </w:r>
      <w:r>
        <w:rPr>
          <w:spacing w:val="-13"/>
          <w:w w:val="100"/>
        </w:rPr>
        <w:t>交易所网站（</w:t>
      </w:r>
      <w:hyperlink r:id="rId13">
        <w:r>
          <w:rPr>
            <w:rFonts w:ascii="Times New Roman" w:hAnsi="Times New Roman" w:cs="Times New Roman" w:eastAsia="Times New Roman" w:hint="default"/>
            <w:spacing w:val="-13"/>
            <w:w w:val="100"/>
          </w:rPr>
          <w:t>www</w:t>
        </w:r>
        <w:r>
          <w:rPr>
            <w:rFonts w:ascii="宋体" w:hAnsi="宋体" w:cs="宋体" w:eastAsia="宋体" w:hint="default"/>
            <w:spacing w:val="-13"/>
            <w:w w:val="100"/>
          </w:rPr>
          <w:t>.</w:t>
        </w:r>
        <w:r>
          <w:rPr>
            <w:rFonts w:ascii="Times New Roman" w:hAnsi="Times New Roman" w:cs="Times New Roman" w:eastAsia="Times New Roman" w:hint="default"/>
            <w:spacing w:val="-13"/>
            <w:w w:val="100"/>
          </w:rPr>
          <w:t>sse</w:t>
        </w:r>
        <w:r>
          <w:rPr>
            <w:rFonts w:ascii="宋体" w:hAnsi="宋体" w:cs="宋体" w:eastAsia="宋体" w:hint="default"/>
            <w:spacing w:val="-13"/>
            <w:w w:val="100"/>
          </w:rPr>
          <w:t>.</w:t>
        </w:r>
        <w:r>
          <w:rPr>
            <w:rFonts w:ascii="Times New Roman" w:hAnsi="Times New Roman" w:cs="Times New Roman" w:eastAsia="Times New Roman" w:hint="default"/>
            <w:spacing w:val="-13"/>
            <w:w w:val="100"/>
          </w:rPr>
          <w:t>com</w:t>
        </w:r>
        <w:r>
          <w:rPr>
            <w:rFonts w:ascii="宋体" w:hAnsi="宋体" w:cs="宋体" w:eastAsia="宋体" w:hint="default"/>
            <w:spacing w:val="-13"/>
            <w:w w:val="100"/>
          </w:rPr>
          <w:t>.</w:t>
        </w:r>
        <w:r>
          <w:rPr>
            <w:rFonts w:ascii="Times New Roman" w:hAnsi="Times New Roman" w:cs="Times New Roman" w:eastAsia="Times New Roman" w:hint="default"/>
            <w:spacing w:val="-13"/>
            <w:w w:val="100"/>
          </w:rPr>
          <w:t>cn</w:t>
        </w:r>
      </w:hyperlink>
      <w:r>
        <w:rPr>
          <w:spacing w:val="-13"/>
          <w:w w:val="100"/>
        </w:rPr>
        <w:t>）披露的《青岛港国际股份有限公司日常关联交易公告》（临</w:t>
      </w:r>
      <w:r>
        <w:rPr>
          <w:spacing w:val="-46"/>
          <w:w w:val="100"/>
        </w:rPr>
        <w:t> </w:t>
      </w:r>
      <w:r>
        <w:rPr>
          <w:rFonts w:ascii="Times New Roman" w:hAnsi="Times New Roman" w:cs="Times New Roman" w:eastAsia="Times New Roman" w:hint="default"/>
          <w:spacing w:val="-23"/>
          <w:w w:val="100"/>
        </w:rPr>
        <w:t>2019</w:t>
      </w:r>
      <w:r>
        <w:rPr>
          <w:rFonts w:ascii="宋体" w:hAnsi="宋体" w:cs="宋体" w:eastAsia="宋体" w:hint="default"/>
          <w:spacing w:val="-23"/>
          <w:w w:val="100"/>
        </w:rPr>
        <w:t>-</w:t>
      </w:r>
      <w:r>
        <w:rPr>
          <w:rFonts w:ascii="Times New Roman" w:hAnsi="Times New Roman" w:cs="Times New Roman" w:eastAsia="Times New Roman" w:hint="default"/>
          <w:spacing w:val="-23"/>
          <w:w w:val="100"/>
        </w:rPr>
        <w:t>020</w:t>
      </w:r>
      <w:r>
        <w:rPr>
          <w:spacing w:val="-23"/>
          <w:w w:val="100"/>
        </w:rPr>
        <w:t>）。</w:t>
      </w:r>
      <w:r>
        <w:rPr>
          <w:rFonts w:ascii="宋体" w:hAnsi="宋体" w:cs="宋体" w:eastAsia="宋体" w:hint="default"/>
          <w:w w:val="100"/>
        </w:rPr>
        <w:t> </w:t>
      </w:r>
    </w:p>
    <w:p>
      <w:pPr>
        <w:spacing w:line="283" w:lineRule="auto" w:before="13"/>
        <w:ind w:left="678" w:right="3756"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）上述关联交易的结算方式主要为银行转账结算。</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1"/>
        <w:ind w:left="678" w:right="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7"/>
          <w:szCs w:val="27"/>
        </w:rPr>
      </w:pPr>
    </w:p>
    <w:p>
      <w:pPr>
        <w:pStyle w:val="Heading5"/>
        <w:spacing w:line="240" w:lineRule="auto" w:before="0"/>
        <w:ind w:left="678" w:right="83"/>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left="678" w:right="83"/>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678" w:right="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566" w:type="dxa"/>
        <w:tblLayout w:type="fixed"/>
        <w:tblCellMar>
          <w:top w:w="0" w:type="dxa"/>
          <w:left w:w="0" w:type="dxa"/>
          <w:bottom w:w="0" w:type="dxa"/>
          <w:right w:w="0" w:type="dxa"/>
        </w:tblCellMar>
        <w:tblLook w:val="01E0"/>
      </w:tblPr>
      <w:tblGrid>
        <w:gridCol w:w="4645"/>
        <w:gridCol w:w="4679"/>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93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
              <w:ind w:left="103" w:right="-8"/>
              <w:jc w:val="left"/>
              <w:rPr>
                <w:rFonts w:ascii="宋体" w:hAnsi="宋体" w:cs="宋体" w:eastAsia="宋体" w:hint="default"/>
                <w:sz w:val="21"/>
                <w:szCs w:val="21"/>
              </w:rPr>
            </w:pPr>
            <w:r>
              <w:rPr>
                <w:rFonts w:ascii="宋体" w:hAnsi="宋体" w:cs="宋体" w:eastAsia="宋体" w:hint="default"/>
                <w:spacing w:val="-6"/>
                <w:w w:val="100"/>
                <w:sz w:val="21"/>
                <w:szCs w:val="21"/>
              </w:rPr>
              <w:t>公司下属境外全资子公司青岛港国际发展（香港）</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有限公司以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59,276,030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美元收购中远海运港口有</w:t>
            </w:r>
            <w:r>
              <w:rPr>
                <w:rFonts w:ascii="宋体" w:hAnsi="宋体" w:cs="宋体" w:eastAsia="宋体" w:hint="default"/>
                <w:w w:val="100"/>
                <w:sz w:val="21"/>
                <w:szCs w:val="21"/>
              </w:rPr>
              <w:t> </w:t>
            </w:r>
            <w:r>
              <w:rPr>
                <w:rFonts w:ascii="宋体" w:hAnsi="宋体" w:cs="宋体" w:eastAsia="宋体" w:hint="default"/>
                <w:sz w:val="21"/>
                <w:szCs w:val="21"/>
              </w:rPr>
              <w:t>限公司持有的中远海运港口（阿布扎比）有限公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33.335%</w:t>
            </w:r>
            <w:r>
              <w:rPr>
                <w:rFonts w:ascii="宋体" w:hAnsi="宋体" w:cs="宋体" w:eastAsia="宋体" w:hint="default"/>
                <w:spacing w:val="-5"/>
                <w:sz w:val="21"/>
                <w:szCs w:val="21"/>
              </w:rPr>
              <w:t>股权（即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6,667</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股股份），从而间接持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有中远海运港口（阿布扎比）有限公司所持有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Times New Roman" w:hAnsi="Times New Roman" w:cs="Times New Roman" w:eastAsia="Times New Roman" w:hint="default"/>
                <w:sz w:val="21"/>
                <w:szCs w:val="21"/>
              </w:rPr>
              <w:t>CSPAbuDhabiTerminalL.L.C30.0015%</w:t>
            </w:r>
            <w:r>
              <w:rPr>
                <w:rFonts w:ascii="宋体" w:hAnsi="宋体" w:cs="宋体" w:eastAsia="宋体" w:hint="default"/>
                <w:sz w:val="21"/>
                <w:szCs w:val="21"/>
              </w:rPr>
              <w:t>的股权。</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5"/>
              <w:jc w:val="left"/>
              <w:rPr>
                <w:rFonts w:ascii="宋体" w:hAnsi="宋体" w:cs="宋体" w:eastAsia="宋体" w:hint="default"/>
                <w:sz w:val="21"/>
                <w:szCs w:val="21"/>
              </w:rPr>
            </w:pPr>
            <w:r>
              <w:rPr>
                <w:rFonts w:ascii="宋体" w:hAnsi="宋体" w:cs="宋体" w:eastAsia="宋体" w:hint="default"/>
                <w:sz w:val="21"/>
                <w:szCs w:val="21"/>
              </w:rPr>
              <w:t>请参见公司于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日在《中国证券</w:t>
            </w:r>
            <w:r>
              <w:rPr>
                <w:rFonts w:ascii="宋体" w:hAnsi="宋体" w:cs="宋体" w:eastAsia="宋体" w:hint="default"/>
                <w:w w:val="100"/>
                <w:sz w:val="21"/>
                <w:szCs w:val="21"/>
              </w:rPr>
              <w:t> </w:t>
            </w:r>
            <w:r>
              <w:rPr>
                <w:rFonts w:ascii="宋体" w:hAnsi="宋体" w:cs="宋体" w:eastAsia="宋体" w:hint="default"/>
                <w:sz w:val="21"/>
                <w:szCs w:val="21"/>
              </w:rPr>
              <w:t>报》、《上海证券报》、《证券日报》、《证券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时报》和上海证券交易所网站（</w:t>
            </w:r>
            <w:hyperlink r:id="rId13">
              <w:r>
                <w:rPr>
                  <w:rFonts w:ascii="Times New Roman" w:hAnsi="Times New Roman" w:cs="Times New Roman" w:eastAsia="Times New Roman" w:hint="default"/>
                  <w:spacing w:val="-2"/>
                  <w:sz w:val="21"/>
                  <w:szCs w:val="21"/>
                </w:rPr>
                <w:t>www.sse.com.cn</w:t>
              </w:r>
            </w:hyperlink>
            <w:r>
              <w:rPr>
                <w:rFonts w:ascii="宋体" w:hAnsi="宋体" w:cs="宋体" w:eastAsia="宋体" w:hint="default"/>
                <w:spacing w:val="-2"/>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披露的《青岛港国际股份有限公司关于全资子公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13"/>
                <w:w w:val="100"/>
                <w:sz w:val="21"/>
                <w:szCs w:val="21"/>
              </w:rPr>
              <w:t>司收购股权资产暨关联交易公告》（临</w:t>
            </w:r>
            <w:r>
              <w:rPr>
                <w:rFonts w:ascii="宋体" w:hAnsi="宋体" w:cs="宋体" w:eastAsia="宋体" w:hint="default"/>
                <w:spacing w:val="-33"/>
                <w:w w:val="100"/>
                <w:sz w:val="21"/>
                <w:szCs w:val="21"/>
              </w:rPr>
              <w:t> </w:t>
            </w:r>
            <w:r>
              <w:rPr>
                <w:rFonts w:ascii="Times New Roman" w:hAnsi="Times New Roman" w:cs="Times New Roman" w:eastAsia="Times New Roman" w:hint="default"/>
                <w:spacing w:val="-22"/>
                <w:w w:val="100"/>
                <w:sz w:val="21"/>
                <w:szCs w:val="21"/>
              </w:rPr>
              <w:t>2019-053</w:t>
            </w:r>
            <w:r>
              <w:rPr>
                <w:rFonts w:ascii="宋体" w:hAnsi="宋体" w:cs="宋体" w:eastAsia="宋体" w:hint="default"/>
                <w:spacing w:val="-22"/>
                <w:w w:val="100"/>
                <w:sz w:val="21"/>
                <w:szCs w:val="21"/>
              </w:rPr>
              <w:t>）。</w:t>
            </w:r>
            <w:r>
              <w:rPr>
                <w:rFonts w:ascii="宋体" w:hAnsi="宋体" w:cs="宋体" w:eastAsia="宋体" w:hint="default"/>
                <w:w w:val="100"/>
                <w:sz w:val="21"/>
                <w:szCs w:val="21"/>
              </w:rPr>
              <w:t> </w:t>
            </w:r>
          </w:p>
        </w:tc>
      </w:tr>
    </w:tbl>
    <w:p>
      <w:pPr>
        <w:pStyle w:val="Heading5"/>
        <w:spacing w:line="240" w:lineRule="auto" w:before="26"/>
        <w:ind w:left="678" w:right="83"/>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78" w:right="83"/>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40" w:lineRule="auto"/>
        <w:ind w:left="678" w:right="83"/>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678" w:right="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120" w:bottom="1160" w:left="740" w:right="10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1280" w:right="1200"/>
        </w:sectPr>
      </w:pPr>
    </w:p>
    <w:p>
      <w:pPr>
        <w:pStyle w:val="Heading5"/>
        <w:spacing w:line="240" w:lineRule="auto" w:before="170"/>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5"/>
        <w:spacing w:line="240" w:lineRule="auto" w:before="2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40" w:lineRule="auto" w:before="58"/>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5"/>
        <w:spacing w:line="240" w:lineRule="auto" w:before="59"/>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5"/>
        <w:spacing w:line="240" w:lineRule="auto" w:before="2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138"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200"/>
          <w:cols w:num="2" w:equalWidth="0">
            <w:col w:w="5725" w:space="823"/>
            <w:col w:w="288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9"/>
        <w:gridCol w:w="1205"/>
        <w:gridCol w:w="938"/>
        <w:gridCol w:w="941"/>
        <w:gridCol w:w="1030"/>
        <w:gridCol w:w="1181"/>
        <w:gridCol w:w="1181"/>
        <w:gridCol w:w="1078"/>
      </w:tblGrid>
      <w:tr>
        <w:trPr>
          <w:trHeight w:val="650" w:hRule="exact"/>
        </w:trPr>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29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60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293" w:right="871" w:hanging="420"/>
              <w:jc w:val="left"/>
              <w:rPr>
                <w:rFonts w:ascii="宋体" w:hAnsi="宋体" w:cs="宋体" w:eastAsia="宋体" w:hint="default"/>
                <w:sz w:val="21"/>
                <w:szCs w:val="21"/>
              </w:rPr>
            </w:pPr>
            <w:r>
              <w:rPr>
                <w:rFonts w:ascii="宋体" w:hAnsi="宋体" w:cs="宋体" w:eastAsia="宋体" w:hint="default"/>
                <w:sz w:val="21"/>
                <w:szCs w:val="21"/>
              </w:rPr>
              <w:t>关联方向上市公司</w:t>
            </w:r>
            <w:r>
              <w:rPr>
                <w:rFonts w:ascii="宋体" w:hAnsi="宋体" w:cs="宋体" w:eastAsia="宋体" w:hint="default"/>
                <w:w w:val="100"/>
                <w:sz w:val="21"/>
                <w:szCs w:val="21"/>
              </w:rPr>
              <w:t> </w:t>
            </w:r>
            <w:r>
              <w:rPr>
                <w:rFonts w:ascii="宋体" w:hAnsi="宋体" w:cs="宋体" w:eastAsia="宋体" w:hint="default"/>
                <w:sz w:val="21"/>
                <w:szCs w:val="21"/>
              </w:rPr>
              <w:t>提供资金</w:t>
            </w:r>
          </w:p>
        </w:tc>
      </w:tr>
      <w:tr>
        <w:trPr>
          <w:trHeight w:val="428" w:hRule="exact"/>
        </w:trPr>
        <w:tc>
          <w:tcPr>
            <w:tcW w:w="1579"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3"/>
              <w:jc w:val="right"/>
              <w:rPr>
                <w:rFonts w:ascii="宋体" w:hAnsi="宋体" w:cs="宋体" w:eastAsia="宋体" w:hint="default"/>
                <w:sz w:val="21"/>
                <w:szCs w:val="21"/>
              </w:rPr>
            </w:pPr>
            <w:r>
              <w:rPr>
                <w:rFonts w:ascii="宋体" w:hAnsi="宋体" w:cs="宋体" w:eastAsia="宋体" w:hint="default"/>
                <w:spacing w:val="-1"/>
                <w:sz w:val="21"/>
                <w:szCs w:val="21"/>
              </w:rPr>
              <w:t>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8"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10"/>
              <w:jc w:val="right"/>
              <w:rPr>
                <w:rFonts w:ascii="宋体" w:hAnsi="宋体" w:cs="宋体" w:eastAsia="宋体" w:hint="default"/>
                <w:sz w:val="21"/>
                <w:szCs w:val="21"/>
              </w:rPr>
            </w:pPr>
            <w:r>
              <w:rPr>
                <w:rFonts w:ascii="宋体" w:hAnsi="宋体" w:cs="宋体" w:eastAsia="宋体" w:hint="default"/>
                <w:spacing w:val="-1"/>
                <w:sz w:val="21"/>
                <w:szCs w:val="21"/>
              </w:rPr>
              <w:t>期末余额</w:t>
            </w:r>
          </w:p>
        </w:tc>
      </w:tr>
      <w:tr>
        <w:trPr>
          <w:trHeight w:val="331"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right"/>
              <w:rPr>
                <w:rFonts w:ascii="Times New Roman" w:hAnsi="Times New Roman" w:cs="Times New Roman" w:eastAsia="Times New Roman" w:hint="default"/>
                <w:sz w:val="21"/>
                <w:szCs w:val="21"/>
              </w:rPr>
            </w:pPr>
            <w:r>
              <w:rPr>
                <w:rFonts w:ascii="Times New Roman"/>
                <w:spacing w:val="-1"/>
                <w:sz w:val="21"/>
              </w:rPr>
              <w:t>104,034.35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6"/>
              <w:jc w:val="right"/>
              <w:rPr>
                <w:rFonts w:ascii="Times New Roman" w:hAnsi="Times New Roman" w:cs="Times New Roman" w:eastAsia="Times New Roman" w:hint="default"/>
                <w:sz w:val="21"/>
                <w:szCs w:val="21"/>
              </w:rPr>
            </w:pPr>
            <w:r>
              <w:rPr>
                <w:rFonts w:ascii="Times New Roman"/>
                <w:spacing w:val="-1"/>
                <w:sz w:val="21"/>
              </w:rPr>
              <w:t>-60,034.35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right"/>
              <w:rPr>
                <w:rFonts w:ascii="Times New Roman" w:hAnsi="Times New Roman" w:cs="Times New Roman" w:eastAsia="Times New Roman" w:hint="default"/>
                <w:sz w:val="21"/>
                <w:szCs w:val="21"/>
              </w:rPr>
            </w:pPr>
            <w:r>
              <w:rPr>
                <w:rFonts w:ascii="Times New Roman"/>
                <w:spacing w:val="-1"/>
                <w:sz w:val="21"/>
              </w:rPr>
              <w:t>44,000.00</w:t>
            </w:r>
          </w:p>
        </w:tc>
      </w:tr>
      <w:tr>
        <w:trPr>
          <w:trHeight w:val="650"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金控公司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4" w:right="116"/>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650"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金控公司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4" w:right="116"/>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20,200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20,200</w:t>
            </w:r>
          </w:p>
        </w:tc>
      </w:tr>
      <w:tr>
        <w:trPr>
          <w:trHeight w:val="648"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金控公司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4" w:right="116"/>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2,900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-2,900</w:t>
            </w: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金控公司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4" w:right="116"/>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5,200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-3,800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1,400</w:t>
            </w:r>
          </w:p>
        </w:tc>
      </w:tr>
      <w:tr>
        <w:trPr>
          <w:trHeight w:val="651"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金控公司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 w:right="116"/>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6,000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6,000</w:t>
            </w:r>
          </w:p>
        </w:tc>
      </w:tr>
      <w:tr>
        <w:trPr>
          <w:trHeight w:val="650"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金控公司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 w:right="116"/>
              <w:jc w:val="left"/>
              <w:rPr>
                <w:rFonts w:ascii="宋体" w:hAnsi="宋体" w:cs="宋体" w:eastAsia="宋体" w:hint="default"/>
                <w:sz w:val="21"/>
                <w:szCs w:val="21"/>
              </w:rPr>
            </w:pPr>
            <w:r>
              <w:rPr>
                <w:rFonts w:ascii="宋体" w:hAnsi="宋体" w:cs="宋体" w:eastAsia="宋体" w:hint="default"/>
                <w:sz w:val="21"/>
                <w:szCs w:val="21"/>
              </w:rPr>
              <w:t>股东的子公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3,600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3,600</w:t>
            </w:r>
          </w:p>
        </w:tc>
      </w:tr>
      <w:tr>
        <w:trPr>
          <w:trHeight w:val="329" w:hRule="exact"/>
        </w:trPr>
        <w:tc>
          <w:tcPr>
            <w:tcW w:w="2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3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158,334.35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21"/>
                <w:szCs w:val="21"/>
              </w:rPr>
            </w:pPr>
            <w:r>
              <w:rPr>
                <w:rFonts w:ascii="Times New Roman"/>
                <w:spacing w:val="-1"/>
                <w:sz w:val="21"/>
              </w:rPr>
              <w:t>-63,134.35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95,200.00</w:t>
            </w:r>
          </w:p>
        </w:tc>
      </w:tr>
      <w:tr>
        <w:trPr>
          <w:trHeight w:val="1610" w:hRule="exact"/>
        </w:trPr>
        <w:tc>
          <w:tcPr>
            <w:tcW w:w="2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3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3" w:right="11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）为建设前湾港区自动化码头</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泊位，青岛港集团向</w:t>
            </w:r>
            <w:r>
              <w:rPr>
                <w:rFonts w:ascii="宋体" w:hAnsi="宋体" w:cs="宋体" w:eastAsia="宋体" w:hint="default"/>
                <w:spacing w:val="-53"/>
                <w:sz w:val="21"/>
                <w:szCs w:val="21"/>
              </w:rPr>
              <w:t> </w:t>
            </w:r>
            <w:r>
              <w:rPr>
                <w:rFonts w:ascii="宋体" w:hAnsi="宋体" w:cs="宋体" w:eastAsia="宋体" w:hint="default"/>
                <w:sz w:val="21"/>
                <w:szCs w:val="21"/>
              </w:rPr>
              <w:t>QQCTN</w:t>
            </w:r>
            <w:r>
              <w:rPr>
                <w:rFonts w:ascii="宋体" w:hAnsi="宋体" w:cs="宋体" w:eastAsia="宋体" w:hint="default"/>
                <w:spacing w:val="-5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供委托贷款</w:t>
            </w:r>
            <w:r>
              <w:rPr>
                <w:rFonts w:ascii="宋体" w:hAnsi="宋体" w:cs="宋体" w:eastAsia="宋体" w:hint="default"/>
                <w:spacing w:val="-55"/>
                <w:sz w:val="21"/>
                <w:szCs w:val="21"/>
              </w:rPr>
              <w:t> </w:t>
            </w:r>
            <w:r>
              <w:rPr>
                <w:rFonts w:ascii="宋体" w:hAnsi="宋体" w:cs="宋体" w:eastAsia="宋体" w:hint="default"/>
                <w:sz w:val="21"/>
                <w:szCs w:val="21"/>
              </w:rPr>
              <w:t>134,034.35</w:t>
            </w:r>
            <w:r>
              <w:rPr>
                <w:rFonts w:ascii="宋体" w:hAnsi="宋体" w:cs="宋体" w:eastAsia="宋体" w:hint="default"/>
                <w:spacing w:val="-56"/>
                <w:sz w:val="21"/>
                <w:szCs w:val="21"/>
              </w:rPr>
              <w:t> </w:t>
            </w:r>
            <w:r>
              <w:rPr>
                <w:rFonts w:ascii="宋体" w:hAnsi="宋体" w:cs="宋体" w:eastAsia="宋体" w:hint="default"/>
                <w:sz w:val="21"/>
                <w:szCs w:val="21"/>
              </w:rPr>
              <w:t>万元，利率为</w:t>
            </w:r>
            <w:r>
              <w:rPr>
                <w:rFonts w:ascii="宋体" w:hAnsi="宋体" w:cs="宋体" w:eastAsia="宋体" w:hint="default"/>
                <w:spacing w:val="-55"/>
                <w:sz w:val="21"/>
                <w:szCs w:val="21"/>
              </w:rPr>
              <w:t> </w:t>
            </w:r>
            <w:r>
              <w:rPr>
                <w:rFonts w:ascii="宋体" w:hAnsi="宋体" w:cs="宋体" w:eastAsia="宋体" w:hint="default"/>
                <w:sz w:val="21"/>
                <w:szCs w:val="21"/>
              </w:rPr>
              <w:t>4.75%</w:t>
            </w:r>
            <w:r>
              <w:rPr>
                <w:rFonts w:ascii="宋体" w:hAnsi="宋体" w:cs="宋体" w:eastAsia="宋体" w:hint="default"/>
                <w:sz w:val="21"/>
                <w:szCs w:val="21"/>
              </w:rPr>
              <w:t>，期限为</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年，自</w:t>
            </w:r>
            <w:r>
              <w:rPr>
                <w:rFonts w:ascii="宋体" w:hAnsi="宋体" w:cs="宋体" w:eastAsia="宋体" w:hint="default"/>
                <w:spacing w:val="-55"/>
                <w:sz w:val="21"/>
                <w:szCs w:val="21"/>
              </w:rPr>
              <w:t> </w:t>
            </w:r>
            <w:r>
              <w:rPr>
                <w:rFonts w:ascii="宋体" w:hAnsi="宋体" w:cs="宋体" w:eastAsia="宋体" w:hint="default"/>
                <w:sz w:val="21"/>
                <w:szCs w:val="21"/>
              </w:rPr>
              <w:t>2015</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日止。</w:t>
            </w:r>
            <w:r>
              <w:rPr>
                <w:rFonts w:ascii="宋体" w:hAnsi="宋体" w:cs="宋体" w:eastAsia="宋体" w:hint="default"/>
                <w:sz w:val="21"/>
                <w:szCs w:val="21"/>
              </w:rPr>
              <w:t>QQCTN</w:t>
            </w:r>
            <w:r>
              <w:rPr>
                <w:rFonts w:ascii="宋体" w:hAnsi="宋体" w:cs="宋体" w:eastAsia="宋体" w:hint="default"/>
                <w:spacing w:val="-55"/>
                <w:sz w:val="21"/>
                <w:szCs w:val="21"/>
              </w:rPr>
              <w:t> </w:t>
            </w: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年度提前还款</w:t>
            </w:r>
          </w:p>
          <w:p>
            <w:pPr>
              <w:pStyle w:val="TableParagraph"/>
              <w:spacing w:line="240" w:lineRule="auto" w:before="46"/>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亿元，</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年度再次还款</w:t>
            </w:r>
            <w:r>
              <w:rPr>
                <w:rFonts w:ascii="宋体" w:hAnsi="宋体" w:cs="宋体" w:eastAsia="宋体" w:hint="default"/>
                <w:spacing w:val="-55"/>
                <w:sz w:val="21"/>
                <w:szCs w:val="21"/>
              </w:rPr>
              <w:t> </w:t>
            </w:r>
            <w:r>
              <w:rPr>
                <w:rFonts w:ascii="宋体" w:hAnsi="宋体" w:cs="宋体" w:eastAsia="宋体" w:hint="default"/>
                <w:sz w:val="21"/>
                <w:szCs w:val="21"/>
              </w:rPr>
              <w:t>60,034.35</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p>
            <w:pPr>
              <w:pStyle w:val="TableParagraph"/>
              <w:spacing w:line="240" w:lineRule="auto" w:before="44"/>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）为满足</w:t>
            </w:r>
            <w:r>
              <w:rPr>
                <w:rFonts w:ascii="宋体" w:hAnsi="宋体" w:cs="宋体" w:eastAsia="宋体" w:hint="default"/>
                <w:spacing w:val="-62"/>
                <w:sz w:val="21"/>
                <w:szCs w:val="21"/>
              </w:rPr>
              <w:t> </w:t>
            </w:r>
            <w:r>
              <w:rPr>
                <w:rFonts w:ascii="宋体" w:hAnsi="宋体" w:cs="宋体" w:eastAsia="宋体" w:hint="default"/>
                <w:sz w:val="21"/>
                <w:szCs w:val="21"/>
              </w:rPr>
              <w:t>QQCT</w:t>
            </w:r>
            <w:r>
              <w:rPr>
                <w:rFonts w:ascii="宋体" w:hAnsi="宋体" w:cs="宋体" w:eastAsia="宋体" w:hint="default"/>
                <w:spacing w:val="-62"/>
                <w:sz w:val="21"/>
                <w:szCs w:val="21"/>
              </w:rPr>
              <w:t> </w:t>
            </w:r>
            <w:r>
              <w:rPr>
                <w:rFonts w:ascii="宋体" w:hAnsi="宋体" w:cs="宋体" w:eastAsia="宋体" w:hint="default"/>
                <w:sz w:val="21"/>
                <w:szCs w:val="21"/>
              </w:rPr>
              <w:t>日常经营资金需求，青岛港集团的全资子公司金控</w:t>
            </w:r>
          </w:p>
        </w:tc>
      </w:tr>
    </w:tbl>
    <w:p>
      <w:pPr>
        <w:spacing w:after="0" w:line="240" w:lineRule="auto"/>
        <w:jc w:val="left"/>
        <w:rPr>
          <w:rFonts w:ascii="宋体" w:hAnsi="宋体" w:cs="宋体" w:eastAsia="宋体" w:hint="default"/>
          <w:sz w:val="21"/>
          <w:szCs w:val="21"/>
        </w:rPr>
        <w:sectPr>
          <w:type w:val="continuous"/>
          <w:pgSz w:w="11910" w:h="16840"/>
          <w:pgMar w:top="1120" w:bottom="1160" w:left="1280" w:right="1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785"/>
        <w:gridCol w:w="6349"/>
      </w:tblGrid>
      <w:tr>
        <w:trPr>
          <w:trHeight w:val="5449" w:hRule="exact"/>
        </w:trPr>
        <w:tc>
          <w:tcPr>
            <w:tcW w:w="2785" w:type="dxa"/>
            <w:tcBorders>
              <w:top w:val="single" w:sz="4" w:space="0" w:color="000000"/>
              <w:left w:val="single" w:sz="4" w:space="0" w:color="000000"/>
              <w:bottom w:val="single" w:sz="4" w:space="0" w:color="000000"/>
              <w:right w:val="single" w:sz="4" w:space="0" w:color="000000"/>
            </w:tcBorders>
          </w:tcPr>
          <w:p>
            <w:pPr/>
          </w:p>
        </w:tc>
        <w:tc>
          <w:tcPr>
            <w:tcW w:w="634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23" w:right="165"/>
              <w:jc w:val="left"/>
              <w:rPr>
                <w:rFonts w:ascii="宋体" w:hAnsi="宋体" w:cs="宋体" w:eastAsia="宋体" w:hint="default"/>
                <w:sz w:val="21"/>
                <w:szCs w:val="21"/>
              </w:rPr>
            </w:pPr>
            <w:r>
              <w:rPr>
                <w:rFonts w:ascii="宋体" w:hAnsi="宋体" w:cs="宋体" w:eastAsia="宋体" w:hint="default"/>
                <w:sz w:val="21"/>
                <w:szCs w:val="21"/>
              </w:rPr>
              <w:t>公司向</w:t>
            </w:r>
            <w:r>
              <w:rPr>
                <w:rFonts w:ascii="宋体" w:hAnsi="宋体" w:cs="宋体" w:eastAsia="宋体" w:hint="default"/>
                <w:spacing w:val="-54"/>
                <w:sz w:val="21"/>
                <w:szCs w:val="21"/>
              </w:rPr>
              <w:t> </w:t>
            </w:r>
            <w:r>
              <w:rPr>
                <w:rFonts w:ascii="宋体" w:hAnsi="宋体" w:cs="宋体" w:eastAsia="宋体" w:hint="default"/>
                <w:sz w:val="21"/>
                <w:szCs w:val="21"/>
              </w:rPr>
              <w:t>QQCT</w:t>
            </w:r>
            <w:r>
              <w:rPr>
                <w:rFonts w:ascii="宋体" w:hAnsi="宋体" w:cs="宋体" w:eastAsia="宋体" w:hint="default"/>
                <w:spacing w:val="-54"/>
                <w:sz w:val="21"/>
                <w:szCs w:val="21"/>
              </w:rPr>
              <w:t> </w:t>
            </w:r>
            <w:r>
              <w:rPr>
                <w:rFonts w:ascii="宋体" w:hAnsi="宋体" w:cs="宋体" w:eastAsia="宋体" w:hint="default"/>
                <w:sz w:val="21"/>
                <w:szCs w:val="21"/>
              </w:rPr>
              <w:t>提供委托贷款</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亿元，利率为</w:t>
            </w:r>
            <w:r>
              <w:rPr>
                <w:rFonts w:ascii="宋体" w:hAnsi="宋体" w:cs="宋体" w:eastAsia="宋体" w:hint="default"/>
                <w:spacing w:val="-54"/>
                <w:sz w:val="21"/>
                <w:szCs w:val="21"/>
              </w:rPr>
              <w:t> </w:t>
            </w:r>
            <w:r>
              <w:rPr>
                <w:rFonts w:ascii="宋体" w:hAnsi="宋体" w:cs="宋体" w:eastAsia="宋体" w:hint="default"/>
                <w:sz w:val="21"/>
                <w:szCs w:val="21"/>
              </w:rPr>
              <w:t>4.75%</w:t>
            </w:r>
            <w:r>
              <w:rPr>
                <w:rFonts w:ascii="宋体" w:hAnsi="宋体" w:cs="宋体" w:eastAsia="宋体" w:hint="default"/>
                <w:sz w:val="21"/>
                <w:szCs w:val="21"/>
              </w:rPr>
              <w:t>，期限为</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年，自</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sz w:val="21"/>
                <w:szCs w:val="21"/>
              </w:rPr>
              <w:t> </w:t>
            </w:r>
          </w:p>
          <w:p>
            <w:pPr>
              <w:pStyle w:val="TableParagraph"/>
              <w:spacing w:line="280" w:lineRule="auto" w:before="10"/>
              <w:ind w:left="23" w:right="6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）为满足海湾液化董家口海湾液体化工码头项目建设，金控公司</w:t>
            </w:r>
            <w:r>
              <w:rPr>
                <w:rFonts w:ascii="宋体" w:hAnsi="宋体" w:cs="宋体" w:eastAsia="宋体" w:hint="default"/>
                <w:w w:val="100"/>
                <w:sz w:val="21"/>
                <w:szCs w:val="21"/>
              </w:rPr>
              <w:t> </w:t>
            </w:r>
            <w:r>
              <w:rPr>
                <w:rFonts w:ascii="宋体" w:hAnsi="宋体" w:cs="宋体" w:eastAsia="宋体" w:hint="default"/>
                <w:sz w:val="21"/>
                <w:szCs w:val="21"/>
              </w:rPr>
              <w:t>提供</w:t>
            </w:r>
            <w:r>
              <w:rPr>
                <w:rFonts w:ascii="宋体" w:hAnsi="宋体" w:cs="宋体" w:eastAsia="宋体" w:hint="default"/>
                <w:spacing w:val="-53"/>
                <w:sz w:val="21"/>
                <w:szCs w:val="21"/>
              </w:rPr>
              <w:t> </w:t>
            </w:r>
            <w:r>
              <w:rPr>
                <w:rFonts w:ascii="宋体" w:hAnsi="宋体" w:cs="宋体" w:eastAsia="宋体" w:hint="default"/>
                <w:sz w:val="21"/>
                <w:szCs w:val="21"/>
              </w:rPr>
              <w:t>2.32</w:t>
            </w:r>
            <w:r>
              <w:rPr>
                <w:rFonts w:ascii="宋体" w:hAnsi="宋体" w:cs="宋体" w:eastAsia="宋体" w:hint="default"/>
                <w:spacing w:val="-55"/>
                <w:sz w:val="21"/>
                <w:szCs w:val="21"/>
              </w:rPr>
              <w:t> </w:t>
            </w:r>
            <w:r>
              <w:rPr>
                <w:rFonts w:ascii="宋体" w:hAnsi="宋体" w:cs="宋体" w:eastAsia="宋体" w:hint="default"/>
                <w:sz w:val="21"/>
                <w:szCs w:val="21"/>
              </w:rPr>
              <w:t>亿元，利率</w:t>
            </w:r>
            <w:r>
              <w:rPr>
                <w:rFonts w:ascii="宋体" w:hAnsi="宋体" w:cs="宋体" w:eastAsia="宋体" w:hint="default"/>
                <w:spacing w:val="-53"/>
                <w:sz w:val="21"/>
                <w:szCs w:val="21"/>
              </w:rPr>
              <w:t> </w:t>
            </w:r>
            <w:r>
              <w:rPr>
                <w:rFonts w:ascii="宋体" w:hAnsi="宋体" w:cs="宋体" w:eastAsia="宋体" w:hint="default"/>
                <w:sz w:val="21"/>
                <w:szCs w:val="21"/>
              </w:rPr>
              <w:t>4.75%</w:t>
            </w:r>
            <w:r>
              <w:rPr>
                <w:rFonts w:ascii="宋体" w:hAnsi="宋体" w:cs="宋体" w:eastAsia="宋体" w:hint="default"/>
                <w:sz w:val="21"/>
                <w:szCs w:val="21"/>
              </w:rPr>
              <w:t>，期限为</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2021</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年提前偿还</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p>
            <w:pPr>
              <w:pStyle w:val="TableParagraph"/>
              <w:spacing w:line="280" w:lineRule="auto" w:before="44"/>
              <w:ind w:left="23" w:right="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）为满足西联日常经营资金需求，金控公司向西联提供委托贷款</w:t>
            </w:r>
            <w:r>
              <w:rPr>
                <w:rFonts w:ascii="宋体" w:hAnsi="宋体" w:cs="宋体" w:eastAsia="宋体" w:hint="default"/>
                <w:w w:val="100"/>
                <w:sz w:val="21"/>
                <w:szCs w:val="21"/>
              </w:rPr>
              <w:t> </w:t>
            </w:r>
            <w:r>
              <w:rPr>
                <w:rFonts w:ascii="宋体" w:hAnsi="宋体" w:cs="宋体" w:eastAsia="宋体" w:hint="default"/>
                <w:sz w:val="21"/>
                <w:szCs w:val="21"/>
              </w:rPr>
              <w:t>0.29</w:t>
            </w:r>
            <w:r>
              <w:rPr>
                <w:rFonts w:ascii="宋体" w:hAnsi="宋体" w:cs="宋体" w:eastAsia="宋体" w:hint="default"/>
                <w:spacing w:val="-55"/>
                <w:sz w:val="21"/>
                <w:szCs w:val="21"/>
              </w:rPr>
              <w:t> </w:t>
            </w:r>
            <w:r>
              <w:rPr>
                <w:rFonts w:ascii="宋体" w:hAnsi="宋体" w:cs="宋体" w:eastAsia="宋体" w:hint="default"/>
                <w:sz w:val="21"/>
                <w:szCs w:val="21"/>
              </w:rPr>
              <w:t>亿元，利率为</w:t>
            </w:r>
            <w:r>
              <w:rPr>
                <w:rFonts w:ascii="宋体" w:hAnsi="宋体" w:cs="宋体" w:eastAsia="宋体" w:hint="default"/>
                <w:spacing w:val="-53"/>
                <w:sz w:val="21"/>
                <w:szCs w:val="21"/>
              </w:rPr>
              <w:t> </w:t>
            </w:r>
            <w:r>
              <w:rPr>
                <w:rFonts w:ascii="宋体" w:hAnsi="宋体" w:cs="宋体" w:eastAsia="宋体" w:hint="default"/>
                <w:sz w:val="21"/>
                <w:szCs w:val="21"/>
              </w:rPr>
              <w:t>4.35%</w:t>
            </w:r>
            <w:r>
              <w:rPr>
                <w:rFonts w:ascii="宋体" w:hAnsi="宋体" w:cs="宋体" w:eastAsia="宋体" w:hint="default"/>
                <w:sz w:val="21"/>
                <w:szCs w:val="21"/>
              </w:rPr>
              <w:t>，期限为</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年，自</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2019</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pStyle w:val="TableParagraph"/>
              <w:spacing w:line="280" w:lineRule="auto" w:before="44"/>
              <w:ind w:left="23" w:right="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）为满足西联日常经营资金需求，金控公司向西联提供委托贷款</w:t>
            </w:r>
            <w:r>
              <w:rPr>
                <w:rFonts w:ascii="宋体" w:hAnsi="宋体" w:cs="宋体" w:eastAsia="宋体" w:hint="default"/>
                <w:w w:val="100"/>
                <w:sz w:val="21"/>
                <w:szCs w:val="21"/>
              </w:rPr>
              <w:t> </w:t>
            </w:r>
            <w:r>
              <w:rPr>
                <w:rFonts w:ascii="宋体" w:hAnsi="宋体" w:cs="宋体" w:eastAsia="宋体" w:hint="default"/>
                <w:sz w:val="21"/>
                <w:szCs w:val="21"/>
              </w:rPr>
              <w:t>0.69</w:t>
            </w:r>
            <w:r>
              <w:rPr>
                <w:rFonts w:ascii="宋体" w:hAnsi="宋体" w:cs="宋体" w:eastAsia="宋体" w:hint="default"/>
                <w:spacing w:val="-55"/>
                <w:sz w:val="21"/>
                <w:szCs w:val="21"/>
              </w:rPr>
              <w:t> </w:t>
            </w:r>
            <w:r>
              <w:rPr>
                <w:rFonts w:ascii="宋体" w:hAnsi="宋体" w:cs="宋体" w:eastAsia="宋体" w:hint="default"/>
                <w:sz w:val="21"/>
                <w:szCs w:val="21"/>
              </w:rPr>
              <w:t>亿元，利率为</w:t>
            </w:r>
            <w:r>
              <w:rPr>
                <w:rFonts w:ascii="宋体" w:hAnsi="宋体" w:cs="宋体" w:eastAsia="宋体" w:hint="default"/>
                <w:spacing w:val="-53"/>
                <w:sz w:val="21"/>
                <w:szCs w:val="21"/>
              </w:rPr>
              <w:t> </w:t>
            </w:r>
            <w:r>
              <w:rPr>
                <w:rFonts w:ascii="宋体" w:hAnsi="宋体" w:cs="宋体" w:eastAsia="宋体" w:hint="default"/>
                <w:sz w:val="21"/>
                <w:szCs w:val="21"/>
              </w:rPr>
              <w:t>4.75%</w:t>
            </w:r>
            <w:r>
              <w:rPr>
                <w:rFonts w:ascii="宋体" w:hAnsi="宋体" w:cs="宋体" w:eastAsia="宋体" w:hint="default"/>
                <w:sz w:val="21"/>
                <w:szCs w:val="21"/>
              </w:rPr>
              <w:t>，期限为</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年，自</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2021</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日止</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年偿还</w:t>
            </w:r>
            <w:r>
              <w:rPr>
                <w:rFonts w:ascii="宋体" w:hAnsi="宋体" w:cs="宋体" w:eastAsia="宋体" w:hint="default"/>
                <w:spacing w:val="-53"/>
                <w:sz w:val="21"/>
                <w:szCs w:val="21"/>
              </w:rPr>
              <w:t> </w:t>
            </w:r>
            <w:r>
              <w:rPr>
                <w:rFonts w:ascii="宋体" w:hAnsi="宋体" w:cs="宋体" w:eastAsia="宋体" w:hint="default"/>
                <w:sz w:val="21"/>
                <w:szCs w:val="21"/>
              </w:rPr>
              <w:t>0.17</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年偿还</w:t>
            </w:r>
            <w:r>
              <w:rPr>
                <w:rFonts w:ascii="宋体" w:hAnsi="宋体" w:cs="宋体" w:eastAsia="宋体" w:hint="default"/>
                <w:spacing w:val="-53"/>
                <w:sz w:val="21"/>
                <w:szCs w:val="21"/>
              </w:rPr>
              <w:t> </w:t>
            </w:r>
            <w:r>
              <w:rPr>
                <w:rFonts w:ascii="宋体" w:hAnsi="宋体" w:cs="宋体" w:eastAsia="宋体" w:hint="default"/>
                <w:sz w:val="21"/>
                <w:szCs w:val="21"/>
              </w:rPr>
              <w:t>0.38</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z w:val="21"/>
                <w:szCs w:val="21"/>
              </w:rPr>
              <w:t> </w:t>
            </w:r>
          </w:p>
          <w:p>
            <w:pPr>
              <w:pStyle w:val="TableParagraph"/>
              <w:spacing w:line="280" w:lineRule="auto" w:before="45"/>
              <w:ind w:left="23" w:right="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）为满足西联日常经营资金需求，金控公司向西联提供委托贷款</w:t>
            </w:r>
            <w:r>
              <w:rPr>
                <w:rFonts w:ascii="宋体" w:hAnsi="宋体" w:cs="宋体" w:eastAsia="宋体" w:hint="default"/>
                <w:w w:val="100"/>
                <w:sz w:val="21"/>
                <w:szCs w:val="21"/>
              </w:rPr>
              <w:t> </w:t>
            </w:r>
            <w:r>
              <w:rPr>
                <w:rFonts w:ascii="宋体" w:hAnsi="宋体" w:cs="宋体" w:eastAsia="宋体" w:hint="default"/>
                <w:sz w:val="21"/>
                <w:szCs w:val="21"/>
              </w:rPr>
              <w:t>0.60</w:t>
            </w:r>
            <w:r>
              <w:rPr>
                <w:rFonts w:ascii="宋体" w:hAnsi="宋体" w:cs="宋体" w:eastAsia="宋体" w:hint="default"/>
                <w:spacing w:val="-53"/>
                <w:sz w:val="21"/>
                <w:szCs w:val="21"/>
              </w:rPr>
              <w:t> </w:t>
            </w:r>
            <w:r>
              <w:rPr>
                <w:rFonts w:ascii="宋体" w:hAnsi="宋体" w:cs="宋体" w:eastAsia="宋体" w:hint="default"/>
                <w:spacing w:val="-5"/>
                <w:sz w:val="21"/>
                <w:szCs w:val="21"/>
              </w:rPr>
              <w:t>亿元，利率为</w:t>
            </w:r>
            <w:r>
              <w:rPr>
                <w:rFonts w:ascii="宋体" w:hAnsi="宋体" w:cs="宋体" w:eastAsia="宋体" w:hint="default"/>
                <w:spacing w:val="-51"/>
                <w:sz w:val="21"/>
                <w:szCs w:val="21"/>
              </w:rPr>
              <w:t> </w:t>
            </w:r>
            <w:r>
              <w:rPr>
                <w:rFonts w:ascii="宋体" w:hAnsi="宋体" w:cs="宋体" w:eastAsia="宋体" w:hint="default"/>
                <w:spacing w:val="-4"/>
                <w:sz w:val="21"/>
                <w:szCs w:val="21"/>
              </w:rPr>
              <w:t>4.75%</w:t>
            </w:r>
            <w:r>
              <w:rPr>
                <w:rFonts w:ascii="宋体" w:hAnsi="宋体" w:cs="宋体" w:eastAsia="宋体" w:hint="default"/>
                <w:spacing w:val="-4"/>
                <w:sz w:val="21"/>
                <w:szCs w:val="21"/>
              </w:rPr>
              <w:t>，期限为</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9"/>
                <w:sz w:val="21"/>
                <w:szCs w:val="21"/>
              </w:rPr>
              <w:t>年，自</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2021</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日止。</w:t>
            </w:r>
            <w:r>
              <w:rPr>
                <w:rFonts w:ascii="宋体" w:hAnsi="宋体" w:cs="宋体" w:eastAsia="宋体" w:hint="default"/>
                <w:sz w:val="21"/>
                <w:szCs w:val="21"/>
              </w:rPr>
              <w:t> </w:t>
            </w:r>
          </w:p>
          <w:p>
            <w:pPr>
              <w:pStyle w:val="TableParagraph"/>
              <w:spacing w:line="280" w:lineRule="auto" w:before="44"/>
              <w:ind w:left="23" w:right="2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）为满足西联日常经营资金需求，金控公司向西联提供委托贷款</w:t>
            </w:r>
            <w:r>
              <w:rPr>
                <w:rFonts w:ascii="宋体" w:hAnsi="宋体" w:cs="宋体" w:eastAsia="宋体" w:hint="default"/>
                <w:w w:val="100"/>
                <w:sz w:val="21"/>
                <w:szCs w:val="21"/>
              </w:rPr>
              <w:t> </w:t>
            </w:r>
            <w:r>
              <w:rPr>
                <w:rFonts w:ascii="宋体" w:hAnsi="宋体" w:cs="宋体" w:eastAsia="宋体" w:hint="default"/>
                <w:sz w:val="21"/>
                <w:szCs w:val="21"/>
              </w:rPr>
              <w:t>0.56</w:t>
            </w:r>
            <w:r>
              <w:rPr>
                <w:rFonts w:ascii="宋体" w:hAnsi="宋体" w:cs="宋体" w:eastAsia="宋体" w:hint="default"/>
                <w:spacing w:val="-53"/>
                <w:sz w:val="21"/>
                <w:szCs w:val="21"/>
              </w:rPr>
              <w:t> </w:t>
            </w:r>
            <w:r>
              <w:rPr>
                <w:rFonts w:ascii="宋体" w:hAnsi="宋体" w:cs="宋体" w:eastAsia="宋体" w:hint="default"/>
                <w:spacing w:val="-5"/>
                <w:sz w:val="21"/>
                <w:szCs w:val="21"/>
              </w:rPr>
              <w:t>亿元，利率为</w:t>
            </w:r>
            <w:r>
              <w:rPr>
                <w:rFonts w:ascii="宋体" w:hAnsi="宋体" w:cs="宋体" w:eastAsia="宋体" w:hint="default"/>
                <w:spacing w:val="-51"/>
                <w:sz w:val="21"/>
                <w:szCs w:val="21"/>
              </w:rPr>
              <w:t> </w:t>
            </w:r>
            <w:r>
              <w:rPr>
                <w:rFonts w:ascii="宋体" w:hAnsi="宋体" w:cs="宋体" w:eastAsia="宋体" w:hint="default"/>
                <w:spacing w:val="-4"/>
                <w:sz w:val="21"/>
                <w:szCs w:val="21"/>
              </w:rPr>
              <w:t>4.75%</w:t>
            </w:r>
            <w:r>
              <w:rPr>
                <w:rFonts w:ascii="宋体" w:hAnsi="宋体" w:cs="宋体" w:eastAsia="宋体" w:hint="default"/>
                <w:spacing w:val="-4"/>
                <w:sz w:val="21"/>
                <w:szCs w:val="21"/>
              </w:rPr>
              <w:t>，期限为</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9"/>
                <w:sz w:val="21"/>
                <w:szCs w:val="21"/>
              </w:rPr>
              <w:t>年，自</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2022</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日止</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年偿还</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亿元。</w:t>
            </w:r>
          </w:p>
        </w:tc>
      </w:tr>
      <w:tr>
        <w:trPr>
          <w:trHeight w:val="650" w:hRule="exact"/>
        </w:trPr>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6"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634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3" w:right="19"/>
              <w:jc w:val="left"/>
              <w:rPr>
                <w:rFonts w:ascii="宋体" w:hAnsi="宋体" w:cs="宋体" w:eastAsia="宋体" w:hint="default"/>
                <w:sz w:val="21"/>
                <w:szCs w:val="21"/>
              </w:rPr>
            </w:pPr>
            <w:r>
              <w:rPr>
                <w:rFonts w:ascii="宋体" w:hAnsi="宋体" w:cs="宋体" w:eastAsia="宋体" w:hint="default"/>
                <w:spacing w:val="-2"/>
                <w:sz w:val="21"/>
                <w:szCs w:val="21"/>
              </w:rPr>
              <w:t>从关联方以贷款基准利率获得资金支持，有利于上述公司开展正常经</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营活动。</w:t>
            </w:r>
          </w:p>
        </w:tc>
      </w:tr>
    </w:tbl>
    <w:p>
      <w:pPr>
        <w:pStyle w:val="BodyText"/>
        <w:spacing w:line="314" w:lineRule="auto" w:before="42"/>
        <w:ind w:left="138" w:right="0"/>
        <w:jc w:val="left"/>
        <w:rPr>
          <w:rFonts w:ascii="宋体" w:hAnsi="宋体" w:cs="宋体" w:eastAsia="宋体" w:hint="default"/>
        </w:rPr>
      </w:pPr>
      <w:r>
        <w:rPr>
          <w:spacing w:val="-3"/>
        </w:rPr>
        <w:t>注：公司以上关联债权债务往来所涉及的关联交易年度上限及进展情况已包含在前述“</w:t>
      </w:r>
      <w:r>
        <w:rPr>
          <w:rFonts w:ascii="宋体" w:hAnsi="宋体" w:cs="宋体" w:eastAsia="宋体" w:hint="default"/>
          <w:spacing w:val="-3"/>
        </w:rPr>
        <w:t>(</w:t>
      </w:r>
      <w:r>
        <w:rPr>
          <w:spacing w:val="-3"/>
        </w:rPr>
        <w:t>一</w:t>
      </w:r>
      <w:r>
        <w:rPr>
          <w:rFonts w:ascii="宋体" w:hAnsi="宋体" w:cs="宋体" w:eastAsia="宋体" w:hint="default"/>
          <w:spacing w:val="-3"/>
        </w:rPr>
        <w:t>)</w:t>
      </w:r>
      <w:r>
        <w:rPr>
          <w:rFonts w:ascii="宋体" w:hAnsi="宋体" w:cs="宋体" w:eastAsia="宋体" w:hint="default"/>
          <w:spacing w:val="41"/>
        </w:rPr>
        <w:t> </w:t>
      </w:r>
      <w:r>
        <w:rPr/>
        <w:t>与日常</w:t>
      </w:r>
      <w:r>
        <w:rPr>
          <w:spacing w:val="-97"/>
        </w:rPr>
        <w:t> </w:t>
      </w:r>
      <w:r>
        <w:rPr>
          <w:spacing w:val="-97"/>
        </w:rPr>
      </w:r>
      <w:r>
        <w:rPr/>
        <w:t>经营相关的关联交易”内。</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5"/>
        <w:spacing w:line="240" w:lineRule="auto" w:before="59"/>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29"/>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tabs>
          <w:tab w:pos="978" w:val="left" w:leader="none"/>
        </w:tabs>
        <w:spacing w:line="290" w:lineRule="auto" w:before="0"/>
        <w:ind w:left="138" w:right="6275"/>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100"/>
        </w:rPr>
        <w:t> </w:t>
      </w:r>
      <w:r>
        <w:rPr>
          <w:spacing w:val="100"/>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138" w:right="735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9"/>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3019" w:val="left" w:leader="none"/>
        </w:tabs>
        <w:spacing w:line="240" w:lineRule="auto" w:before="4"/>
        <w:ind w:left="138" w:right="0"/>
        <w:jc w:val="left"/>
        <w:rPr>
          <w:rFonts w:ascii="宋体" w:hAnsi="宋体" w:cs="宋体" w:eastAsia="宋体" w:hint="default"/>
        </w:rPr>
      </w:pPr>
      <w:r>
        <w:rPr>
          <w:rFonts w:ascii="宋体"/>
          <w:w w:val="100"/>
        </w:rPr>
      </w:r>
      <w:r>
        <w:rPr>
          <w:rFonts w:ascii="宋体"/>
          <w:w w:val="100"/>
          <w:shd w:fill="E4E4E4" w:color="auto" w:val="clear"/>
        </w:rPr>
        <w:t> </w:t>
      </w:r>
      <w:r>
        <w:rPr>
          <w:rFonts w:ascii="宋体"/>
          <w:shd w:fill="E4E4E4" w:color="auto" w:val="clear"/>
        </w:rPr>
        <w:tab/>
      </w:r>
      <w:r>
        <w:rPr>
          <w:rFonts w:ascii="宋体"/>
        </w:rPr>
      </w:r>
      <w:r>
        <w:rPr>
          <w:rFonts w:ascii="宋体"/>
          <w:w w:val="100"/>
        </w:rPr>
        <w:t> </w:t>
      </w:r>
    </w:p>
    <w:p>
      <w:pPr>
        <w:spacing w:after="0" w:line="240" w:lineRule="auto"/>
        <w:jc w:val="left"/>
        <w:rPr>
          <w:rFonts w:ascii="宋体" w:hAnsi="宋体" w:cs="宋体" w:eastAsia="宋体" w:hint="default"/>
        </w:rPr>
        <w:sectPr>
          <w:pgSz w:w="11910" w:h="16840"/>
          <w:pgMar w:header="880" w:footer="974" w:top="1120" w:bottom="1160" w:left="1280" w:right="12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120" w:bottom="1160" w:left="1160" w:right="1040"/>
        </w:sectPr>
      </w:pPr>
    </w:p>
    <w:p>
      <w:pPr>
        <w:pStyle w:val="Heading5"/>
        <w:tabs>
          <w:tab w:pos="1098" w:val="left" w:leader="none"/>
        </w:tabs>
        <w:spacing w:line="240" w:lineRule="auto" w:before="170"/>
        <w:ind w:left="258" w:right="0"/>
        <w:jc w:val="left"/>
        <w:rPr>
          <w:b w:val="0"/>
          <w:bCs w:val="0"/>
        </w:rPr>
      </w:pPr>
      <w:bookmarkStart w:name="OLE_LINK2" w:id="10"/>
      <w:bookmarkEnd w:id="10"/>
      <w:r>
        <w:rPr>
          <w:b w:val="0"/>
          <w:bCs w:val="0"/>
        </w:rPr>
      </w:r>
      <w:bookmarkStart w:name="OLE_LINK3" w:id="11"/>
      <w:bookmarkEnd w:id="11"/>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6"/>
        <w:ind w:left="2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258"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60" w:right="1040"/>
          <w:cols w:num="2" w:equalWidth="0">
            <w:col w:w="2045" w:space="4714"/>
            <w:col w:w="295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69"/>
        <w:gridCol w:w="778"/>
        <w:gridCol w:w="622"/>
        <w:gridCol w:w="697"/>
        <w:gridCol w:w="739"/>
        <w:gridCol w:w="708"/>
        <w:gridCol w:w="708"/>
        <w:gridCol w:w="864"/>
        <w:gridCol w:w="622"/>
        <w:gridCol w:w="622"/>
        <w:gridCol w:w="691"/>
        <w:gridCol w:w="622"/>
        <w:gridCol w:w="622"/>
        <w:gridCol w:w="614"/>
      </w:tblGrid>
      <w:tr>
        <w:trPr>
          <w:trHeight w:val="302" w:hRule="exact"/>
        </w:trPr>
        <w:tc>
          <w:tcPr>
            <w:tcW w:w="94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3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37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3" w:right="67"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7" w:right="65"/>
              <w:jc w:val="both"/>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pacing w:val="-102"/>
                <w:sz w:val="21"/>
                <w:szCs w:val="21"/>
              </w:rPr>
              <w:t> </w:t>
            </w: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3" w:right="-8"/>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37" w:right="22" w:hanging="209"/>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担保发</w:t>
            </w:r>
          </w:p>
          <w:p>
            <w:pPr>
              <w:pStyle w:val="TableParagraph"/>
              <w:spacing w:line="237" w:lineRule="auto"/>
              <w:ind w:left="48" w:right="47"/>
              <w:jc w:val="center"/>
              <w:rPr>
                <w:rFonts w:ascii="宋体" w:hAnsi="宋体" w:cs="宋体" w:eastAsia="宋体" w:hint="default"/>
                <w:sz w:val="21"/>
                <w:szCs w:val="21"/>
              </w:rPr>
            </w:pPr>
            <w:r>
              <w:rPr>
                <w:rFonts w:ascii="宋体" w:hAnsi="宋体" w:cs="宋体" w:eastAsia="宋体" w:hint="default"/>
                <w:sz w:val="21"/>
                <w:szCs w:val="21"/>
              </w:rPr>
              <w:t>生日期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9" w:right="108" w:hanging="209"/>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95" w:right="-1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3"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3" w:right="23"/>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5" w:right="9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93" w:right="-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91" w:right="-1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55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5"/>
                <w:sz w:val="21"/>
                <w:szCs w:val="21"/>
              </w:rPr>
              <w:t> </w:t>
            </w:r>
            <w:r>
              <w:rPr>
                <w:rFonts w:ascii="宋体" w:hAnsi="宋体" w:cs="宋体" w:eastAsia="宋体" w:hint="default"/>
                <w:sz w:val="21"/>
                <w:szCs w:val="21"/>
              </w:rPr>
              <w:t>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61"/>
                <w:sz w:val="21"/>
                <w:szCs w:val="21"/>
              </w:rPr>
              <w:t> </w:t>
            </w:r>
            <w:r>
              <w:rPr>
                <w:rFonts w:ascii="宋体" w:hAnsi="宋体" w:cs="宋体" w:eastAsia="宋体" w:hint="default"/>
                <w:sz w:val="21"/>
                <w:szCs w:val="21"/>
              </w:rPr>
              <w:t>司</w:t>
            </w:r>
            <w:r>
              <w:rPr>
                <w:rFonts w:ascii="宋体" w:hAnsi="宋体" w:cs="宋体" w:eastAsia="宋体" w:hint="default"/>
                <w:spacing w:val="-59"/>
                <w:sz w:val="21"/>
                <w:szCs w:val="21"/>
              </w:rPr>
              <w:t> </w:t>
            </w:r>
            <w:r>
              <w:rPr>
                <w:rFonts w:ascii="宋体" w:hAnsi="宋体" w:cs="宋体" w:eastAsia="宋体" w:hint="default"/>
                <w:sz w:val="21"/>
                <w:szCs w:val="21"/>
              </w:rPr>
              <w:t>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38"/>
                <w:sz w:val="21"/>
                <w:szCs w:val="21"/>
              </w:rPr>
              <w:t> </w:t>
            </w:r>
            <w:r>
              <w:rPr>
                <w:rFonts w:ascii="宋体" w:hAnsi="宋体" w:cs="宋体" w:eastAsia="宋体" w:hint="default"/>
                <w:sz w:val="21"/>
                <w:szCs w:val="21"/>
              </w:rPr>
              <w:t>岛</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实华</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w w:val="100"/>
                <w:sz w:val="21"/>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21"/>
                <w:szCs w:val="21"/>
              </w:rPr>
            </w:pPr>
            <w:r>
              <w:rPr>
                <w:rFonts w:ascii="Times New Roman"/>
                <w:sz w:val="21"/>
              </w:rPr>
              <w:t>2018.2.</w:t>
            </w:r>
          </w:p>
          <w:p>
            <w:pPr>
              <w:pStyle w:val="TableParagraph"/>
              <w:spacing w:line="240" w:lineRule="auto" w:before="1"/>
              <w:ind w:left="24" w:right="0"/>
              <w:jc w:val="left"/>
              <w:rPr>
                <w:rFonts w:ascii="Times New Roman" w:hAnsi="Times New Roman" w:cs="Times New Roman" w:eastAsia="Times New Roman" w:hint="default"/>
                <w:sz w:val="21"/>
                <w:szCs w:val="21"/>
              </w:rPr>
            </w:pPr>
            <w:r>
              <w:rPr>
                <w:rFonts w:ascii="Times New Roman"/>
                <w:sz w:val="21"/>
              </w:rPr>
              <w:t>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21"/>
                <w:szCs w:val="21"/>
              </w:rPr>
            </w:pPr>
            <w:r>
              <w:rPr>
                <w:rFonts w:ascii="Times New Roman"/>
                <w:sz w:val="21"/>
              </w:rPr>
              <w:t>2018.2.</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sz w:val="21"/>
              </w:rPr>
              <w:t>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21"/>
                <w:szCs w:val="21"/>
              </w:rPr>
            </w:pPr>
            <w:r>
              <w:rPr>
                <w:rFonts w:ascii="Times New Roman"/>
                <w:sz w:val="21"/>
              </w:rPr>
              <w:t>2021.6.</w:t>
            </w:r>
          </w:p>
          <w:p>
            <w:pPr>
              <w:pStyle w:val="TableParagraph"/>
              <w:spacing w:line="240" w:lineRule="auto" w:before="1"/>
              <w:ind w:left="24" w:right="0"/>
              <w:jc w:val="left"/>
              <w:rPr>
                <w:rFonts w:ascii="Times New Roman" w:hAnsi="Times New Roman" w:cs="Times New Roman" w:eastAsia="Times New Roman" w:hint="default"/>
                <w:sz w:val="21"/>
                <w:szCs w:val="21"/>
              </w:rPr>
            </w:pPr>
            <w:r>
              <w:rPr>
                <w:rFonts w:ascii="Times New Roman"/>
                <w:sz w:val="21"/>
              </w:rPr>
              <w:t>30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6"/>
                <w:w w:val="100"/>
                <w:sz w:val="21"/>
                <w:szCs w:val="21"/>
              </w:rPr>
              <w:t>连</w:t>
            </w:r>
            <w:r>
              <w:rPr>
                <w:rFonts w:ascii="宋体" w:hAnsi="宋体" w:cs="宋体" w:eastAsia="宋体" w:hint="default"/>
                <w:w w:val="100"/>
                <w:sz w:val="21"/>
                <w:szCs w:val="21"/>
              </w:rPr>
              <w:t>带</w:t>
            </w:r>
            <w:r>
              <w:rPr>
                <w:rFonts w:ascii="宋体" w:hAnsi="宋体" w:cs="宋体" w:eastAsia="宋体" w:hint="default"/>
                <w:spacing w:val="-19"/>
                <w:sz w:val="21"/>
                <w:szCs w:val="21"/>
              </w:rPr>
              <w:t> </w:t>
            </w:r>
            <w:r>
              <w:rPr>
                <w:rFonts w:ascii="宋体" w:hAnsi="宋体" w:cs="宋体" w:eastAsia="宋体" w:hint="default"/>
                <w:w w:val="100"/>
                <w:sz w:val="21"/>
                <w:szCs w:val="21"/>
              </w:rPr>
              <w:t>责</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任担保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31"/>
                <w:sz w:val="21"/>
                <w:szCs w:val="21"/>
              </w:rPr>
              <w:t> </w:t>
            </w:r>
            <w:r>
              <w:rPr>
                <w:rFonts w:ascii="宋体" w:hAnsi="宋体" w:cs="宋体" w:eastAsia="宋体" w:hint="default"/>
                <w:sz w:val="21"/>
                <w:szCs w:val="21"/>
              </w:rPr>
              <w:t>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651"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 w:right="81"/>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的担保）</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w w:val="100"/>
                <w:sz w:val="21"/>
              </w:rPr>
              <w:t> </w:t>
            </w:r>
          </w:p>
        </w:tc>
      </w:tr>
      <w:tr>
        <w:trPr>
          <w:trHeight w:val="650"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24" w:right="22"/>
              <w:jc w:val="left"/>
              <w:rPr>
                <w:rFonts w:ascii="宋体" w:hAnsi="宋体" w:cs="宋体" w:eastAsia="宋体" w:hint="default"/>
                <w:sz w:val="21"/>
                <w:szCs w:val="21"/>
              </w:rPr>
            </w:pPr>
            <w:r>
              <w:rPr>
                <w:rFonts w:ascii="宋体" w:hAnsi="宋体" w:cs="宋体" w:eastAsia="宋体" w:hint="default"/>
                <w:spacing w:val="-4"/>
                <w:sz w:val="21"/>
                <w:szCs w:val="21"/>
              </w:rPr>
              <w:t>报告期末担保余额合计（</w:t>
            </w:r>
            <w:r>
              <w:rPr>
                <w:rFonts w:ascii="宋体" w:hAnsi="宋体" w:cs="宋体" w:eastAsia="宋体" w:hint="default"/>
                <w:spacing w:val="-4"/>
                <w:sz w:val="21"/>
                <w:szCs w:val="21"/>
              </w:rPr>
              <w:t>A</w:t>
            </w:r>
            <w:r>
              <w:rPr>
                <w:rFonts w:ascii="宋体" w:hAnsi="宋体" w:cs="宋体" w:eastAsia="宋体" w:hint="default"/>
                <w:spacing w:val="-4"/>
                <w:sz w:val="21"/>
                <w:szCs w:val="21"/>
              </w:rPr>
              <w:t>）（不包括对子公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司的担保）</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w w:val="100"/>
                <w:sz w:val="21"/>
              </w:rPr>
              <w:t> </w:t>
            </w:r>
          </w:p>
        </w:tc>
      </w:tr>
      <w:tr>
        <w:trPr>
          <w:trHeight w:val="329" w:hRule="exact"/>
        </w:trPr>
        <w:tc>
          <w:tcPr>
            <w:tcW w:w="94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0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31"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107,502.50</w:t>
            </w:r>
          </w:p>
        </w:tc>
      </w:tr>
      <w:tr>
        <w:trPr>
          <w:trHeight w:val="329"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53,349.69</w:t>
            </w:r>
          </w:p>
        </w:tc>
      </w:tr>
      <w:tr>
        <w:trPr>
          <w:trHeight w:val="331" w:hRule="exact"/>
        </w:trPr>
        <w:tc>
          <w:tcPr>
            <w:tcW w:w="94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9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29"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53,349.69</w:t>
            </w:r>
          </w:p>
        </w:tc>
      </w:tr>
      <w:tr>
        <w:trPr>
          <w:trHeight w:val="331"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7"/>
              <w:jc w:val="right"/>
              <w:rPr>
                <w:rFonts w:ascii="Times New Roman" w:hAnsi="Times New Roman" w:cs="Times New Roman" w:eastAsia="Times New Roman" w:hint="default"/>
                <w:sz w:val="21"/>
                <w:szCs w:val="21"/>
              </w:rPr>
            </w:pPr>
            <w:r>
              <w:rPr>
                <w:rFonts w:ascii="Times New Roman"/>
                <w:sz w:val="21"/>
              </w:rPr>
              <w:t>1.59</w:t>
            </w:r>
          </w:p>
        </w:tc>
      </w:tr>
      <w:tr>
        <w:trPr>
          <w:trHeight w:val="329" w:hRule="exact"/>
        </w:trPr>
        <w:tc>
          <w:tcPr>
            <w:tcW w:w="94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651"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 w:right="81"/>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w w:val="100"/>
                <w:sz w:val="21"/>
              </w:rPr>
              <w:t> </w:t>
            </w:r>
          </w:p>
        </w:tc>
      </w:tr>
      <w:tr>
        <w:trPr>
          <w:trHeight w:val="650"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4" w:right="187"/>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w w:val="100"/>
                <w:sz w:val="21"/>
              </w:rPr>
              <w:t> </w:t>
            </w:r>
          </w:p>
        </w:tc>
      </w:tr>
      <w:tr>
        <w:trPr>
          <w:trHeight w:val="329"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21"/>
                <w:szCs w:val="21"/>
              </w:rPr>
            </w:pPr>
            <w:r>
              <w:rPr>
                <w:rFonts w:ascii="宋体"/>
                <w:w w:val="100"/>
                <w:sz w:val="21"/>
              </w:rPr>
              <w:t> </w:t>
            </w:r>
          </w:p>
        </w:tc>
      </w:tr>
      <w:tr>
        <w:trPr>
          <w:trHeight w:val="331"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w w:val="100"/>
                <w:sz w:val="21"/>
              </w:rPr>
              <w:t> </w:t>
            </w:r>
          </w:p>
        </w:tc>
      </w:tr>
      <w:tr>
        <w:trPr>
          <w:trHeight w:val="329"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21"/>
                <w:szCs w:val="21"/>
              </w:rPr>
            </w:pPr>
            <w:r>
              <w:rPr>
                <w:rFonts w:ascii="宋体"/>
                <w:w w:val="100"/>
                <w:sz w:val="21"/>
              </w:rPr>
              <w:t> </w:t>
            </w:r>
          </w:p>
        </w:tc>
      </w:tr>
      <w:tr>
        <w:trPr>
          <w:trHeight w:val="1291" w:hRule="exact"/>
        </w:trPr>
        <w:tc>
          <w:tcPr>
            <w:tcW w:w="41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3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8" w:lineRule="auto" w:before="14"/>
              <w:ind w:left="24" w:right="72"/>
              <w:jc w:val="both"/>
              <w:rPr>
                <w:rFonts w:ascii="宋体" w:hAnsi="宋体" w:cs="宋体" w:eastAsia="宋体" w:hint="default"/>
                <w:sz w:val="21"/>
                <w:szCs w:val="21"/>
              </w:rPr>
            </w:pPr>
            <w:r>
              <w:rPr>
                <w:rFonts w:ascii="宋体" w:hAnsi="宋体" w:cs="宋体" w:eastAsia="宋体" w:hint="default"/>
                <w:spacing w:val="-2"/>
                <w:sz w:val="21"/>
                <w:szCs w:val="21"/>
              </w:rPr>
              <w:t>本公司为青岛实华开展原油期货交割库相关业务所应承担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的一切责任承担不可撤销的连带保证担保责任。截至</w:t>
            </w:r>
            <w:r>
              <w:rPr>
                <w:rFonts w:ascii="Times New Roman" w:hAnsi="Times New Roman" w:cs="Times New Roman" w:eastAsia="Times New Roman" w:hint="default"/>
                <w:spacing w:val="-2"/>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日，青岛实华尚未发生相关交易且原油期货交割</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库相关业务合同已到期终止。</w:t>
            </w:r>
            <w:r>
              <w:rPr>
                <w:rFonts w:ascii="宋体" w:hAnsi="宋体" w:cs="宋体" w:eastAsia="宋体" w:hint="default"/>
                <w:sz w:val="21"/>
                <w:szCs w:val="21"/>
              </w:rPr>
              <w:t> </w:t>
            </w:r>
          </w:p>
        </w:tc>
      </w:tr>
    </w:tbl>
    <w:p>
      <w:pPr>
        <w:spacing w:after="0" w:line="268" w:lineRule="auto"/>
        <w:jc w:val="both"/>
        <w:rPr>
          <w:rFonts w:ascii="宋体" w:hAnsi="宋体" w:cs="宋体" w:eastAsia="宋体" w:hint="default"/>
          <w:sz w:val="21"/>
          <w:szCs w:val="21"/>
        </w:rPr>
        <w:sectPr>
          <w:type w:val="continuous"/>
          <w:pgSz w:w="11910" w:h="16840"/>
          <w:pgMar w:top="1120" w:bottom="1160" w:left="1160" w:right="1040"/>
        </w:sectPr>
      </w:pPr>
    </w:p>
    <w:p>
      <w:pPr>
        <w:pStyle w:val="BodyText"/>
        <w:spacing w:line="241" w:lineRule="exact"/>
        <w:ind w:left="258" w:right="0"/>
        <w:jc w:val="left"/>
        <w:rPr>
          <w:rFonts w:ascii="宋体" w:hAnsi="宋体" w:cs="宋体" w:eastAsia="宋体" w:hint="default"/>
        </w:rPr>
      </w:pPr>
      <w:r>
        <w:rPr>
          <w:rFonts w:ascii="宋体"/>
          <w:w w:val="100"/>
        </w:rPr>
        <w:t> </w:t>
      </w:r>
    </w:p>
    <w:p>
      <w:pPr>
        <w:pStyle w:val="Heading5"/>
        <w:tabs>
          <w:tab w:pos="683" w:val="left" w:leader="none"/>
          <w:tab w:pos="1098" w:val="left" w:leader="none"/>
        </w:tabs>
        <w:spacing w:line="290" w:lineRule="auto" w:before="57"/>
        <w:ind w:left="258" w:right="0"/>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12"/>
        <w:ind w:left="25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Heading3"/>
        <w:spacing w:line="240" w:lineRule="auto" w:before="52"/>
        <w:ind w:left="25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ind w:left="258"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160" w:right="1040"/>
          <w:cols w:num="2" w:equalWidth="0">
            <w:col w:w="4263" w:space="2285"/>
            <w:col w:w="3162"/>
          </w:cols>
        </w:sectPr>
      </w:pP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836"/>
        <w:gridCol w:w="1659"/>
        <w:gridCol w:w="1661"/>
        <w:gridCol w:w="1659"/>
        <w:gridCol w:w="2221"/>
      </w:tblGrid>
      <w:tr>
        <w:trPr>
          <w:trHeight w:val="28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9"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资金来源</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22"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right"/>
              <w:rPr>
                <w:rFonts w:ascii="宋体" w:hAnsi="宋体" w:cs="宋体" w:eastAsia="宋体" w:hint="default"/>
                <w:sz w:val="24"/>
                <w:szCs w:val="24"/>
              </w:rPr>
            </w:pPr>
            <w:r>
              <w:rPr>
                <w:rFonts w:ascii="宋体" w:hAnsi="宋体" w:cs="宋体" w:eastAsia="宋体" w:hint="default"/>
                <w:spacing w:val="-1"/>
                <w:sz w:val="24"/>
                <w:szCs w:val="24"/>
              </w:rPr>
              <w:t>银行理财产品</w:t>
            </w:r>
            <w:r>
              <w:rPr>
                <w:rFonts w:ascii="宋体" w:hAnsi="宋体" w:cs="宋体" w:eastAsia="宋体" w:hint="default"/>
                <w:sz w:val="24"/>
                <w:szCs w:val="24"/>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180,500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70,000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right"/>
              <w:rPr>
                <w:rFonts w:ascii="宋体" w:hAnsi="宋体" w:cs="宋体" w:eastAsia="宋体" w:hint="default"/>
                <w:sz w:val="24"/>
                <w:szCs w:val="24"/>
              </w:rPr>
            </w:pPr>
            <w:r>
              <w:rPr>
                <w:rFonts w:ascii="宋体" w:hAnsi="宋体" w:cs="宋体" w:eastAsia="宋体" w:hint="default"/>
                <w:spacing w:val="-1"/>
                <w:sz w:val="24"/>
                <w:szCs w:val="24"/>
              </w:rPr>
              <w:t>券商理财产品</w:t>
            </w:r>
            <w:r>
              <w:rPr>
                <w:rFonts w:ascii="宋体" w:hAnsi="宋体" w:cs="宋体" w:eastAsia="宋体" w:hint="default"/>
                <w:sz w:val="24"/>
                <w:szCs w:val="24"/>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34,500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z w:val="21"/>
              </w:rPr>
              <w:t>20,000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5"/>
        <w:spacing w:line="236" w:lineRule="exact" w:before="0"/>
        <w:ind w:left="25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09" w:lineRule="exact"/>
        <w:ind w:left="25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309" w:lineRule="exact"/>
        <w:jc w:val="left"/>
        <w:rPr>
          <w:rFonts w:ascii="宋体" w:hAnsi="宋体" w:cs="宋体" w:eastAsia="宋体" w:hint="default"/>
        </w:rPr>
        <w:sectPr>
          <w:type w:val="continuous"/>
          <w:pgSz w:w="11910" w:h="16840"/>
          <w:pgMar w:top="1120" w:bottom="1160" w:left="1160" w:right="1040"/>
        </w:sectPr>
      </w:pPr>
    </w:p>
    <w:p>
      <w:pPr>
        <w:spacing w:before="17"/>
        <w:ind w:left="6535" w:right="657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27"/>
          <w:footerReference w:type="default" r:id="rId28"/>
          <w:pgSz w:w="16840" w:h="11910" w:orient="landscape"/>
          <w:pgMar w:header="0" w:footer="0" w:top="800" w:bottom="280" w:left="1200" w:right="1180"/>
        </w:sectPr>
      </w:pPr>
    </w:p>
    <w:p>
      <w:pPr>
        <w:pStyle w:val="Heading5"/>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right="-1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2269" w:space="9212"/>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69"/>
        <w:gridCol w:w="1078"/>
        <w:gridCol w:w="869"/>
        <w:gridCol w:w="1162"/>
        <w:gridCol w:w="1159"/>
        <w:gridCol w:w="871"/>
        <w:gridCol w:w="869"/>
        <w:gridCol w:w="869"/>
        <w:gridCol w:w="869"/>
        <w:gridCol w:w="869"/>
        <w:gridCol w:w="871"/>
        <w:gridCol w:w="869"/>
        <w:gridCol w:w="979"/>
        <w:gridCol w:w="1154"/>
        <w:gridCol w:w="862"/>
      </w:tblGrid>
      <w:tr>
        <w:trPr>
          <w:trHeight w:val="109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24" w:right="110" w:hanging="21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10"/>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5" w:right="15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151"/>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18" w:right="218"/>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5" w:right="218"/>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15" w:right="113"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0" w:right="113"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12" w:right="110"/>
              <w:jc w:val="center"/>
              <w:rPr>
                <w:rFonts w:ascii="宋体" w:hAnsi="宋体" w:cs="宋体" w:eastAsia="宋体" w:hint="default"/>
                <w:sz w:val="21"/>
                <w:szCs w:val="21"/>
              </w:rPr>
            </w:pPr>
            <w:r>
              <w:rPr>
                <w:rFonts w:ascii="宋体" w:hAnsi="宋体" w:cs="宋体" w:eastAsia="宋体" w:hint="default"/>
                <w:sz w:val="21"/>
                <w:szCs w:val="21"/>
              </w:rPr>
              <w:t>预期收</w:t>
            </w:r>
            <w:r>
              <w:rPr>
                <w:rFonts w:ascii="宋体" w:hAnsi="宋体" w:cs="宋体" w:eastAsia="宋体" w:hint="default"/>
                <w:w w:val="100"/>
                <w:sz w:val="21"/>
                <w:szCs w:val="21"/>
              </w:rPr>
              <w:t> </w:t>
            </w:r>
            <w:r>
              <w:rPr>
                <w:rFonts w:ascii="宋体" w:hAnsi="宋体" w:cs="宋体" w:eastAsia="宋体" w:hint="default"/>
                <w:sz w:val="21"/>
                <w:szCs w:val="21"/>
              </w:rPr>
              <w:t>益</w:t>
            </w:r>
          </w:p>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3"/>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11"/>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8" w:right="167"/>
              <w:jc w:val="both"/>
              <w:rPr>
                <w:rFonts w:ascii="宋体" w:hAnsi="宋体" w:cs="宋体" w:eastAsia="宋体" w:hint="default"/>
                <w:sz w:val="21"/>
                <w:szCs w:val="21"/>
              </w:rPr>
            </w:pPr>
            <w:r>
              <w:rPr>
                <w:rFonts w:ascii="宋体" w:hAnsi="宋体" w:cs="宋体" w:eastAsia="宋体" w:hint="default"/>
                <w:sz w:val="21"/>
                <w:szCs w:val="21"/>
              </w:rPr>
              <w:t>是否经</w:t>
            </w:r>
            <w:r>
              <w:rPr>
                <w:rFonts w:ascii="宋体" w:hAnsi="宋体" w:cs="宋体" w:eastAsia="宋体" w:hint="default"/>
                <w:spacing w:val="-102"/>
                <w:sz w:val="21"/>
                <w:szCs w:val="21"/>
              </w:rPr>
              <w:t> </w:t>
            </w: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未来是否</w:t>
            </w:r>
            <w:r>
              <w:rPr>
                <w:rFonts w:ascii="宋体" w:hAnsi="宋体" w:cs="宋体" w:eastAsia="宋体" w:hint="default"/>
                <w:w w:val="100"/>
                <w:sz w:val="21"/>
                <w:szCs w:val="21"/>
              </w:rPr>
              <w:t> </w:t>
            </w: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37" w:lineRule="auto" w:before="2"/>
              <w:ind w:left="110" w:right="107"/>
              <w:jc w:val="center"/>
              <w:rPr>
                <w:rFonts w:ascii="Times New Roman" w:hAnsi="Times New Roman" w:cs="Times New Roman" w:eastAsia="Times New Roman" w:hint="default"/>
                <w:sz w:val="21"/>
                <w:szCs w:val="21"/>
              </w:rPr>
            </w:pPr>
            <w:r>
              <w:rPr>
                <w:rFonts w:ascii="宋体" w:hAnsi="宋体" w:cs="宋体" w:eastAsia="宋体" w:hint="default"/>
                <w:sz w:val="21"/>
                <w:szCs w:val="21"/>
              </w:rPr>
              <w:t>备计提</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82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3" w:right="111" w:hanging="212"/>
              <w:jc w:val="left"/>
              <w:rPr>
                <w:rFonts w:ascii="宋体" w:hAnsi="宋体" w:cs="宋体" w:eastAsia="宋体" w:hint="default"/>
                <w:sz w:val="21"/>
                <w:szCs w:val="21"/>
              </w:rPr>
            </w:pPr>
            <w:r>
              <w:rPr>
                <w:rFonts w:ascii="宋体" w:hAnsi="宋体" w:cs="宋体" w:eastAsia="宋体" w:hint="default"/>
                <w:sz w:val="21"/>
                <w:szCs w:val="21"/>
              </w:rPr>
              <w:t>浙商银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2" w:lineRule="exact" w:before="27"/>
              <w:ind w:left="112" w:right="110"/>
              <w:jc w:val="left"/>
              <w:rPr>
                <w:rFonts w:ascii="宋体" w:hAnsi="宋体" w:cs="宋体" w:eastAsia="宋体" w:hint="default"/>
                <w:sz w:val="21"/>
                <w:szCs w:val="21"/>
              </w:rPr>
            </w:pPr>
            <w:r>
              <w:rPr>
                <w:rFonts w:ascii="宋体" w:hAnsi="宋体" w:cs="宋体" w:eastAsia="宋体" w:hint="default"/>
                <w:sz w:val="21"/>
                <w:szCs w:val="21"/>
              </w:rPr>
              <w:t>动收益型</w:t>
            </w:r>
            <w:r>
              <w:rPr>
                <w:rFonts w:ascii="宋体" w:hAnsi="宋体" w:cs="宋体" w:eastAsia="宋体" w:hint="default"/>
                <w:w w:val="100"/>
                <w:sz w:val="21"/>
                <w:szCs w:val="21"/>
              </w:rPr>
              <w:t> </w:t>
            </w:r>
            <w:r>
              <w:rPr>
                <w:rFonts w:ascii="宋体" w:hAnsi="宋体" w:cs="宋体" w:eastAsia="宋体" w:hint="default"/>
                <w:sz w:val="21"/>
                <w:szCs w:val="21"/>
              </w:rPr>
              <w:t>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2019.9.11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2019.12.17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3" w:right="113" w:hanging="212"/>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1" w:right="113" w:hanging="212"/>
              <w:jc w:val="left"/>
              <w:rPr>
                <w:rFonts w:ascii="宋体" w:hAnsi="宋体" w:cs="宋体" w:eastAsia="宋体" w:hint="default"/>
                <w:sz w:val="21"/>
                <w:szCs w:val="21"/>
              </w:rPr>
            </w:pPr>
            <w:r>
              <w:rPr>
                <w:rFonts w:ascii="宋体" w:hAnsi="宋体" w:cs="宋体" w:eastAsia="宋体" w:hint="default"/>
                <w:sz w:val="21"/>
                <w:szCs w:val="21"/>
              </w:rPr>
              <w:t>合同约</w:t>
            </w:r>
            <w:r>
              <w:rPr>
                <w:rFonts w:ascii="宋体" w:hAnsi="宋体" w:cs="宋体" w:eastAsia="宋体" w:hint="default"/>
                <w:spacing w:val="-102"/>
                <w:sz w:val="21"/>
                <w:szCs w:val="21"/>
              </w:rPr>
              <w:t> </w:t>
            </w:r>
            <w:r>
              <w:rPr>
                <w:rFonts w:ascii="宋体" w:hAnsi="宋体" w:cs="宋体" w:eastAsia="宋体" w:hint="default"/>
                <w:sz w:val="21"/>
                <w:szCs w:val="21"/>
              </w:rPr>
              <w:t>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4.10%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215.67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已收回</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2" w:right="111"/>
              <w:jc w:val="left"/>
              <w:rPr>
                <w:rFonts w:ascii="宋体" w:hAnsi="宋体" w:cs="宋体" w:eastAsia="宋体" w:hint="default"/>
                <w:sz w:val="21"/>
                <w:szCs w:val="21"/>
              </w:rPr>
            </w:pPr>
            <w:r>
              <w:rPr>
                <w:rFonts w:ascii="宋体" w:hAnsi="宋体" w:cs="宋体" w:eastAsia="宋体" w:hint="default"/>
                <w:sz w:val="21"/>
                <w:szCs w:val="21"/>
              </w:rPr>
              <w:t>中国光</w:t>
            </w:r>
            <w:r>
              <w:rPr>
                <w:rFonts w:ascii="宋体" w:hAnsi="宋体" w:cs="宋体" w:eastAsia="宋体" w:hint="default"/>
                <w:spacing w:val="-102"/>
                <w:sz w:val="21"/>
                <w:szCs w:val="21"/>
              </w:rPr>
              <w:t> </w:t>
            </w:r>
            <w:r>
              <w:rPr>
                <w:rFonts w:ascii="宋体" w:hAnsi="宋体" w:cs="宋体" w:eastAsia="宋体" w:hint="default"/>
                <w:sz w:val="21"/>
                <w:szCs w:val="21"/>
              </w:rPr>
              <w:t>大银行</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40" w:lineRule="auto"/>
              <w:ind w:left="112" w:right="110"/>
              <w:jc w:val="left"/>
              <w:rPr>
                <w:rFonts w:ascii="宋体" w:hAnsi="宋体" w:cs="宋体" w:eastAsia="宋体" w:hint="default"/>
                <w:sz w:val="21"/>
                <w:szCs w:val="21"/>
              </w:rPr>
            </w:pPr>
            <w:r>
              <w:rPr>
                <w:rFonts w:ascii="宋体" w:hAnsi="宋体" w:cs="宋体" w:eastAsia="宋体" w:hint="default"/>
                <w:sz w:val="21"/>
                <w:szCs w:val="21"/>
              </w:rPr>
              <w:t>动收益型</w:t>
            </w:r>
            <w:r>
              <w:rPr>
                <w:rFonts w:ascii="宋体" w:hAnsi="宋体" w:cs="宋体" w:eastAsia="宋体" w:hint="default"/>
                <w:w w:val="100"/>
                <w:sz w:val="21"/>
                <w:szCs w:val="21"/>
              </w:rPr>
              <w:t> </w:t>
            </w:r>
            <w:r>
              <w:rPr>
                <w:rFonts w:ascii="宋体" w:hAnsi="宋体" w:cs="宋体" w:eastAsia="宋体" w:hint="default"/>
                <w:sz w:val="21"/>
                <w:szCs w:val="21"/>
              </w:rPr>
              <w:t>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2019.12.9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3" w:right="113" w:hanging="212"/>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113" w:hanging="212"/>
              <w:jc w:val="left"/>
              <w:rPr>
                <w:rFonts w:ascii="宋体" w:hAnsi="宋体" w:cs="宋体" w:eastAsia="宋体" w:hint="default"/>
                <w:sz w:val="21"/>
                <w:szCs w:val="21"/>
              </w:rPr>
            </w:pPr>
            <w:r>
              <w:rPr>
                <w:rFonts w:ascii="宋体" w:hAnsi="宋体" w:cs="宋体" w:eastAsia="宋体" w:hint="default"/>
                <w:sz w:val="21"/>
                <w:szCs w:val="21"/>
              </w:rPr>
              <w:t>合同约</w:t>
            </w:r>
            <w:r>
              <w:rPr>
                <w:rFonts w:ascii="宋体" w:hAnsi="宋体" w:cs="宋体" w:eastAsia="宋体" w:hint="default"/>
                <w:spacing w:val="-102"/>
                <w:sz w:val="21"/>
                <w:szCs w:val="21"/>
              </w:rPr>
              <w:t> </w:t>
            </w:r>
            <w:r>
              <w:rPr>
                <w:rFonts w:ascii="宋体" w:hAnsi="宋体" w:cs="宋体" w:eastAsia="宋体" w:hint="default"/>
                <w:sz w:val="21"/>
                <w:szCs w:val="21"/>
              </w:rPr>
              <w:t>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191.97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111"/>
              <w:jc w:val="left"/>
              <w:rPr>
                <w:rFonts w:ascii="宋体" w:hAnsi="宋体" w:cs="宋体" w:eastAsia="宋体" w:hint="default"/>
                <w:sz w:val="21"/>
                <w:szCs w:val="21"/>
              </w:rPr>
            </w:pPr>
            <w:r>
              <w:rPr>
                <w:rFonts w:ascii="宋体" w:hAnsi="宋体" w:cs="宋体" w:eastAsia="宋体" w:hint="default"/>
                <w:sz w:val="21"/>
                <w:szCs w:val="21"/>
              </w:rPr>
              <w:t>青岛农</w:t>
            </w:r>
            <w:r>
              <w:rPr>
                <w:rFonts w:ascii="宋体" w:hAnsi="宋体" w:cs="宋体" w:eastAsia="宋体" w:hint="default"/>
                <w:spacing w:val="-102"/>
                <w:sz w:val="21"/>
                <w:szCs w:val="21"/>
              </w:rPr>
              <w:t> </w:t>
            </w:r>
            <w:r>
              <w:rPr>
                <w:rFonts w:ascii="宋体" w:hAnsi="宋体" w:cs="宋体" w:eastAsia="宋体" w:hint="default"/>
                <w:sz w:val="21"/>
                <w:szCs w:val="21"/>
              </w:rPr>
              <w:t>商银行</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非保本浮</w:t>
            </w:r>
          </w:p>
          <w:p>
            <w:pPr>
              <w:pStyle w:val="TableParagraph"/>
              <w:spacing w:line="272" w:lineRule="exact" w:before="26"/>
              <w:ind w:left="112" w:right="110"/>
              <w:jc w:val="left"/>
              <w:rPr>
                <w:rFonts w:ascii="宋体" w:hAnsi="宋体" w:cs="宋体" w:eastAsia="宋体" w:hint="default"/>
                <w:sz w:val="21"/>
                <w:szCs w:val="21"/>
              </w:rPr>
            </w:pPr>
            <w:r>
              <w:rPr>
                <w:rFonts w:ascii="宋体" w:hAnsi="宋体" w:cs="宋体" w:eastAsia="宋体" w:hint="default"/>
                <w:sz w:val="21"/>
                <w:szCs w:val="21"/>
              </w:rPr>
              <w:t>动收益型</w:t>
            </w:r>
            <w:r>
              <w:rPr>
                <w:rFonts w:ascii="宋体" w:hAnsi="宋体" w:cs="宋体" w:eastAsia="宋体" w:hint="default"/>
                <w:w w:val="100"/>
                <w:sz w:val="21"/>
                <w:szCs w:val="21"/>
              </w:rPr>
              <w:t> </w:t>
            </w:r>
            <w:r>
              <w:rPr>
                <w:rFonts w:ascii="宋体" w:hAnsi="宋体" w:cs="宋体" w:eastAsia="宋体" w:hint="default"/>
                <w:sz w:val="21"/>
                <w:szCs w:val="21"/>
              </w:rPr>
              <w:t>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2019.12.24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2020.3.24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113" w:hanging="212"/>
              <w:jc w:val="left"/>
              <w:rPr>
                <w:rFonts w:ascii="宋体" w:hAnsi="宋体" w:cs="宋体" w:eastAsia="宋体" w:hint="default"/>
                <w:sz w:val="21"/>
                <w:szCs w:val="21"/>
              </w:rPr>
            </w:pPr>
            <w:r>
              <w:rPr>
                <w:rFonts w:ascii="宋体" w:hAnsi="宋体" w:cs="宋体" w:eastAsia="宋体" w:hint="default"/>
                <w:sz w:val="21"/>
                <w:szCs w:val="21"/>
              </w:rPr>
              <w:t>自有资</w:t>
            </w:r>
            <w:r>
              <w:rPr>
                <w:rFonts w:ascii="宋体" w:hAnsi="宋体" w:cs="宋体" w:eastAsia="宋体" w:hint="default"/>
                <w:spacing w:val="-102"/>
                <w:sz w:val="21"/>
                <w:szCs w:val="21"/>
              </w:rPr>
              <w:t> </w:t>
            </w:r>
            <w:r>
              <w:rPr>
                <w:rFonts w:ascii="宋体" w:hAnsi="宋体" w:cs="宋体" w:eastAsia="宋体" w:hint="default"/>
                <w:sz w:val="21"/>
                <w:szCs w:val="21"/>
              </w:rPr>
              <w:t>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113" w:hanging="212"/>
              <w:jc w:val="left"/>
              <w:rPr>
                <w:rFonts w:ascii="宋体" w:hAnsi="宋体" w:cs="宋体" w:eastAsia="宋体" w:hint="default"/>
                <w:sz w:val="21"/>
                <w:szCs w:val="21"/>
              </w:rPr>
            </w:pPr>
            <w:r>
              <w:rPr>
                <w:rFonts w:ascii="宋体" w:hAnsi="宋体" w:cs="宋体" w:eastAsia="宋体" w:hint="default"/>
                <w:sz w:val="21"/>
                <w:szCs w:val="21"/>
              </w:rPr>
              <w:t>合同约</w:t>
            </w:r>
            <w:r>
              <w:rPr>
                <w:rFonts w:ascii="宋体" w:hAnsi="宋体" w:cs="宋体" w:eastAsia="宋体" w:hint="default"/>
                <w:spacing w:val="-102"/>
                <w:sz w:val="21"/>
                <w:szCs w:val="21"/>
              </w:rPr>
              <w:t> </w:t>
            </w:r>
            <w:r>
              <w:rPr>
                <w:rFonts w:ascii="宋体" w:hAnsi="宋体" w:cs="宋体" w:eastAsia="宋体" w:hint="default"/>
                <w:sz w:val="21"/>
                <w:szCs w:val="21"/>
              </w:rPr>
              <w:t>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189.48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left"/>
        <w:rPr>
          <w:rFonts w:ascii="宋体" w:hAnsi="宋体" w:cs="宋体" w:eastAsia="宋体" w:hint="default"/>
        </w:rPr>
      </w:pPr>
      <w:r>
        <w:rPr>
          <w:rFonts w:ascii="宋体"/>
          <w:w w:val="100"/>
        </w:rPr>
        <w:t> </w:t>
      </w:r>
    </w:p>
    <w:p>
      <w:pPr>
        <w:pStyle w:val="Heading5"/>
        <w:spacing w:line="273" w:lineRule="exact" w:before="0"/>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63"/>
        <w:ind w:left="6535" w:right="6553" w:firstLine="0"/>
        <w:jc w:val="center"/>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00" w:right="1180"/>
        </w:sect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7"/>
          <w:szCs w:val="17"/>
        </w:rPr>
      </w:pPr>
    </w:p>
    <w:p>
      <w:pPr>
        <w:spacing w:after="0" w:line="240" w:lineRule="auto"/>
        <w:rPr>
          <w:rFonts w:ascii="Calibri" w:hAnsi="Calibri" w:cs="Calibri" w:eastAsia="Calibri" w:hint="default"/>
          <w:sz w:val="17"/>
          <w:szCs w:val="17"/>
        </w:rPr>
        <w:sectPr>
          <w:footerReference w:type="default" r:id="rId29"/>
          <w:pgSz w:w="11910" w:h="16840"/>
          <w:pgMar w:footer="974" w:header="0" w:top="1120" w:bottom="1160" w:left="480" w:right="480"/>
          <w:pgNumType w:start="41"/>
        </w:sectPr>
      </w:pPr>
    </w:p>
    <w:p>
      <w:pPr>
        <w:pStyle w:val="Heading5"/>
        <w:spacing w:line="240" w:lineRule="auto" w:before="36"/>
        <w:ind w:left="9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Heading3"/>
        <w:spacing w:line="313" w:lineRule="exact" w:before="50"/>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938" w:right="0"/>
        <w:jc w:val="left"/>
        <w:rPr>
          <w:rFonts w:ascii="宋体" w:hAnsi="宋体" w:cs="宋体" w:eastAsia="宋体" w:hint="default"/>
        </w:rPr>
      </w:pPr>
      <w:r>
        <w:rPr>
          <w:rFonts w:ascii="宋体"/>
        </w:rPr>
        <w:t> </w:t>
      </w:r>
    </w:p>
    <w:p>
      <w:pPr>
        <w:pStyle w:val="Heading5"/>
        <w:tabs>
          <w:tab w:pos="1363" w:val="left" w:leader="none"/>
        </w:tabs>
        <w:spacing w:line="240" w:lineRule="auto" w:before="64"/>
        <w:ind w:left="9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left="9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Heading3"/>
        <w:spacing w:line="240" w:lineRule="auto" w:before="50"/>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938"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480" w:right="480"/>
          <w:cols w:num="2" w:equalWidth="0">
            <w:col w:w="3099" w:space="3449"/>
            <w:col w:w="4402"/>
          </w:cols>
        </w:sectPr>
      </w:pPr>
    </w:p>
    <w:p>
      <w:pPr>
        <w:spacing w:line="240" w:lineRule="auto" w:before="7"/>
        <w:rPr>
          <w:rFonts w:ascii="宋体" w:hAnsi="宋体" w:cs="宋体" w:eastAsia="宋体" w:hint="default"/>
          <w:sz w:val="2"/>
          <w:szCs w:val="2"/>
        </w:rPr>
      </w:pPr>
    </w:p>
    <w:tbl>
      <w:tblPr>
        <w:tblW w:w="0" w:type="auto"/>
        <w:jc w:val="left"/>
        <w:tblInd w:w="826" w:type="dxa"/>
        <w:tblLayout w:type="fixed"/>
        <w:tblCellMar>
          <w:top w:w="0" w:type="dxa"/>
          <w:left w:w="0" w:type="dxa"/>
          <w:bottom w:w="0" w:type="dxa"/>
          <w:right w:w="0" w:type="dxa"/>
        </w:tblCellMar>
        <w:tblLook w:val="01E0"/>
      </w:tblPr>
      <w:tblGrid>
        <w:gridCol w:w="1490"/>
        <w:gridCol w:w="1659"/>
        <w:gridCol w:w="1778"/>
        <w:gridCol w:w="1815"/>
        <w:gridCol w:w="2081"/>
      </w:tblGrid>
      <w:tr>
        <w:trPr>
          <w:trHeight w:val="28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3"/>
              <w:jc w:val="left"/>
              <w:rPr>
                <w:rFonts w:ascii="宋体" w:hAnsi="宋体" w:cs="宋体" w:eastAsia="宋体" w:hint="default"/>
                <w:sz w:val="21"/>
                <w:szCs w:val="21"/>
              </w:rPr>
            </w:pPr>
            <w:r>
              <w:rPr>
                <w:rFonts w:ascii="宋体"/>
                <w:sz w:val="21"/>
              </w:rPr>
              <w:t>-8,800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1"/>
              <w:jc w:val="left"/>
              <w:rPr>
                <w:rFonts w:ascii="宋体" w:hAnsi="宋体" w:cs="宋体" w:eastAsia="宋体" w:hint="default"/>
                <w:sz w:val="21"/>
                <w:szCs w:val="21"/>
              </w:rPr>
            </w:pPr>
            <w:r>
              <w:rPr>
                <w:rFonts w:ascii="宋体"/>
                <w:sz w:val="21"/>
              </w:rPr>
              <w:t>22,200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480" w:right="480"/>
        </w:sectPr>
      </w:pPr>
    </w:p>
    <w:p>
      <w:pPr>
        <w:pStyle w:val="Heading3"/>
        <w:spacing w:line="274" w:lineRule="exact"/>
        <w:ind w:left="938" w:right="0"/>
        <w:jc w:val="left"/>
        <w:rPr>
          <w:rFonts w:ascii="宋体" w:hAnsi="宋体" w:cs="宋体" w:eastAsia="宋体" w:hint="default"/>
        </w:rPr>
      </w:pPr>
      <w:r>
        <w:rPr>
          <w:rFonts w:ascii="宋体"/>
        </w:rPr>
        <w:t> </w:t>
      </w:r>
    </w:p>
    <w:p>
      <w:pPr>
        <w:pStyle w:val="Heading5"/>
        <w:spacing w:line="270" w:lineRule="exact" w:before="4"/>
        <w:ind w:left="9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08" w:lineRule="exact"/>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938" w:right="0"/>
        <w:jc w:val="left"/>
        <w:rPr>
          <w:rFonts w:ascii="宋体" w:hAnsi="宋体" w:cs="宋体" w:eastAsia="宋体" w:hint="default"/>
        </w:rPr>
      </w:pPr>
      <w:r>
        <w:rPr>
          <w:rFonts w:ascii="宋体"/>
        </w:rPr>
        <w:t> </w:t>
      </w:r>
    </w:p>
    <w:p>
      <w:pPr>
        <w:pStyle w:val="Heading5"/>
        <w:spacing w:line="240" w:lineRule="auto" w:before="64"/>
        <w:ind w:left="9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Heading3"/>
        <w:spacing w:line="240" w:lineRule="auto" w:before="50"/>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938" w:right="0"/>
        <w:jc w:val="left"/>
        <w:rPr>
          <w:rFonts w:ascii="宋体" w:hAnsi="宋体" w:cs="宋体" w:eastAsia="宋体" w:hint="default"/>
        </w:rPr>
      </w:pPr>
      <w:r>
        <w:rPr/>
        <w:t>单位：万元 </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480" w:right="480"/>
          <w:cols w:num="2" w:equalWidth="0">
            <w:col w:w="3099" w:space="3346"/>
            <w:col w:w="450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11"/>
        <w:gridCol w:w="708"/>
        <w:gridCol w:w="857"/>
        <w:gridCol w:w="710"/>
        <w:gridCol w:w="709"/>
        <w:gridCol w:w="708"/>
        <w:gridCol w:w="710"/>
        <w:gridCol w:w="720"/>
        <w:gridCol w:w="708"/>
        <w:gridCol w:w="708"/>
        <w:gridCol w:w="614"/>
        <w:gridCol w:w="805"/>
        <w:gridCol w:w="588"/>
        <w:gridCol w:w="708"/>
        <w:gridCol w:w="761"/>
      </w:tblGrid>
      <w:tr>
        <w:trPr>
          <w:trHeight w:val="1411"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59" w:right="170" w:hanging="92"/>
              <w:jc w:val="left"/>
              <w:rPr>
                <w:rFonts w:ascii="宋体" w:hAnsi="宋体" w:cs="宋体" w:eastAsia="宋体" w:hint="default"/>
                <w:sz w:val="18"/>
                <w:szCs w:val="18"/>
              </w:rPr>
            </w:pPr>
            <w:r>
              <w:rPr>
                <w:rFonts w:ascii="宋体" w:hAnsi="宋体" w:cs="宋体" w:eastAsia="宋体" w:hint="default"/>
                <w:sz w:val="18"/>
                <w:szCs w:val="18"/>
              </w:rPr>
              <w:t>受托 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7" w:right="78"/>
              <w:jc w:val="both"/>
              <w:rPr>
                <w:rFonts w:ascii="宋体" w:hAnsi="宋体" w:cs="宋体" w:eastAsia="宋体" w:hint="default"/>
                <w:sz w:val="18"/>
                <w:szCs w:val="18"/>
              </w:rPr>
            </w:pPr>
            <w:r>
              <w:rPr>
                <w:rFonts w:ascii="宋体" w:hAnsi="宋体" w:cs="宋体" w:eastAsia="宋体" w:hint="default"/>
                <w:sz w:val="18"/>
                <w:szCs w:val="18"/>
              </w:rPr>
              <w:t>委托 贷款 类型</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53" w:right="61"/>
              <w:jc w:val="left"/>
              <w:rPr>
                <w:rFonts w:ascii="宋体" w:hAnsi="宋体" w:cs="宋体" w:eastAsia="宋体" w:hint="default"/>
                <w:sz w:val="18"/>
                <w:szCs w:val="18"/>
              </w:rPr>
            </w:pPr>
            <w:r>
              <w:rPr>
                <w:rFonts w:ascii="宋体" w:hAnsi="宋体" w:cs="宋体" w:eastAsia="宋体" w:hint="default"/>
                <w:sz w:val="18"/>
                <w:szCs w:val="18"/>
              </w:rPr>
              <w:t>委托贷 款金额</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7" w:right="80"/>
              <w:jc w:val="both"/>
              <w:rPr>
                <w:rFonts w:ascii="宋体" w:hAnsi="宋体" w:cs="宋体" w:eastAsia="宋体" w:hint="default"/>
                <w:sz w:val="18"/>
                <w:szCs w:val="18"/>
              </w:rPr>
            </w:pPr>
            <w:r>
              <w:rPr>
                <w:rFonts w:ascii="宋体" w:hAnsi="宋体" w:cs="宋体" w:eastAsia="宋体" w:hint="default"/>
                <w:sz w:val="18"/>
                <w:szCs w:val="18"/>
              </w:rPr>
              <w:t>委托 贷款 起始 日期</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8" w:right="78"/>
              <w:jc w:val="both"/>
              <w:rPr>
                <w:rFonts w:ascii="宋体" w:hAnsi="宋体" w:cs="宋体" w:eastAsia="宋体" w:hint="default"/>
                <w:sz w:val="18"/>
                <w:szCs w:val="18"/>
              </w:rPr>
            </w:pPr>
            <w:r>
              <w:rPr>
                <w:rFonts w:ascii="宋体" w:hAnsi="宋体" w:cs="宋体" w:eastAsia="宋体" w:hint="default"/>
                <w:sz w:val="18"/>
                <w:szCs w:val="18"/>
              </w:rPr>
              <w:t>委托 贷款 终止 日期</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7" w:right="78"/>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来源</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68" w:right="8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z w:val="18"/>
                <w:szCs w:val="18"/>
              </w:rPr>
              <w:t> </w:t>
            </w:r>
            <w:r>
              <w:rPr>
                <w:rFonts w:ascii="宋体" w:hAnsi="宋体" w:cs="宋体" w:eastAsia="宋体" w:hint="default"/>
                <w:sz w:val="18"/>
                <w:szCs w:val="18"/>
              </w:rPr>
              <w:t>投向</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2" w:right="85"/>
              <w:jc w:val="left"/>
              <w:rPr>
                <w:rFonts w:ascii="宋体" w:hAnsi="宋体" w:cs="宋体" w:eastAsia="宋体" w:hint="default"/>
                <w:sz w:val="18"/>
                <w:szCs w:val="18"/>
              </w:rPr>
            </w:pPr>
            <w:r>
              <w:rPr>
                <w:rFonts w:ascii="宋体" w:hAnsi="宋体" w:cs="宋体" w:eastAsia="宋体" w:hint="default"/>
                <w:sz w:val="18"/>
                <w:szCs w:val="18"/>
              </w:rPr>
              <w:t>报酬 确定</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8" w:right="78"/>
              <w:jc w:val="center"/>
              <w:rPr>
                <w:rFonts w:ascii="宋体" w:hAnsi="宋体" w:cs="宋体" w:eastAsia="宋体" w:hint="default"/>
                <w:sz w:val="18"/>
                <w:szCs w:val="18"/>
              </w:rPr>
            </w:pPr>
            <w:r>
              <w:rPr>
                <w:rFonts w:ascii="宋体" w:hAnsi="宋体" w:cs="宋体" w:eastAsia="宋体" w:hint="default"/>
                <w:sz w:val="18"/>
                <w:szCs w:val="18"/>
              </w:rPr>
              <w:t>年化</w:t>
            </w:r>
            <w:r>
              <w:rPr>
                <w:rFonts w:ascii="宋体" w:hAnsi="宋体" w:cs="宋体" w:eastAsia="宋体" w:hint="default"/>
                <w:sz w:val="18"/>
                <w:szCs w:val="18"/>
              </w:rPr>
              <w:t> </w:t>
            </w:r>
            <w:r>
              <w:rPr>
                <w:rFonts w:ascii="宋体" w:hAnsi="宋体" w:cs="宋体" w:eastAsia="宋体" w:hint="default"/>
                <w:sz w:val="18"/>
                <w:szCs w:val="18"/>
              </w:rPr>
              <w:t>收益 率</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7" w:right="168"/>
              <w:jc w:val="both"/>
              <w:rPr>
                <w:rFonts w:ascii="宋体" w:hAnsi="宋体" w:cs="宋体" w:eastAsia="宋体" w:hint="default"/>
                <w:sz w:val="18"/>
                <w:szCs w:val="18"/>
              </w:rPr>
            </w:pPr>
            <w:r>
              <w:rPr>
                <w:rFonts w:ascii="宋体" w:hAnsi="宋体" w:cs="宋体" w:eastAsia="宋体" w:hint="default"/>
                <w:sz w:val="18"/>
                <w:szCs w:val="18"/>
              </w:rPr>
              <w:t>预期 收益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12" w:lineRule="exact"/>
              <w:ind w:left="211"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0" w:right="32"/>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z w:val="18"/>
                <w:szCs w:val="18"/>
              </w:rPr>
              <w:t> </w:t>
            </w:r>
            <w:r>
              <w:rPr>
                <w:rFonts w:ascii="宋体" w:hAnsi="宋体" w:cs="宋体" w:eastAsia="宋体" w:hint="default"/>
                <w:sz w:val="18"/>
                <w:szCs w:val="18"/>
              </w:rPr>
              <w:t>收益 或损 失</w:t>
            </w:r>
            <w:r>
              <w:rPr>
                <w:rFonts w:ascii="宋体" w:hAnsi="宋体" w:cs="宋体" w:eastAsia="宋体" w:hint="default"/>
                <w:sz w:val="18"/>
                <w:szCs w:val="18"/>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27" w:right="35"/>
              <w:jc w:val="left"/>
              <w:rPr>
                <w:rFonts w:ascii="宋体" w:hAnsi="宋体" w:cs="宋体" w:eastAsia="宋体" w:hint="default"/>
                <w:sz w:val="18"/>
                <w:szCs w:val="18"/>
              </w:rPr>
            </w:pPr>
            <w:r>
              <w:rPr>
                <w:rFonts w:ascii="宋体" w:hAnsi="宋体" w:cs="宋体" w:eastAsia="宋体" w:hint="default"/>
                <w:sz w:val="18"/>
                <w:szCs w:val="18"/>
              </w:rPr>
              <w:t>实际收 回情况</w:t>
            </w:r>
            <w:r>
              <w:rPr>
                <w:rFonts w:ascii="宋体" w:hAnsi="宋体" w:cs="宋体" w:eastAsia="宋体" w:hint="default"/>
                <w:sz w:val="18"/>
                <w:szCs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8" w:right="18"/>
              <w:jc w:val="both"/>
              <w:rPr>
                <w:rFonts w:ascii="宋体" w:hAnsi="宋体" w:cs="宋体" w:eastAsia="宋体" w:hint="default"/>
                <w:sz w:val="18"/>
                <w:szCs w:val="18"/>
              </w:rPr>
            </w:pPr>
            <w:r>
              <w:rPr>
                <w:rFonts w:ascii="宋体" w:hAnsi="宋体" w:cs="宋体" w:eastAsia="宋体" w:hint="default"/>
                <w:sz w:val="18"/>
                <w:szCs w:val="18"/>
              </w:rPr>
              <w:t>是否 经过 法定 程序</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before="2"/>
              <w:ind w:left="167" w:right="167"/>
              <w:jc w:val="both"/>
              <w:rPr>
                <w:rFonts w:ascii="宋体" w:hAnsi="宋体" w:cs="宋体" w:eastAsia="宋体" w:hint="default"/>
                <w:sz w:val="18"/>
                <w:szCs w:val="18"/>
              </w:rPr>
            </w:pPr>
            <w:r>
              <w:rPr>
                <w:rFonts w:ascii="宋体" w:hAnsi="宋体" w:cs="宋体" w:eastAsia="宋体" w:hint="default"/>
                <w:sz w:val="18"/>
                <w:szCs w:val="18"/>
              </w:rPr>
              <w:t>是否 有委 托贷 款计 划</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5" w:right="13"/>
              <w:jc w:val="left"/>
              <w:rPr>
                <w:rFonts w:ascii="宋体" w:hAnsi="宋体" w:cs="宋体" w:eastAsia="宋体" w:hint="default"/>
                <w:sz w:val="18"/>
                <w:szCs w:val="18"/>
              </w:rPr>
            </w:pPr>
            <w:r>
              <w:rPr>
                <w:rFonts w:ascii="宋体" w:hAnsi="宋体" w:cs="宋体" w:eastAsia="宋体" w:hint="default"/>
                <w:sz w:val="18"/>
                <w:szCs w:val="18"/>
              </w:rPr>
              <w:t>减值准 备计提 金额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 </w:t>
            </w:r>
          </w:p>
        </w:tc>
      </w:tr>
      <w:tr>
        <w:trPr>
          <w:trHeight w:val="1577"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37" w:lineRule="auto"/>
              <w:ind w:left="167" w:right="81"/>
              <w:jc w:val="both"/>
              <w:rPr>
                <w:rFonts w:ascii="宋体" w:hAnsi="宋体" w:cs="宋体" w:eastAsia="宋体" w:hint="default"/>
                <w:sz w:val="18"/>
                <w:szCs w:val="18"/>
              </w:rPr>
            </w:pPr>
            <w:r>
              <w:rPr>
                <w:rFonts w:ascii="宋体" w:hAnsi="宋体" w:cs="宋体" w:eastAsia="宋体" w:hint="default"/>
                <w:sz w:val="18"/>
                <w:szCs w:val="18"/>
              </w:rPr>
              <w:t>青港 财务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67" w:right="78"/>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 </w:t>
            </w:r>
            <w:r>
              <w:rPr>
                <w:rFonts w:ascii="宋体" w:hAnsi="宋体" w:cs="宋体" w:eastAsia="宋体" w:hint="default"/>
                <w:sz w:val="18"/>
                <w:szCs w:val="18"/>
              </w:rPr>
              <w:t>贷款</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90,000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4" w:lineRule="exact"/>
              <w:ind w:left="122" w:right="0"/>
              <w:jc w:val="left"/>
              <w:rPr>
                <w:rFonts w:ascii="宋体" w:hAnsi="宋体" w:cs="宋体" w:eastAsia="宋体" w:hint="default"/>
                <w:sz w:val="18"/>
                <w:szCs w:val="18"/>
              </w:rPr>
            </w:pPr>
            <w:r>
              <w:rPr>
                <w:rFonts w:ascii="宋体"/>
                <w:sz w:val="18"/>
              </w:rPr>
              <w:t>2017-</w:t>
            </w:r>
          </w:p>
          <w:p>
            <w:pPr>
              <w:pStyle w:val="TableParagraph"/>
              <w:spacing w:line="234" w:lineRule="exact"/>
              <w:ind w:left="167" w:right="0"/>
              <w:jc w:val="left"/>
              <w:rPr>
                <w:rFonts w:ascii="宋体" w:hAnsi="宋体" w:cs="宋体" w:eastAsia="宋体" w:hint="default"/>
                <w:sz w:val="18"/>
                <w:szCs w:val="18"/>
              </w:rPr>
            </w:pPr>
            <w:r>
              <w:rPr>
                <w:rFonts w:ascii="宋体"/>
                <w:sz w:val="18"/>
              </w:rPr>
              <w:t>7-26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4" w:lineRule="exact"/>
              <w:ind w:left="122" w:right="0"/>
              <w:jc w:val="left"/>
              <w:rPr>
                <w:rFonts w:ascii="宋体" w:hAnsi="宋体" w:cs="宋体" w:eastAsia="宋体" w:hint="default"/>
                <w:sz w:val="18"/>
                <w:szCs w:val="18"/>
              </w:rPr>
            </w:pPr>
            <w:r>
              <w:rPr>
                <w:rFonts w:ascii="宋体"/>
                <w:sz w:val="18"/>
              </w:rPr>
              <w:t>2020-</w:t>
            </w:r>
          </w:p>
          <w:p>
            <w:pPr>
              <w:pStyle w:val="TableParagraph"/>
              <w:spacing w:line="234" w:lineRule="exact"/>
              <w:ind w:left="168" w:right="0"/>
              <w:jc w:val="left"/>
              <w:rPr>
                <w:rFonts w:ascii="宋体" w:hAnsi="宋体" w:cs="宋体" w:eastAsia="宋体" w:hint="default"/>
                <w:sz w:val="18"/>
                <w:szCs w:val="18"/>
              </w:rPr>
            </w:pPr>
            <w:r>
              <w:rPr>
                <w:rFonts w:ascii="宋体"/>
                <w:sz w:val="18"/>
              </w:rPr>
              <w:t>7-25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67" w:right="78"/>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z w:val="18"/>
                <w:szCs w:val="18"/>
              </w:rPr>
              <w:t> </w:t>
            </w:r>
            <w:r>
              <w:rPr>
                <w:rFonts w:ascii="宋体" w:hAnsi="宋体" w:cs="宋体" w:eastAsia="宋体" w:hint="default"/>
                <w:sz w:val="18"/>
                <w:szCs w:val="18"/>
              </w:rPr>
              <w:t>资金</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37" w:lineRule="auto"/>
              <w:ind w:left="168" w:right="80"/>
              <w:jc w:val="both"/>
              <w:rPr>
                <w:rFonts w:ascii="宋体" w:hAnsi="宋体" w:cs="宋体" w:eastAsia="宋体" w:hint="default"/>
                <w:sz w:val="18"/>
                <w:szCs w:val="18"/>
              </w:rPr>
            </w:pPr>
            <w:r>
              <w:rPr>
                <w:rFonts w:ascii="宋体" w:hAnsi="宋体" w:cs="宋体" w:eastAsia="宋体" w:hint="default"/>
                <w:sz w:val="18"/>
                <w:szCs w:val="18"/>
              </w:rPr>
              <w:t>日常 生产 经营 周转</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72" w:right="85"/>
              <w:jc w:val="left"/>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z w:val="18"/>
                <w:szCs w:val="18"/>
              </w:rPr>
              <w:t> </w:t>
            </w:r>
            <w:r>
              <w:rPr>
                <w:rFonts w:ascii="宋体" w:hAnsi="宋体" w:cs="宋体" w:eastAsia="宋体" w:hint="default"/>
                <w:sz w:val="18"/>
                <w:szCs w:val="18"/>
              </w:rPr>
              <w:t>约定</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4.75%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1,009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3"/>
              <w:ind w:left="103" w:right="0"/>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p>
          <w:p>
            <w:pPr>
              <w:pStyle w:val="TableParagraph"/>
              <w:spacing w:line="237" w:lineRule="auto"/>
              <w:ind w:left="103" w:right="77"/>
              <w:jc w:val="both"/>
              <w:rPr>
                <w:rFonts w:ascii="宋体" w:hAnsi="宋体" w:cs="宋体" w:eastAsia="宋体" w:hint="default"/>
                <w:sz w:val="18"/>
                <w:szCs w:val="18"/>
              </w:rPr>
            </w:pPr>
            <w:r>
              <w:rPr>
                <w:rFonts w:ascii="宋体" w:hAnsi="宋体" w:cs="宋体" w:eastAsia="宋体" w:hint="default"/>
                <w:spacing w:val="16"/>
                <w:sz w:val="18"/>
                <w:szCs w:val="18"/>
              </w:rPr>
              <w:t>底委托</w:t>
            </w:r>
            <w:r>
              <w:rPr>
                <w:rFonts w:ascii="宋体" w:hAnsi="宋体" w:cs="宋体" w:eastAsia="宋体" w:hint="default"/>
                <w:spacing w:val="-66"/>
                <w:sz w:val="18"/>
                <w:szCs w:val="18"/>
              </w:rPr>
              <w:t> </w:t>
            </w:r>
            <w:r>
              <w:rPr>
                <w:rFonts w:ascii="宋体" w:hAnsi="宋体" w:cs="宋体" w:eastAsia="宋体" w:hint="default"/>
                <w:spacing w:val="16"/>
                <w:sz w:val="18"/>
                <w:szCs w:val="18"/>
              </w:rPr>
              <w:t>贷款余</w:t>
            </w:r>
            <w:r>
              <w:rPr>
                <w:rFonts w:ascii="宋体" w:hAnsi="宋体" w:cs="宋体" w:eastAsia="宋体" w:hint="default"/>
                <w:spacing w:val="-66"/>
                <w:sz w:val="18"/>
                <w:szCs w:val="18"/>
              </w:rPr>
              <w:t> </w:t>
            </w: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z w:val="18"/>
                <w:szCs w:val="18"/>
              </w:rPr>
              <w:t>22200</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586.59 </w:t>
            </w:r>
          </w:p>
        </w:tc>
      </w:tr>
      <w:tr>
        <w:trPr>
          <w:trHeight w:val="943"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67" w:right="81"/>
              <w:jc w:val="both"/>
              <w:rPr>
                <w:rFonts w:ascii="宋体" w:hAnsi="宋体" w:cs="宋体" w:eastAsia="宋体" w:hint="default"/>
                <w:sz w:val="18"/>
                <w:szCs w:val="18"/>
              </w:rPr>
            </w:pPr>
            <w:r>
              <w:rPr>
                <w:rFonts w:ascii="宋体" w:hAnsi="宋体" w:cs="宋体" w:eastAsia="宋体" w:hint="default"/>
                <w:sz w:val="18"/>
                <w:szCs w:val="18"/>
              </w:rPr>
              <w:t>青港 财务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7" w:right="78"/>
              <w:jc w:val="left"/>
              <w:rPr>
                <w:rFonts w:ascii="宋体" w:hAnsi="宋体" w:cs="宋体" w:eastAsia="宋体" w:hint="default"/>
                <w:sz w:val="18"/>
                <w:szCs w:val="18"/>
              </w:rPr>
            </w:pPr>
            <w:r>
              <w:rPr>
                <w:rFonts w:ascii="宋体" w:hAnsi="宋体" w:cs="宋体" w:eastAsia="宋体" w:hint="default"/>
                <w:sz w:val="18"/>
                <w:szCs w:val="18"/>
              </w:rPr>
              <w:t>委托 贷款</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8,800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2018-</w:t>
            </w:r>
          </w:p>
          <w:p>
            <w:pPr>
              <w:pStyle w:val="TableParagraph"/>
              <w:spacing w:line="234" w:lineRule="exact"/>
              <w:ind w:left="167" w:right="0"/>
              <w:jc w:val="left"/>
              <w:rPr>
                <w:rFonts w:ascii="宋体" w:hAnsi="宋体" w:cs="宋体" w:eastAsia="宋体" w:hint="default"/>
                <w:sz w:val="18"/>
                <w:szCs w:val="18"/>
              </w:rPr>
            </w:pPr>
            <w:r>
              <w:rPr>
                <w:rFonts w:ascii="宋体"/>
                <w:sz w:val="18"/>
              </w:rPr>
              <w:t>3-13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22" w:right="0"/>
              <w:jc w:val="left"/>
              <w:rPr>
                <w:rFonts w:ascii="宋体" w:hAnsi="宋体" w:cs="宋体" w:eastAsia="宋体" w:hint="default"/>
                <w:sz w:val="18"/>
                <w:szCs w:val="18"/>
              </w:rPr>
            </w:pPr>
            <w:r>
              <w:rPr>
                <w:rFonts w:ascii="宋体"/>
                <w:sz w:val="18"/>
              </w:rPr>
              <w:t>2023-</w:t>
            </w:r>
          </w:p>
          <w:p>
            <w:pPr>
              <w:pStyle w:val="TableParagraph"/>
              <w:spacing w:line="234" w:lineRule="exact"/>
              <w:ind w:left="168" w:right="0"/>
              <w:jc w:val="left"/>
              <w:rPr>
                <w:rFonts w:ascii="宋体" w:hAnsi="宋体" w:cs="宋体" w:eastAsia="宋体" w:hint="default"/>
                <w:sz w:val="18"/>
                <w:szCs w:val="18"/>
              </w:rPr>
            </w:pPr>
            <w:r>
              <w:rPr>
                <w:rFonts w:ascii="宋体"/>
                <w:sz w:val="18"/>
              </w:rPr>
              <w:t>3-12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67" w:right="78"/>
              <w:jc w:val="left"/>
              <w:rPr>
                <w:rFonts w:ascii="宋体" w:hAnsi="宋体" w:cs="宋体" w:eastAsia="宋体" w:hint="default"/>
                <w:sz w:val="18"/>
                <w:szCs w:val="18"/>
              </w:rPr>
            </w:pPr>
            <w:r>
              <w:rPr>
                <w:rFonts w:ascii="宋体" w:hAnsi="宋体" w:cs="宋体" w:eastAsia="宋体" w:hint="default"/>
                <w:sz w:val="18"/>
                <w:szCs w:val="18"/>
              </w:rPr>
              <w:t>自有 资金</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日常</w:t>
            </w:r>
          </w:p>
          <w:p>
            <w:pPr>
              <w:pStyle w:val="TableParagraph"/>
              <w:spacing w:line="237" w:lineRule="auto"/>
              <w:ind w:left="168" w:right="80"/>
              <w:jc w:val="both"/>
              <w:rPr>
                <w:rFonts w:ascii="宋体" w:hAnsi="宋体" w:cs="宋体" w:eastAsia="宋体" w:hint="default"/>
                <w:sz w:val="18"/>
                <w:szCs w:val="18"/>
              </w:rPr>
            </w:pPr>
            <w:r>
              <w:rPr>
                <w:rFonts w:ascii="宋体" w:hAnsi="宋体" w:cs="宋体" w:eastAsia="宋体" w:hint="default"/>
                <w:sz w:val="18"/>
                <w:szCs w:val="18"/>
              </w:rPr>
              <w:t>生产 经营 周转</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72" w:right="85"/>
              <w:jc w:val="left"/>
              <w:rPr>
                <w:rFonts w:ascii="宋体" w:hAnsi="宋体" w:cs="宋体" w:eastAsia="宋体" w:hint="default"/>
                <w:sz w:val="18"/>
                <w:szCs w:val="18"/>
              </w:rPr>
            </w:pPr>
            <w:r>
              <w:rPr>
                <w:rFonts w:ascii="宋体" w:hAnsi="宋体" w:cs="宋体" w:eastAsia="宋体" w:hint="default"/>
                <w:sz w:val="18"/>
                <w:szCs w:val="18"/>
              </w:rPr>
              <w:t>合同 约定</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4.75%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141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p>
          <w:p>
            <w:pPr>
              <w:pStyle w:val="TableParagraph"/>
              <w:spacing w:line="232" w:lineRule="exact" w:before="24"/>
              <w:ind w:left="103" w:right="59"/>
              <w:jc w:val="left"/>
              <w:rPr>
                <w:rFonts w:ascii="宋体" w:hAnsi="宋体" w:cs="宋体" w:eastAsia="宋体" w:hint="default"/>
                <w:sz w:val="18"/>
                <w:szCs w:val="18"/>
              </w:rPr>
            </w:pPr>
            <w:r>
              <w:rPr>
                <w:rFonts w:ascii="宋体" w:hAnsi="宋体" w:cs="宋体" w:eastAsia="宋体" w:hint="default"/>
                <w:spacing w:val="12"/>
                <w:sz w:val="18"/>
                <w:szCs w:val="18"/>
              </w:rPr>
              <w:t>全部</w:t>
            </w:r>
            <w:r>
              <w:rPr>
                <w:rFonts w:ascii="宋体" w:hAnsi="宋体" w:cs="宋体" w:eastAsia="宋体" w:hint="default"/>
                <w:spacing w:val="-66"/>
                <w:sz w:val="18"/>
                <w:szCs w:val="18"/>
              </w:rPr>
              <w:t> </w:t>
            </w:r>
            <w:r>
              <w:rPr>
                <w:rFonts w:ascii="宋体" w:hAnsi="宋体" w:cs="宋体" w:eastAsia="宋体" w:hint="default"/>
                <w:sz w:val="18"/>
                <w:szCs w:val="18"/>
              </w:rPr>
              <w:t>提</w:t>
            </w:r>
            <w:r>
              <w:rPr>
                <w:rFonts w:ascii="宋体" w:hAnsi="宋体" w:cs="宋体" w:eastAsia="宋体" w:hint="default"/>
                <w:sz w:val="18"/>
                <w:szCs w:val="18"/>
              </w:rPr>
              <w:t> 前收回</w:t>
            </w:r>
            <w:r>
              <w:rPr>
                <w:rFonts w:ascii="宋体" w:hAnsi="宋体" w:cs="宋体" w:eastAsia="宋体" w:hint="default"/>
                <w:sz w:val="18"/>
                <w:szCs w:val="18"/>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2" w:right="0"/>
              <w:jc w:val="center"/>
              <w:rPr>
                <w:rFonts w:ascii="宋体" w:hAnsi="宋体" w:cs="宋体" w:eastAsia="宋体" w:hint="default"/>
                <w:sz w:val="18"/>
                <w:szCs w:val="18"/>
              </w:rPr>
            </w:pPr>
            <w:r>
              <w:rPr>
                <w:rFonts w:ascii="宋体"/>
                <w:sz w:val="18"/>
              </w:rPr>
              <w:t> </w:t>
            </w:r>
          </w:p>
        </w:tc>
      </w:tr>
    </w:tbl>
    <w:p>
      <w:pPr>
        <w:pStyle w:val="Heading3"/>
        <w:spacing w:line="274" w:lineRule="exact"/>
        <w:ind w:left="938" w:right="0"/>
        <w:jc w:val="left"/>
        <w:rPr>
          <w:rFonts w:ascii="宋体" w:hAnsi="宋体" w:cs="宋体" w:eastAsia="宋体" w:hint="default"/>
        </w:rPr>
      </w:pPr>
      <w:r>
        <w:rPr>
          <w:rFonts w:ascii="宋体"/>
        </w:rPr>
        <w:t> </w:t>
      </w:r>
    </w:p>
    <w:p>
      <w:pPr>
        <w:pStyle w:val="Heading5"/>
        <w:spacing w:line="270" w:lineRule="exact" w:before="4"/>
        <w:ind w:left="9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08" w:lineRule="exact"/>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938" w:right="0"/>
        <w:jc w:val="left"/>
        <w:rPr>
          <w:rFonts w:ascii="宋体" w:hAnsi="宋体" w:cs="宋体" w:eastAsia="宋体" w:hint="default"/>
        </w:rPr>
      </w:pPr>
      <w:r>
        <w:rPr>
          <w:rFonts w:ascii="宋体"/>
        </w:rPr>
        <w:t> </w:t>
      </w:r>
    </w:p>
    <w:p>
      <w:pPr>
        <w:pStyle w:val="Heading5"/>
        <w:spacing w:line="240" w:lineRule="auto" w:before="64"/>
        <w:ind w:left="938" w:right="0"/>
        <w:jc w:val="left"/>
        <w:rPr>
          <w:b w:val="0"/>
          <w:bCs w:val="0"/>
        </w:rPr>
      </w:pPr>
      <w:r>
        <w:rPr>
          <w:rFonts w:ascii="宋体" w:hAnsi="宋体" w:cs="宋体" w:eastAsia="宋体" w:hint="default"/>
        </w:rPr>
        <w:t>(3)</w:t>
      </w:r>
      <w:r>
        <w:rPr>
          <w:rFonts w:ascii="宋体" w:hAnsi="宋体" w:cs="宋体" w:eastAsia="宋体" w:hint="default"/>
          <w:spacing w:val="-62"/>
        </w:rPr>
        <w:t> </w:t>
      </w:r>
      <w:r>
        <w:rPr/>
        <w:t>委托贷款减值准备</w:t>
      </w:r>
      <w:r>
        <w:rPr>
          <w:b w:val="0"/>
          <w:bCs w:val="0"/>
        </w:rPr>
      </w:r>
    </w:p>
    <w:p>
      <w:pPr>
        <w:pStyle w:val="Heading3"/>
        <w:spacing w:line="313" w:lineRule="exact" w:before="50"/>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938" w:right="0"/>
        <w:jc w:val="left"/>
        <w:rPr>
          <w:rFonts w:ascii="宋体" w:hAnsi="宋体" w:cs="宋体" w:eastAsia="宋体" w:hint="default"/>
        </w:rPr>
      </w:pPr>
      <w:r>
        <w:rPr>
          <w:rFonts w:ascii="宋体"/>
        </w:rPr>
        <w:t> </w:t>
      </w:r>
    </w:p>
    <w:p>
      <w:pPr>
        <w:pStyle w:val="Heading5"/>
        <w:tabs>
          <w:tab w:pos="1363" w:val="left" w:leader="none"/>
        </w:tabs>
        <w:spacing w:line="240" w:lineRule="auto" w:before="61"/>
        <w:ind w:left="93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9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938" w:right="0"/>
        <w:jc w:val="left"/>
        <w:rPr>
          <w:rFonts w:ascii="宋体" w:hAnsi="宋体" w:cs="宋体" w:eastAsia="宋体" w:hint="default"/>
        </w:rPr>
      </w:pPr>
      <w:r>
        <w:rPr>
          <w:rFonts w:ascii="宋体"/>
        </w:rPr>
        <w:t> </w:t>
      </w:r>
    </w:p>
    <w:p>
      <w:pPr>
        <w:pStyle w:val="Heading5"/>
        <w:tabs>
          <w:tab w:pos="1778" w:val="left" w:leader="none"/>
        </w:tabs>
        <w:spacing w:line="240" w:lineRule="auto" w:before="61"/>
        <w:ind w:left="9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pStyle w:val="BodyText"/>
        <w:spacing w:line="273" w:lineRule="exact" w:before="58"/>
        <w:ind w:left="9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480" w:right="480"/>
        </w:sectPr>
      </w:pPr>
    </w:p>
    <w:p>
      <w:pPr>
        <w:spacing w:line="240" w:lineRule="auto" w:before="0"/>
        <w:rPr>
          <w:rFonts w:ascii="宋体" w:hAnsi="宋体" w:cs="宋体" w:eastAsia="宋体" w:hint="default"/>
          <w:sz w:val="20"/>
          <w:szCs w:val="20"/>
        </w:rPr>
      </w:pPr>
    </w:p>
    <w:p>
      <w:pPr>
        <w:pStyle w:val="Heading5"/>
        <w:spacing w:line="240" w:lineRule="auto" w:before="170"/>
        <w:ind w:left="138" w:right="0"/>
        <w:jc w:val="left"/>
        <w:rPr>
          <w:b w:val="0"/>
          <w:bCs w:val="0"/>
        </w:rPr>
      </w:pPr>
      <w:r>
        <w:rPr/>
        <w:t>十六、其他重大事项的说明</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7" w:lineRule="auto" w:before="75"/>
        <w:ind w:left="138" w:right="0" w:firstLine="4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日，青岛港集团与山东省港口集团有限公司、青岛市国资委、威海市人民政府</w:t>
      </w:r>
      <w:r>
        <w:rPr>
          <w:w w:val="100"/>
        </w:rPr>
        <w:t> </w:t>
      </w:r>
      <w:r>
        <w:rPr/>
        <w:t>国有资产监督管理委员会签署了《山东省港口集团有限公司与青岛市人民政府国有资产监督管理委</w:t>
      </w:r>
      <w:r>
        <w:rPr>
          <w:w w:val="100"/>
        </w:rPr>
        <w:t> </w:t>
      </w:r>
      <w:r>
        <w:rPr>
          <w:spacing w:val="-2"/>
        </w:rPr>
        <w:t>员会及威海市人民政府国有资产监督管理委员会关于青岛港</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w:t>
      </w:r>
      <w:r>
        <w:rPr>
          <w:spacing w:val="-2"/>
        </w:rPr>
        <w:t>有限公司之股权无偿划转协议》，</w:t>
      </w:r>
      <w:r>
        <w:rPr>
          <w:spacing w:val="-22"/>
        </w:rPr>
        <w:t> </w:t>
      </w:r>
      <w:r>
        <w:rPr>
          <w:spacing w:val="-22"/>
        </w:rPr>
      </w:r>
      <w:r>
        <w:rPr/>
        <w:t>青岛市国资委将青岛港集团</w:t>
      </w:r>
      <w:r>
        <w:rPr>
          <w:spacing w:val="-55"/>
        </w:rPr>
        <w:t> </w:t>
      </w:r>
      <w:r>
        <w:rPr>
          <w:rFonts w:ascii="Times New Roman" w:hAnsi="Times New Roman" w:cs="Times New Roman" w:eastAsia="Times New Roman" w:hint="default"/>
        </w:rPr>
        <w:t>100%</w:t>
      </w:r>
      <w:r>
        <w:rPr/>
        <w:t>股权（含青岛港集团拟持有的威海港集团有限公司</w:t>
      </w:r>
      <w:r>
        <w:rPr>
          <w:spacing w:val="-54"/>
        </w:rPr>
        <w:t> </w:t>
      </w:r>
      <w:r>
        <w:rPr>
          <w:rFonts w:ascii="Times New Roman" w:hAnsi="Times New Roman" w:cs="Times New Roman" w:eastAsia="Times New Roman" w:hint="default"/>
        </w:rPr>
        <w:t>100%</w:t>
      </w:r>
      <w:r>
        <w:rPr/>
        <w:t>的股权）</w:t>
      </w:r>
      <w:r>
        <w:rPr>
          <w:w w:val="100"/>
        </w:rPr>
        <w:t> </w:t>
      </w:r>
      <w:r>
        <w:rPr>
          <w:spacing w:val="-3"/>
        </w:rPr>
        <w:t>无偿划转至山东省港口集团有限公司，青岛港集团将变更为山东省港口集团有限公司的全资子公司。</w:t>
      </w:r>
      <w:r>
        <w:rPr>
          <w:spacing w:val="-46"/>
        </w:rPr>
        <w:t> </w:t>
      </w:r>
      <w:r>
        <w:rPr>
          <w:spacing w:val="-46"/>
        </w:rPr>
      </w:r>
      <w:r>
        <w:rPr/>
        <w:t>本次无偿划转交割，须满足上述无偿划转协议生效、本公司</w:t>
      </w:r>
      <w:r>
        <w:rPr>
          <w:spacing w:val="-58"/>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股股票上市满一年、无偿划转协议涉</w:t>
      </w:r>
      <w:r>
        <w:rPr>
          <w:w w:val="100"/>
        </w:rPr>
        <w:t> </w:t>
      </w:r>
      <w:r>
        <w:rPr/>
        <w:t>及的经营者集中事项经国家市场监督管理总局审批通过、中国证券监督管理委员会及香港证券及期</w:t>
      </w:r>
      <w:r>
        <w:rPr>
          <w:w w:val="100"/>
        </w:rPr>
        <w:t> </w:t>
      </w:r>
      <w:r>
        <w:rPr/>
        <w:t>货事务监察委员会豁免山东省港口集团有限公司因本次无偿划转触发的就本公司股份发出全面要约</w:t>
      </w:r>
      <w:r>
        <w:rPr>
          <w:w w:val="100"/>
        </w:rPr>
        <w:t> </w:t>
      </w:r>
      <w:r>
        <w:rPr/>
        <w:t>的义务。截至本年报出具日，尚未完成交割。无偿划转实施完成后，本公司的控股股东仍为青岛港</w:t>
      </w:r>
      <w:r>
        <w:rPr>
          <w:w w:val="100"/>
        </w:rPr>
        <w:t> </w:t>
      </w:r>
      <w:r>
        <w:rPr/>
        <w:t>集团，本公司的实际控制人将由青岛市国资委变更为山东省人民政府国有资产监督管理委员会。请</w:t>
      </w:r>
      <w:r>
        <w:rPr>
          <w:w w:val="100"/>
        </w:rPr>
        <w:t> </w:t>
      </w:r>
      <w:r>
        <w:rPr/>
        <w:t>详见本公司分别于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10"/>
        </w:rPr>
        <w:t>日在《中国证券报》、《上海证券报》、《证</w:t>
      </w:r>
      <w:r>
        <w:rPr>
          <w:spacing w:val="-99"/>
        </w:rPr>
        <w:t> </w:t>
      </w:r>
      <w:r>
        <w:rPr>
          <w:spacing w:val="-99"/>
        </w:rPr>
      </w:r>
      <w:r>
        <w:rPr/>
        <w:t>券时报》、《证券日报》和上海证券交易所网站（</w:t>
      </w:r>
      <w:r>
        <w:rPr>
          <w:rFonts w:ascii="Times New Roman" w:hAnsi="Times New Roman" w:cs="Times New Roman" w:eastAsia="Times New Roman" w:hint="default"/>
        </w:rPr>
        <w:t>ww.sse.com.cn</w:t>
      </w:r>
      <w:r>
        <w:rPr/>
        <w:t>）发布的公告。</w:t>
      </w:r>
    </w:p>
    <w:p>
      <w:pPr>
        <w:pStyle w:val="Heading5"/>
        <w:tabs>
          <w:tab w:pos="990" w:val="left" w:leader="none"/>
        </w:tabs>
        <w:spacing w:line="295" w:lineRule="auto" w:before="4"/>
        <w:ind w:left="138" w:right="5911" w:firstLine="420"/>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Heading3"/>
        <w:spacing w:line="240" w:lineRule="auto" w:before="4"/>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tabs>
          <w:tab w:pos="563" w:val="left" w:leader="none"/>
        </w:tabs>
        <w:spacing w:line="240" w:lineRule="auto" w:before="61"/>
        <w:ind w:left="138" w:right="0"/>
        <w:jc w:val="left"/>
        <w:rPr>
          <w:rFonts w:ascii="宋体" w:hAnsi="宋体" w:cs="宋体" w:eastAsia="宋体" w:hint="default"/>
          <w:b w:val="0"/>
          <w:bCs w:val="0"/>
        </w:rPr>
      </w:pPr>
      <w:r>
        <w:rPr>
          <w:rFonts w:ascii="宋体" w:hAnsi="宋体" w:cs="宋体" w:eastAsia="宋体" w:hint="default"/>
          <w:w w:val="95"/>
        </w:rPr>
        <w:t>1.</w:t>
        <w:tab/>
      </w:r>
      <w:r>
        <w:rPr/>
        <w:t>精准扶贫规划</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79"/>
        <w:ind w:left="138" w:right="248" w:firstLine="420"/>
        <w:jc w:val="both"/>
        <w:rPr>
          <w:rFonts w:ascii="宋体" w:hAnsi="宋体" w:cs="宋体" w:eastAsia="宋体" w:hint="default"/>
        </w:rPr>
      </w:pPr>
      <w:r>
        <w:rPr>
          <w:spacing w:val="-2"/>
        </w:rPr>
        <w:t>本公司认真落实党中央、国务院、山东省、青岛市关于扶贫工作的重要指示精神，积极承担社</w:t>
      </w:r>
      <w:r>
        <w:rPr>
          <w:w w:val="100"/>
        </w:rPr>
        <w:t> </w:t>
      </w:r>
      <w:r>
        <w:rPr>
          <w:spacing w:val="-2"/>
        </w:rPr>
        <w:t>会责任，扎实开展有效的帮扶工作，在捐资助学、帮助贫困村脱贫、救助受灾地区、创造就业岗位</w:t>
      </w:r>
      <w:r>
        <w:rPr>
          <w:spacing w:val="-25"/>
        </w:rPr>
        <w:t> </w:t>
      </w:r>
      <w:r>
        <w:rPr>
          <w:spacing w:val="-25"/>
        </w:rPr>
      </w:r>
      <w:r>
        <w:rPr/>
        <w:t>等方面精准发力，提高扶贫效果。</w:t>
      </w:r>
      <w:r>
        <w:rPr>
          <w:rFonts w:ascii="宋体" w:hAnsi="宋体" w:cs="宋体" w:eastAsia="宋体" w:hint="default"/>
        </w:rPr>
        <w:t> </w:t>
      </w:r>
    </w:p>
    <w:p>
      <w:pPr>
        <w:pStyle w:val="Heading3"/>
        <w:spacing w:line="251" w:lineRule="exact"/>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4"/>
        <w:ind w:left="138"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04" w:lineRule="auto" w:before="78"/>
        <w:ind w:left="138" w:right="209" w:firstLine="420"/>
        <w:jc w:val="both"/>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5"/>
          <w:w w:val="100"/>
        </w:rPr>
        <w:t> </w:t>
      </w:r>
      <w:r>
        <w:rPr>
          <w:spacing w:val="-7"/>
          <w:w w:val="100"/>
        </w:rPr>
        <w:t>年，公司落实扶贫攻坚产业帮扶政策，派出有关人员到青岛市平度市云山镇进行实地调研，</w:t>
      </w:r>
      <w:r>
        <w:rPr>
          <w:w w:val="100"/>
        </w:rPr>
        <w:t> </w:t>
      </w:r>
      <w:r>
        <w:rPr>
          <w:spacing w:val="-2"/>
        </w:rPr>
        <w:t>经可行性研究论证后，在云山镇已初步形成的大樱桃产业基础上，决定通过建设大樱桃示范园项目</w:t>
      </w:r>
      <w:r>
        <w:rPr>
          <w:spacing w:val="-25"/>
        </w:rPr>
        <w:t> </w:t>
      </w:r>
      <w:r>
        <w:rPr>
          <w:spacing w:val="-25"/>
        </w:rPr>
      </w:r>
      <w:r>
        <w:rPr/>
        <w:t>对当地实施帮扶，公司出资帮扶资金</w:t>
      </w:r>
      <w:r>
        <w:rPr>
          <w:spacing w:val="-52"/>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万元。</w:t>
      </w:r>
    </w:p>
    <w:p>
      <w:pPr>
        <w:pStyle w:val="BodyText"/>
        <w:spacing w:line="205" w:lineRule="exact"/>
        <w:ind w:left="558" w:right="0"/>
        <w:jc w:val="left"/>
        <w:rPr>
          <w:rFonts w:ascii="宋体" w:hAnsi="宋体" w:cs="宋体" w:eastAsia="宋体" w:hint="default"/>
        </w:rPr>
      </w:pPr>
      <w:r>
        <w:rPr>
          <w:rFonts w:ascii="宋体"/>
          <w:w w:val="100"/>
        </w:rPr>
        <w:t> </w:t>
      </w:r>
    </w:p>
    <w:p>
      <w:pPr>
        <w:spacing w:after="0" w:line="205" w:lineRule="exact"/>
        <w:jc w:val="left"/>
        <w:rPr>
          <w:rFonts w:ascii="宋体" w:hAnsi="宋体" w:cs="宋体" w:eastAsia="宋体" w:hint="default"/>
        </w:rPr>
        <w:sectPr>
          <w:pgSz w:w="11910" w:h="16840"/>
          <w:pgMar w:header="0" w:footer="974" w:top="1120" w:bottom="1160" w:left="1280" w:right="1200"/>
        </w:sectPr>
      </w:pPr>
    </w:p>
    <w:p>
      <w:pPr>
        <w:pStyle w:val="Heading3"/>
        <w:spacing w:line="307" w:lineRule="exact"/>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1"/>
        <w:ind w:left="138"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8"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200"/>
          <w:cols w:num="2" w:equalWidth="0">
            <w:col w:w="2179" w:space="4369"/>
            <w:col w:w="2882"/>
          </w:cols>
        </w:sectPr>
      </w:pPr>
    </w:p>
    <w:p>
      <w:pPr>
        <w:spacing w:line="240" w:lineRule="auto" w:before="4"/>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5243"/>
        <w:gridCol w:w="3584"/>
      </w:tblGrid>
      <w:tr>
        <w:trPr>
          <w:trHeight w:val="331" w:hRule="exact"/>
        </w:trPr>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指标</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8"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331" w:hRule="exact"/>
        </w:trPr>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50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331"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160" w:left="1280" w:right="1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256" w:type="dxa"/>
        <w:tblLayout w:type="fixed"/>
        <w:tblCellMar>
          <w:top w:w="0" w:type="dxa"/>
          <w:left w:w="0" w:type="dxa"/>
          <w:bottom w:w="0" w:type="dxa"/>
          <w:right w:w="0" w:type="dxa"/>
        </w:tblCellMar>
        <w:tblLook w:val="01E0"/>
      </w:tblPr>
      <w:tblGrid>
        <w:gridCol w:w="5243"/>
        <w:gridCol w:w="3584"/>
      </w:tblGrid>
      <w:tr>
        <w:trPr>
          <w:trHeight w:val="1930" w:hRule="exact"/>
        </w:trPr>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产业扶贫项目类型</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旅游扶贫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电商扶贫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46"/>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资产收益扶贫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科技扶贫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29" w:hRule="exact"/>
        </w:trPr>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产业扶贫项目个数（个）</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1 </w:t>
            </w:r>
          </w:p>
        </w:tc>
      </w:tr>
      <w:tr>
        <w:trPr>
          <w:trHeight w:val="331" w:hRule="exact"/>
        </w:trPr>
        <w:tc>
          <w:tcPr>
            <w:tcW w:w="5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z w:val="21"/>
              </w:rPr>
              <w:t>50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331"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r>
              <w:rPr>
                <w:rFonts w:ascii="宋体" w:hAnsi="宋体" w:cs="宋体" w:eastAsia="宋体" w:hint="default"/>
                <w:sz w:val="21"/>
                <w:szCs w:val="21"/>
              </w:rPr>
              <w:t>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332"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1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r>
              <w:rPr>
                <w:rFonts w:ascii="宋体" w:hAnsi="宋体" w:cs="宋体" w:eastAsia="宋体" w:hint="default"/>
                <w:sz w:val="21"/>
                <w:szCs w:val="21"/>
              </w:rPr>
              <w:t> </w:t>
            </w:r>
          </w:p>
        </w:tc>
      </w:tr>
      <w:tr>
        <w:trPr>
          <w:trHeight w:val="331"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331"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329" w:hRule="exact"/>
        </w:trPr>
        <w:tc>
          <w:tcPr>
            <w:tcW w:w="8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bl>
    <w:p>
      <w:pPr>
        <w:pStyle w:val="Heading3"/>
        <w:spacing w:line="274" w:lineRule="exact"/>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4"/>
        <w:ind w:left="138" w:right="192"/>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78"/>
        <w:ind w:left="138" w:right="148" w:firstLine="420"/>
        <w:jc w:val="both"/>
        <w:rPr>
          <w:rFonts w:ascii="宋体" w:hAnsi="宋体" w:cs="宋体" w:eastAsia="宋体" w:hint="default"/>
        </w:rPr>
      </w:pPr>
      <w:r>
        <w:rPr>
          <w:spacing w:val="-2"/>
        </w:rPr>
        <w:t>公司将进一步落实好中央省市的脱贫工作要求，把回报社会作为重要使命，积极支持社会公益</w:t>
      </w:r>
      <w:r>
        <w:rPr>
          <w:w w:val="100"/>
        </w:rPr>
        <w:t> </w:t>
      </w:r>
      <w:r>
        <w:rPr>
          <w:spacing w:val="-2"/>
        </w:rPr>
        <w:t>事业，广泛参与捐资助学、关心弱势群体等公益活动，对接好贫困地区，做到精准扶贫，履行好社</w:t>
      </w:r>
      <w:r>
        <w:rPr>
          <w:spacing w:val="-25"/>
        </w:rPr>
        <w:t> </w:t>
      </w:r>
      <w:r>
        <w:rPr>
          <w:spacing w:val="-25"/>
        </w:rPr>
      </w:r>
      <w:r>
        <w:rPr/>
        <w:t>会责任。</w:t>
      </w:r>
      <w:r>
        <w:rPr>
          <w:rFonts w:ascii="宋体" w:hAnsi="宋体" w:cs="宋体" w:eastAsia="宋体" w:hint="default"/>
        </w:rPr>
        <w:t> </w:t>
      </w:r>
    </w:p>
    <w:p>
      <w:pPr>
        <w:pStyle w:val="Heading3"/>
        <w:spacing w:line="251" w:lineRule="exact"/>
        <w:ind w:left="138" w:right="0"/>
        <w:jc w:val="left"/>
        <w:rPr>
          <w:rFonts w:ascii="宋体" w:hAnsi="宋体" w:cs="宋体" w:eastAsia="宋体" w:hint="default"/>
        </w:rPr>
      </w:pPr>
      <w:r>
        <w:rPr>
          <w:rFonts w:ascii="宋体"/>
        </w:rPr>
        <w:t> </w:t>
      </w:r>
    </w:p>
    <w:p>
      <w:pPr>
        <w:pStyle w:val="Heading5"/>
        <w:tabs>
          <w:tab w:pos="781" w:val="left" w:leader="none"/>
        </w:tabs>
        <w:spacing w:line="240" w:lineRule="auto" w:before="64"/>
        <w:ind w:left="138" w:right="192"/>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社会责任工作情况</w:t>
      </w:r>
      <w:r>
        <w:rPr>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78"/>
        <w:ind w:left="138" w:right="196" w:firstLine="480"/>
        <w:jc w:val="both"/>
        <w:rPr>
          <w:rFonts w:ascii="宋体" w:hAnsi="宋体" w:cs="宋体" w:eastAsia="宋体" w:hint="default"/>
        </w:rPr>
      </w:pPr>
      <w:r>
        <w:rPr/>
        <w:t>公司履行社会责任工作情况参见公司于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27</w:t>
      </w:r>
      <w:r>
        <w:rPr>
          <w:rFonts w:ascii="宋体" w:hAnsi="宋体" w:cs="宋体" w:eastAsia="宋体" w:hint="default"/>
          <w:spacing w:val="-56"/>
        </w:rPr>
        <w:t> </w:t>
      </w:r>
      <w:r>
        <w:rPr/>
        <w:t>日在上交所网站（</w:t>
      </w:r>
      <w:r>
        <w:rPr>
          <w:rFonts w:ascii="宋体" w:hAnsi="宋体" w:cs="宋体" w:eastAsia="宋体" w:hint="default"/>
          <w:color w:val="0000FF"/>
        </w:rPr>
      </w:r>
      <w:hyperlink r:id="rId13">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r>
        <w:rPr>
          <w:w w:val="100"/>
        </w:rPr>
        <w:t> </w:t>
      </w:r>
      <w:r>
        <w:rPr/>
        <w:t>披露的《</w:t>
      </w:r>
      <w:r>
        <w:rPr>
          <w:rFonts w:ascii="宋体" w:hAnsi="宋体" w:cs="宋体" w:eastAsia="宋体" w:hint="default"/>
        </w:rPr>
        <w:t>2019</w:t>
      </w:r>
      <w:r>
        <w:rPr>
          <w:rFonts w:ascii="宋体" w:hAnsi="宋体" w:cs="宋体" w:eastAsia="宋体" w:hint="default"/>
          <w:spacing w:val="-58"/>
        </w:rPr>
        <w:t> </w:t>
      </w:r>
      <w:r>
        <w:rPr/>
        <w:t>年可持续发展报告》。</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w w:val="100"/>
        </w:rPr>
        <w:t> </w:t>
      </w:r>
    </w:p>
    <w:p>
      <w:pPr>
        <w:pStyle w:val="Heading3"/>
        <w:spacing w:line="240" w:lineRule="auto" w:before="2"/>
        <w:ind w:left="138" w:right="0"/>
        <w:jc w:val="left"/>
        <w:rPr>
          <w:rFonts w:ascii="宋体" w:hAnsi="宋体" w:cs="宋体" w:eastAsia="宋体" w:hint="default"/>
        </w:rPr>
      </w:pPr>
      <w:r>
        <w:rPr>
          <w:rFonts w:ascii="宋体"/>
        </w:rPr>
        <w:t> </w:t>
      </w:r>
    </w:p>
    <w:p>
      <w:pPr>
        <w:pStyle w:val="Heading5"/>
        <w:tabs>
          <w:tab w:pos="781" w:val="left" w:leader="none"/>
        </w:tabs>
        <w:spacing w:line="240" w:lineRule="auto" w:before="64"/>
        <w:ind w:left="138" w:right="192"/>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环境信息情况</w:t>
      </w:r>
      <w:r>
        <w:rPr>
          <w:b w:val="0"/>
          <w:bCs w:val="0"/>
        </w:rPr>
      </w:r>
    </w:p>
    <w:p>
      <w:pPr>
        <w:pStyle w:val="Heading5"/>
        <w:tabs>
          <w:tab w:pos="563" w:val="left" w:leader="none"/>
        </w:tabs>
        <w:spacing w:line="240" w:lineRule="auto" w:before="57"/>
        <w:ind w:left="138" w:right="192"/>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24"/>
          <w:szCs w:val="24"/>
        </w:rPr>
      </w:pPr>
    </w:p>
    <w:p>
      <w:pPr>
        <w:pStyle w:val="Heading5"/>
        <w:tabs>
          <w:tab w:pos="563" w:val="left" w:leader="none"/>
        </w:tabs>
        <w:spacing w:line="240" w:lineRule="auto" w:before="0"/>
        <w:ind w:left="138" w:right="192"/>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81"/>
        <w:ind w:left="138" w:right="109" w:firstLine="420"/>
        <w:jc w:val="both"/>
      </w:pPr>
      <w:r>
        <w:rPr>
          <w:spacing w:val="-2"/>
        </w:rPr>
        <w:t>公司认真贯彻落实环境保护法律法规和国家省市对环境保护工作相关要求，制定实施各项环境</w:t>
      </w:r>
      <w:r>
        <w:rPr>
          <w:w w:val="100"/>
        </w:rPr>
        <w:t> </w:t>
      </w:r>
      <w:r>
        <w:rPr>
          <w:spacing w:val="-2"/>
        </w:rPr>
        <w:t>保护管理规定制度。严格落实建设项目“环境影响评价制度”和“三同时”（建设项目中防治污染</w:t>
      </w:r>
      <w:r>
        <w:rPr>
          <w:spacing w:val="-26"/>
        </w:rPr>
        <w:t> </w:t>
      </w:r>
      <w:r>
        <w:rPr>
          <w:spacing w:val="-26"/>
        </w:rPr>
      </w:r>
      <w:r>
        <w:rPr>
          <w:spacing w:val="-6"/>
        </w:rPr>
        <w:t>的设施与主体工程同时设计、同时施工、同时投产使用）制度。加强污染防治和清洁能源技术应用，</w:t>
      </w:r>
      <w:r>
        <w:rPr>
          <w:spacing w:val="-20"/>
        </w:rPr>
        <w:t> </w:t>
      </w:r>
      <w:r>
        <w:rPr>
          <w:spacing w:val="-20"/>
        </w:rPr>
      </w:r>
      <w:r>
        <w:rPr>
          <w:spacing w:val="-2"/>
        </w:rPr>
        <w:t>防治污染设施运行正常。制定公司突发环境事件应急预案，配备应急物资设备，开展应急演练，严</w:t>
      </w:r>
    </w:p>
    <w:p>
      <w:pPr>
        <w:spacing w:after="0" w:line="314" w:lineRule="auto"/>
        <w:jc w:val="both"/>
        <w:sectPr>
          <w:pgSz w:w="11910" w:h="16840"/>
          <w:pgMar w:header="0"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4" w:lineRule="auto" w:before="36"/>
        <w:ind w:left="138" w:right="192"/>
        <w:jc w:val="left"/>
        <w:rPr>
          <w:rFonts w:ascii="宋体" w:hAnsi="宋体" w:cs="宋体" w:eastAsia="宋体" w:hint="default"/>
        </w:rPr>
      </w:pPr>
      <w:r>
        <w:rPr>
          <w:spacing w:val="-2"/>
        </w:rPr>
        <w:t>防突发环境污染事故发生。聘请有资质的第三方检测公司开展环境监测，港区建设环境空气质量监</w:t>
      </w:r>
      <w:r>
        <w:rPr>
          <w:spacing w:val="-25"/>
        </w:rPr>
        <w:t> </w:t>
      </w:r>
      <w:r>
        <w:rPr>
          <w:spacing w:val="-25"/>
        </w:rPr>
      </w:r>
      <w:r>
        <w:rPr/>
        <w:t>测设施，对港区空气质量实时检测。</w:t>
      </w:r>
      <w:r>
        <w:rPr>
          <w:rFonts w:ascii="宋体" w:hAnsi="宋体" w:cs="宋体" w:eastAsia="宋体" w:hint="default"/>
        </w:rPr>
        <w:t> </w:t>
      </w:r>
    </w:p>
    <w:p>
      <w:pPr>
        <w:spacing w:line="240" w:lineRule="auto" w:before="9"/>
        <w:rPr>
          <w:rFonts w:ascii="宋体" w:hAnsi="宋体" w:cs="宋体" w:eastAsia="宋体" w:hint="default"/>
          <w:sz w:val="19"/>
          <w:szCs w:val="19"/>
        </w:rPr>
      </w:pPr>
    </w:p>
    <w:p>
      <w:pPr>
        <w:pStyle w:val="Heading5"/>
        <w:tabs>
          <w:tab w:pos="563" w:val="left" w:leader="none"/>
        </w:tabs>
        <w:spacing w:line="240" w:lineRule="auto" w:before="0"/>
        <w:ind w:left="138" w:right="192"/>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24"/>
          <w:szCs w:val="24"/>
        </w:rPr>
      </w:pPr>
    </w:p>
    <w:p>
      <w:pPr>
        <w:pStyle w:val="Heading5"/>
        <w:tabs>
          <w:tab w:pos="563" w:val="left" w:leader="none"/>
        </w:tabs>
        <w:spacing w:line="240" w:lineRule="auto" w:before="0"/>
        <w:ind w:left="138" w:right="192"/>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24"/>
          <w:szCs w:val="24"/>
        </w:rPr>
      </w:pPr>
    </w:p>
    <w:p>
      <w:pPr>
        <w:pStyle w:val="Heading5"/>
        <w:tabs>
          <w:tab w:pos="781" w:val="left" w:leader="none"/>
        </w:tabs>
        <w:spacing w:line="240" w:lineRule="auto" w:before="0"/>
        <w:ind w:left="138" w:right="192"/>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BodyText"/>
        <w:spacing w:line="273" w:lineRule="exact" w:before="58"/>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652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1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120" w:bottom="1160" w:left="1280" w:right="1300"/>
        </w:sectPr>
      </w:pPr>
    </w:p>
    <w:p>
      <w:pPr>
        <w:spacing w:before="17"/>
        <w:ind w:left="0" w:right="10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1"/>
        <w:tabs>
          <w:tab w:pos="1259" w:val="left" w:leader="none"/>
        </w:tabs>
        <w:spacing w:line="240" w:lineRule="auto"/>
        <w:ind w:right="78"/>
        <w:jc w:val="center"/>
        <w:rPr>
          <w:b w:val="0"/>
          <w:bCs w:val="0"/>
        </w:rPr>
      </w:pPr>
      <w:bookmarkStart w:name="_TOC_250006" w:id="12"/>
      <w:r>
        <w:rPr>
          <w:w w:val="95"/>
        </w:rPr>
        <w:t>第六节</w:t>
      </w:r>
      <w:r>
        <w:rPr>
          <w:rFonts w:ascii="宋体" w:hAnsi="宋体" w:cs="宋体" w:eastAsia="宋体" w:hint="default"/>
          <w:w w:val="95"/>
        </w:rPr>
        <w:tab/>
      </w:r>
      <w:r>
        <w:rPr/>
        <w:t>普通股股份变动及股东情况</w:t>
      </w:r>
      <w:bookmarkEnd w:id="12"/>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0" w:footer="0" w:top="800" w:bottom="280" w:left="1280" w:right="1200"/>
        </w:sectPr>
      </w:pPr>
    </w:p>
    <w:p>
      <w:pPr>
        <w:pStyle w:val="Heading3"/>
        <w:spacing w:line="240" w:lineRule="auto" w:before="26"/>
        <w:ind w:left="138" w:right="0"/>
        <w:jc w:val="left"/>
        <w:rPr>
          <w:rFonts w:ascii="宋体" w:hAnsi="宋体" w:cs="宋体" w:eastAsia="宋体" w:hint="default"/>
        </w:rPr>
      </w:pPr>
      <w:r>
        <w:rPr>
          <w:rFonts w:ascii="宋体"/>
        </w:rPr>
        <w:t> </w:t>
      </w:r>
    </w:p>
    <w:p>
      <w:pPr>
        <w:pStyle w:val="Heading5"/>
        <w:tabs>
          <w:tab w:pos="705" w:val="left" w:leader="none"/>
        </w:tabs>
        <w:spacing w:line="278" w:lineRule="auto" w:before="64"/>
        <w:ind w:left="138"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pStyle w:val="BodyText"/>
        <w:spacing w:line="240" w:lineRule="auto"/>
        <w:ind w:left="13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80" w:right="1200"/>
          <w:cols w:num="2" w:equalWidth="0">
            <w:col w:w="2815" w:space="10348"/>
            <w:col w:w="119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6"/>
        <w:gridCol w:w="1465"/>
        <w:gridCol w:w="1198"/>
        <w:gridCol w:w="1447"/>
        <w:gridCol w:w="708"/>
        <w:gridCol w:w="1277"/>
        <w:gridCol w:w="708"/>
        <w:gridCol w:w="1419"/>
        <w:gridCol w:w="1699"/>
        <w:gridCol w:w="1200"/>
      </w:tblGrid>
      <w:tr>
        <w:trPr>
          <w:trHeight w:val="293" w:hRule="exact"/>
        </w:trPr>
        <w:tc>
          <w:tcPr>
            <w:tcW w:w="2916"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6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99"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55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6"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293" w:hRule="exact"/>
        </w:trPr>
        <w:tc>
          <w:tcPr>
            <w:tcW w:w="2916" w:type="dxa"/>
            <w:vMerge/>
            <w:tcBorders>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97" w:right="0"/>
              <w:jc w:val="left"/>
              <w:rPr>
                <w:rFonts w:ascii="宋体" w:hAnsi="宋体" w:cs="宋体" w:eastAsia="宋体" w:hint="default"/>
                <w:sz w:val="21"/>
                <w:szCs w:val="21"/>
              </w:rPr>
            </w:pPr>
            <w:r>
              <w:rPr>
                <w:rFonts w:ascii="宋体" w:hAnsi="宋体" w:cs="宋体" w:eastAsia="宋体" w:hint="default"/>
                <w:sz w:val="21"/>
                <w:szCs w:val="21"/>
              </w:rPr>
              <w:t>发行新股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36"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公积金转股</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33"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0"/>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4,937,699,000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81.79</w:t>
            </w: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4,937,699,000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76.07</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3,666,179,000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60.73</w:t>
            </w: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3,666,179,000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56.48</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1,271,520,000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21.06</w:t>
            </w: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1,271,520,000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19.59</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7" w:right="0"/>
              <w:jc w:val="center"/>
              <w:rPr>
                <w:rFonts w:ascii="Times New Roman" w:hAnsi="Times New Roman" w:cs="Times New Roman" w:eastAsia="Times New Roman" w:hint="default"/>
                <w:sz w:val="21"/>
                <w:szCs w:val="21"/>
              </w:rPr>
            </w:pPr>
            <w:r>
              <w:rPr>
                <w:rFonts w:ascii="Times New Roman"/>
                <w:sz w:val="21"/>
              </w:rPr>
              <w:t>1,271,520,000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21.06</w:t>
            </w: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1,271,520,000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19.59</w:t>
            </w:r>
          </w:p>
        </w:tc>
      </w:tr>
      <w:tr>
        <w:trPr>
          <w:trHeight w:val="296"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1,099,025,000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18.21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454,376,000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454,376,000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1,553,401,000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23.93</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3" w:right="0"/>
              <w:jc w:val="left"/>
              <w:rPr>
                <w:rFonts w:ascii="Times New Roman" w:hAnsi="Times New Roman" w:cs="Times New Roman" w:eastAsia="Times New Roman" w:hint="default"/>
                <w:sz w:val="21"/>
                <w:szCs w:val="21"/>
              </w:rPr>
            </w:pPr>
            <w:r>
              <w:rPr>
                <w:rFonts w:ascii="Times New Roman"/>
                <w:sz w:val="21"/>
              </w:rPr>
              <w:t>454,376,000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454,376,000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454,376,000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7.00</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1,099,025,000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18.21</w:t>
            </w: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1,099,025,000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16.93</w:t>
            </w: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7" w:right="0"/>
              <w:jc w:val="center"/>
              <w:rPr>
                <w:rFonts w:ascii="Times New Roman" w:hAnsi="Times New Roman" w:cs="Times New Roman" w:eastAsia="Times New Roman" w:hint="default"/>
                <w:sz w:val="21"/>
                <w:szCs w:val="21"/>
              </w:rPr>
            </w:pPr>
            <w:r>
              <w:rPr>
                <w:rFonts w:ascii="Times New Roman"/>
                <w:sz w:val="21"/>
              </w:rPr>
              <w:t>6,036,724,000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83" w:right="0"/>
              <w:jc w:val="left"/>
              <w:rPr>
                <w:rFonts w:ascii="Times New Roman" w:hAnsi="Times New Roman" w:cs="Times New Roman" w:eastAsia="Times New Roman" w:hint="default"/>
                <w:sz w:val="21"/>
                <w:szCs w:val="21"/>
              </w:rPr>
            </w:pPr>
            <w:r>
              <w:rPr>
                <w:rFonts w:ascii="Times New Roman"/>
                <w:sz w:val="21"/>
              </w:rPr>
              <w:t>454,376,000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8" w:right="0"/>
              <w:jc w:val="center"/>
              <w:rPr>
                <w:rFonts w:ascii="Times New Roman" w:hAnsi="Times New Roman" w:cs="Times New Roman" w:eastAsia="Times New Roman" w:hint="default"/>
                <w:sz w:val="21"/>
                <w:szCs w:val="21"/>
              </w:rPr>
            </w:pPr>
            <w:r>
              <w:rPr>
                <w:rFonts w:ascii="Times New Roman"/>
                <w:sz w:val="21"/>
              </w:rPr>
              <w:t>454,376,000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6,491,100,000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63"/>
        <w:ind w:left="0" w:right="78" w:firstLine="0"/>
        <w:jc w:val="center"/>
        <w:rPr>
          <w:rFonts w:ascii="Calibri" w:hAnsi="Calibri" w:cs="Calibri" w:eastAsia="Calibri" w:hint="default"/>
          <w:sz w:val="18"/>
          <w:szCs w:val="18"/>
        </w:rPr>
      </w:pPr>
      <w:r>
        <w:rPr>
          <w:rFonts w:ascii="Calibri"/>
          <w:b/>
          <w:sz w:val="18"/>
        </w:rPr>
        <w:t>45 </w:t>
      </w:r>
      <w:r>
        <w:rPr>
          <w:rFonts w:ascii="Calibri"/>
          <w:sz w:val="18"/>
        </w:rPr>
        <w:t>/</w:t>
      </w:r>
      <w:r>
        <w:rPr>
          <w:rFonts w:ascii="Calibri"/>
          <w:spacing w:val="-4"/>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80" w:right="1200"/>
        </w:sectPr>
      </w:pPr>
    </w:p>
    <w:p>
      <w:pPr>
        <w:spacing w:line="240" w:lineRule="auto" w:before="0"/>
        <w:rPr>
          <w:rFonts w:ascii="Calibri" w:hAnsi="Calibri" w:cs="Calibri" w:eastAsia="Calibri" w:hint="default"/>
          <w:b/>
          <w:bCs/>
          <w:sz w:val="20"/>
          <w:szCs w:val="20"/>
        </w:rPr>
      </w:pPr>
    </w:p>
    <w:p>
      <w:pPr>
        <w:pStyle w:val="Heading3"/>
        <w:spacing w:line="240" w:lineRule="auto" w:before="181"/>
        <w:ind w:left="358" w:right="0"/>
        <w:jc w:val="left"/>
        <w:rPr>
          <w:rFonts w:ascii="宋体" w:hAnsi="宋体" w:cs="宋体" w:eastAsia="宋体" w:hint="default"/>
        </w:rPr>
      </w:pPr>
      <w:r>
        <w:rPr>
          <w:rFonts w:ascii="宋体"/>
        </w:rPr>
        <w:t> </w:t>
      </w:r>
    </w:p>
    <w:p>
      <w:pPr>
        <w:pStyle w:val="Heading5"/>
        <w:spacing w:line="240" w:lineRule="auto" w:before="61"/>
        <w:ind w:left="35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58"/>
        <w:ind w:left="77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8"/>
        </w:rPr>
        <w:t>经中国证监会《关于核准青岛港国际股份有限公司首次公开发行股票的批复》（证监许可</w:t>
      </w:r>
    </w:p>
    <w:p>
      <w:pPr>
        <w:pStyle w:val="BodyText"/>
        <w:spacing w:line="297" w:lineRule="auto" w:before="28"/>
        <w:ind w:left="358" w:right="349"/>
        <w:jc w:val="both"/>
      </w:pPr>
      <w:r>
        <w:rPr>
          <w:rFonts w:ascii="Times New Roman" w:hAnsi="Times New Roman" w:cs="Times New Roman" w:eastAsia="Times New Roman" w:hint="default"/>
        </w:rPr>
        <w:t>[2018]1839</w:t>
      </w:r>
      <w:r>
        <w:rPr>
          <w:rFonts w:ascii="Times New Roman" w:hAnsi="Times New Roman" w:cs="Times New Roman" w:eastAsia="Times New Roman" w:hint="default"/>
          <w:spacing w:val="1"/>
        </w:rPr>
        <w:t> </w:t>
      </w:r>
      <w:r>
        <w:rPr>
          <w:spacing w:val="-9"/>
        </w:rPr>
        <w:t>号）核准，本公司首次公开发行</w:t>
      </w:r>
      <w:r>
        <w:rPr>
          <w:spacing w:val="-50"/>
        </w:rPr>
        <w:t> </w:t>
      </w:r>
      <w:r>
        <w:rPr>
          <w:rFonts w:ascii="Times New Roman" w:hAnsi="Times New Roman" w:cs="Times New Roman" w:eastAsia="Times New Roman" w:hint="default"/>
        </w:rPr>
        <w:t>454,376,000</w:t>
      </w:r>
      <w:r>
        <w:rPr>
          <w:rFonts w:ascii="Times New Roman" w:hAnsi="Times New Roman" w:cs="Times New Roman" w:eastAsia="Times New Roman" w:hint="default"/>
          <w:spacing w:val="2"/>
        </w:rPr>
        <w:t> </w:t>
      </w:r>
      <w:r>
        <w:rPr/>
        <w:t>股</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股股票并于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日在上交所</w:t>
      </w:r>
      <w:r>
        <w:rPr>
          <w:w w:val="100"/>
        </w:rPr>
        <w:t> </w:t>
      </w:r>
      <w:r>
        <w:rPr/>
        <w:t>上市，发行价格为每股人民币 </w:t>
      </w:r>
      <w:r>
        <w:rPr>
          <w:rFonts w:ascii="Times New Roman" w:hAnsi="Times New Roman" w:cs="Times New Roman" w:eastAsia="Times New Roman" w:hint="default"/>
        </w:rPr>
        <w:t>4.61 </w:t>
      </w:r>
      <w:r>
        <w:rPr/>
        <w:t>元。原有内资股同时转换为 </w:t>
      </w:r>
      <w:r>
        <w:rPr>
          <w:rFonts w:ascii="Times New Roman" w:hAnsi="Times New Roman" w:cs="Times New Roman" w:eastAsia="Times New Roman" w:hint="default"/>
        </w:rPr>
        <w:t>A</w:t>
      </w:r>
      <w:r>
        <w:rPr>
          <w:rFonts w:ascii="Times New Roman" w:hAnsi="Times New Roman" w:cs="Times New Roman" w:eastAsia="Times New Roman" w:hint="default"/>
          <w:spacing w:val="-16"/>
        </w:rPr>
        <w:t> </w:t>
      </w:r>
      <w:r>
        <w:rPr/>
        <w:t>股，发行完成后本公司总股本为</w:t>
      </w:r>
      <w:r>
        <w:rPr>
          <w:w w:val="100"/>
        </w:rPr>
        <w:t> </w:t>
      </w:r>
      <w:r>
        <w:rPr>
          <w:rFonts w:ascii="Times New Roman" w:hAnsi="Times New Roman" w:cs="Times New Roman" w:eastAsia="Times New Roman" w:hint="default"/>
        </w:rPr>
        <w:t>6,491,100,000</w:t>
      </w:r>
      <w:r>
        <w:rPr>
          <w:rFonts w:ascii="Times New Roman" w:hAnsi="Times New Roman" w:cs="Times New Roman" w:eastAsia="Times New Roman" w:hint="default"/>
          <w:spacing w:val="-1"/>
        </w:rPr>
        <w:t> </w:t>
      </w:r>
      <w:r>
        <w:rPr/>
        <w:t>股，其中：</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股股本</w:t>
      </w:r>
      <w:r>
        <w:rPr>
          <w:spacing w:val="-54"/>
        </w:rPr>
        <w:t> </w:t>
      </w:r>
      <w:r>
        <w:rPr>
          <w:rFonts w:ascii="Times New Roman" w:hAnsi="Times New Roman" w:cs="Times New Roman" w:eastAsia="Times New Roman" w:hint="default"/>
        </w:rPr>
        <w:t>5,392,075,000</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t>股股本</w:t>
      </w:r>
      <w:r>
        <w:rPr>
          <w:spacing w:val="-54"/>
        </w:rPr>
        <w:t> </w:t>
      </w:r>
      <w:r>
        <w:rPr>
          <w:rFonts w:ascii="Times New Roman" w:hAnsi="Times New Roman" w:cs="Times New Roman" w:eastAsia="Times New Roman" w:hint="default"/>
        </w:rPr>
        <w:t>1,099,025,000</w:t>
      </w:r>
      <w:r>
        <w:rPr>
          <w:rFonts w:ascii="Times New Roman" w:hAnsi="Times New Roman" w:cs="Times New Roman" w:eastAsia="Times New Roman" w:hint="default"/>
          <w:spacing w:val="-4"/>
        </w:rPr>
        <w:t> </w:t>
      </w:r>
      <w:r>
        <w:rPr/>
        <w:t>股。</w:t>
      </w:r>
    </w:p>
    <w:p>
      <w:pPr>
        <w:pStyle w:val="BodyText"/>
        <w:spacing w:line="211" w:lineRule="exact"/>
        <w:ind w:left="358" w:right="0"/>
        <w:jc w:val="left"/>
        <w:rPr>
          <w:rFonts w:ascii="宋体" w:hAnsi="宋体" w:cs="宋体" w:eastAsia="宋体" w:hint="default"/>
        </w:rPr>
      </w:pPr>
      <w:r>
        <w:rPr>
          <w:rFonts w:ascii="宋体"/>
          <w:w w:val="100"/>
        </w:rPr>
        <w:t> </w:t>
      </w:r>
    </w:p>
    <w:p>
      <w:pPr>
        <w:pStyle w:val="Heading5"/>
        <w:spacing w:line="240" w:lineRule="auto" w:before="58"/>
        <w:ind w:left="35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78" w:right="349"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本次股份变动对最近一年和最近一期每股收益、每股净资产等财务指标影响如下：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534" w:type="dxa"/>
        <w:tblLayout w:type="fixed"/>
        <w:tblCellMar>
          <w:top w:w="0" w:type="dxa"/>
          <w:left w:w="0" w:type="dxa"/>
          <w:bottom w:w="0" w:type="dxa"/>
          <w:right w:w="0" w:type="dxa"/>
        </w:tblCellMar>
        <w:tblLook w:val="01E0"/>
      </w:tblPr>
      <w:tblGrid>
        <w:gridCol w:w="3003"/>
        <w:gridCol w:w="2751"/>
        <w:gridCol w:w="2957"/>
      </w:tblGrid>
      <w:tr>
        <w:trPr>
          <w:trHeight w:val="32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739" w:right="0"/>
              <w:jc w:val="left"/>
              <w:rPr>
                <w:rFonts w:ascii="宋体" w:hAnsi="宋体" w:cs="宋体" w:eastAsia="宋体" w:hint="default"/>
                <w:sz w:val="24"/>
                <w:szCs w:val="24"/>
              </w:rPr>
            </w:pPr>
            <w:r>
              <w:rPr>
                <w:rFonts w:ascii="宋体" w:hAnsi="宋体" w:cs="宋体" w:eastAsia="宋体" w:hint="default"/>
                <w:sz w:val="21"/>
                <w:szCs w:val="21"/>
              </w:rPr>
              <w:t>按新股本计算</w:t>
            </w:r>
            <w:r>
              <w:rPr>
                <w:rFonts w:ascii="宋体" w:hAnsi="宋体" w:cs="宋体" w:eastAsia="宋体" w:hint="default"/>
                <w:sz w:val="24"/>
                <w:szCs w:val="24"/>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42" w:right="0"/>
              <w:jc w:val="left"/>
              <w:rPr>
                <w:rFonts w:ascii="宋体" w:hAnsi="宋体" w:cs="宋体" w:eastAsia="宋体" w:hint="default"/>
                <w:sz w:val="24"/>
                <w:szCs w:val="24"/>
              </w:rPr>
            </w:pPr>
            <w:r>
              <w:rPr>
                <w:rFonts w:ascii="宋体" w:hAnsi="宋体" w:cs="宋体" w:eastAsia="宋体" w:hint="default"/>
                <w:sz w:val="21"/>
                <w:szCs w:val="21"/>
              </w:rPr>
              <w:t>按原股本计算</w:t>
            </w:r>
            <w:r>
              <w:rPr>
                <w:rFonts w:ascii="宋体" w:hAnsi="宋体" w:cs="宋体" w:eastAsia="宋体" w:hint="default"/>
                <w:sz w:val="24"/>
                <w:szCs w:val="24"/>
              </w:rPr>
              <w:t> </w:t>
            </w:r>
          </w:p>
        </w:tc>
      </w:tr>
      <w:tr>
        <w:trPr>
          <w:trHeight w:val="310"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股本（股）</w:t>
            </w:r>
            <w:r>
              <w:rPr>
                <w:rFonts w:ascii="宋体" w:hAnsi="宋体" w:cs="宋体" w:eastAsia="宋体" w:hint="default"/>
                <w:sz w:val="21"/>
                <w:szCs w:val="21"/>
              </w:rPr>
              <w:t> </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6,491,100,000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6,036,724,000</w:t>
            </w:r>
          </w:p>
        </w:tc>
      </w:tr>
      <w:tr>
        <w:trPr>
          <w:trHeight w:val="324"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0.59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0.63</w:t>
            </w:r>
          </w:p>
        </w:tc>
      </w:tr>
      <w:tr>
        <w:trPr>
          <w:trHeight w:val="324"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0.59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0.63</w:t>
            </w:r>
          </w:p>
        </w:tc>
      </w:tr>
      <w:tr>
        <w:trPr>
          <w:trHeight w:val="326"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4.68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4.73</w:t>
            </w:r>
          </w:p>
        </w:tc>
      </w:tr>
    </w:tbl>
    <w:p>
      <w:pPr>
        <w:pStyle w:val="BodyText"/>
        <w:spacing w:line="240" w:lineRule="auto" w:before="42"/>
        <w:ind w:left="358" w:right="0"/>
        <w:jc w:val="left"/>
        <w:rPr>
          <w:rFonts w:ascii="宋体" w:hAnsi="宋体" w:cs="宋体" w:eastAsia="宋体" w:hint="default"/>
        </w:rPr>
      </w:pPr>
      <w:r>
        <w:rPr/>
        <w:t>注：</w:t>
      </w:r>
      <w:r>
        <w:rPr>
          <w:rFonts w:ascii="宋体" w:hAnsi="宋体" w:cs="宋体" w:eastAsia="宋体" w:hint="default"/>
        </w:rPr>
        <w:t> </w:t>
      </w:r>
    </w:p>
    <w:p>
      <w:pPr>
        <w:pStyle w:val="BodyText"/>
        <w:spacing w:line="240" w:lineRule="auto" w:before="85"/>
        <w:ind w:left="778" w:right="0"/>
        <w:jc w:val="left"/>
        <w:rPr>
          <w:rFonts w:ascii="宋体" w:hAnsi="宋体" w:cs="宋体" w:eastAsia="宋体" w:hint="default"/>
        </w:rPr>
      </w:pPr>
      <w:r>
        <w:rPr>
          <w:rFonts w:ascii="宋体" w:hAnsi="宋体" w:cs="宋体" w:eastAsia="宋体" w:hint="default"/>
          <w:spacing w:val="-3"/>
        </w:rPr>
        <w:t>1</w:t>
      </w:r>
      <w:r>
        <w:rPr>
          <w:spacing w:val="-3"/>
        </w:rPr>
        <w:t>、按新股本计算的基本每股收益及稀释每股收益</w:t>
      </w:r>
      <w:r>
        <w:rPr>
          <w:rFonts w:ascii="宋体" w:hAnsi="宋体" w:cs="宋体" w:eastAsia="宋体" w:hint="default"/>
          <w:spacing w:val="-3"/>
        </w:rPr>
        <w:t>=</w:t>
      </w:r>
      <w:r>
        <w:rPr>
          <w:spacing w:val="-3"/>
        </w:rPr>
        <w:t>归属于公司普通股股东净利润</w:t>
      </w:r>
      <w:r>
        <w:rPr>
          <w:rFonts w:ascii="宋体" w:hAnsi="宋体" w:cs="宋体" w:eastAsia="宋体" w:hint="default"/>
          <w:spacing w:val="-3"/>
        </w:rPr>
        <w:t>/</w:t>
      </w:r>
      <w:r>
        <w:rPr>
          <w:spacing w:val="-3"/>
        </w:rPr>
        <w:t>加权平均股本</w:t>
      </w:r>
      <w:r>
        <w:rPr>
          <w:rFonts w:ascii="宋体" w:hAnsi="宋体" w:cs="宋体" w:eastAsia="宋体" w:hint="default"/>
        </w:rPr>
        <w:t> </w:t>
      </w:r>
    </w:p>
    <w:p>
      <w:pPr>
        <w:pStyle w:val="BodyText"/>
        <w:spacing w:line="314" w:lineRule="auto" w:before="85"/>
        <w:ind w:left="358" w:right="0" w:firstLine="420"/>
        <w:jc w:val="left"/>
        <w:rPr>
          <w:rFonts w:ascii="宋体" w:hAnsi="宋体" w:cs="宋体" w:eastAsia="宋体" w:hint="default"/>
        </w:rPr>
      </w:pPr>
      <w:r>
        <w:rPr>
          <w:rFonts w:ascii="宋体" w:hAnsi="宋体" w:cs="宋体" w:eastAsia="宋体" w:hint="default"/>
          <w:spacing w:val="-2"/>
        </w:rPr>
        <w:t>2</w:t>
      </w:r>
      <w:r>
        <w:rPr>
          <w:spacing w:val="-2"/>
        </w:rPr>
        <w:t>、按新股本计算的归属于公司普通股股东的每股净资产</w:t>
      </w:r>
      <w:r>
        <w:rPr>
          <w:rFonts w:ascii="宋体" w:hAnsi="宋体" w:cs="宋体" w:eastAsia="宋体" w:hint="default"/>
          <w:spacing w:val="-2"/>
        </w:rPr>
        <w:t>=</w:t>
      </w:r>
      <w:r>
        <w:rPr>
          <w:spacing w:val="-2"/>
        </w:rPr>
        <w:t>归属于公司普通股股东权益期末数</w:t>
      </w:r>
      <w:r>
        <w:rPr>
          <w:rFonts w:ascii="宋体" w:hAnsi="宋体" w:cs="宋体" w:eastAsia="宋体" w:hint="default"/>
          <w:spacing w:val="-2"/>
        </w:rPr>
        <w:t>/</w:t>
      </w:r>
      <w:r>
        <w:rPr>
          <w:rFonts w:ascii="宋体" w:hAnsi="宋体" w:cs="宋体" w:eastAsia="宋体" w:hint="default"/>
          <w:w w:val="100"/>
        </w:rPr>
        <w:t> </w:t>
      </w:r>
      <w:r>
        <w:rPr/>
        <w:t>期末股本数</w:t>
      </w:r>
      <w:r>
        <w:rPr>
          <w:rFonts w:ascii="宋体" w:hAnsi="宋体" w:cs="宋体" w:eastAsia="宋体" w:hint="default"/>
        </w:rPr>
        <w:t> </w:t>
      </w:r>
    </w:p>
    <w:p>
      <w:pPr>
        <w:pStyle w:val="BodyText"/>
        <w:spacing w:line="314" w:lineRule="auto" w:before="20"/>
        <w:ind w:left="358" w:right="349" w:firstLine="420"/>
        <w:jc w:val="left"/>
        <w:rPr>
          <w:rFonts w:ascii="宋体" w:hAnsi="宋体" w:cs="宋体" w:eastAsia="宋体" w:hint="default"/>
        </w:rPr>
      </w:pPr>
      <w:r>
        <w:rPr>
          <w:rFonts w:ascii="宋体" w:hAnsi="宋体" w:cs="宋体" w:eastAsia="宋体" w:hint="default"/>
          <w:spacing w:val="-3"/>
        </w:rPr>
        <w:t>3</w:t>
      </w:r>
      <w:r>
        <w:rPr>
          <w:spacing w:val="-3"/>
        </w:rPr>
        <w:t>、按原股本计算的归属于公司普通股股东的每股净资产</w:t>
      </w:r>
      <w:r>
        <w:rPr>
          <w:rFonts w:ascii="宋体" w:hAnsi="宋体" w:cs="宋体" w:eastAsia="宋体" w:hint="default"/>
          <w:spacing w:val="-3"/>
        </w:rPr>
        <w:t>=</w:t>
      </w:r>
      <w:r>
        <w:rPr>
          <w:spacing w:val="-3"/>
        </w:rPr>
        <w:t>（归属于公司普通股股东权益期末数</w:t>
      </w:r>
      <w:r>
        <w:rPr>
          <w:rFonts w:ascii="宋体" w:hAnsi="宋体" w:cs="宋体" w:eastAsia="宋体" w:hint="default"/>
          <w:spacing w:val="-3"/>
        </w:rPr>
        <w:t>-</w:t>
      </w:r>
      <w:r>
        <w:rPr>
          <w:rFonts w:ascii="宋体" w:hAnsi="宋体" w:cs="宋体" w:eastAsia="宋体" w:hint="default"/>
          <w:w w:val="100"/>
        </w:rPr>
        <w:t> </w:t>
      </w:r>
      <w:r>
        <w:rPr/>
        <w:t>本期新增股本数</w:t>
      </w:r>
      <w:r>
        <w:rPr>
          <w:rFonts w:ascii="宋体" w:hAnsi="宋体" w:cs="宋体" w:eastAsia="宋体" w:hint="default"/>
        </w:rPr>
        <w:t>-</w:t>
      </w:r>
      <w:r>
        <w:rPr/>
        <w:t>本期新增资本公积数</w:t>
      </w:r>
      <w:r>
        <w:rPr>
          <w:rFonts w:ascii="宋体" w:hAnsi="宋体" w:cs="宋体" w:eastAsia="宋体" w:hint="default"/>
        </w:rPr>
        <w:t>+</w:t>
      </w:r>
      <w:r>
        <w:rPr/>
        <w:t>新增股本派发股利）</w:t>
      </w:r>
      <w:r>
        <w:rPr>
          <w:rFonts w:ascii="宋体" w:hAnsi="宋体" w:cs="宋体" w:eastAsia="宋体" w:hint="default"/>
        </w:rPr>
        <w:t>/</w:t>
      </w:r>
      <w:r>
        <w:rPr/>
        <w:t>期初股本数</w:t>
      </w:r>
      <w:r>
        <w:rPr>
          <w:rFonts w:ascii="宋体" w:hAnsi="宋体" w:cs="宋体" w:eastAsia="宋体" w:hint="default"/>
        </w:rPr>
        <w:t> </w:t>
      </w:r>
    </w:p>
    <w:p>
      <w:pPr>
        <w:pStyle w:val="BodyText"/>
        <w:spacing w:line="218" w:lineRule="exact"/>
        <w:ind w:left="358" w:right="0"/>
        <w:jc w:val="left"/>
        <w:rPr>
          <w:rFonts w:ascii="宋体" w:hAnsi="宋体" w:cs="宋体" w:eastAsia="宋体" w:hint="default"/>
        </w:rPr>
      </w:pPr>
      <w:r>
        <w:rPr>
          <w:rFonts w:ascii="宋体"/>
          <w:w w:val="100"/>
        </w:rPr>
        <w:t> </w:t>
      </w:r>
    </w:p>
    <w:p>
      <w:pPr>
        <w:pStyle w:val="Heading5"/>
        <w:spacing w:line="240" w:lineRule="auto"/>
        <w:ind w:left="35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5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2"/>
          <w:pgSz w:w="11910" w:h="16840"/>
          <w:pgMar w:footer="974" w:header="0" w:top="1120" w:bottom="1160" w:left="1060" w:right="1060"/>
          <w:pgNumType w:start="46"/>
        </w:sectPr>
      </w:pPr>
    </w:p>
    <w:p>
      <w:pPr>
        <w:pStyle w:val="Heading5"/>
        <w:tabs>
          <w:tab w:pos="927" w:val="left" w:leader="none"/>
        </w:tabs>
        <w:spacing w:line="240" w:lineRule="auto" w:before="36"/>
        <w:ind w:left="358"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3"/>
        <w:spacing w:line="240" w:lineRule="auto" w:before="23"/>
        <w:ind w:left="358" w:right="-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358"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60" w:right="1060"/>
          <w:cols w:num="2" w:equalWidth="0">
            <w:col w:w="2618" w:space="5719"/>
            <w:col w:w="1453"/>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25"/>
        <w:gridCol w:w="901"/>
        <w:gridCol w:w="1126"/>
        <w:gridCol w:w="1563"/>
        <w:gridCol w:w="1579"/>
        <w:gridCol w:w="1311"/>
        <w:gridCol w:w="1142"/>
      </w:tblGrid>
      <w:tr>
        <w:trPr>
          <w:trHeight w:val="6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3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29" w:right="125"/>
              <w:jc w:val="left"/>
              <w:rPr>
                <w:rFonts w:ascii="宋体" w:hAnsi="宋体" w:cs="宋体" w:eastAsia="宋体" w:hint="default"/>
                <w:sz w:val="21"/>
                <w:szCs w:val="21"/>
              </w:rPr>
            </w:pPr>
            <w:r>
              <w:rPr>
                <w:rFonts w:ascii="宋体" w:hAnsi="宋体" w:cs="宋体" w:eastAsia="宋体" w:hint="default"/>
                <w:sz w:val="21"/>
                <w:szCs w:val="21"/>
              </w:rPr>
              <w:t>年初限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34" w:right="137"/>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564" w:right="144" w:hanging="420"/>
              <w:jc w:val="left"/>
              <w:rPr>
                <w:rFonts w:ascii="宋体" w:hAnsi="宋体" w:cs="宋体" w:eastAsia="宋体" w:hint="default"/>
                <w:sz w:val="21"/>
                <w:szCs w:val="21"/>
              </w:rPr>
            </w:pPr>
            <w:r>
              <w:rPr>
                <w:rFonts w:ascii="宋体" w:hAnsi="宋体" w:cs="宋体" w:eastAsia="宋体" w:hint="default"/>
                <w:sz w:val="21"/>
                <w:szCs w:val="21"/>
              </w:rPr>
              <w:t>本年增加限售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53"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30"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355" w:right="141"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651"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
              <w:ind w:left="103" w:right="89"/>
              <w:jc w:val="left"/>
              <w:rPr>
                <w:rFonts w:ascii="宋体" w:hAnsi="宋体" w:cs="宋体" w:eastAsia="宋体" w:hint="default"/>
                <w:sz w:val="21"/>
                <w:szCs w:val="21"/>
              </w:rPr>
            </w:pPr>
            <w:r>
              <w:rPr>
                <w:rFonts w:ascii="宋体" w:hAnsi="宋体" w:cs="宋体" w:eastAsia="宋体" w:hint="default"/>
                <w:spacing w:val="10"/>
                <w:sz w:val="21"/>
                <w:szCs w:val="21"/>
              </w:rPr>
              <w:t>青岛港</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集团</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3,522,179,000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3,522,179,000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2022.1.21</w:t>
            </w:r>
          </w:p>
        </w:tc>
      </w:tr>
      <w:tr>
        <w:trPr>
          <w:trHeight w:val="6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上海中海码头发展</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有限公司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1,015,520,000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1,015,520,000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2020.1.21</w:t>
            </w:r>
          </w:p>
        </w:tc>
      </w:tr>
      <w:tr>
        <w:trPr>
          <w:trHeight w:val="6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码来仓储（深圳）</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有限公司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112,000,000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2020.1.21</w:t>
            </w:r>
          </w:p>
        </w:tc>
      </w:tr>
      <w:tr>
        <w:trPr>
          <w:trHeight w:val="6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中远海运（青岛）</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有限公司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96,000,000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2020.1.21</w:t>
            </w:r>
          </w:p>
        </w:tc>
      </w:tr>
      <w:tr>
        <w:trPr>
          <w:trHeight w:val="6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中海码头发展有限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96,000,000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2020.1.21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0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1925"/>
        <w:gridCol w:w="901"/>
        <w:gridCol w:w="1126"/>
        <w:gridCol w:w="1563"/>
        <w:gridCol w:w="1579"/>
        <w:gridCol w:w="1311"/>
        <w:gridCol w:w="1142"/>
      </w:tblGrid>
      <w:tr>
        <w:trPr>
          <w:trHeight w:val="648"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100"/>
              <w:jc w:val="left"/>
              <w:rPr>
                <w:rFonts w:ascii="宋体" w:hAnsi="宋体" w:cs="宋体" w:eastAsia="宋体" w:hint="default"/>
                <w:sz w:val="21"/>
                <w:szCs w:val="21"/>
              </w:rPr>
            </w:pPr>
            <w:r>
              <w:rPr>
                <w:rFonts w:ascii="宋体" w:hAnsi="宋体" w:cs="宋体" w:eastAsia="宋体" w:hint="default"/>
                <w:sz w:val="21"/>
                <w:szCs w:val="21"/>
              </w:rPr>
              <w:t>光大控股（青岛）</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融资租赁有限公司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2020.1.21</w:t>
            </w:r>
          </w:p>
        </w:tc>
      </w:tr>
      <w:tr>
        <w:trPr>
          <w:trHeight w:val="650"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0"/>
              <w:jc w:val="left"/>
              <w:rPr>
                <w:rFonts w:ascii="宋体" w:hAnsi="宋体" w:cs="宋体" w:eastAsia="宋体" w:hint="default"/>
                <w:sz w:val="21"/>
                <w:szCs w:val="21"/>
              </w:rPr>
            </w:pPr>
            <w:r>
              <w:rPr>
                <w:rFonts w:ascii="宋体" w:hAnsi="宋体" w:cs="宋体" w:eastAsia="宋体" w:hint="default"/>
                <w:sz w:val="21"/>
                <w:szCs w:val="21"/>
              </w:rPr>
              <w:t>青岛国际投资有限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0"/>
              <w:jc w:val="left"/>
              <w:rPr>
                <w:rFonts w:ascii="宋体" w:hAnsi="宋体" w:cs="宋体" w:eastAsia="宋体" w:hint="default"/>
                <w:sz w:val="21"/>
                <w:szCs w:val="21"/>
              </w:rPr>
            </w:pPr>
            <w:r>
              <w:rPr>
                <w:rFonts w:ascii="宋体" w:hAnsi="宋体" w:cs="宋体" w:eastAsia="宋体" w:hint="default"/>
                <w:spacing w:val="6"/>
                <w:sz w:val="21"/>
                <w:szCs w:val="21"/>
              </w:rPr>
              <w:t>首发上市前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股东</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2020.1.21</w:t>
            </w:r>
          </w:p>
        </w:tc>
      </w:tr>
      <w:tr>
        <w:trPr>
          <w:trHeight w:val="331"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0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4,937,699,000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4,937,699,000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4" w:top="1120" w:bottom="1160" w:left="1060" w:right="1060"/>
        </w:sectPr>
      </w:pPr>
    </w:p>
    <w:p>
      <w:pPr>
        <w:pStyle w:val="BodyText"/>
        <w:spacing w:line="241" w:lineRule="exact"/>
        <w:ind w:left="358" w:right="0"/>
        <w:jc w:val="left"/>
        <w:rPr>
          <w:rFonts w:ascii="宋体" w:hAnsi="宋体" w:cs="宋体" w:eastAsia="宋体" w:hint="default"/>
        </w:rPr>
      </w:pPr>
      <w:r>
        <w:rPr>
          <w:rFonts w:ascii="宋体"/>
          <w:w w:val="100"/>
        </w:rPr>
        <w:t> </w:t>
      </w:r>
    </w:p>
    <w:p>
      <w:pPr>
        <w:pStyle w:val="Heading5"/>
        <w:spacing w:line="290" w:lineRule="auto"/>
        <w:ind w:left="358" w:right="-2"/>
        <w:jc w:val="left"/>
        <w:rPr>
          <w:b w:val="0"/>
          <w:bCs w:val="0"/>
        </w:rPr>
      </w:pPr>
      <w:r>
        <w:rPr/>
        <w:t>二、</w:t>
      </w:r>
      <w:r>
        <w:rPr>
          <w:spacing w:val="-78"/>
        </w:rPr>
        <w:t> </w:t>
      </w:r>
      <w:r>
        <w:rPr>
          <w:rFonts w:ascii="宋体" w:hAnsi="宋体" w:cs="宋体" w:eastAsia="宋体" w:hint="default"/>
          <w:spacing w:val="-78"/>
        </w:rPr>
      </w:r>
      <w:r>
        <w:rPr/>
        <w:t>证券发行与上市情况</w:t>
      </w:r>
      <w:r>
        <w:rPr>
          <w:spacing w:val="-102"/>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left="35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358" w:right="0"/>
        <w:jc w:val="left"/>
        <w:rPr>
          <w:rFonts w:ascii="宋体" w:hAnsi="宋体" w:cs="宋体" w:eastAsia="宋体" w:hint="default"/>
        </w:rPr>
      </w:pPr>
      <w:r>
        <w:rPr/>
        <w:t>单位：股</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60" w:right="1060"/>
          <w:cols w:num="2" w:equalWidth="0">
            <w:col w:w="3314" w:space="3445"/>
            <w:col w:w="3031"/>
          </w:cols>
        </w:sectPr>
      </w:pPr>
    </w:p>
    <w:p>
      <w:pPr>
        <w:spacing w:line="240" w:lineRule="auto" w:before="4"/>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1023"/>
        <w:gridCol w:w="1260"/>
        <w:gridCol w:w="1095"/>
        <w:gridCol w:w="1750"/>
        <w:gridCol w:w="1196"/>
        <w:gridCol w:w="1798"/>
        <w:gridCol w:w="1267"/>
      </w:tblGrid>
      <w:tr>
        <w:trPr>
          <w:trHeight w:val="129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4"/>
              <w:ind w:left="190" w:right="187"/>
              <w:jc w:val="both"/>
              <w:rPr>
                <w:rFonts w:ascii="宋体" w:hAnsi="宋体" w:cs="宋体" w:eastAsia="宋体" w:hint="default"/>
                <w:sz w:val="21"/>
                <w:szCs w:val="21"/>
              </w:rPr>
            </w:pPr>
            <w:r>
              <w:rPr>
                <w:rFonts w:ascii="宋体" w:hAnsi="宋体" w:cs="宋体" w:eastAsia="宋体" w:hint="default"/>
                <w:sz w:val="21"/>
                <w:szCs w:val="21"/>
              </w:rPr>
              <w:t>股票及</w:t>
            </w:r>
            <w:r>
              <w:rPr>
                <w:rFonts w:ascii="宋体" w:hAnsi="宋体" w:cs="宋体" w:eastAsia="宋体" w:hint="default"/>
                <w:spacing w:val="-102"/>
                <w:sz w:val="21"/>
                <w:szCs w:val="21"/>
              </w:rPr>
              <w:t> </w:t>
            </w:r>
            <w:r>
              <w:rPr>
                <w:rFonts w:ascii="宋体" w:hAnsi="宋体" w:cs="宋体" w:eastAsia="宋体" w:hint="default"/>
                <w:sz w:val="21"/>
                <w:szCs w:val="21"/>
              </w:rPr>
              <w:t>其衍生</w:t>
            </w:r>
            <w:r>
              <w:rPr>
                <w:rFonts w:ascii="宋体" w:hAnsi="宋体" w:cs="宋体" w:eastAsia="宋体" w:hint="default"/>
                <w:spacing w:val="-102"/>
                <w:sz w:val="21"/>
                <w:szCs w:val="21"/>
              </w:rPr>
              <w:t> </w:t>
            </w:r>
            <w:r>
              <w:rPr>
                <w:rFonts w:ascii="宋体" w:hAnsi="宋体" w:cs="宋体" w:eastAsia="宋体" w:hint="default"/>
                <w:sz w:val="21"/>
                <w:szCs w:val="21"/>
              </w:rPr>
              <w:t>证券的</w:t>
            </w:r>
            <w:r>
              <w:rPr>
                <w:rFonts w:ascii="宋体" w:hAnsi="宋体" w:cs="宋体" w:eastAsia="宋体" w:hint="default"/>
                <w:spacing w:val="-102"/>
                <w:sz w:val="21"/>
                <w:szCs w:val="21"/>
              </w:rPr>
              <w:t> </w:t>
            </w:r>
            <w:r>
              <w:rPr>
                <w:rFonts w:ascii="宋体" w:hAnsi="宋体" w:cs="宋体" w:eastAsia="宋体" w:hint="default"/>
                <w:sz w:val="21"/>
                <w:szCs w:val="21"/>
              </w:rPr>
              <w:t>种类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1"/>
              <w:jc w:val="right"/>
              <w:rPr>
                <w:rFonts w:ascii="宋体" w:hAnsi="宋体" w:cs="宋体" w:eastAsia="宋体" w:hint="default"/>
                <w:sz w:val="21"/>
                <w:szCs w:val="21"/>
              </w:rPr>
            </w:pPr>
            <w:r>
              <w:rPr>
                <w:rFonts w:ascii="宋体" w:hAnsi="宋体" w:cs="宋体" w:eastAsia="宋体" w:hint="default"/>
                <w:spacing w:val="-1"/>
                <w:sz w:val="21"/>
                <w:szCs w:val="21"/>
              </w:rPr>
              <w:t>发行日期</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 w:right="0"/>
              <w:jc w:val="center"/>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8" w:lineRule="auto" w:before="47"/>
              <w:ind w:left="225" w:right="224"/>
              <w:jc w:val="center"/>
              <w:rPr>
                <w:rFonts w:ascii="宋体" w:hAnsi="宋体" w:cs="宋体" w:eastAsia="宋体" w:hint="default"/>
                <w:sz w:val="21"/>
                <w:szCs w:val="21"/>
              </w:rPr>
            </w:pPr>
            <w:r>
              <w:rPr>
                <w:rFonts w:ascii="宋体" w:hAnsi="宋体" w:cs="宋体" w:eastAsia="宋体" w:hint="default"/>
                <w:sz w:val="21"/>
                <w:szCs w:val="21"/>
              </w:rPr>
              <w:t>（或利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8"/>
              <w:jc w:val="right"/>
              <w:rPr>
                <w:rFonts w:ascii="宋体" w:hAnsi="宋体" w:cs="宋体" w:eastAsia="宋体" w:hint="default"/>
                <w:sz w:val="21"/>
                <w:szCs w:val="21"/>
              </w:rPr>
            </w:pPr>
            <w:r>
              <w:rPr>
                <w:rFonts w:ascii="宋体" w:hAnsi="宋体" w:cs="宋体" w:eastAsia="宋体" w:hint="default"/>
                <w:spacing w:val="-1"/>
                <w:sz w:val="21"/>
                <w:szCs w:val="21"/>
              </w:rPr>
              <w:t>上市日期</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78" w:lineRule="auto"/>
              <w:ind w:left="787" w:right="154" w:hanging="629"/>
              <w:jc w:val="left"/>
              <w:rPr>
                <w:rFonts w:ascii="宋体" w:hAnsi="宋体" w:cs="宋体" w:eastAsia="宋体" w:hint="default"/>
                <w:sz w:val="21"/>
                <w:szCs w:val="21"/>
              </w:rPr>
            </w:pPr>
            <w:r>
              <w:rPr>
                <w:rFonts w:ascii="宋体" w:hAnsi="宋体" w:cs="宋体" w:eastAsia="宋体" w:hint="default"/>
                <w:sz w:val="21"/>
                <w:szCs w:val="21"/>
              </w:rPr>
              <w:t>获准上市交易数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78" w:lineRule="auto"/>
              <w:ind w:left="523" w:right="98" w:hanging="420"/>
              <w:jc w:val="left"/>
              <w:rPr>
                <w:rFonts w:ascii="宋体" w:hAnsi="宋体" w:cs="宋体" w:eastAsia="宋体" w:hint="default"/>
                <w:sz w:val="21"/>
                <w:szCs w:val="21"/>
              </w:rPr>
            </w:pPr>
            <w:r>
              <w:rPr>
                <w:rFonts w:ascii="宋体" w:hAnsi="宋体" w:cs="宋体" w:eastAsia="宋体" w:hint="default"/>
                <w:sz w:val="21"/>
                <w:szCs w:val="21"/>
              </w:rPr>
              <w:t>交易终止日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329" w:hRule="exact"/>
        </w:trPr>
        <w:tc>
          <w:tcPr>
            <w:tcW w:w="93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33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7"/>
              <w:jc w:val="right"/>
              <w:rPr>
                <w:rFonts w:ascii="Times New Roman" w:hAnsi="Times New Roman" w:cs="Times New Roman" w:eastAsia="Times New Roman" w:hint="default"/>
                <w:sz w:val="21"/>
                <w:szCs w:val="21"/>
              </w:rPr>
            </w:pPr>
            <w:r>
              <w:rPr>
                <w:rFonts w:ascii="Times New Roman"/>
                <w:spacing w:val="-1"/>
                <w:sz w:val="21"/>
              </w:rPr>
              <w:t>2014-06-06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港元</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776,380,000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2014-06-06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776,380,000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9"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7"/>
              <w:jc w:val="right"/>
              <w:rPr>
                <w:rFonts w:ascii="Times New Roman" w:hAnsi="Times New Roman" w:cs="Times New Roman" w:eastAsia="Times New Roman" w:hint="default"/>
                <w:sz w:val="21"/>
                <w:szCs w:val="21"/>
              </w:rPr>
            </w:pPr>
            <w:r>
              <w:rPr>
                <w:rFonts w:ascii="Times New Roman"/>
                <w:spacing w:val="-1"/>
                <w:sz w:val="21"/>
              </w:rPr>
              <w:t>2014-07-02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港元</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79,645,000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2014-07-02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79,645,000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3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7"/>
              <w:jc w:val="right"/>
              <w:rPr>
                <w:rFonts w:ascii="Times New Roman" w:hAnsi="Times New Roman" w:cs="Times New Roman" w:eastAsia="Times New Roman" w:hint="default"/>
                <w:sz w:val="21"/>
                <w:szCs w:val="21"/>
              </w:rPr>
            </w:pPr>
            <w:r>
              <w:rPr>
                <w:rFonts w:ascii="Times New Roman"/>
                <w:spacing w:val="-1"/>
                <w:sz w:val="21"/>
              </w:rPr>
              <w:t>2017-05-18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4.32</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港元</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2017-05-18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243,000,000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9"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内资股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7"/>
              <w:jc w:val="right"/>
              <w:rPr>
                <w:rFonts w:ascii="Times New Roman" w:hAnsi="Times New Roman" w:cs="Times New Roman" w:eastAsia="Times New Roman" w:hint="default"/>
                <w:sz w:val="21"/>
                <w:szCs w:val="21"/>
              </w:rPr>
            </w:pPr>
            <w:r>
              <w:rPr>
                <w:rFonts w:ascii="Times New Roman"/>
                <w:spacing w:val="-1"/>
                <w:sz w:val="21"/>
              </w:rPr>
              <w:t>2017-05-22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5.71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1,015,520,000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2019-01-21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1,015,520,000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3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67"/>
              <w:jc w:val="right"/>
              <w:rPr>
                <w:rFonts w:ascii="Times New Roman" w:hAnsi="Times New Roman" w:cs="Times New Roman" w:eastAsia="Times New Roman" w:hint="default"/>
                <w:sz w:val="21"/>
                <w:szCs w:val="21"/>
              </w:rPr>
            </w:pPr>
            <w:r>
              <w:rPr>
                <w:rFonts w:ascii="Times New Roman"/>
                <w:spacing w:val="-1"/>
                <w:sz w:val="21"/>
              </w:rPr>
              <w:t>2019-01-21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4.61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454,376,000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2019-01-21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454,376,000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9" w:hRule="exact"/>
        </w:trPr>
        <w:tc>
          <w:tcPr>
            <w:tcW w:w="93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3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2016-03-18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2.90%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1,500,000,000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2016-04-19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1,500,000,000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2021-03-18</w:t>
            </w:r>
          </w:p>
        </w:tc>
      </w:tr>
      <w:tr>
        <w:trPr>
          <w:trHeight w:val="33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2016-06-08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z w:val="21"/>
              </w:rPr>
              <w:t>3.09%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2016-06-30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2021-06-08</w:t>
            </w:r>
          </w:p>
        </w:tc>
      </w:tr>
    </w:tbl>
    <w:p>
      <w:pPr>
        <w:pStyle w:val="BodyText"/>
        <w:spacing w:line="239" w:lineRule="exact"/>
        <w:ind w:left="358" w:right="0"/>
        <w:jc w:val="left"/>
        <w:rPr>
          <w:rFonts w:ascii="宋体" w:hAnsi="宋体" w:cs="宋体" w:eastAsia="宋体" w:hint="default"/>
        </w:rPr>
      </w:pPr>
      <w:r>
        <w:rPr>
          <w:rFonts w:ascii="宋体"/>
          <w:w w:val="100"/>
        </w:rPr>
        <w:t> </w:t>
      </w:r>
    </w:p>
    <w:p>
      <w:pPr>
        <w:pStyle w:val="BodyText"/>
        <w:spacing w:line="272" w:lineRule="exact"/>
        <w:ind w:left="358"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BodyText"/>
        <w:spacing w:line="274" w:lineRule="exact"/>
        <w:ind w:left="35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358" w:right="0" w:firstLine="420"/>
        <w:jc w:val="left"/>
        <w:rPr>
          <w:rFonts w:ascii="宋体" w:hAnsi="宋体" w:cs="宋体" w:eastAsia="宋体" w:hint="default"/>
        </w:rPr>
      </w:pPr>
      <w:r>
        <w:rPr/>
        <w:t>公司发行的公司债已分别于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3"/>
        </w:rPr>
        <w:t> </w:t>
      </w:r>
      <w:r>
        <w:rPr/>
        <w:t>月实施了票面利率上调及投资者回售，详</w:t>
      </w:r>
      <w:r>
        <w:rPr>
          <w:w w:val="100"/>
        </w:rPr>
        <w:t> </w:t>
      </w:r>
      <w:r>
        <w:rPr/>
        <w:t>见本报告“第十节</w:t>
      </w:r>
      <w:r>
        <w:rPr>
          <w:spacing w:val="-6"/>
        </w:rPr>
        <w:t> </w:t>
      </w:r>
      <w:r>
        <w:rPr>
          <w:rFonts w:ascii="宋体" w:hAnsi="宋体" w:cs="宋体" w:eastAsia="宋体" w:hint="default"/>
          <w:spacing w:val="-6"/>
        </w:rPr>
      </w:r>
      <w:r>
        <w:rPr/>
        <w:t>公司债券相关情况”的相关内容。</w:t>
      </w:r>
      <w:r>
        <w:rPr>
          <w:rFonts w:ascii="宋体" w:hAnsi="宋体" w:cs="宋体" w:eastAsia="宋体" w:hint="default"/>
        </w:rPr>
        <w:t> </w:t>
      </w:r>
    </w:p>
    <w:p>
      <w:pPr>
        <w:pStyle w:val="BodyText"/>
        <w:spacing w:line="218" w:lineRule="exact"/>
        <w:ind w:left="778" w:right="0"/>
        <w:jc w:val="left"/>
        <w:rPr>
          <w:rFonts w:ascii="宋体" w:hAnsi="宋体" w:cs="宋体" w:eastAsia="宋体" w:hint="default"/>
        </w:rPr>
      </w:pPr>
      <w:r>
        <w:rPr>
          <w:rFonts w:ascii="宋体"/>
          <w:w w:val="100"/>
        </w:rPr>
        <w:t> </w:t>
      </w:r>
    </w:p>
    <w:p>
      <w:pPr>
        <w:pStyle w:val="Heading5"/>
        <w:spacing w:line="240" w:lineRule="auto"/>
        <w:ind w:left="35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304" w:lineRule="auto" w:before="58"/>
        <w:ind w:left="77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公司普通股股份总数及股东结构变动情况详见本报告“第六节普通股股份变动及股东情况——</w:t>
      </w:r>
      <w:r>
        <w:rPr/>
      </w:r>
    </w:p>
    <w:p>
      <w:pPr>
        <w:pStyle w:val="BodyText"/>
        <w:spacing w:line="314" w:lineRule="auto" w:before="28"/>
        <w:ind w:left="778" w:right="0" w:hanging="420"/>
        <w:jc w:val="left"/>
      </w:pPr>
      <w:r>
        <w:rPr/>
        <w:t>一、普通股股份变动情况——</w:t>
      </w:r>
      <w:r>
        <w:rPr>
          <w:rFonts w:ascii="宋体" w:hAnsi="宋体" w:cs="宋体" w:eastAsia="宋体" w:hint="default"/>
        </w:rPr>
        <w:t>(</w:t>
      </w:r>
      <w:r>
        <w:rPr/>
        <w:t>一</w:t>
      </w:r>
      <w:r>
        <w:rPr>
          <w:rFonts w:ascii="宋体" w:hAnsi="宋体" w:cs="宋体" w:eastAsia="宋体" w:hint="default"/>
        </w:rPr>
        <w:t>)</w:t>
      </w:r>
      <w:r>
        <w:rPr/>
        <w:t>普通股股份变动情况表”部分。</w:t>
      </w:r>
      <w:r>
        <w:rPr>
          <w:rFonts w:ascii="宋体" w:hAnsi="宋体" w:cs="宋体" w:eastAsia="宋体" w:hint="default"/>
          <w:w w:val="100"/>
        </w:rPr>
        <w:t> </w:t>
      </w:r>
      <w:r>
        <w:rPr>
          <w:spacing w:val="-2"/>
        </w:rPr>
        <w:t>公司资产和负债结构的变动情况详见本报告“第四节经营情况讨论与分析——二、报告期内主</w:t>
      </w:r>
    </w:p>
    <w:p>
      <w:pPr>
        <w:pStyle w:val="BodyText"/>
        <w:spacing w:line="240" w:lineRule="auto" w:before="20"/>
        <w:ind w:left="358" w:right="0"/>
        <w:jc w:val="left"/>
        <w:rPr>
          <w:rFonts w:ascii="宋体" w:hAnsi="宋体" w:cs="宋体" w:eastAsia="宋体" w:hint="default"/>
        </w:rPr>
      </w:pPr>
      <w:r>
        <w:rPr/>
        <w:t>要经营情况——（三）资产、负债情况分析”部分。</w:t>
      </w:r>
      <w:r>
        <w:rPr>
          <w:rFonts w:ascii="宋体" w:hAnsi="宋体" w:cs="宋体" w:eastAsia="宋体" w:hint="default"/>
        </w:rPr>
        <w:t> </w:t>
      </w:r>
    </w:p>
    <w:p>
      <w:pPr>
        <w:pStyle w:val="Heading5"/>
        <w:spacing w:line="290" w:lineRule="auto" w:before="8"/>
        <w:ind w:left="358" w:right="6769"/>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Heading3"/>
        <w:spacing w:line="240" w:lineRule="auto" w:before="6"/>
        <w:ind w:left="3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1"/>
        <w:rPr>
          <w:rFonts w:ascii="宋体" w:hAnsi="宋体" w:cs="宋体" w:eastAsia="宋体" w:hint="default"/>
          <w:sz w:val="27"/>
          <w:szCs w:val="27"/>
        </w:rPr>
      </w:pPr>
    </w:p>
    <w:p>
      <w:pPr>
        <w:pStyle w:val="Heading5"/>
        <w:spacing w:line="240" w:lineRule="auto" w:before="0"/>
        <w:ind w:left="358" w:right="0"/>
        <w:jc w:val="left"/>
        <w:rPr>
          <w:b w:val="0"/>
          <w:bCs w:val="0"/>
        </w:rPr>
      </w:pPr>
      <w:r>
        <w:rPr/>
        <w:t>三、</w:t>
      </w:r>
      <w:r>
        <w:rPr>
          <w:spacing w:val="-83"/>
        </w:rPr>
        <w:t> </w:t>
      </w:r>
      <w:r>
        <w:rPr>
          <w:rFonts w:ascii="宋体" w:hAnsi="宋体" w:cs="宋体" w:eastAsia="宋体" w:hint="default"/>
          <w:spacing w:val="-83"/>
        </w:rPr>
      </w:r>
      <w:r>
        <w:rPr/>
        <w:t>股东和实际控制人情况</w:t>
      </w:r>
      <w:r>
        <w:rPr>
          <w:b w:val="0"/>
          <w:bCs w:val="0"/>
        </w:rPr>
      </w:r>
    </w:p>
    <w:p>
      <w:pPr>
        <w:pStyle w:val="Heading5"/>
        <w:spacing w:line="240" w:lineRule="auto" w:before="58"/>
        <w:ind w:left="3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476" w:type="dxa"/>
        <w:tblLayout w:type="fixed"/>
        <w:tblCellMar>
          <w:top w:w="0" w:type="dxa"/>
          <w:left w:w="0" w:type="dxa"/>
          <w:bottom w:w="0" w:type="dxa"/>
          <w:right w:w="0" w:type="dxa"/>
        </w:tblCellMar>
        <w:tblLook w:val="01E0"/>
      </w:tblPr>
      <w:tblGrid>
        <w:gridCol w:w="6234"/>
        <w:gridCol w:w="2593"/>
      </w:tblGrid>
      <w:tr>
        <w:trPr>
          <w:trHeight w:val="370"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84,229</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160" w:left="1060" w:right="10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576" w:type="dxa"/>
        <w:tblLayout w:type="fixed"/>
        <w:tblCellMar>
          <w:top w:w="0" w:type="dxa"/>
          <w:left w:w="0" w:type="dxa"/>
          <w:bottom w:w="0" w:type="dxa"/>
          <w:right w:w="0" w:type="dxa"/>
        </w:tblCellMar>
        <w:tblLook w:val="01E0"/>
      </w:tblPr>
      <w:tblGrid>
        <w:gridCol w:w="6234"/>
        <w:gridCol w:w="2593"/>
      </w:tblGrid>
      <w:tr>
        <w:trPr>
          <w:trHeight w:val="370"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78,401</w:t>
            </w:r>
            <w:r>
              <w:rPr>
                <w:rFonts w:ascii="宋体"/>
                <w:sz w:val="21"/>
              </w:rPr>
              <w:t> </w:t>
            </w:r>
          </w:p>
        </w:tc>
      </w:tr>
      <w:tr>
        <w:trPr>
          <w:trHeight w:val="370"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z w:val="21"/>
              </w:rPr>
              <w:t>0 </w:t>
            </w:r>
          </w:p>
        </w:tc>
      </w:tr>
      <w:tr>
        <w:trPr>
          <w:trHeight w:val="370"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z w:val="21"/>
              </w:rPr>
              <w:t>0 </w:t>
            </w:r>
          </w:p>
        </w:tc>
      </w:tr>
    </w:tbl>
    <w:p>
      <w:pPr>
        <w:spacing w:after="0" w:line="240" w:lineRule="auto"/>
        <w:jc w:val="right"/>
        <w:rPr>
          <w:rFonts w:ascii="宋体" w:hAnsi="宋体" w:cs="宋体" w:eastAsia="宋体" w:hint="default"/>
          <w:sz w:val="21"/>
          <w:szCs w:val="21"/>
        </w:rPr>
        <w:sectPr>
          <w:pgSz w:w="11910" w:h="16840"/>
          <w:pgMar w:header="0" w:footer="974" w:top="1120" w:bottom="1160" w:left="960" w:right="960"/>
        </w:sectPr>
      </w:pPr>
    </w:p>
    <w:p>
      <w:pPr>
        <w:pStyle w:val="BodyText"/>
        <w:spacing w:line="241" w:lineRule="exact"/>
        <w:ind w:left="458" w:right="0"/>
        <w:jc w:val="left"/>
        <w:rPr>
          <w:rFonts w:ascii="宋体" w:hAnsi="宋体" w:cs="宋体" w:eastAsia="宋体" w:hint="default"/>
        </w:rPr>
      </w:pPr>
      <w:r>
        <w:rPr>
          <w:rFonts w:ascii="宋体"/>
          <w:w w:val="100"/>
        </w:rPr>
        <w:t> </w:t>
      </w:r>
    </w:p>
    <w:p>
      <w:pPr>
        <w:pStyle w:val="Heading5"/>
        <w:spacing w:line="240" w:lineRule="auto" w:before="58"/>
        <w:ind w:left="4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left="458"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60" w:right="960"/>
          <w:cols w:num="2" w:equalWidth="0">
            <w:col w:w="8053" w:space="283"/>
            <w:col w:w="165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01"/>
        <w:gridCol w:w="1277"/>
        <w:gridCol w:w="1453"/>
        <w:gridCol w:w="957"/>
        <w:gridCol w:w="566"/>
        <w:gridCol w:w="1135"/>
        <w:gridCol w:w="566"/>
        <w:gridCol w:w="142"/>
        <w:gridCol w:w="614"/>
        <w:gridCol w:w="1140"/>
      </w:tblGrid>
      <w:tr>
        <w:trPr>
          <w:trHeight w:val="281" w:hRule="exact"/>
        </w:trPr>
        <w:tc>
          <w:tcPr>
            <w:tcW w:w="97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7"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5" w:right="106"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5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9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330" w:right="0"/>
              <w:jc w:val="left"/>
              <w:rPr>
                <w:rFonts w:ascii="Times New Roman" w:hAnsi="Times New Roman" w:cs="Times New Roman" w:eastAsia="Times New Roman" w:hint="default"/>
                <w:sz w:val="21"/>
                <w:szCs w:val="21"/>
              </w:rPr>
            </w:pPr>
            <w:r>
              <w:rPr>
                <w:rFonts w:ascii="Times New Roman"/>
                <w:sz w:val="21"/>
              </w:rPr>
              <w:t>(%)</w:t>
            </w:r>
          </w:p>
        </w:tc>
        <w:tc>
          <w:tcPr>
            <w:tcW w:w="1702" w:type="dxa"/>
            <w:gridSpan w:val="2"/>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105" w:hanging="315"/>
              <w:jc w:val="left"/>
              <w:rPr>
                <w:rFonts w:ascii="宋体" w:hAnsi="宋体" w:cs="宋体" w:eastAsia="宋体" w:hint="default"/>
                <w:sz w:val="21"/>
                <w:szCs w:val="21"/>
              </w:rPr>
            </w:pPr>
            <w:r>
              <w:rPr>
                <w:rFonts w:ascii="宋体" w:hAnsi="宋体" w:cs="宋体" w:eastAsia="宋体" w:hint="default"/>
                <w:sz w:val="21"/>
                <w:szCs w:val="21"/>
              </w:rPr>
              <w:t>持有有限售条件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股份数量</w:t>
            </w:r>
          </w:p>
        </w:tc>
        <w:tc>
          <w:tcPr>
            <w:tcW w:w="1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情况</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5" w:right="35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90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53"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1702" w:type="dxa"/>
            <w:gridSpan w:val="2"/>
            <w:vMerge/>
            <w:tcBorders>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140" w:type="dxa"/>
            <w:vMerge/>
            <w:tcBorders>
              <w:left w:val="single" w:sz="4" w:space="0" w:color="000000"/>
              <w:bottom w:val="single" w:sz="4" w:space="0" w:color="000000"/>
              <w:right w:val="single" w:sz="4" w:space="0" w:color="000000"/>
            </w:tcBorders>
          </w:tcPr>
          <w:p>
            <w:pPr/>
          </w:p>
        </w:tc>
      </w:tr>
      <w:tr>
        <w:trPr>
          <w:trHeight w:val="649"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103"/>
              <w:jc w:val="left"/>
              <w:rPr>
                <w:rFonts w:ascii="宋体" w:hAnsi="宋体" w:cs="宋体" w:eastAsia="宋体" w:hint="default"/>
                <w:sz w:val="21"/>
                <w:szCs w:val="21"/>
              </w:rPr>
            </w:pPr>
            <w:r>
              <w:rPr>
                <w:rFonts w:ascii="宋体" w:hAnsi="宋体" w:cs="宋体" w:eastAsia="宋体" w:hint="default"/>
                <w:sz w:val="21"/>
                <w:szCs w:val="21"/>
              </w:rPr>
              <w:t>青岛港（集团）有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3,522,179,000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54.26</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3,522,179,000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5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3"/>
              <w:jc w:val="left"/>
              <w:rPr>
                <w:rFonts w:ascii="宋体" w:hAnsi="宋体" w:cs="宋体" w:eastAsia="宋体" w:hint="default"/>
                <w:sz w:val="21"/>
                <w:szCs w:val="21"/>
              </w:rPr>
            </w:pPr>
            <w:r>
              <w:rPr>
                <w:rFonts w:ascii="宋体" w:hAnsi="宋体" w:cs="宋体" w:eastAsia="宋体" w:hint="default"/>
                <w:sz w:val="21"/>
                <w:szCs w:val="21"/>
              </w:rPr>
              <w:t>香港中央结算（代</w:t>
            </w:r>
            <w:r>
              <w:rPr>
                <w:rFonts w:ascii="宋体" w:hAnsi="宋体" w:cs="宋体" w:eastAsia="宋体" w:hint="default"/>
                <w:w w:val="100"/>
                <w:sz w:val="21"/>
                <w:szCs w:val="21"/>
              </w:rPr>
              <w:t> </w:t>
            </w:r>
            <w:r>
              <w:rPr>
                <w:rFonts w:ascii="宋体" w:hAnsi="宋体" w:cs="宋体" w:eastAsia="宋体" w:hint="default"/>
                <w:sz w:val="21"/>
                <w:szCs w:val="21"/>
              </w:rPr>
              <w:t>理人）有限公司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9,756,010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1,108,562,870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17.08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36"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65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3"/>
              <w:jc w:val="left"/>
              <w:rPr>
                <w:rFonts w:ascii="宋体" w:hAnsi="宋体" w:cs="宋体" w:eastAsia="宋体" w:hint="default"/>
                <w:sz w:val="21"/>
                <w:szCs w:val="21"/>
              </w:rPr>
            </w:pPr>
            <w:r>
              <w:rPr>
                <w:rFonts w:ascii="宋体" w:hAnsi="宋体" w:cs="宋体" w:eastAsia="宋体" w:hint="default"/>
                <w:sz w:val="21"/>
                <w:szCs w:val="21"/>
              </w:rPr>
              <w:t>上海中海码头发展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1,015,520,000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15.64</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1,015,520,000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5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3"/>
              <w:jc w:val="left"/>
              <w:rPr>
                <w:rFonts w:ascii="宋体" w:hAnsi="宋体" w:cs="宋体" w:eastAsia="宋体" w:hint="default"/>
                <w:sz w:val="21"/>
                <w:szCs w:val="21"/>
              </w:rPr>
            </w:pPr>
            <w:r>
              <w:rPr>
                <w:rFonts w:ascii="宋体" w:hAnsi="宋体" w:cs="宋体" w:eastAsia="宋体" w:hint="default"/>
                <w:sz w:val="21"/>
                <w:szCs w:val="21"/>
              </w:rPr>
              <w:t>码来仓储（深圳）</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112,000,000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1.73</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112,000,000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5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3"/>
              <w:jc w:val="left"/>
              <w:rPr>
                <w:rFonts w:ascii="宋体" w:hAnsi="宋体" w:cs="宋体" w:eastAsia="宋体" w:hint="default"/>
                <w:sz w:val="21"/>
                <w:szCs w:val="21"/>
              </w:rPr>
            </w:pPr>
            <w:r>
              <w:rPr>
                <w:rFonts w:ascii="宋体" w:hAnsi="宋体" w:cs="宋体" w:eastAsia="宋体" w:hint="default"/>
                <w:sz w:val="21"/>
                <w:szCs w:val="21"/>
              </w:rPr>
              <w:t>中远海运（青岛）</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96,000,000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1.48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96,000,000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5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3"/>
              <w:jc w:val="left"/>
              <w:rPr>
                <w:rFonts w:ascii="宋体" w:hAnsi="宋体" w:cs="宋体" w:eastAsia="宋体" w:hint="default"/>
                <w:sz w:val="21"/>
                <w:szCs w:val="21"/>
              </w:rPr>
            </w:pPr>
            <w:r>
              <w:rPr>
                <w:rFonts w:ascii="宋体" w:hAnsi="宋体" w:cs="宋体" w:eastAsia="宋体" w:hint="default"/>
                <w:sz w:val="21"/>
                <w:szCs w:val="21"/>
              </w:rPr>
              <w:t>中海码头发展有限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96,000,000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1.48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96,000,000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48"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3"/>
              <w:jc w:val="left"/>
              <w:rPr>
                <w:rFonts w:ascii="宋体" w:hAnsi="宋体" w:cs="宋体" w:eastAsia="宋体" w:hint="default"/>
                <w:sz w:val="21"/>
                <w:szCs w:val="21"/>
              </w:rPr>
            </w:pPr>
            <w:r>
              <w:rPr>
                <w:rFonts w:ascii="宋体" w:hAnsi="宋体" w:cs="宋体" w:eastAsia="宋体" w:hint="default"/>
                <w:sz w:val="21"/>
                <w:szCs w:val="21"/>
              </w:rPr>
              <w:t>青岛国际投资有限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48,000,000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0.74</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48,000,000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65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3"/>
              <w:jc w:val="left"/>
              <w:rPr>
                <w:rFonts w:ascii="宋体" w:hAnsi="宋体" w:cs="宋体" w:eastAsia="宋体" w:hint="default"/>
                <w:sz w:val="21"/>
                <w:szCs w:val="21"/>
              </w:rPr>
            </w:pPr>
            <w:r>
              <w:rPr>
                <w:rFonts w:ascii="宋体" w:hAnsi="宋体" w:cs="宋体" w:eastAsia="宋体" w:hint="default"/>
                <w:sz w:val="21"/>
                <w:szCs w:val="21"/>
              </w:rPr>
              <w:t>光大控股（青岛）</w:t>
            </w:r>
            <w:r>
              <w:rPr>
                <w:rFonts w:ascii="宋体" w:hAnsi="宋体" w:cs="宋体" w:eastAsia="宋体" w:hint="default"/>
                <w:w w:val="100"/>
                <w:sz w:val="21"/>
                <w:szCs w:val="21"/>
              </w:rPr>
              <w:t> </w:t>
            </w:r>
            <w:r>
              <w:rPr>
                <w:rFonts w:ascii="宋体" w:hAnsi="宋体" w:cs="宋体" w:eastAsia="宋体" w:hint="default"/>
                <w:sz w:val="21"/>
                <w:szCs w:val="21"/>
              </w:rPr>
              <w:t>融资租赁有限公司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21"/>
                <w:szCs w:val="21"/>
              </w:rPr>
            </w:pPr>
            <w:r>
              <w:rPr>
                <w:rFonts w:ascii="Times New Roman"/>
                <w:spacing w:val="-1"/>
                <w:sz w:val="21"/>
              </w:rPr>
              <w:t>48,000,000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0.74</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43" w:right="0"/>
              <w:jc w:val="left"/>
              <w:rPr>
                <w:rFonts w:ascii="Times New Roman" w:hAnsi="Times New Roman" w:cs="Times New Roman" w:eastAsia="Times New Roman" w:hint="default"/>
                <w:sz w:val="21"/>
                <w:szCs w:val="21"/>
              </w:rPr>
            </w:pPr>
            <w:r>
              <w:rPr>
                <w:rFonts w:ascii="Times New Roman"/>
                <w:sz w:val="21"/>
              </w:rPr>
              <w:t>48,000,000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1610"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3"/>
              <w:jc w:val="both"/>
              <w:rPr>
                <w:rFonts w:ascii="宋体" w:hAnsi="宋体" w:cs="宋体" w:eastAsia="宋体" w:hint="default"/>
                <w:sz w:val="21"/>
                <w:szCs w:val="21"/>
              </w:rPr>
            </w:pPr>
            <w:r>
              <w:rPr>
                <w:rFonts w:ascii="宋体" w:hAnsi="宋体" w:cs="宋体" w:eastAsia="宋体" w:hint="default"/>
                <w:sz w:val="21"/>
                <w:szCs w:val="21"/>
              </w:rPr>
              <w:t>中国建设银行股份</w:t>
            </w:r>
            <w:r>
              <w:rPr>
                <w:rFonts w:ascii="宋体" w:hAnsi="宋体" w:cs="宋体" w:eastAsia="宋体" w:hint="default"/>
                <w:w w:val="100"/>
                <w:sz w:val="21"/>
                <w:szCs w:val="21"/>
              </w:rPr>
              <w:t> </w:t>
            </w:r>
            <w:r>
              <w:rPr>
                <w:rFonts w:ascii="宋体" w:hAnsi="宋体" w:cs="宋体" w:eastAsia="宋体" w:hint="default"/>
                <w:sz w:val="21"/>
                <w:szCs w:val="21"/>
              </w:rPr>
              <w:t>有限公司－易方达</w:t>
            </w:r>
            <w:r>
              <w:rPr>
                <w:rFonts w:ascii="宋体" w:hAnsi="宋体" w:cs="宋体" w:eastAsia="宋体" w:hint="default"/>
                <w:w w:val="100"/>
                <w:sz w:val="21"/>
                <w:szCs w:val="21"/>
              </w:rPr>
              <w:t> </w:t>
            </w:r>
            <w:r>
              <w:rPr>
                <w:rFonts w:ascii="宋体" w:hAnsi="宋体" w:cs="宋体" w:eastAsia="宋体" w:hint="default"/>
                <w:sz w:val="21"/>
                <w:szCs w:val="21"/>
              </w:rPr>
              <w:t>中证国企一带一路</w:t>
            </w:r>
            <w:r>
              <w:rPr>
                <w:rFonts w:ascii="宋体" w:hAnsi="宋体" w:cs="宋体" w:eastAsia="宋体" w:hint="default"/>
                <w:w w:val="100"/>
                <w:sz w:val="21"/>
                <w:szCs w:val="21"/>
              </w:rPr>
              <w:t> </w:t>
            </w:r>
            <w:r>
              <w:rPr>
                <w:rFonts w:ascii="宋体" w:hAnsi="宋体" w:cs="宋体" w:eastAsia="宋体" w:hint="default"/>
                <w:sz w:val="21"/>
                <w:szCs w:val="21"/>
              </w:rPr>
              <w:t>交易型开放式指数</w:t>
            </w:r>
            <w:r>
              <w:rPr>
                <w:rFonts w:ascii="宋体" w:hAnsi="宋体" w:cs="宋体" w:eastAsia="宋体" w:hint="default"/>
                <w:w w:val="100"/>
                <w:sz w:val="21"/>
                <w:szCs w:val="21"/>
              </w:rPr>
              <w:t> </w:t>
            </w:r>
            <w:r>
              <w:rPr>
                <w:rFonts w:ascii="宋体" w:hAnsi="宋体" w:cs="宋体" w:eastAsia="宋体" w:hint="default"/>
                <w:sz w:val="21"/>
                <w:szCs w:val="21"/>
              </w:rPr>
              <w:t>证券投资基金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1"/>
                <w:sz w:val="21"/>
              </w:rPr>
              <w:t>7,494,100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66"/>
              <w:jc w:val="right"/>
              <w:rPr>
                <w:rFonts w:ascii="Times New Roman" w:hAnsi="Times New Roman" w:cs="Times New Roman" w:eastAsia="Times New Roman" w:hint="default"/>
                <w:sz w:val="21"/>
                <w:szCs w:val="21"/>
              </w:rPr>
            </w:pPr>
            <w:r>
              <w:rPr>
                <w:rFonts w:ascii="Times New Roman"/>
                <w:spacing w:val="-1"/>
                <w:sz w:val="21"/>
              </w:rPr>
              <w:t>7,494,100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z w:val="21"/>
              </w:rPr>
              <w:t>0.14</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80" w:lineRule="auto"/>
              <w:ind w:left="103"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161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3"/>
              <w:jc w:val="both"/>
              <w:rPr>
                <w:rFonts w:ascii="宋体" w:hAnsi="宋体" w:cs="宋体" w:eastAsia="宋体" w:hint="default"/>
                <w:sz w:val="21"/>
                <w:szCs w:val="21"/>
              </w:rPr>
            </w:pPr>
            <w:r>
              <w:rPr>
                <w:rFonts w:ascii="宋体" w:hAnsi="宋体" w:cs="宋体" w:eastAsia="宋体" w:hint="default"/>
                <w:sz w:val="21"/>
                <w:szCs w:val="21"/>
              </w:rPr>
              <w:t>中国银行股份有限</w:t>
            </w:r>
            <w:r>
              <w:rPr>
                <w:rFonts w:ascii="宋体" w:hAnsi="宋体" w:cs="宋体" w:eastAsia="宋体" w:hint="default"/>
                <w:w w:val="100"/>
                <w:sz w:val="21"/>
                <w:szCs w:val="21"/>
              </w:rPr>
              <w:t> </w:t>
            </w:r>
            <w:r>
              <w:rPr>
                <w:rFonts w:ascii="宋体" w:hAnsi="宋体" w:cs="宋体" w:eastAsia="宋体" w:hint="default"/>
                <w:sz w:val="21"/>
                <w:szCs w:val="21"/>
              </w:rPr>
              <w:t>公司－富国中证国</w:t>
            </w:r>
            <w:r>
              <w:rPr>
                <w:rFonts w:ascii="宋体" w:hAnsi="宋体" w:cs="宋体" w:eastAsia="宋体" w:hint="default"/>
                <w:w w:val="100"/>
                <w:sz w:val="21"/>
                <w:szCs w:val="21"/>
              </w:rPr>
              <w:t> </w:t>
            </w:r>
            <w:r>
              <w:rPr>
                <w:rFonts w:ascii="宋体" w:hAnsi="宋体" w:cs="宋体" w:eastAsia="宋体" w:hint="default"/>
                <w:sz w:val="21"/>
                <w:szCs w:val="21"/>
              </w:rPr>
              <w:t>企一带一路交易型</w:t>
            </w:r>
            <w:r>
              <w:rPr>
                <w:rFonts w:ascii="宋体" w:hAnsi="宋体" w:cs="宋体" w:eastAsia="宋体" w:hint="default"/>
                <w:w w:val="100"/>
                <w:sz w:val="21"/>
                <w:szCs w:val="21"/>
              </w:rPr>
              <w:t> </w:t>
            </w:r>
            <w:r>
              <w:rPr>
                <w:rFonts w:ascii="宋体" w:hAnsi="宋体" w:cs="宋体" w:eastAsia="宋体" w:hint="default"/>
                <w:sz w:val="21"/>
                <w:szCs w:val="21"/>
              </w:rPr>
              <w:t>开放式指数证券投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pacing w:val="-1"/>
                <w:sz w:val="21"/>
              </w:rPr>
              <w:t>6,665,151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66"/>
              <w:jc w:val="right"/>
              <w:rPr>
                <w:rFonts w:ascii="Times New Roman" w:hAnsi="Times New Roman" w:cs="Times New Roman" w:eastAsia="Times New Roman" w:hint="default"/>
                <w:sz w:val="21"/>
                <w:szCs w:val="21"/>
              </w:rPr>
            </w:pPr>
            <w:r>
              <w:rPr>
                <w:rFonts w:ascii="Times New Roman"/>
                <w:spacing w:val="-1"/>
                <w:sz w:val="21"/>
              </w:rPr>
              <w:t>6,665,151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sz w:val="21"/>
              </w:rPr>
              <w:t>0.12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1"/>
              <w:jc w:val="right"/>
              <w:rPr>
                <w:rFonts w:ascii="Times New Roman" w:hAnsi="Times New Roman" w:cs="Times New Roman" w:eastAsia="Times New Roman" w:hint="default"/>
                <w:sz w:val="21"/>
                <w:szCs w:val="21"/>
              </w:rPr>
            </w:pPr>
            <w:r>
              <w:rPr>
                <w:rFonts w:ascii="Times New Roman"/>
                <w:w w:val="100"/>
                <w:sz w:val="21"/>
              </w:rPr>
              <w:t>0</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4"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80" w:lineRule="auto"/>
              <w:ind w:left="103" w:right="9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329" w:hRule="exact"/>
        </w:trPr>
        <w:tc>
          <w:tcPr>
            <w:tcW w:w="975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31" w:hRule="exact"/>
        </w:trPr>
        <w:tc>
          <w:tcPr>
            <w:tcW w:w="4632" w:type="dxa"/>
            <w:gridSpan w:val="3"/>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3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23" w:type="dxa"/>
            <w:gridSpan w:val="2"/>
            <w:vMerge w:val="restart"/>
            <w:tcBorders>
              <w:top w:val="single" w:sz="4" w:space="0" w:color="000000"/>
              <w:left w:val="single" w:sz="4" w:space="0" w:color="000000"/>
              <w:right w:val="single" w:sz="4" w:space="0" w:color="000000"/>
            </w:tcBorders>
          </w:tcPr>
          <w:p>
            <w:pPr>
              <w:pStyle w:val="TableParagraph"/>
              <w:spacing w:line="278" w:lineRule="auto" w:before="14"/>
              <w:ind w:left="106" w:right="142"/>
              <w:jc w:val="center"/>
              <w:rPr>
                <w:rFonts w:ascii="宋体" w:hAnsi="宋体" w:cs="宋体" w:eastAsia="宋体" w:hint="default"/>
                <w:sz w:val="21"/>
                <w:szCs w:val="21"/>
              </w:rPr>
            </w:pPr>
            <w:r>
              <w:rPr>
                <w:rFonts w:ascii="宋体" w:hAnsi="宋体" w:cs="宋体" w:eastAsia="宋体" w:hint="default"/>
                <w:spacing w:val="-1"/>
                <w:sz w:val="21"/>
                <w:szCs w:val="21"/>
              </w:rPr>
              <w:t>持有无限售条</w:t>
            </w:r>
            <w:r>
              <w:rPr>
                <w:rFonts w:ascii="宋体" w:hAnsi="宋体" w:cs="宋体" w:eastAsia="宋体" w:hint="default"/>
                <w:w w:val="100"/>
                <w:sz w:val="21"/>
                <w:szCs w:val="21"/>
              </w:rPr>
              <w:t> </w:t>
            </w:r>
            <w:r>
              <w:rPr>
                <w:rFonts w:ascii="宋体" w:hAnsi="宋体" w:cs="宋体" w:eastAsia="宋体" w:hint="default"/>
                <w:spacing w:val="-1"/>
                <w:sz w:val="21"/>
                <w:szCs w:val="21"/>
              </w:rPr>
              <w:t>件流通股的数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35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5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641" w:hRule="exact"/>
        </w:trPr>
        <w:tc>
          <w:tcPr>
            <w:tcW w:w="4632" w:type="dxa"/>
            <w:gridSpan w:val="3"/>
            <w:vMerge/>
            <w:tcBorders>
              <w:left w:val="single" w:sz="4" w:space="0" w:color="000000"/>
              <w:bottom w:val="single" w:sz="4" w:space="0" w:color="000000"/>
              <w:right w:val="single" w:sz="4" w:space="0" w:color="000000"/>
            </w:tcBorders>
          </w:tcPr>
          <w:p>
            <w:pPr/>
          </w:p>
        </w:tc>
        <w:tc>
          <w:tcPr>
            <w:tcW w:w="1523" w:type="dxa"/>
            <w:gridSpan w:val="2"/>
            <w:vMerge/>
            <w:tcBorders>
              <w:left w:val="single" w:sz="4" w:space="0" w:color="000000"/>
              <w:bottom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9" w:hRule="exact"/>
        </w:trPr>
        <w:tc>
          <w:tcPr>
            <w:tcW w:w="46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1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2" w:right="0"/>
              <w:jc w:val="left"/>
              <w:rPr>
                <w:rFonts w:ascii="Times New Roman" w:hAnsi="Times New Roman" w:cs="Times New Roman" w:eastAsia="Times New Roman" w:hint="default"/>
                <w:sz w:val="21"/>
                <w:szCs w:val="21"/>
              </w:rPr>
            </w:pPr>
            <w:r>
              <w:rPr>
                <w:rFonts w:ascii="Times New Roman"/>
                <w:sz w:val="21"/>
              </w:rPr>
              <w:t>1,108,562,870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0" w:right="0"/>
              <w:jc w:val="left"/>
              <w:rPr>
                <w:rFonts w:ascii="宋体" w:hAnsi="宋体" w:cs="宋体" w:eastAsia="宋体" w:hint="default"/>
                <w:sz w:val="21"/>
                <w:szCs w:val="21"/>
              </w:rPr>
            </w:pPr>
            <w:r>
              <w:rPr>
                <w:rFonts w:ascii="宋体" w:hAnsi="宋体" w:cs="宋体" w:eastAsia="宋体" w:hint="default"/>
                <w:sz w:val="21"/>
                <w:szCs w:val="21"/>
              </w:rPr>
              <w:t>境外上市外资股</w:t>
            </w:r>
          </w:p>
        </w:tc>
        <w:tc>
          <w:tcPr>
            <w:tcW w:w="18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76" w:right="0"/>
              <w:jc w:val="left"/>
              <w:rPr>
                <w:rFonts w:ascii="Times New Roman" w:hAnsi="Times New Roman" w:cs="Times New Roman" w:eastAsia="Times New Roman" w:hint="default"/>
                <w:sz w:val="21"/>
                <w:szCs w:val="21"/>
              </w:rPr>
            </w:pPr>
            <w:r>
              <w:rPr>
                <w:rFonts w:ascii="Times New Roman"/>
                <w:sz w:val="21"/>
              </w:rPr>
              <w:t>1,098,810,930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160" w:left="9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597"/>
        <w:gridCol w:w="1558"/>
        <w:gridCol w:w="1702"/>
        <w:gridCol w:w="1897"/>
      </w:tblGrid>
      <w:tr>
        <w:trPr>
          <w:trHeight w:val="329" w:hRule="exact"/>
        </w:trPr>
        <w:tc>
          <w:tcPr>
            <w:tcW w:w="459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9,751,940</w:t>
            </w:r>
          </w:p>
        </w:tc>
      </w:tr>
      <w:tr>
        <w:trPr>
          <w:trHeight w:val="650"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76"/>
              <w:jc w:val="left"/>
              <w:rPr>
                <w:rFonts w:ascii="宋体" w:hAnsi="宋体" w:cs="宋体" w:eastAsia="宋体" w:hint="default"/>
                <w:sz w:val="21"/>
                <w:szCs w:val="21"/>
              </w:rPr>
            </w:pPr>
            <w:r>
              <w:rPr>
                <w:rFonts w:ascii="宋体" w:hAnsi="宋体" w:cs="宋体" w:eastAsia="宋体" w:hint="default"/>
                <w:spacing w:val="-2"/>
                <w:sz w:val="21"/>
                <w:szCs w:val="21"/>
              </w:rPr>
              <w:t>中国建设银行股份有限公司－易方达中证国企</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一带一路交易型开放式指数证券投资基金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7,494,100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7,494,100</w:t>
            </w:r>
          </w:p>
        </w:tc>
      </w:tr>
      <w:tr>
        <w:trPr>
          <w:trHeight w:val="650"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76"/>
              <w:jc w:val="left"/>
              <w:rPr>
                <w:rFonts w:ascii="宋体" w:hAnsi="宋体" w:cs="宋体" w:eastAsia="宋体" w:hint="default"/>
                <w:sz w:val="21"/>
                <w:szCs w:val="21"/>
              </w:rPr>
            </w:pPr>
            <w:r>
              <w:rPr>
                <w:rFonts w:ascii="宋体" w:hAnsi="宋体" w:cs="宋体" w:eastAsia="宋体" w:hint="default"/>
                <w:spacing w:val="-2"/>
                <w:sz w:val="21"/>
                <w:szCs w:val="21"/>
              </w:rPr>
              <w:t>中国银行股份有限公司－富国中证国企一带一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路交易型开放式指数证券投资基金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6,665,151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6,665,151</w:t>
            </w:r>
          </w:p>
        </w:tc>
      </w:tr>
      <w:tr>
        <w:trPr>
          <w:trHeight w:val="329"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于志光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5,374,040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5,374,040</w:t>
            </w:r>
          </w:p>
        </w:tc>
      </w:tr>
      <w:tr>
        <w:trPr>
          <w:trHeight w:val="650"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76"/>
              <w:jc w:val="left"/>
              <w:rPr>
                <w:rFonts w:ascii="宋体" w:hAnsi="宋体" w:cs="宋体" w:eastAsia="宋体" w:hint="default"/>
                <w:sz w:val="21"/>
                <w:szCs w:val="21"/>
              </w:rPr>
            </w:pPr>
            <w:r>
              <w:rPr>
                <w:rFonts w:ascii="宋体" w:hAnsi="宋体" w:cs="宋体" w:eastAsia="宋体" w:hint="default"/>
                <w:spacing w:val="-2"/>
                <w:sz w:val="21"/>
                <w:szCs w:val="21"/>
              </w:rPr>
              <w:t>中国农业银行股份有限公司－汇添富中证国企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一带一路交易型开放式指数证券投资基金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3,286,600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3,286,600</w:t>
            </w:r>
          </w:p>
        </w:tc>
      </w:tr>
      <w:tr>
        <w:trPr>
          <w:trHeight w:val="650"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76"/>
              <w:jc w:val="left"/>
              <w:rPr>
                <w:rFonts w:ascii="宋体" w:hAnsi="宋体" w:cs="宋体" w:eastAsia="宋体" w:hint="default"/>
                <w:sz w:val="21"/>
                <w:szCs w:val="21"/>
              </w:rPr>
            </w:pPr>
            <w:r>
              <w:rPr>
                <w:rFonts w:ascii="宋体" w:hAnsi="宋体" w:cs="宋体" w:eastAsia="宋体" w:hint="default"/>
                <w:spacing w:val="-2"/>
                <w:sz w:val="21"/>
                <w:szCs w:val="21"/>
              </w:rPr>
              <w:t>创金合信基金－工商银行－外贸信托－外贸信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托</w:t>
            </w:r>
            <w:r>
              <w:rPr>
                <w:rFonts w:ascii="Times New Roman" w:hAnsi="Times New Roman" w:cs="Times New Roman" w:eastAsia="Times New Roman" w:hint="default"/>
                <w:sz w:val="21"/>
                <w:szCs w:val="21"/>
              </w:rPr>
              <w:t>·</w:t>
            </w:r>
            <w:r>
              <w:rPr>
                <w:rFonts w:ascii="宋体" w:hAnsi="宋体" w:cs="宋体" w:eastAsia="宋体" w:hint="default"/>
                <w:sz w:val="21"/>
                <w:szCs w:val="21"/>
              </w:rPr>
              <w:t>稳富</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FOF</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单一资金信托</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1,994,155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1,994,155</w:t>
            </w:r>
          </w:p>
        </w:tc>
      </w:tr>
      <w:tr>
        <w:trPr>
          <w:trHeight w:val="329"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张慧玲</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1,871,969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1,871,969</w:t>
            </w:r>
          </w:p>
        </w:tc>
      </w:tr>
      <w:tr>
        <w:trPr>
          <w:trHeight w:val="332"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陈嘉瑜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1,623,100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1,623,100</w:t>
            </w:r>
          </w:p>
        </w:tc>
      </w:tr>
      <w:tr>
        <w:trPr>
          <w:trHeight w:val="650"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76"/>
              <w:jc w:val="left"/>
              <w:rPr>
                <w:rFonts w:ascii="宋体" w:hAnsi="宋体" w:cs="宋体" w:eastAsia="宋体" w:hint="default"/>
                <w:sz w:val="21"/>
                <w:szCs w:val="21"/>
              </w:rPr>
            </w:pPr>
            <w:r>
              <w:rPr>
                <w:rFonts w:ascii="宋体" w:hAnsi="宋体" w:cs="宋体" w:eastAsia="宋体" w:hint="default"/>
                <w:spacing w:val="-2"/>
                <w:sz w:val="21"/>
                <w:szCs w:val="21"/>
              </w:rPr>
              <w:t>领航投资澳洲有限公司－领航新兴市场股指基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金（交易所）</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1,543,300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1,543,300</w:t>
            </w:r>
          </w:p>
        </w:tc>
      </w:tr>
      <w:tr>
        <w:trPr>
          <w:trHeight w:val="329"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宋佃涛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1,460,100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1,460,100</w:t>
            </w:r>
          </w:p>
        </w:tc>
      </w:tr>
      <w:tr>
        <w:trPr>
          <w:trHeight w:val="331"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9"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51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42"/>
        <w:ind w:left="458" w:right="0"/>
        <w:jc w:val="left"/>
      </w:pPr>
      <w:r>
        <w:rPr/>
        <w:t>注：</w:t>
      </w:r>
    </w:p>
    <w:p>
      <w:pPr>
        <w:pStyle w:val="BodyText"/>
        <w:spacing w:line="240" w:lineRule="auto" w:before="85"/>
        <w:ind w:left="878" w:right="0"/>
        <w:jc w:val="left"/>
      </w:pPr>
      <w:r>
        <w:rPr>
          <w:rFonts w:ascii="Times New Roman" w:hAnsi="Times New Roman" w:cs="Times New Roman" w:eastAsia="Times New Roman" w:hint="default"/>
        </w:rPr>
        <w:t>1.</w:t>
      </w:r>
      <w:r>
        <w:rPr/>
        <w:t>香港中央结算（代理人）有限公司持有的</w:t>
      </w:r>
      <w:r>
        <w:rPr>
          <w:rFonts w:ascii="Times New Roman" w:hAnsi="Times New Roman" w:cs="Times New Roman" w:eastAsia="Times New Roman" w:hint="default"/>
        </w:rPr>
        <w:t>H</w:t>
      </w:r>
      <w:r>
        <w:rPr/>
        <w:t>股为代表多个客户持有。</w:t>
      </w:r>
    </w:p>
    <w:p>
      <w:pPr>
        <w:pStyle w:val="BodyText"/>
        <w:spacing w:line="297" w:lineRule="auto" w:before="69"/>
        <w:ind w:left="458" w:right="0" w:firstLine="420"/>
        <w:jc w:val="left"/>
      </w:pPr>
      <w:r>
        <w:rPr>
          <w:rFonts w:ascii="Times New Roman" w:hAnsi="Times New Roman" w:cs="Times New Roman" w:eastAsia="Times New Roman" w:hint="default"/>
          <w:spacing w:val="-2"/>
          <w:w w:val="100"/>
        </w:rPr>
        <w:t>2.</w:t>
      </w:r>
      <w:r>
        <w:rPr>
          <w:spacing w:val="-2"/>
          <w:w w:val="100"/>
        </w:rPr>
        <w:t>青岛港集团全资子公司青港金控通过</w:t>
      </w:r>
      <w:r>
        <w:rPr>
          <w:spacing w:val="-51"/>
          <w:w w:val="100"/>
        </w:rPr>
        <w:t> </w:t>
      </w:r>
      <w:r>
        <w:rPr>
          <w:rFonts w:ascii="Times New Roman" w:hAnsi="Times New Roman" w:cs="Times New Roman" w:eastAsia="Times New Roman" w:hint="default"/>
          <w:spacing w:val="-2"/>
          <w:w w:val="100"/>
        </w:rPr>
        <w:t>QDII</w:t>
      </w:r>
      <w:r>
        <w:rPr>
          <w:rFonts w:ascii="Times New Roman" w:hAnsi="Times New Roman" w:cs="Times New Roman" w:eastAsia="Times New Roman" w:hint="default"/>
          <w:spacing w:val="1"/>
          <w:w w:val="100"/>
        </w:rPr>
        <w:t> </w:t>
      </w:r>
      <w:r>
        <w:rPr>
          <w:spacing w:val="-1"/>
          <w:w w:val="100"/>
        </w:rPr>
        <w:t>信托持有本公司</w:t>
      </w:r>
      <w:r>
        <w:rPr>
          <w:spacing w:val="-51"/>
          <w:w w:val="100"/>
        </w:rPr>
        <w:t> </w:t>
      </w:r>
      <w:r>
        <w:rPr>
          <w:rFonts w:ascii="Times New Roman" w:hAnsi="Times New Roman" w:cs="Times New Roman" w:eastAsia="Times New Roman" w:hint="default"/>
          <w:w w:val="100"/>
        </w:rPr>
        <w:t>H</w:t>
      </w:r>
      <w:r>
        <w:rPr>
          <w:rFonts w:ascii="Times New Roman" w:hAnsi="Times New Roman" w:cs="Times New Roman" w:eastAsia="Times New Roman" w:hint="default"/>
          <w:spacing w:val="3"/>
          <w:w w:val="100"/>
        </w:rPr>
        <w:t> </w:t>
      </w:r>
      <w:r>
        <w:rPr>
          <w:w w:val="100"/>
        </w:rPr>
        <w:t>股</w:t>
      </w:r>
      <w:r>
        <w:rPr>
          <w:spacing w:val="-49"/>
          <w:w w:val="100"/>
        </w:rPr>
        <w:t> </w:t>
      </w:r>
      <w:r>
        <w:rPr>
          <w:rFonts w:ascii="Times New Roman" w:hAnsi="Times New Roman" w:cs="Times New Roman" w:eastAsia="Times New Roman" w:hint="default"/>
          <w:spacing w:val="-1"/>
          <w:w w:val="100"/>
        </w:rPr>
        <w:t>13,739,000</w:t>
      </w:r>
      <w:r>
        <w:rPr>
          <w:rFonts w:ascii="Times New Roman" w:hAnsi="Times New Roman" w:cs="Times New Roman" w:eastAsia="Times New Roman" w:hint="default"/>
          <w:spacing w:val="1"/>
          <w:w w:val="100"/>
        </w:rPr>
        <w:t> </w:t>
      </w:r>
      <w:r>
        <w:rPr>
          <w:spacing w:val="-12"/>
          <w:w w:val="100"/>
        </w:rPr>
        <w:t>股，占本公司股本</w:t>
      </w:r>
      <w:r>
        <w:rPr>
          <w:w w:val="100"/>
        </w:rPr>
        <w:t> </w:t>
      </w:r>
      <w:r>
        <w:rPr>
          <w:spacing w:val="-1"/>
        </w:rPr>
        <w:t>总额的</w:t>
      </w:r>
      <w:r>
        <w:rPr>
          <w:spacing w:val="20"/>
        </w:rPr>
        <w:t> </w:t>
      </w:r>
      <w:r>
        <w:rPr>
          <w:rFonts w:ascii="Times New Roman" w:hAnsi="Times New Roman" w:cs="Times New Roman" w:eastAsia="Times New Roman" w:hint="default"/>
          <w:spacing w:val="-2"/>
        </w:rPr>
        <w:t>0.21%</w:t>
      </w:r>
      <w:r>
        <w:rPr>
          <w:spacing w:val="-2"/>
        </w:rPr>
        <w:t>，该等股份包含在香港中央结算（代理人）有限公司持有的股份总数中。</w:t>
      </w:r>
    </w:p>
    <w:p>
      <w:pPr>
        <w:pStyle w:val="BodyText"/>
        <w:spacing w:line="302" w:lineRule="auto" w:before="14"/>
        <w:ind w:left="458" w:right="452" w:firstLine="420"/>
        <w:jc w:val="left"/>
      </w:pPr>
      <w:r>
        <w:rPr>
          <w:rFonts w:ascii="Times New Roman" w:hAnsi="Times New Roman" w:cs="Times New Roman" w:eastAsia="Times New Roman" w:hint="default"/>
        </w:rPr>
        <w:t>3.</w:t>
      </w:r>
      <w:r>
        <w:rPr/>
        <w:t>上海中海码头发展有限公司由中海码头发展有限公司全资拥有，中海码头发展有限公司由中</w:t>
      </w:r>
      <w:r>
        <w:rPr>
          <w:w w:val="100"/>
        </w:rPr>
        <w:t> </w:t>
      </w:r>
      <w:r>
        <w:rPr/>
        <w:t>远海运港口发展有限公司全资拥有，中远海运港口发展有限公司持有本公司</w:t>
      </w:r>
      <w:r>
        <w:rPr>
          <w:spacing w:val="-57"/>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t>股</w:t>
      </w:r>
      <w:r>
        <w:rPr>
          <w:spacing w:val="-55"/>
        </w:rPr>
        <w:t> </w:t>
      </w:r>
      <w:r>
        <w:rPr>
          <w:rFonts w:ascii="Times New Roman" w:hAnsi="Times New Roman" w:cs="Times New Roman" w:eastAsia="Times New Roman" w:hint="default"/>
        </w:rPr>
        <w:t>86,916,000</w:t>
      </w:r>
      <w:r>
        <w:rPr>
          <w:rFonts w:ascii="Times New Roman" w:hAnsi="Times New Roman" w:cs="Times New Roman" w:eastAsia="Times New Roman" w:hint="default"/>
          <w:spacing w:val="-2"/>
        </w:rPr>
        <w:t> </w:t>
      </w:r>
      <w:r>
        <w:rPr>
          <w:spacing w:val="-3"/>
        </w:rPr>
        <w:t>股，占</w:t>
      </w:r>
      <w:r>
        <w:rPr>
          <w:w w:val="100"/>
        </w:rPr>
        <w:t> </w:t>
      </w:r>
      <w:r>
        <w:rPr/>
        <w:t>本公司股本总额的</w:t>
      </w:r>
      <w:r>
        <w:rPr>
          <w:spacing w:val="-56"/>
        </w:rPr>
        <w:t> </w:t>
      </w:r>
      <w:r>
        <w:rPr>
          <w:rFonts w:ascii="Times New Roman" w:hAnsi="Times New Roman" w:cs="Times New Roman" w:eastAsia="Times New Roman" w:hint="default"/>
        </w:rPr>
        <w:t>1.34%</w:t>
      </w:r>
      <w:r>
        <w:rPr/>
        <w:t>，该等股份包含在香港中央结算（代理人）有限公司持有的股份总数中。</w:t>
      </w:r>
      <w:r>
        <w:rPr>
          <w:w w:val="100"/>
        </w:rPr>
        <w:t> </w:t>
      </w:r>
      <w:r>
        <w:rPr>
          <w:spacing w:val="-2"/>
        </w:rPr>
        <w:t>上海中海码头发展有限公司、中海码头发展有限公司、中远海运（青岛）有限公司、中远海运港口</w:t>
      </w:r>
      <w:r>
        <w:rPr>
          <w:spacing w:val="-25"/>
        </w:rPr>
        <w:t> </w:t>
      </w:r>
      <w:r>
        <w:rPr>
          <w:spacing w:val="-25"/>
        </w:rPr>
      </w:r>
      <w:r>
        <w:rPr/>
        <w:t>发展有限公司均受中国远洋海运集团有限公司控制。</w:t>
      </w:r>
    </w:p>
    <w:p>
      <w:pPr>
        <w:pStyle w:val="Heading3"/>
        <w:spacing w:line="262" w:lineRule="exact"/>
        <w:ind w:left="458" w:right="0"/>
        <w:jc w:val="left"/>
        <w:rPr>
          <w:rFonts w:ascii="宋体" w:hAnsi="宋体" w:cs="宋体" w:eastAsia="宋体" w:hint="default"/>
        </w:rPr>
      </w:pPr>
      <w:r>
        <w:rPr>
          <w:rFonts w:ascii="宋体"/>
        </w:rPr>
        <w:t> </w:t>
      </w:r>
    </w:p>
    <w:p>
      <w:pPr>
        <w:pStyle w:val="BodyText"/>
        <w:spacing w:line="274" w:lineRule="exact" w:before="4"/>
        <w:ind w:left="45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4" w:lineRule="exact"/>
        <w:ind w:left="4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348"/>
        <w:jc w:val="right"/>
        <w:rPr>
          <w:rFonts w:ascii="宋体" w:hAnsi="宋体" w:cs="宋体" w:eastAsia="宋体" w:hint="default"/>
        </w:rPr>
      </w:pPr>
      <w:r>
        <w:rPr>
          <w:spacing w:val="-2"/>
        </w:rPr>
        <w:t>单位：股</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346" w:type="dxa"/>
        <w:tblLayout w:type="fixed"/>
        <w:tblCellMar>
          <w:top w:w="0" w:type="dxa"/>
          <w:left w:w="0" w:type="dxa"/>
          <w:bottom w:w="0" w:type="dxa"/>
          <w:right w:w="0" w:type="dxa"/>
        </w:tblCellMar>
        <w:tblLook w:val="01E0"/>
      </w:tblPr>
      <w:tblGrid>
        <w:gridCol w:w="636"/>
        <w:gridCol w:w="2307"/>
        <w:gridCol w:w="1560"/>
        <w:gridCol w:w="1277"/>
        <w:gridCol w:w="1560"/>
        <w:gridCol w:w="2053"/>
      </w:tblGrid>
      <w:tr>
        <w:trPr>
          <w:trHeight w:val="648" w:hRule="exact"/>
        </w:trPr>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3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80" w:lineRule="auto"/>
              <w:ind w:left="143" w:right="38"/>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r>
              <w:rPr>
                <w:rFonts w:ascii="宋体" w:hAnsi="宋体" w:cs="宋体" w:eastAsia="宋体" w:hint="default"/>
                <w:sz w:val="21"/>
                <w:szCs w:val="21"/>
              </w:rPr>
              <w:t> </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202" w:right="151" w:hanging="105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r>
              <w:rPr>
                <w:rFonts w:ascii="宋体" w:hAnsi="宋体" w:cs="宋体" w:eastAsia="宋体" w:hint="default"/>
                <w:sz w:val="21"/>
                <w:szCs w:val="21"/>
              </w:rPr>
              <w:t> </w:t>
            </w:r>
          </w:p>
        </w:tc>
        <w:tc>
          <w:tcPr>
            <w:tcW w:w="2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651" w:hRule="exact"/>
        </w:trPr>
        <w:tc>
          <w:tcPr>
            <w:tcW w:w="636" w:type="dxa"/>
            <w:vMerge/>
            <w:tcBorders>
              <w:left w:val="single" w:sz="4" w:space="0" w:color="000000"/>
              <w:bottom w:val="single" w:sz="4" w:space="0" w:color="000000"/>
              <w:right w:val="single" w:sz="4" w:space="0" w:color="000000"/>
            </w:tcBorders>
          </w:tcPr>
          <w:p>
            <w:pPr/>
          </w:p>
        </w:tc>
        <w:tc>
          <w:tcPr>
            <w:tcW w:w="230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422" w:right="106" w:hanging="317"/>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47" w:right="144" w:hanging="106"/>
              <w:jc w:val="left"/>
              <w:rPr>
                <w:rFonts w:ascii="宋体" w:hAnsi="宋体" w:cs="宋体" w:eastAsia="宋体" w:hint="default"/>
                <w:sz w:val="21"/>
                <w:szCs w:val="21"/>
              </w:rPr>
            </w:pPr>
            <w:r>
              <w:rPr>
                <w:rFonts w:ascii="宋体" w:hAnsi="宋体" w:cs="宋体" w:eastAsia="宋体" w:hint="default"/>
                <w:sz w:val="21"/>
                <w:szCs w:val="21"/>
              </w:rPr>
              <w:t>新增可上市交</w:t>
            </w:r>
            <w:r>
              <w:rPr>
                <w:rFonts w:ascii="宋体" w:hAnsi="宋体" w:cs="宋体" w:eastAsia="宋体" w:hint="default"/>
                <w:w w:val="100"/>
                <w:sz w:val="21"/>
                <w:szCs w:val="21"/>
              </w:rPr>
              <w:t> </w:t>
            </w:r>
            <w:r>
              <w:rPr>
                <w:rFonts w:ascii="宋体" w:hAnsi="宋体" w:cs="宋体" w:eastAsia="宋体" w:hint="default"/>
                <w:sz w:val="21"/>
                <w:szCs w:val="21"/>
              </w:rPr>
              <w:t>易股份数量</w:t>
            </w:r>
            <w:r>
              <w:rPr>
                <w:rFonts w:ascii="宋体" w:hAnsi="宋体" w:cs="宋体" w:eastAsia="宋体" w:hint="default"/>
                <w:sz w:val="21"/>
                <w:szCs w:val="21"/>
              </w:rPr>
              <w:t> </w:t>
            </w:r>
          </w:p>
        </w:tc>
        <w:tc>
          <w:tcPr>
            <w:tcW w:w="2053" w:type="dxa"/>
            <w:vMerge/>
            <w:tcBorders>
              <w:left w:val="single" w:sz="4" w:space="0" w:color="000000"/>
              <w:bottom w:val="single" w:sz="4" w:space="0" w:color="000000"/>
              <w:right w:val="single" w:sz="4" w:space="0" w:color="000000"/>
            </w:tcBorders>
          </w:tcPr>
          <w:p>
            <w:pPr/>
          </w:p>
        </w:tc>
      </w:tr>
      <w:tr>
        <w:trPr>
          <w:trHeight w:val="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sz w:val="21"/>
              </w:rPr>
              <w:t>1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w:t>
            </w:r>
            <w:r>
              <w:rPr>
                <w:rFonts w:ascii="Times New Roman" w:hAnsi="Times New Roman" w:cs="Times New Roman" w:eastAsia="Times New Roman" w:hint="default"/>
                <w:sz w:val="21"/>
                <w:szCs w:val="21"/>
              </w:rPr>
              <w:t>(</w:t>
            </w:r>
            <w:r>
              <w:rPr>
                <w:rFonts w:ascii="宋体" w:hAnsi="宋体" w:cs="宋体" w:eastAsia="宋体" w:hint="default"/>
                <w:sz w:val="21"/>
                <w:szCs w:val="21"/>
              </w:rPr>
              <w:t>集团</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3,522,179,000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
              <w:jc w:val="right"/>
              <w:rPr>
                <w:rFonts w:ascii="宋体" w:hAnsi="宋体" w:cs="宋体" w:eastAsia="宋体" w:hint="default"/>
                <w:sz w:val="21"/>
                <w:szCs w:val="21"/>
              </w:rPr>
            </w:pPr>
            <w:r>
              <w:rPr>
                <w:rFonts w:ascii="宋体"/>
                <w:sz w:val="21"/>
              </w:rPr>
              <w:t>0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sz w:val="21"/>
              </w:rPr>
              <w:t>2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75"/>
              <w:jc w:val="left"/>
              <w:rPr>
                <w:rFonts w:ascii="宋体" w:hAnsi="宋体" w:cs="宋体" w:eastAsia="宋体" w:hint="default"/>
                <w:sz w:val="21"/>
                <w:szCs w:val="21"/>
              </w:rPr>
            </w:pPr>
            <w:r>
              <w:rPr>
                <w:rFonts w:ascii="宋体" w:hAnsi="宋体" w:cs="宋体" w:eastAsia="宋体" w:hint="default"/>
                <w:spacing w:val="20"/>
                <w:sz w:val="21"/>
                <w:szCs w:val="21"/>
              </w:rPr>
              <w:t>上海中海码头发展有</w:t>
            </w:r>
            <w:r>
              <w:rPr>
                <w:rFonts w:ascii="宋体" w:hAnsi="宋体" w:cs="宋体" w:eastAsia="宋体" w:hint="default"/>
                <w:spacing w:val="-83"/>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1,015,520,000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sz w:val="21"/>
              </w:rPr>
              <w:t>3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99"/>
              <w:jc w:val="left"/>
              <w:rPr>
                <w:rFonts w:ascii="宋体" w:hAnsi="宋体" w:cs="宋体" w:eastAsia="宋体" w:hint="default"/>
                <w:sz w:val="21"/>
                <w:szCs w:val="21"/>
              </w:rPr>
            </w:pPr>
            <w:r>
              <w:rPr>
                <w:rFonts w:ascii="宋体" w:hAnsi="宋体" w:cs="宋体" w:eastAsia="宋体" w:hint="default"/>
                <w:spacing w:val="-3"/>
                <w:sz w:val="21"/>
                <w:szCs w:val="21"/>
              </w:rPr>
              <w:t>码来仓储（深圳）有限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bl>
    <w:p>
      <w:pPr>
        <w:spacing w:after="0" w:line="264" w:lineRule="auto"/>
        <w:jc w:val="left"/>
        <w:rPr>
          <w:rFonts w:ascii="宋体" w:hAnsi="宋体" w:cs="宋体" w:eastAsia="宋体" w:hint="default"/>
          <w:sz w:val="21"/>
          <w:szCs w:val="21"/>
        </w:rPr>
        <w:sectPr>
          <w:pgSz w:w="11910" w:h="16840"/>
          <w:pgMar w:header="0" w:footer="974" w:top="1120" w:bottom="1160" w:left="9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636"/>
        <w:gridCol w:w="2307"/>
        <w:gridCol w:w="1560"/>
        <w:gridCol w:w="1277"/>
        <w:gridCol w:w="1560"/>
        <w:gridCol w:w="2053"/>
      </w:tblGrid>
      <w:tr>
        <w:trPr>
          <w:trHeight w:val="64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55"/>
              <w:jc w:val="right"/>
              <w:rPr>
                <w:rFonts w:ascii="宋体" w:hAnsi="宋体" w:cs="宋体" w:eastAsia="宋体" w:hint="default"/>
                <w:sz w:val="21"/>
                <w:szCs w:val="21"/>
              </w:rPr>
            </w:pPr>
            <w:r>
              <w:rPr>
                <w:rFonts w:ascii="宋体"/>
                <w:sz w:val="21"/>
              </w:rPr>
              <w:t>4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99"/>
              <w:jc w:val="left"/>
              <w:rPr>
                <w:rFonts w:ascii="宋体" w:hAnsi="宋体" w:cs="宋体" w:eastAsia="宋体" w:hint="default"/>
                <w:sz w:val="21"/>
                <w:szCs w:val="21"/>
              </w:rPr>
            </w:pPr>
            <w:r>
              <w:rPr>
                <w:rFonts w:ascii="宋体" w:hAnsi="宋体" w:cs="宋体" w:eastAsia="宋体" w:hint="default"/>
                <w:spacing w:val="-3"/>
                <w:sz w:val="21"/>
                <w:szCs w:val="21"/>
              </w:rPr>
              <w:t>中远海运（青岛）有限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2"/>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sz w:val="21"/>
              </w:rPr>
              <w:t>5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75"/>
              <w:jc w:val="left"/>
              <w:rPr>
                <w:rFonts w:ascii="宋体" w:hAnsi="宋体" w:cs="宋体" w:eastAsia="宋体" w:hint="default"/>
                <w:sz w:val="21"/>
                <w:szCs w:val="21"/>
              </w:rPr>
            </w:pPr>
            <w:r>
              <w:rPr>
                <w:rFonts w:ascii="宋体" w:hAnsi="宋体" w:cs="宋体" w:eastAsia="宋体" w:hint="default"/>
                <w:spacing w:val="20"/>
                <w:sz w:val="21"/>
                <w:szCs w:val="21"/>
              </w:rPr>
              <w:t>中海码头发展有限公</w:t>
            </w:r>
            <w:r>
              <w:rPr>
                <w:rFonts w:ascii="宋体" w:hAnsi="宋体" w:cs="宋体" w:eastAsia="宋体" w:hint="default"/>
                <w:spacing w:val="-8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4"/>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sz w:val="21"/>
              </w:rPr>
              <w:t>6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left"/>
              <w:rPr>
                <w:rFonts w:ascii="宋体" w:hAnsi="宋体" w:cs="宋体" w:eastAsia="宋体" w:hint="default"/>
                <w:sz w:val="21"/>
                <w:szCs w:val="21"/>
              </w:rPr>
            </w:pPr>
            <w:r>
              <w:rPr>
                <w:rFonts w:ascii="宋体" w:hAnsi="宋体" w:cs="宋体" w:eastAsia="宋体" w:hint="default"/>
                <w:spacing w:val="-3"/>
                <w:sz w:val="21"/>
                <w:szCs w:val="21"/>
              </w:rPr>
              <w:t>光大控股（青岛）融资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租赁有限公司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55"/>
              <w:jc w:val="right"/>
              <w:rPr>
                <w:rFonts w:ascii="宋体" w:hAnsi="宋体" w:cs="宋体" w:eastAsia="宋体" w:hint="default"/>
                <w:sz w:val="21"/>
                <w:szCs w:val="21"/>
              </w:rPr>
            </w:pPr>
            <w:r>
              <w:rPr>
                <w:rFonts w:ascii="宋体"/>
                <w:sz w:val="21"/>
              </w:rPr>
              <w:t>7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75"/>
              <w:jc w:val="left"/>
              <w:rPr>
                <w:rFonts w:ascii="宋体" w:hAnsi="宋体" w:cs="宋体" w:eastAsia="宋体" w:hint="default"/>
                <w:sz w:val="21"/>
                <w:szCs w:val="21"/>
              </w:rPr>
            </w:pPr>
            <w:r>
              <w:rPr>
                <w:rFonts w:ascii="宋体" w:hAnsi="宋体" w:cs="宋体" w:eastAsia="宋体" w:hint="default"/>
                <w:spacing w:val="20"/>
                <w:sz w:val="21"/>
                <w:szCs w:val="21"/>
              </w:rPr>
              <w:t>青岛国际投资有限公</w:t>
            </w:r>
            <w:r>
              <w:rPr>
                <w:rFonts w:ascii="宋体" w:hAnsi="宋体" w:cs="宋体" w:eastAsia="宋体" w:hint="default"/>
                <w:spacing w:val="-8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
              <w:ind w:left="100" w:right="101"/>
              <w:jc w:val="left"/>
              <w:rPr>
                <w:rFonts w:ascii="宋体" w:hAnsi="宋体" w:cs="宋体" w:eastAsia="宋体" w:hint="default"/>
                <w:sz w:val="21"/>
                <w:szCs w:val="21"/>
              </w:rPr>
            </w:pPr>
            <w:r>
              <w:rPr>
                <w:rFonts w:ascii="宋体" w:hAnsi="宋体" w:cs="宋体" w:eastAsia="宋体" w:hint="default"/>
                <w:sz w:val="21"/>
                <w:szCs w:val="21"/>
              </w:rPr>
              <w:t>自本公司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股上市</w:t>
            </w:r>
            <w:r>
              <w:rPr>
                <w:rFonts w:ascii="宋体" w:hAnsi="宋体" w:cs="宋体" w:eastAsia="宋体" w:hint="default"/>
                <w:w w:val="100"/>
                <w:sz w:val="21"/>
                <w:szCs w:val="21"/>
              </w:rPr>
              <w:t> </w:t>
            </w:r>
            <w:r>
              <w:rPr>
                <w:rFonts w:ascii="宋体" w:hAnsi="宋体" w:cs="宋体" w:eastAsia="宋体" w:hint="default"/>
                <w:sz w:val="21"/>
                <w:szCs w:val="21"/>
              </w:rPr>
              <w:t>之日起满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r>
      <w:tr>
        <w:trPr>
          <w:trHeight w:val="650" w:hRule="exact"/>
        </w:trPr>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305"/>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r>
              <w:rPr>
                <w:rFonts w:ascii="宋体" w:hAnsi="宋体" w:cs="宋体" w:eastAsia="宋体" w:hint="default"/>
                <w:sz w:val="21"/>
                <w:szCs w:val="21"/>
              </w:rPr>
              <w:t> </w:t>
            </w:r>
          </w:p>
        </w:tc>
        <w:tc>
          <w:tcPr>
            <w:tcW w:w="64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94"/>
              <w:jc w:val="left"/>
              <w:rPr>
                <w:rFonts w:ascii="宋体" w:hAnsi="宋体" w:cs="宋体" w:eastAsia="宋体" w:hint="default"/>
                <w:sz w:val="21"/>
                <w:szCs w:val="21"/>
              </w:rPr>
            </w:pPr>
            <w:r>
              <w:rPr>
                <w:rFonts w:ascii="宋体" w:hAnsi="宋体" w:cs="宋体" w:eastAsia="宋体" w:hint="default"/>
                <w:spacing w:val="-7"/>
                <w:sz w:val="21"/>
                <w:szCs w:val="21"/>
              </w:rPr>
              <w:t>上海中海码头发展有限公司、中海码头发展有限公司、中远海运（青</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岛）有限公司均受中国远洋海运集团有限公司控制。</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tabs>
          <w:tab w:pos="785" w:val="left" w:leader="none"/>
        </w:tabs>
        <w:spacing w:line="240" w:lineRule="auto" w:before="57"/>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BodyText"/>
        <w:spacing w:line="240" w:lineRule="auto" w:before="3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7"/>
          <w:szCs w:val="27"/>
        </w:rPr>
      </w:pPr>
    </w:p>
    <w:p>
      <w:pPr>
        <w:pStyle w:val="Heading5"/>
        <w:spacing w:line="240" w:lineRule="auto" w:before="0"/>
        <w:ind w:right="0"/>
        <w:jc w:val="left"/>
        <w:rPr>
          <w:b w:val="0"/>
          <w:bCs w:val="0"/>
        </w:rPr>
      </w:pPr>
      <w:r>
        <w:rPr/>
        <w:t>四、</w:t>
      </w:r>
      <w:r>
        <w:rPr>
          <w:spacing w:val="-81"/>
        </w:rPr>
        <w:t> </w:t>
      </w:r>
      <w:r>
        <w:rPr>
          <w:rFonts w:ascii="宋体" w:hAnsi="宋体" w:cs="宋体" w:eastAsia="宋体" w:hint="default"/>
          <w:spacing w:val="-81"/>
        </w:rPr>
      </w:r>
      <w:r>
        <w:rPr/>
        <w:t>控股股东及实际控制人情况</w:t>
      </w:r>
      <w:r>
        <w:rPr>
          <w:b w:val="0"/>
          <w:bCs w:val="0"/>
        </w:rPr>
      </w:r>
    </w:p>
    <w:p>
      <w:pPr>
        <w:pStyle w:val="Heading5"/>
        <w:tabs>
          <w:tab w:pos="638" w:val="left" w:leader="none"/>
        </w:tabs>
        <w:spacing w:line="264" w:lineRule="auto" w:before="58"/>
        <w:ind w:right="7718"/>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31"/>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1"/>
        <w:gridCol w:w="5891"/>
      </w:tblGrid>
      <w:tr>
        <w:trPr>
          <w:trHeight w:val="329"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r>
      <w:tr>
        <w:trPr>
          <w:trHeight w:val="33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贾福宁</w:t>
            </w:r>
          </w:p>
        </w:tc>
      </w:tr>
      <w:tr>
        <w:trPr>
          <w:trHeight w:val="329"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25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
              <w:ind w:left="103" w:right="-8"/>
              <w:jc w:val="left"/>
              <w:rPr>
                <w:rFonts w:ascii="宋体" w:hAnsi="宋体" w:cs="宋体" w:eastAsia="宋体" w:hint="default"/>
                <w:sz w:val="21"/>
                <w:szCs w:val="21"/>
              </w:rPr>
            </w:pPr>
            <w:r>
              <w:rPr>
                <w:rFonts w:ascii="宋体" w:hAnsi="宋体" w:cs="宋体" w:eastAsia="宋体" w:hint="default"/>
                <w:spacing w:val="-4"/>
                <w:sz w:val="21"/>
                <w:szCs w:val="21"/>
              </w:rPr>
              <w:t>【资产管理；投资管理；股权投资】（未经金融监管部门批准</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不得从事吸收存款、融资担保、代客理财等金融业务）；港区</w:t>
            </w:r>
            <w:r>
              <w:rPr>
                <w:rFonts w:ascii="宋体" w:hAnsi="宋体" w:cs="宋体" w:eastAsia="宋体" w:hint="default"/>
                <w:w w:val="100"/>
                <w:sz w:val="21"/>
                <w:szCs w:val="21"/>
              </w:rPr>
              <w:t> </w:t>
            </w:r>
            <w:r>
              <w:rPr>
                <w:rFonts w:ascii="宋体" w:hAnsi="宋体" w:cs="宋体" w:eastAsia="宋体" w:hint="default"/>
                <w:spacing w:val="-7"/>
                <w:sz w:val="21"/>
                <w:szCs w:val="21"/>
              </w:rPr>
              <w:t>土地开发</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不动产租赁；有形动产租赁；港口建设工程项目管理；</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港口旅客运输服务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货物装卸；港口仓储及运输业、辅助业；货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物销售；港口供水、供电、供热</w:t>
            </w:r>
            <w:r>
              <w:rPr>
                <w:rFonts w:ascii="Times New Roman" w:hAnsi="Times New Roman" w:cs="Times New Roman" w:eastAsia="Times New Roman" w:hint="default"/>
                <w:sz w:val="21"/>
                <w:szCs w:val="21"/>
              </w:rPr>
              <w:t>;</w:t>
            </w:r>
            <w:r>
              <w:rPr>
                <w:rFonts w:ascii="宋体" w:hAnsi="宋体" w:cs="宋体" w:eastAsia="宋体" w:hint="default"/>
                <w:sz w:val="21"/>
                <w:szCs w:val="21"/>
              </w:rPr>
              <w:t>保洁服务</w:t>
            </w:r>
            <w:r>
              <w:rPr>
                <w:rFonts w:ascii="Times New Roman" w:hAnsi="Times New Roman" w:cs="Times New Roman" w:eastAsia="Times New Roman" w:hint="default"/>
                <w:sz w:val="21"/>
                <w:szCs w:val="21"/>
              </w:rPr>
              <w:t>;</w:t>
            </w:r>
            <w:r>
              <w:rPr>
                <w:rFonts w:ascii="宋体" w:hAnsi="宋体" w:cs="宋体" w:eastAsia="宋体" w:hint="default"/>
                <w:sz w:val="21"/>
                <w:szCs w:val="21"/>
              </w:rPr>
              <w:t>电气设备销售；承</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4"/>
                <w:sz w:val="21"/>
                <w:szCs w:val="21"/>
              </w:rPr>
              <w:t>揽电力工程。（依法须经批准的项目</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经相关部门批准后方可开</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展经营活动）。</w:t>
            </w:r>
          </w:p>
        </w:tc>
      </w:tr>
      <w:tr>
        <w:trPr>
          <w:trHeight w:val="970"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103" w:right="103"/>
              <w:jc w:val="left"/>
              <w:rPr>
                <w:rFonts w:ascii="宋体" w:hAnsi="宋体" w:cs="宋体" w:eastAsia="宋体" w:hint="default"/>
                <w:sz w:val="21"/>
                <w:szCs w:val="21"/>
              </w:rPr>
            </w:pPr>
            <w:r>
              <w:rPr>
                <w:rFonts w:ascii="宋体" w:hAnsi="宋体" w:cs="宋体" w:eastAsia="宋体" w:hint="default"/>
                <w:spacing w:val="7"/>
                <w:sz w:val="21"/>
                <w:szCs w:val="21"/>
              </w:rPr>
              <w:t>报告期内控股和参股的其他境内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外上市公司的股权情况</w:t>
            </w:r>
          </w:p>
        </w:tc>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w w:val="100"/>
                <w:sz w:val="21"/>
                <w:szCs w:val="21"/>
              </w:rPr>
              <w:t>青岛</w:t>
            </w:r>
            <w:r>
              <w:rPr>
                <w:rFonts w:ascii="宋体" w:hAnsi="宋体" w:cs="宋体" w:eastAsia="宋体" w:hint="default"/>
                <w:spacing w:val="-3"/>
                <w:w w:val="100"/>
                <w:sz w:val="21"/>
                <w:szCs w:val="21"/>
              </w:rPr>
              <w:t>港</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w w:val="100"/>
                <w:sz w:val="21"/>
                <w:szCs w:val="21"/>
              </w:rPr>
              <w:t>金</w:t>
            </w:r>
            <w:r>
              <w:rPr>
                <w:rFonts w:ascii="宋体" w:hAnsi="宋体" w:cs="宋体" w:eastAsia="宋体" w:hint="default"/>
                <w:spacing w:val="-3"/>
                <w:w w:val="100"/>
                <w:sz w:val="21"/>
                <w:szCs w:val="21"/>
              </w:rPr>
              <w:t>控</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持有</w:t>
            </w:r>
            <w:r>
              <w:rPr>
                <w:rFonts w:ascii="宋体" w:hAnsi="宋体" w:cs="宋体" w:eastAsia="宋体" w:hint="default"/>
                <w:spacing w:val="-3"/>
                <w:w w:val="100"/>
                <w:sz w:val="21"/>
                <w:szCs w:val="21"/>
              </w:rPr>
              <w:t>中</w:t>
            </w:r>
            <w:r>
              <w:rPr>
                <w:rFonts w:ascii="宋体" w:hAnsi="宋体" w:cs="宋体" w:eastAsia="宋体" w:hint="default"/>
                <w:w w:val="100"/>
                <w:sz w:val="21"/>
                <w:szCs w:val="21"/>
              </w:rPr>
              <w:t>远海</w:t>
            </w:r>
          </w:p>
          <w:p>
            <w:pPr>
              <w:pStyle w:val="TableParagraph"/>
              <w:spacing w:line="264" w:lineRule="auto" w:before="28"/>
              <w:ind w:left="103" w:right="96"/>
              <w:jc w:val="left"/>
              <w:rPr>
                <w:rFonts w:ascii="宋体" w:hAnsi="宋体" w:cs="宋体" w:eastAsia="宋体" w:hint="default"/>
                <w:sz w:val="21"/>
                <w:szCs w:val="21"/>
              </w:rPr>
            </w:pPr>
            <w:r>
              <w:rPr>
                <w:rFonts w:ascii="宋体" w:hAnsi="宋体" w:cs="宋体" w:eastAsia="宋体" w:hint="default"/>
                <w:sz w:val="21"/>
                <w:szCs w:val="21"/>
              </w:rPr>
              <w:t>运控股股份有限公司（</w:t>
            </w:r>
            <w:r>
              <w:rPr>
                <w:rFonts w:ascii="Times New Roman" w:hAnsi="Times New Roman" w:cs="Times New Roman" w:eastAsia="Times New Roman" w:hint="default"/>
                <w:sz w:val="21"/>
                <w:szCs w:val="21"/>
              </w:rPr>
              <w:t>601919.SH</w:t>
            </w:r>
            <w:r>
              <w:rPr>
                <w:rFonts w:ascii="宋体" w:hAnsi="宋体" w:cs="宋体" w:eastAsia="宋体" w:hint="default"/>
                <w:sz w:val="21"/>
                <w:szCs w:val="21"/>
              </w:rPr>
              <w:t>）股票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105,820,105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股，占其</w:t>
            </w:r>
            <w:r>
              <w:rPr>
                <w:rFonts w:ascii="宋体" w:hAnsi="宋体" w:cs="宋体" w:eastAsia="宋体" w:hint="default"/>
                <w:w w:val="100"/>
                <w:sz w:val="21"/>
                <w:szCs w:val="21"/>
              </w:rPr>
              <w:t> </w:t>
            </w:r>
            <w:r>
              <w:rPr>
                <w:rFonts w:ascii="宋体" w:hAnsi="宋体" w:cs="宋体" w:eastAsia="宋体" w:hint="default"/>
                <w:sz w:val="21"/>
                <w:szCs w:val="21"/>
              </w:rPr>
              <w:t>总股本比例为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0.86%</w:t>
            </w:r>
            <w:r>
              <w:rPr>
                <w:rFonts w:ascii="宋体" w:hAnsi="宋体" w:cs="宋体" w:eastAsia="宋体" w:hint="default"/>
                <w:sz w:val="21"/>
                <w:szCs w:val="21"/>
              </w:rPr>
              <w:t>。</w:t>
            </w:r>
          </w:p>
        </w:tc>
      </w:tr>
      <w:tr>
        <w:trPr>
          <w:trHeight w:val="329"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3"/>
        <w:spacing w:line="274" w:lineRule="exact"/>
        <w:ind w:right="0"/>
        <w:jc w:val="left"/>
        <w:rPr>
          <w:rFonts w:ascii="宋体" w:hAnsi="宋体" w:cs="宋体" w:eastAsia="宋体" w:hint="default"/>
        </w:rPr>
      </w:pPr>
      <w:r>
        <w:rPr>
          <w:rFonts w:ascii="宋体"/>
        </w:rPr>
        <w:t> </w:t>
      </w:r>
    </w:p>
    <w:p>
      <w:pPr>
        <w:pStyle w:val="Heading5"/>
        <w:tabs>
          <w:tab w:pos="638" w:val="left" w:leader="none"/>
        </w:tabs>
        <w:spacing w:line="240" w:lineRule="auto" w:before="64"/>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tabs>
          <w:tab w:pos="698" w:val="left" w:leader="none"/>
        </w:tabs>
        <w:spacing w:line="240" w:lineRule="auto" w:before="61"/>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638" w:val="left" w:leader="none"/>
        </w:tabs>
        <w:spacing w:line="240" w:lineRule="auto" w:before="61"/>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tabs>
          <w:tab w:pos="63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3"/>
          <w:pgSz w:w="11910" w:h="16840"/>
          <w:pgMar w:footer="974" w:header="0" w:top="1120" w:bottom="1160" w:left="120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346" w:lineRule="exact"/>
        <w:ind w:left="21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959876" cy="212531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5" cstate="print"/>
                    <a:stretch>
                      <a:fillRect/>
                    </a:stretch>
                  </pic:blipFill>
                  <pic:spPr>
                    <a:xfrm>
                      <a:off x="0" y="0"/>
                      <a:ext cx="2959876" cy="2125313"/>
                    </a:xfrm>
                    <a:prstGeom prst="rect">
                      <a:avLst/>
                    </a:prstGeom>
                  </pic:spPr>
                </pic:pic>
              </a:graphicData>
            </a:graphic>
          </wp:inline>
        </w:drawing>
      </w:r>
      <w:r>
        <w:rPr>
          <w:rFonts w:ascii="宋体" w:hAnsi="宋体" w:cs="宋体" w:eastAsia="宋体" w:hint="default"/>
          <w:position w:val="-66"/>
          <w:sz w:val="20"/>
          <w:szCs w:val="20"/>
        </w:rPr>
      </w:r>
    </w:p>
    <w:p>
      <w:pPr>
        <w:pStyle w:val="BodyText"/>
        <w:spacing w:line="238" w:lineRule="exact"/>
        <w:ind w:right="0"/>
        <w:jc w:val="left"/>
        <w:rPr>
          <w:rFonts w:ascii="宋体" w:hAnsi="宋体" w:cs="宋体" w:eastAsia="宋体" w:hint="default"/>
        </w:rPr>
      </w:pPr>
      <w:r>
        <w:rPr>
          <w:rFonts w:ascii="宋体"/>
          <w:w w:val="100"/>
        </w:rPr>
        <w:t> </w:t>
      </w:r>
    </w:p>
    <w:p>
      <w:pPr>
        <w:pStyle w:val="Heading5"/>
        <w:tabs>
          <w:tab w:pos="643" w:val="left" w:leader="none"/>
        </w:tabs>
        <w:spacing w:line="264" w:lineRule="auto" w:before="59"/>
        <w:ind w:right="7287"/>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31"/>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04"/>
        <w:gridCol w:w="5646"/>
      </w:tblGrid>
      <w:tr>
        <w:trPr>
          <w:trHeight w:val="4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6" w:right="0"/>
              <w:jc w:val="left"/>
              <w:rPr>
                <w:rFonts w:ascii="宋体" w:hAnsi="宋体" w:cs="宋体" w:eastAsia="宋体" w:hint="default"/>
                <w:sz w:val="21"/>
                <w:szCs w:val="21"/>
              </w:rPr>
            </w:pPr>
            <w:r>
              <w:rPr>
                <w:rFonts w:ascii="宋体" w:hAnsi="宋体" w:cs="宋体" w:eastAsia="宋体" w:hint="default"/>
                <w:sz w:val="21"/>
                <w:szCs w:val="21"/>
              </w:rPr>
              <w:t>青岛市人民政府国有资产监督管理委员会</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5"/>
        <w:tabs>
          <w:tab w:pos="643" w:val="left" w:leader="none"/>
        </w:tabs>
        <w:spacing w:line="240" w:lineRule="auto" w:before="64"/>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tabs>
          <w:tab w:pos="643"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643" w:val="left" w:leader="none"/>
        </w:tabs>
        <w:spacing w:line="240" w:lineRule="auto" w:before="64"/>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tabs>
          <w:tab w:pos="643"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
          <w:szCs w:val="2"/>
        </w:rPr>
      </w:pPr>
    </w:p>
    <w:p>
      <w:pPr>
        <w:spacing w:line="3179" w:lineRule="exact"/>
        <w:ind w:left="218"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186414" cy="201920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6" cstate="print"/>
                    <a:stretch>
                      <a:fillRect/>
                    </a:stretch>
                  </pic:blipFill>
                  <pic:spPr>
                    <a:xfrm>
                      <a:off x="0" y="0"/>
                      <a:ext cx="3186414" cy="2019204"/>
                    </a:xfrm>
                    <a:prstGeom prst="rect">
                      <a:avLst/>
                    </a:prstGeom>
                  </pic:spPr>
                </pic:pic>
              </a:graphicData>
            </a:graphic>
          </wp:inline>
        </w:drawing>
      </w:r>
      <w:r>
        <w:rPr>
          <w:rFonts w:ascii="宋体" w:hAnsi="宋体" w:cs="宋体" w:eastAsia="宋体" w:hint="default"/>
          <w:position w:val="-63"/>
          <w:sz w:val="20"/>
          <w:szCs w:val="20"/>
        </w:rPr>
      </w:r>
    </w:p>
    <w:p>
      <w:pPr>
        <w:spacing w:after="0" w:line="3179" w:lineRule="exact"/>
        <w:rPr>
          <w:rFonts w:ascii="宋体" w:hAnsi="宋体" w:cs="宋体" w:eastAsia="宋体" w:hint="default"/>
          <w:sz w:val="20"/>
          <w:szCs w:val="20"/>
        </w:rPr>
        <w:sectPr>
          <w:footerReference w:type="default" r:id="rId34"/>
          <w:pgSz w:w="11910" w:h="16840"/>
          <w:pgMar w:footer="974" w:header="0" w:top="1120" w:bottom="1160" w:left="1200" w:right="1300"/>
          <w:pgNumType w:start="51"/>
        </w:sectPr>
      </w:pPr>
    </w:p>
    <w:p>
      <w:pPr>
        <w:spacing w:line="240" w:lineRule="auto" w:before="0"/>
        <w:rPr>
          <w:rFonts w:ascii="宋体" w:hAnsi="宋体" w:cs="宋体" w:eastAsia="宋体" w:hint="default"/>
          <w:sz w:val="20"/>
          <w:szCs w:val="20"/>
        </w:rPr>
      </w:pPr>
    </w:p>
    <w:p>
      <w:pPr>
        <w:pStyle w:val="Heading5"/>
        <w:tabs>
          <w:tab w:pos="563" w:val="left" w:leader="none"/>
        </w:tabs>
        <w:spacing w:line="240" w:lineRule="auto" w:before="170"/>
        <w:ind w:left="138" w:right="192"/>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220"/>
        <w:gridCol w:w="6827"/>
      </w:tblGrid>
      <w:tr>
        <w:trPr>
          <w:trHeight w:val="2568"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80" w:lineRule="auto"/>
              <w:ind w:left="103" w:right="100"/>
              <w:jc w:val="both"/>
              <w:rPr>
                <w:rFonts w:ascii="宋体" w:hAnsi="宋体" w:cs="宋体" w:eastAsia="宋体" w:hint="default"/>
                <w:sz w:val="21"/>
                <w:szCs w:val="21"/>
              </w:rPr>
            </w:pPr>
            <w:r>
              <w:rPr>
                <w:rFonts w:ascii="宋体" w:hAnsi="宋体" w:cs="宋体" w:eastAsia="宋体" w:hint="default"/>
                <w:spacing w:val="10"/>
                <w:sz w:val="21"/>
                <w:szCs w:val="21"/>
              </w:rPr>
              <w:t>信托合同或者其他资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产管理安排的主要内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容</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91"/>
              <w:jc w:val="both"/>
              <w:rPr>
                <w:rFonts w:ascii="宋体" w:hAnsi="宋体" w:cs="宋体" w:eastAsia="宋体" w:hint="default"/>
                <w:sz w:val="21"/>
                <w:szCs w:val="21"/>
              </w:rPr>
            </w:pPr>
            <w:r>
              <w:rPr>
                <w:rFonts w:ascii="宋体" w:hAnsi="宋体" w:cs="宋体" w:eastAsia="宋体" w:hint="default"/>
                <w:spacing w:val="-2"/>
                <w:sz w:val="21"/>
                <w:szCs w:val="21"/>
              </w:rPr>
              <w:t>根据《华宝·境外市场投资</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号系列</w:t>
            </w:r>
            <w:r>
              <w:rPr>
                <w:rFonts w:ascii="Times New Roman" w:hAnsi="Times New Roman" w:cs="Times New Roman" w:eastAsia="Times New Roman" w:hint="default"/>
                <w:spacing w:val="-2"/>
                <w:sz w:val="21"/>
                <w:szCs w:val="21"/>
              </w:rPr>
              <w:t>28-5</w:t>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t>QDII</w:t>
            </w:r>
            <w:r>
              <w:rPr>
                <w:rFonts w:ascii="宋体" w:hAnsi="宋体" w:cs="宋体" w:eastAsia="宋体" w:hint="default"/>
                <w:spacing w:val="-2"/>
                <w:sz w:val="21"/>
                <w:szCs w:val="21"/>
              </w:rPr>
              <w:t>单一资金信托合同》《华</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7"/>
                <w:w w:val="100"/>
                <w:sz w:val="21"/>
                <w:szCs w:val="21"/>
              </w:rPr>
              <w:t>宝·境外市场投资</w:t>
            </w:r>
            <w:r>
              <w:rPr>
                <w:rFonts w:ascii="Times New Roman" w:hAnsi="Times New Roman" w:cs="Times New Roman" w:eastAsia="Times New Roman" w:hint="default"/>
                <w:spacing w:val="-7"/>
                <w:w w:val="100"/>
                <w:sz w:val="21"/>
                <w:szCs w:val="21"/>
              </w:rPr>
              <w:t>2</w:t>
            </w:r>
            <w:r>
              <w:rPr>
                <w:rFonts w:ascii="宋体" w:hAnsi="宋体" w:cs="宋体" w:eastAsia="宋体" w:hint="default"/>
                <w:spacing w:val="-7"/>
                <w:w w:val="100"/>
                <w:sz w:val="21"/>
                <w:szCs w:val="21"/>
              </w:rPr>
              <w:t>号系列</w:t>
            </w:r>
            <w:r>
              <w:rPr>
                <w:rFonts w:ascii="Times New Roman" w:hAnsi="Times New Roman" w:cs="Times New Roman" w:eastAsia="Times New Roman" w:hint="default"/>
                <w:spacing w:val="-7"/>
                <w:w w:val="100"/>
                <w:sz w:val="21"/>
                <w:szCs w:val="21"/>
              </w:rPr>
              <w:t>28-5</w:t>
            </w:r>
            <w:r>
              <w:rPr>
                <w:rFonts w:ascii="宋体" w:hAnsi="宋体" w:cs="宋体" w:eastAsia="宋体" w:hint="default"/>
                <w:spacing w:val="-7"/>
                <w:w w:val="100"/>
                <w:sz w:val="21"/>
                <w:szCs w:val="21"/>
              </w:rPr>
              <w:t>期</w:t>
            </w:r>
            <w:r>
              <w:rPr>
                <w:rFonts w:ascii="Times New Roman" w:hAnsi="Times New Roman" w:cs="Times New Roman" w:eastAsia="Times New Roman" w:hint="default"/>
                <w:spacing w:val="-7"/>
                <w:w w:val="100"/>
                <w:sz w:val="21"/>
                <w:szCs w:val="21"/>
              </w:rPr>
              <w:t>QDII</w:t>
            </w:r>
            <w:r>
              <w:rPr>
                <w:rFonts w:ascii="宋体" w:hAnsi="宋体" w:cs="宋体" w:eastAsia="宋体" w:hint="default"/>
                <w:spacing w:val="-7"/>
                <w:w w:val="100"/>
                <w:sz w:val="21"/>
                <w:szCs w:val="21"/>
              </w:rPr>
              <w:t>单一资金信托合同之补充协议》《华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宝·境外市场投资</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号系列</w:t>
            </w:r>
            <w:r>
              <w:rPr>
                <w:rFonts w:ascii="Times New Roman" w:hAnsi="Times New Roman" w:cs="Times New Roman" w:eastAsia="Times New Roman" w:hint="default"/>
                <w:spacing w:val="-2"/>
                <w:sz w:val="21"/>
                <w:szCs w:val="21"/>
              </w:rPr>
              <w:t>28-5</w:t>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t>QDII</w:t>
            </w:r>
            <w:r>
              <w:rPr>
                <w:rFonts w:ascii="宋体" w:hAnsi="宋体" w:cs="宋体" w:eastAsia="宋体" w:hint="default"/>
                <w:spacing w:val="-2"/>
                <w:sz w:val="21"/>
                <w:szCs w:val="21"/>
              </w:rPr>
              <w:t>单一资金信托合同之信托受益权转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让协议》《华宝·境外市场投资</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号系列</w:t>
            </w:r>
            <w:r>
              <w:rPr>
                <w:rFonts w:ascii="Times New Roman" w:hAnsi="Times New Roman" w:cs="Times New Roman" w:eastAsia="Times New Roman" w:hint="default"/>
                <w:spacing w:val="-2"/>
                <w:sz w:val="21"/>
                <w:szCs w:val="21"/>
              </w:rPr>
              <w:t>28-5</w:t>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t>QDII</w:t>
            </w:r>
            <w:r>
              <w:rPr>
                <w:rFonts w:ascii="宋体" w:hAnsi="宋体" w:cs="宋体" w:eastAsia="宋体" w:hint="default"/>
                <w:spacing w:val="-2"/>
                <w:sz w:val="21"/>
                <w:szCs w:val="21"/>
              </w:rPr>
              <w:t>单一资金信托合同之</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补充协议二》，委托人（受益人）为青岛港集团全资子公司金控公司，</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受托人为华宝信托有限责任公司，委托人将信托资金委托给受托人，由</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受托人按委托人的意愿以及投资指令以受托人的名义，为受益人的利益</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或者特定目的管理、运用和处分信托财产，并向受益人分配信托财产。</w:t>
            </w:r>
            <w:r>
              <w:rPr>
                <w:rFonts w:ascii="宋体" w:hAnsi="宋体" w:cs="宋体" w:eastAsia="宋体" w:hint="default"/>
                <w:sz w:val="21"/>
                <w:szCs w:val="21"/>
              </w:rPr>
              <w:t> </w:t>
            </w:r>
          </w:p>
        </w:tc>
      </w:tr>
      <w:tr>
        <w:trPr>
          <w:trHeight w:val="65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100"/>
              <w:jc w:val="left"/>
              <w:rPr>
                <w:rFonts w:ascii="宋体" w:hAnsi="宋体" w:cs="宋体" w:eastAsia="宋体" w:hint="default"/>
                <w:sz w:val="21"/>
                <w:szCs w:val="21"/>
              </w:rPr>
            </w:pPr>
            <w:r>
              <w:rPr>
                <w:rFonts w:ascii="宋体" w:hAnsi="宋体" w:cs="宋体" w:eastAsia="宋体" w:hint="default"/>
                <w:spacing w:val="10"/>
                <w:sz w:val="21"/>
                <w:szCs w:val="21"/>
              </w:rPr>
              <w:t>信托或其他资产管理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的具体方式</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本信托为委托人指定用途的单一开放式事务管理类资金信托。</w:t>
            </w:r>
          </w:p>
        </w:tc>
      </w:tr>
      <w:tr>
        <w:trPr>
          <w:trHeight w:val="129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103" w:right="98"/>
              <w:jc w:val="both"/>
              <w:rPr>
                <w:rFonts w:ascii="宋体" w:hAnsi="宋体" w:cs="宋体" w:eastAsia="宋体" w:hint="default"/>
                <w:sz w:val="21"/>
                <w:szCs w:val="21"/>
              </w:rPr>
            </w:pPr>
            <w:r>
              <w:rPr>
                <w:rFonts w:ascii="宋体" w:hAnsi="宋体" w:cs="宋体" w:eastAsia="宋体" w:hint="default"/>
                <w:spacing w:val="-11"/>
                <w:w w:val="100"/>
                <w:sz w:val="21"/>
                <w:szCs w:val="21"/>
              </w:rPr>
              <w:t>信托管理权限（包括公</w:t>
            </w:r>
            <w:r>
              <w:rPr>
                <w:rFonts w:ascii="宋体" w:hAnsi="宋体" w:cs="宋体" w:eastAsia="宋体" w:hint="default"/>
                <w:w w:val="100"/>
                <w:sz w:val="21"/>
                <w:szCs w:val="21"/>
              </w:rPr>
              <w:t> </w:t>
            </w:r>
            <w:r>
              <w:rPr>
                <w:rFonts w:ascii="宋体" w:hAnsi="宋体" w:cs="宋体" w:eastAsia="宋体" w:hint="default"/>
                <w:spacing w:val="10"/>
                <w:sz w:val="21"/>
                <w:szCs w:val="21"/>
              </w:rPr>
              <w:t>司股份表决权的行使</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等）</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本信托的设立、信托财产的运用对象、信托财产的管理、运用和处分方</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式等事项均由委托人自主决定。受托人主要承担账户管理、清算分配及</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提供或出具必要文件以配合委托人管理信托财产等一般信托事务职责，</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不承担主动管理职责。</w:t>
            </w:r>
          </w:p>
        </w:tc>
      </w:tr>
      <w:tr>
        <w:trPr>
          <w:trHeight w:val="97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both"/>
              <w:rPr>
                <w:rFonts w:ascii="宋体" w:hAnsi="宋体" w:cs="宋体" w:eastAsia="宋体" w:hint="default"/>
                <w:sz w:val="21"/>
                <w:szCs w:val="21"/>
              </w:rPr>
            </w:pPr>
            <w:r>
              <w:rPr>
                <w:rFonts w:ascii="宋体" w:hAnsi="宋体" w:cs="宋体" w:eastAsia="宋体" w:hint="default"/>
                <w:spacing w:val="10"/>
                <w:sz w:val="21"/>
                <w:szCs w:val="21"/>
              </w:rPr>
              <w:t>涉及的股份数量及占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sz w:val="21"/>
                <w:szCs w:val="21"/>
              </w:rPr>
              <w:t>公司已发行股份的比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例</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72"/>
              <w:ind w:left="103" w:right="103"/>
              <w:jc w:val="left"/>
              <w:rPr>
                <w:rFonts w:ascii="宋体" w:hAnsi="宋体" w:cs="宋体" w:eastAsia="宋体" w:hint="default"/>
                <w:sz w:val="21"/>
                <w:szCs w:val="21"/>
              </w:rPr>
            </w:pPr>
            <w:r>
              <w:rPr>
                <w:rFonts w:ascii="宋体" w:hAnsi="宋体" w:cs="宋体" w:eastAsia="宋体" w:hint="default"/>
                <w:spacing w:val="-2"/>
                <w:sz w:val="21"/>
                <w:szCs w:val="21"/>
              </w:rPr>
              <w:t>截至本报告期末，金控公司通过华宝·境外市场投资</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号系列</w:t>
            </w:r>
            <w:r>
              <w:rPr>
                <w:rFonts w:ascii="Times New Roman" w:hAnsi="Times New Roman" w:cs="Times New Roman" w:eastAsia="Times New Roman" w:hint="default"/>
                <w:spacing w:val="-2"/>
                <w:sz w:val="21"/>
                <w:szCs w:val="21"/>
              </w:rPr>
              <w:t>28-5</w:t>
            </w:r>
            <w:r>
              <w:rPr>
                <w:rFonts w:ascii="宋体" w:hAnsi="宋体" w:cs="宋体" w:eastAsia="宋体" w:hint="default"/>
                <w:spacing w:val="-2"/>
                <w:sz w:val="21"/>
                <w:szCs w:val="21"/>
              </w:rPr>
              <w:t>期</w:t>
            </w:r>
            <w:r>
              <w:rPr>
                <w:rFonts w:ascii="Times New Roman" w:hAnsi="Times New Roman" w:cs="Times New Roman" w:eastAsia="Times New Roman" w:hint="default"/>
                <w:spacing w:val="-2"/>
                <w:sz w:val="21"/>
                <w:szCs w:val="21"/>
              </w:rPr>
              <w:t>QDII</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宋体" w:hAnsi="宋体" w:cs="宋体" w:eastAsia="宋体" w:hint="default"/>
                <w:sz w:val="21"/>
                <w:szCs w:val="21"/>
              </w:rPr>
              <w:t>单一资金信托持有青岛港</w:t>
            </w:r>
            <w:r>
              <w:rPr>
                <w:rFonts w:ascii="Times New Roman" w:hAnsi="Times New Roman" w:cs="Times New Roman" w:eastAsia="Times New Roman" w:hint="default"/>
                <w:sz w:val="21"/>
                <w:szCs w:val="21"/>
              </w:rPr>
              <w:t>H</w:t>
            </w:r>
            <w:r>
              <w:rPr>
                <w:rFonts w:ascii="宋体" w:hAnsi="宋体" w:cs="宋体" w:eastAsia="宋体" w:hint="default"/>
                <w:sz w:val="21"/>
                <w:szCs w:val="21"/>
              </w:rPr>
              <w:t>股</w:t>
            </w:r>
            <w:r>
              <w:rPr>
                <w:rFonts w:ascii="Times New Roman" w:hAnsi="Times New Roman" w:cs="Times New Roman" w:eastAsia="Times New Roman" w:hint="default"/>
                <w:sz w:val="21"/>
                <w:szCs w:val="21"/>
              </w:rPr>
              <w:t>13,739,000</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0.21%</w:t>
            </w:r>
            <w:r>
              <w:rPr>
                <w:rFonts w:ascii="宋体" w:hAnsi="宋体" w:cs="宋体" w:eastAsia="宋体" w:hint="default"/>
                <w:sz w:val="21"/>
                <w:szCs w:val="21"/>
              </w:rPr>
              <w:t>。</w:t>
            </w:r>
          </w:p>
        </w:tc>
      </w:tr>
      <w:tr>
        <w:trPr>
          <w:trHeight w:val="1289"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信托资产处理安排</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99"/>
              <w:jc w:val="both"/>
              <w:rPr>
                <w:rFonts w:ascii="宋体" w:hAnsi="宋体" w:cs="宋体" w:eastAsia="宋体" w:hint="default"/>
                <w:sz w:val="21"/>
                <w:szCs w:val="21"/>
              </w:rPr>
            </w:pPr>
            <w:r>
              <w:rPr>
                <w:rFonts w:ascii="宋体" w:hAnsi="宋体" w:cs="宋体" w:eastAsia="宋体" w:hint="default"/>
                <w:sz w:val="21"/>
                <w:szCs w:val="21"/>
              </w:rPr>
              <w:t>本信托终止后，信托财产归属受益人。受托人在本信托终止且清算程序</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完成后的</w:t>
            </w:r>
            <w:r>
              <w:rPr>
                <w:rFonts w:ascii="Times New Roman" w:hAnsi="Times New Roman" w:cs="Times New Roman" w:eastAsia="Times New Roman" w:hint="default"/>
                <w:sz w:val="21"/>
                <w:szCs w:val="21"/>
              </w:rPr>
              <w:t>15</w:t>
            </w:r>
            <w:r>
              <w:rPr>
                <w:rFonts w:ascii="宋体" w:hAnsi="宋体" w:cs="宋体" w:eastAsia="宋体" w:hint="default"/>
                <w:sz w:val="21"/>
                <w:szCs w:val="21"/>
              </w:rPr>
              <w:t>个工作日内编制信托管理运用及清算报告书，并寄送给委托</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人与受益人。信托终止后的</w:t>
            </w:r>
            <w:r>
              <w:rPr>
                <w:rFonts w:ascii="Times New Roman" w:hAnsi="Times New Roman" w:cs="Times New Roman" w:eastAsia="Times New Roman" w:hint="default"/>
                <w:sz w:val="21"/>
                <w:szCs w:val="21"/>
              </w:rPr>
              <w:t>15</w:t>
            </w:r>
            <w:r>
              <w:rPr>
                <w:rFonts w:ascii="宋体" w:hAnsi="宋体" w:cs="宋体" w:eastAsia="宋体" w:hint="default"/>
                <w:sz w:val="21"/>
                <w:szCs w:val="21"/>
              </w:rPr>
              <w:t>个工作日为本信托的清算期，信托财产在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此期间产生的利息收入（如有）归受益人所有。</w:t>
            </w:r>
          </w:p>
        </w:tc>
      </w:tr>
      <w:tr>
        <w:trPr>
          <w:trHeight w:val="33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合同签订的时间</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r>
        <w:trPr>
          <w:trHeight w:val="65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合同的期限及变更</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98"/>
              <w:jc w:val="left"/>
              <w:rPr>
                <w:rFonts w:ascii="宋体" w:hAnsi="宋体" w:cs="宋体" w:eastAsia="宋体" w:hint="default"/>
                <w:sz w:val="21"/>
                <w:szCs w:val="21"/>
              </w:rPr>
            </w:pPr>
            <w:r>
              <w:rPr>
                <w:rFonts w:ascii="宋体" w:hAnsi="宋体" w:cs="宋体" w:eastAsia="宋体" w:hint="default"/>
                <w:sz w:val="21"/>
                <w:szCs w:val="21"/>
              </w:rPr>
              <w:t>本信托成立日为</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日，到期日为</w:t>
            </w:r>
            <w:r>
              <w:rPr>
                <w:rFonts w:ascii="Times New Roman" w:hAnsi="Times New Roman" w:cs="Times New Roman" w:eastAsia="Times New Roman" w:hint="default"/>
                <w:sz w:val="21"/>
                <w:szCs w:val="21"/>
              </w:rPr>
              <w:t>2022</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日，本信托可以</w:t>
            </w:r>
            <w:r>
              <w:rPr>
                <w:rFonts w:ascii="宋体" w:hAnsi="宋体" w:cs="宋体" w:eastAsia="宋体" w:hint="default"/>
                <w:spacing w:val="-12"/>
                <w:sz w:val="21"/>
                <w:szCs w:val="21"/>
              </w:rPr>
              <w:t> </w:t>
            </w:r>
            <w:r>
              <w:rPr>
                <w:rFonts w:ascii="宋体" w:hAnsi="宋体" w:cs="宋体" w:eastAsia="宋体" w:hint="default"/>
                <w:sz w:val="21"/>
                <w:szCs w:val="21"/>
              </w:rPr>
              <w:t>提前终止或延期。</w:t>
            </w:r>
          </w:p>
        </w:tc>
      </w:tr>
      <w:tr>
        <w:trPr>
          <w:trHeight w:val="329"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信托或资产管理费用</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本报告期内信托管理费用为</w:t>
            </w:r>
            <w:r>
              <w:rPr>
                <w:rFonts w:ascii="Times New Roman" w:hAnsi="Times New Roman" w:cs="Times New Roman" w:eastAsia="Times New Roman" w:hint="default"/>
                <w:sz w:val="21"/>
                <w:szCs w:val="21"/>
              </w:rPr>
              <w:t>142.22</w:t>
            </w:r>
            <w:r>
              <w:rPr>
                <w:rFonts w:ascii="宋体" w:hAnsi="宋体" w:cs="宋体" w:eastAsia="宋体" w:hint="default"/>
                <w:sz w:val="21"/>
                <w:szCs w:val="21"/>
              </w:rPr>
              <w:t>万元。</w:t>
            </w:r>
          </w:p>
        </w:tc>
      </w:tr>
      <w:tr>
        <w:trPr>
          <w:trHeight w:val="385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终止的条件</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发生下列任一情形，本信托终止：</w:t>
            </w:r>
          </w:p>
          <w:p>
            <w:pPr>
              <w:pStyle w:val="TableParagraph"/>
              <w:spacing w:line="240" w:lineRule="auto" w:before="4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、信托计划期限届满且未按本合同约定延期的；</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、信托财产未全部变现，但信托财产已按本合同约定全部分配完毕的；</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、本信托的存续违反信托目的；</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、信托目的已实现或者无法实现；</w:t>
            </w:r>
          </w:p>
          <w:p>
            <w:pPr>
              <w:pStyle w:val="TableParagraph"/>
              <w:spacing w:line="240" w:lineRule="auto" w:before="2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、本信托被撤销；</w:t>
            </w:r>
          </w:p>
          <w:p>
            <w:pPr>
              <w:pStyle w:val="TableParagraph"/>
              <w:spacing w:line="266" w:lineRule="auto" w:before="28"/>
              <w:ind w:left="103" w:right="9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、经委托人和受托人协商一致，且本信托下的信托财产全部变现后，本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信托可提前终止；</w:t>
            </w:r>
          </w:p>
          <w:p>
            <w:pPr>
              <w:pStyle w:val="TableParagraph"/>
              <w:spacing w:line="240" w:lineRule="auto" w:before="2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、受益人放弃全部信托受益权；</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、法律、行政法规规定的其他事由；</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、信托财产净值低于</w:t>
            </w:r>
            <w:r>
              <w:rPr>
                <w:rFonts w:ascii="Times New Roman" w:hAnsi="Times New Roman" w:cs="Times New Roman" w:eastAsia="Times New Roman" w:hint="default"/>
                <w:sz w:val="21"/>
                <w:szCs w:val="21"/>
              </w:rPr>
              <w:t>1000</w:t>
            </w:r>
            <w:r>
              <w:rPr>
                <w:rFonts w:ascii="宋体" w:hAnsi="宋体" w:cs="宋体" w:eastAsia="宋体" w:hint="default"/>
                <w:sz w:val="21"/>
                <w:szCs w:val="21"/>
              </w:rPr>
              <w:t>万人民币；</w:t>
            </w:r>
          </w:p>
          <w:p>
            <w:pPr>
              <w:pStyle w:val="TableParagraph"/>
              <w:spacing w:line="240" w:lineRule="auto" w:before="2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、本信托约定的其他情形。</w:t>
            </w:r>
          </w:p>
        </w:tc>
      </w:tr>
      <w:tr>
        <w:trPr>
          <w:trHeight w:val="33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其他特别条款</w:t>
            </w:r>
          </w:p>
        </w:tc>
        <w:tc>
          <w:tcPr>
            <w:tcW w:w="6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3"/>
        <w:spacing w:line="274" w:lineRule="exact"/>
        <w:ind w:left="138"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0" w:footer="974" w:top="1120" w:bottom="1160" w:left="128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200" w:right="1200"/>
        </w:sectPr>
      </w:pPr>
    </w:p>
    <w:p>
      <w:pPr>
        <w:pStyle w:val="Heading5"/>
        <w:spacing w:line="240" w:lineRule="auto" w:before="17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3"/>
        <w:spacing w:line="240" w:lineRule="auto"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5"/>
        <w:spacing w:line="240" w:lineRule="auto"/>
        <w:ind w:right="-17"/>
        <w:jc w:val="left"/>
        <w:rPr>
          <w:b w:val="0"/>
          <w:bCs w:val="0"/>
        </w:rPr>
      </w:pPr>
      <w:r>
        <w:rPr/>
        <w:t>五、</w:t>
      </w:r>
      <w:r>
        <w:rPr>
          <w:spacing w:val="-77"/>
        </w:rPr>
        <w:t> </w:t>
      </w:r>
      <w:r>
        <w:rPr>
          <w:rFonts w:ascii="宋体" w:hAnsi="宋体" w:cs="宋体" w:eastAsia="宋体" w:hint="default"/>
          <w:spacing w:val="-77"/>
        </w:rPr>
      </w:r>
      <w:r>
        <w:rPr/>
        <w:t>其他持股在百分之十以上的法人股东</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4045" w:space="2503"/>
            <w:col w:w="2962"/>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27"/>
        <w:gridCol w:w="1177"/>
        <w:gridCol w:w="1133"/>
        <w:gridCol w:w="1416"/>
        <w:gridCol w:w="1135"/>
        <w:gridCol w:w="2336"/>
      </w:tblGrid>
      <w:tr>
        <w:trPr>
          <w:trHeight w:val="970"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63" w:right="159"/>
              <w:jc w:val="both"/>
              <w:rPr>
                <w:rFonts w:ascii="宋体" w:hAnsi="宋体" w:cs="宋体" w:eastAsia="宋体" w:hint="default"/>
                <w:sz w:val="21"/>
                <w:szCs w:val="21"/>
              </w:rPr>
            </w:pPr>
            <w:r>
              <w:rPr>
                <w:rFonts w:ascii="宋体" w:hAnsi="宋体" w:cs="宋体" w:eastAsia="宋体" w:hint="default"/>
                <w:sz w:val="21"/>
                <w:szCs w:val="21"/>
              </w:rPr>
              <w:t>单位负责</w:t>
            </w:r>
            <w:r>
              <w:rPr>
                <w:rFonts w:ascii="宋体" w:hAnsi="宋体" w:cs="宋体" w:eastAsia="宋体" w:hint="default"/>
                <w:w w:val="100"/>
                <w:sz w:val="21"/>
                <w:szCs w:val="21"/>
              </w:rPr>
              <w:t> </w:t>
            </w:r>
            <w:r>
              <w:rPr>
                <w:rFonts w:ascii="宋体" w:hAnsi="宋体" w:cs="宋体" w:eastAsia="宋体" w:hint="default"/>
                <w:sz w:val="21"/>
                <w:szCs w:val="21"/>
              </w:rPr>
              <w:t>人或法定</w:t>
            </w:r>
            <w:r>
              <w:rPr>
                <w:rFonts w:ascii="宋体" w:hAnsi="宋体" w:cs="宋体" w:eastAsia="宋体" w:hint="default"/>
                <w:w w:val="100"/>
                <w:sz w:val="21"/>
                <w:szCs w:val="21"/>
              </w:rPr>
              <w:t> </w:t>
            </w:r>
            <w:r>
              <w:rPr>
                <w:rFonts w:ascii="宋体" w:hAnsi="宋体" w:cs="宋体" w:eastAsia="宋体" w:hint="default"/>
                <w:sz w:val="21"/>
                <w:szCs w:val="21"/>
              </w:rPr>
              <w:t>代表人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491" w:right="279"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741" w:right="108" w:hanging="629"/>
              <w:jc w:val="left"/>
              <w:rPr>
                <w:rFonts w:ascii="宋体" w:hAnsi="宋体" w:cs="宋体" w:eastAsia="宋体" w:hint="default"/>
                <w:sz w:val="21"/>
                <w:szCs w:val="21"/>
              </w:rPr>
            </w:pPr>
            <w:r>
              <w:rPr>
                <w:rFonts w:ascii="宋体" w:hAnsi="宋体" w:cs="宋体" w:eastAsia="宋体" w:hint="default"/>
                <w:spacing w:val="-2"/>
                <w:sz w:val="21"/>
                <w:szCs w:val="21"/>
              </w:rPr>
              <w:t>主要经营业务或管理活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动等情况</w:t>
            </w:r>
          </w:p>
        </w:tc>
      </w:tr>
      <w:tr>
        <w:trPr>
          <w:trHeight w:val="2252"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78" w:lineRule="auto"/>
              <w:ind w:left="103" w:right="10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76"/>
                <w:sz w:val="21"/>
                <w:szCs w:val="21"/>
              </w:rPr>
              <w:t> </w:t>
            </w:r>
            <w:r>
              <w:rPr>
                <w:rFonts w:ascii="宋体" w:hAnsi="宋体" w:cs="宋体" w:eastAsia="宋体" w:hint="default"/>
                <w:sz w:val="21"/>
                <w:szCs w:val="21"/>
              </w:rPr>
              <w:t>码</w:t>
            </w:r>
            <w:r>
              <w:rPr>
                <w:rFonts w:ascii="宋体" w:hAnsi="宋体" w:cs="宋体" w:eastAsia="宋体" w:hint="default"/>
                <w:spacing w:val="-73"/>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发展有限公司</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冯波鸣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2</w:t>
            </w:r>
          </w:p>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91310109671</w:t>
            </w:r>
          </w:p>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1782134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748,560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
              <w:ind w:left="103" w:right="98"/>
              <w:jc w:val="both"/>
              <w:rPr>
                <w:rFonts w:ascii="宋体" w:hAnsi="宋体" w:cs="宋体" w:eastAsia="宋体" w:hint="default"/>
                <w:sz w:val="21"/>
                <w:szCs w:val="21"/>
              </w:rPr>
            </w:pPr>
            <w:r>
              <w:rPr>
                <w:rFonts w:ascii="宋体" w:hAnsi="宋体" w:cs="宋体" w:eastAsia="宋体" w:hint="default"/>
                <w:spacing w:val="-6"/>
                <w:sz w:val="21"/>
                <w:szCs w:val="21"/>
              </w:rPr>
              <w:t>投资管理，货物仓储</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除</w:t>
            </w:r>
            <w:r>
              <w:rPr>
                <w:rFonts w:ascii="宋体" w:hAnsi="宋体" w:cs="宋体" w:eastAsia="宋体" w:hint="default"/>
                <w:spacing w:val="-90"/>
                <w:sz w:val="21"/>
                <w:szCs w:val="21"/>
              </w:rPr>
              <w:t> </w:t>
            </w:r>
            <w:r>
              <w:rPr>
                <w:rFonts w:ascii="宋体" w:hAnsi="宋体" w:cs="宋体" w:eastAsia="宋体" w:hint="default"/>
                <w:spacing w:val="-6"/>
                <w:sz w:val="21"/>
                <w:szCs w:val="21"/>
              </w:rPr>
              <w:t>危险化学品</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，机械设备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租赁，商务咨询；销售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机械设备。【依法须经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批准的项目，经相关部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门批准后方可开展经营</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活动】</w:t>
            </w:r>
          </w:p>
        </w:tc>
      </w:tr>
      <w:tr>
        <w:trPr>
          <w:trHeight w:val="329"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type w:val="continuous"/>
          <w:pgSz w:w="11910" w:h="16840"/>
          <w:pgMar w:top="1120" w:bottom="1160" w:left="1200" w:right="120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18"/>
        <w:jc w:val="left"/>
        <w:rPr>
          <w:b w:val="0"/>
          <w:bCs w:val="0"/>
        </w:rPr>
      </w:pPr>
      <w:r>
        <w:rPr/>
        <w:t>六、</w:t>
      </w:r>
      <w:r>
        <w:rPr>
          <w:spacing w:val="-76"/>
        </w:rPr>
        <w:t> </w:t>
      </w:r>
      <w:r>
        <w:rPr>
          <w:rFonts w:ascii="宋体" w:hAnsi="宋体" w:cs="宋体" w:eastAsia="宋体" w:hint="default"/>
          <w:spacing w:val="-76"/>
        </w:rPr>
      </w:r>
      <w:r>
        <w:rPr/>
        <w:t>股份限制减持情况说明</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1478" w:val="left" w:leader="none"/>
        </w:tabs>
        <w:spacing w:line="240" w:lineRule="auto" w:before="185"/>
        <w:ind w:left="218" w:right="0"/>
        <w:jc w:val="left"/>
        <w:rPr>
          <w:b w:val="0"/>
          <w:bCs w:val="0"/>
        </w:rPr>
      </w:pPr>
      <w:bookmarkStart w:name="_TOC_250005" w:id="13"/>
      <w:r>
        <w:rPr>
          <w:w w:val="95"/>
        </w:rPr>
        <w:t>第七节</w:t>
      </w:r>
      <w:r>
        <w:rPr>
          <w:rFonts w:ascii="宋体" w:hAnsi="宋体" w:cs="宋体" w:eastAsia="宋体" w:hint="default"/>
          <w:w w:val="95"/>
        </w:rPr>
        <w:tab/>
      </w:r>
      <w:r>
        <w:rPr/>
        <w:t>优先股相关情况</w:t>
      </w:r>
      <w:bookmarkEnd w:id="13"/>
      <w:r>
        <w:rPr>
          <w:b w:val="0"/>
          <w:bCs w:val="0"/>
        </w:rPr>
      </w:r>
    </w:p>
    <w:p>
      <w:pPr>
        <w:spacing w:after="0" w:line="240" w:lineRule="auto"/>
        <w:jc w:val="left"/>
        <w:sectPr>
          <w:type w:val="continuous"/>
          <w:pgSz w:w="11910" w:h="16840"/>
          <w:pgMar w:top="1120" w:bottom="1160" w:left="1200" w:right="1200"/>
          <w:cols w:num="2" w:equalWidth="0">
            <w:col w:w="2780" w:space="141"/>
            <w:col w:w="6589"/>
          </w:cols>
        </w:sectPr>
      </w:pPr>
    </w:p>
    <w:p>
      <w:pPr>
        <w:spacing w:line="240" w:lineRule="auto" w:before="9"/>
        <w:rPr>
          <w:rFonts w:ascii="黑体" w:hAnsi="黑体" w:cs="黑体" w:eastAsia="黑体" w:hint="default"/>
          <w:b/>
          <w:bCs/>
          <w:sz w:val="16"/>
          <w:szCs w:val="16"/>
        </w:rPr>
      </w:pPr>
    </w:p>
    <w:p>
      <w:pPr>
        <w:pStyle w:val="Heading3"/>
        <w:spacing w:line="313" w:lineRule="exact" w:before="2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1"/>
        <w:tabs>
          <w:tab w:pos="5500" w:val="left" w:leader="none"/>
        </w:tabs>
        <w:spacing w:line="240" w:lineRule="auto"/>
        <w:ind w:left="4241" w:right="0"/>
        <w:jc w:val="left"/>
        <w:rPr>
          <w:b w:val="0"/>
          <w:bCs w:val="0"/>
        </w:rPr>
      </w:pPr>
      <w:bookmarkStart w:name="_TOC_250004" w:id="14"/>
      <w:r>
        <w:rPr>
          <w:w w:val="95"/>
        </w:rPr>
        <w:t>第八节</w:t>
      </w:r>
      <w:r>
        <w:rPr>
          <w:rFonts w:ascii="宋体" w:hAnsi="宋体" w:cs="宋体" w:eastAsia="宋体" w:hint="default"/>
          <w:w w:val="95"/>
        </w:rPr>
        <w:tab/>
      </w:r>
      <w:r>
        <w:rPr/>
        <w:t>董事、监事、高级管理人员和员工情况</w:t>
      </w:r>
      <w:bookmarkEnd w:id="14"/>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7"/>
          <w:footerReference w:type="default" r:id="rId38"/>
          <w:pgSz w:w="16840" w:h="11910" w:orient="landscape"/>
          <w:pgMar w:header="880" w:footer="975" w:top="1120" w:bottom="1160" w:left="1160" w:right="1160"/>
          <w:pgNumType w:start="54"/>
        </w:sectPr>
      </w:pPr>
    </w:p>
    <w:p>
      <w:pPr>
        <w:pStyle w:val="Heading5"/>
        <w:spacing w:line="240" w:lineRule="auto" w:before="36"/>
        <w:ind w:left="258" w:right="-16"/>
        <w:jc w:val="left"/>
        <w:rPr>
          <w:b w:val="0"/>
          <w:bCs w:val="0"/>
        </w:rPr>
      </w:pPr>
      <w:r>
        <w:rPr/>
        <w:t>一、持股变动情况及报酬情况</w:t>
      </w:r>
      <w:r>
        <w:rPr>
          <w:b w:val="0"/>
          <w:bCs w:val="0"/>
        </w:rPr>
      </w:r>
    </w:p>
    <w:p>
      <w:pPr>
        <w:pStyle w:val="Heading5"/>
        <w:spacing w:line="240" w:lineRule="auto"/>
        <w:ind w:left="258"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Heading3"/>
        <w:spacing w:line="240" w:lineRule="auto" w:before="25"/>
        <w:ind w:left="258" w:right="-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5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160" w:right="1160"/>
          <w:cols w:num="2" w:equalWidth="0">
            <w:col w:w="7006" w:space="6158"/>
            <w:col w:w="135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94"/>
        <w:gridCol w:w="1985"/>
        <w:gridCol w:w="708"/>
        <w:gridCol w:w="709"/>
        <w:gridCol w:w="1985"/>
        <w:gridCol w:w="1985"/>
        <w:gridCol w:w="850"/>
        <w:gridCol w:w="852"/>
        <w:gridCol w:w="850"/>
        <w:gridCol w:w="992"/>
        <w:gridCol w:w="1277"/>
        <w:gridCol w:w="1087"/>
      </w:tblGrid>
      <w:tr>
        <w:trPr>
          <w:trHeight w:val="128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0" w:lineRule="auto"/>
              <w:ind w:left="211" w:right="98"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0" w:lineRule="auto"/>
              <w:ind w:left="208" w:right="103"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0" w:lineRule="auto"/>
              <w:ind w:left="175" w:right="17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7" w:right="103"/>
              <w:jc w:val="both"/>
              <w:rPr>
                <w:rFonts w:ascii="宋体" w:hAnsi="宋体" w:cs="宋体" w:eastAsia="宋体" w:hint="default"/>
                <w:sz w:val="21"/>
                <w:szCs w:val="21"/>
              </w:rPr>
            </w:pPr>
            <w:r>
              <w:rPr>
                <w:rFonts w:ascii="宋体" w:hAnsi="宋体" w:cs="宋体" w:eastAsia="宋体" w:hint="default"/>
                <w:sz w:val="21"/>
                <w:szCs w:val="21"/>
              </w:rPr>
              <w:t>报告期内从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117" w:right="115"/>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331"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77"/>
              <w:ind w:left="175" w:right="0"/>
              <w:jc w:val="left"/>
              <w:rPr>
                <w:rFonts w:ascii="宋体" w:hAnsi="宋体" w:cs="宋体" w:eastAsia="宋体" w:hint="default"/>
                <w:sz w:val="21"/>
                <w:szCs w:val="21"/>
              </w:rPr>
            </w:pPr>
            <w:r>
              <w:rPr>
                <w:rFonts w:ascii="宋体" w:hAnsi="宋体" w:cs="宋体" w:eastAsia="宋体" w:hint="default"/>
                <w:sz w:val="21"/>
                <w:szCs w:val="21"/>
              </w:rPr>
              <w:t>李奉利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9" w:hRule="exact"/>
        </w:trPr>
        <w:tc>
          <w:tcPr>
            <w:tcW w:w="99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李奉利</w:t>
            </w:r>
          </w:p>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郑明辉</w:t>
            </w:r>
          </w:p>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董事长、执行董事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焦广军</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102"/>
              <w:jc w:val="left"/>
              <w:rPr>
                <w:rFonts w:ascii="宋体" w:hAnsi="宋体" w:cs="宋体" w:eastAsia="宋体" w:hint="default"/>
                <w:sz w:val="21"/>
                <w:szCs w:val="21"/>
              </w:rPr>
            </w:pPr>
            <w:r>
              <w:rPr>
                <w:rFonts w:ascii="宋体" w:hAnsi="宋体" w:cs="宋体" w:eastAsia="宋体" w:hint="default"/>
                <w:spacing w:val="8"/>
                <w:sz w:val="21"/>
                <w:szCs w:val="21"/>
              </w:rPr>
              <w:t>副董事长、非执行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31"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6"/>
              <w:ind w:left="175" w:right="0"/>
              <w:jc w:val="left"/>
              <w:rPr>
                <w:rFonts w:ascii="宋体" w:hAnsi="宋体" w:cs="宋体" w:eastAsia="宋体" w:hint="default"/>
                <w:sz w:val="21"/>
                <w:szCs w:val="21"/>
              </w:rPr>
            </w:pPr>
            <w:r>
              <w:rPr>
                <w:rFonts w:ascii="宋体" w:hAnsi="宋体" w:cs="宋体" w:eastAsia="宋体" w:hint="default"/>
                <w:sz w:val="21"/>
                <w:szCs w:val="21"/>
              </w:rPr>
              <w:t>张江南</w:t>
            </w:r>
          </w:p>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执行董事、总裁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123.39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褚效忠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职工代表董事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118.95</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1"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77"/>
              <w:ind w:left="175" w:right="0"/>
              <w:jc w:val="left"/>
              <w:rPr>
                <w:rFonts w:ascii="宋体" w:hAnsi="宋体" w:cs="宋体" w:eastAsia="宋体" w:hint="default"/>
                <w:sz w:val="21"/>
                <w:szCs w:val="21"/>
              </w:rPr>
            </w:pPr>
            <w:r>
              <w:rPr>
                <w:rFonts w:ascii="宋体" w:hAnsi="宋体" w:cs="宋体" w:eastAsia="宋体" w:hint="default"/>
                <w:sz w:val="21"/>
                <w:szCs w:val="21"/>
              </w:rPr>
              <w:t>姜春凤</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0" w:right="-3"/>
              <w:jc w:val="left"/>
              <w:rPr>
                <w:rFonts w:ascii="宋体" w:hAnsi="宋体" w:cs="宋体" w:eastAsia="宋体" w:hint="default"/>
                <w:sz w:val="21"/>
                <w:szCs w:val="21"/>
              </w:rPr>
            </w:pPr>
            <w:r>
              <w:rPr>
                <w:rFonts w:ascii="宋体" w:hAnsi="宋体" w:cs="宋体" w:eastAsia="宋体" w:hint="default"/>
                <w:spacing w:val="-3"/>
                <w:sz w:val="21"/>
                <w:szCs w:val="21"/>
              </w:rPr>
              <w:t>执行董事、副总裁、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118.32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李燕</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10.36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蒋敏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10.36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1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994"/>
        <w:gridCol w:w="1985"/>
        <w:gridCol w:w="708"/>
        <w:gridCol w:w="709"/>
        <w:gridCol w:w="1985"/>
        <w:gridCol w:w="1985"/>
        <w:gridCol w:w="850"/>
        <w:gridCol w:w="852"/>
        <w:gridCol w:w="850"/>
        <w:gridCol w:w="992"/>
        <w:gridCol w:w="1277"/>
        <w:gridCol w:w="1087"/>
      </w:tblGrid>
      <w:tr>
        <w:trPr>
          <w:trHeight w:val="128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8" w:lineRule="auto"/>
              <w:ind w:left="211" w:right="98"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8" w:lineRule="auto"/>
              <w:ind w:left="208" w:right="103"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1"/>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8" w:lineRule="auto"/>
              <w:ind w:left="175" w:right="17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7" w:right="103"/>
              <w:jc w:val="both"/>
              <w:rPr>
                <w:rFonts w:ascii="宋体" w:hAnsi="宋体" w:cs="宋体" w:eastAsia="宋体" w:hint="default"/>
                <w:sz w:val="21"/>
                <w:szCs w:val="21"/>
              </w:rPr>
            </w:pPr>
            <w:r>
              <w:rPr>
                <w:rFonts w:ascii="宋体" w:hAnsi="宋体" w:cs="宋体" w:eastAsia="宋体" w:hint="default"/>
                <w:sz w:val="21"/>
                <w:szCs w:val="21"/>
              </w:rPr>
              <w:t>报告期内从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117" w:right="115"/>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黎国浩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13.08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王亚平</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5" w:right="0"/>
              <w:jc w:val="left"/>
              <w:rPr>
                <w:rFonts w:ascii="宋体" w:hAnsi="宋体" w:cs="宋体" w:eastAsia="宋体" w:hint="default"/>
                <w:sz w:val="21"/>
                <w:szCs w:val="21"/>
              </w:rPr>
            </w:pPr>
            <w:r>
              <w:rPr>
                <w:rFonts w:ascii="宋体" w:hAnsi="宋体" w:cs="宋体" w:eastAsia="宋体" w:hint="default"/>
                <w:sz w:val="21"/>
                <w:szCs w:val="21"/>
              </w:rPr>
              <w:t>邹国强</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13.08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杨秋林</w:t>
            </w:r>
          </w:p>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李武成</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119.19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Times New Roman" w:hAnsi="Times New Roman" w:cs="Times New Roman" w:eastAsia="Times New Roman" w:hint="default"/>
                <w:sz w:val="21"/>
                <w:szCs w:val="21"/>
              </w:rPr>
            </w:pPr>
            <w:r>
              <w:rPr>
                <w:rFonts w:ascii="Times New Roman"/>
                <w:sz w:val="21"/>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15.53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杨秋林</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15.53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
              <w:jc w:val="center"/>
              <w:rPr>
                <w:rFonts w:ascii="Times New Roman" w:hAnsi="Times New Roman" w:cs="Times New Roman" w:eastAsia="Times New Roman" w:hint="default"/>
                <w:sz w:val="21"/>
                <w:szCs w:val="21"/>
              </w:rPr>
            </w:pPr>
            <w:r>
              <w:rPr>
                <w:rFonts w:ascii="Times New Roman"/>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21"/>
                <w:szCs w:val="21"/>
              </w:rPr>
            </w:pPr>
            <w:r>
              <w:rPr>
                <w:rFonts w:ascii="Times New Roman"/>
                <w:sz w:val="21"/>
              </w:rPr>
              <w:t>68.79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王晓燕</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39.68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5" w:right="0"/>
              <w:jc w:val="left"/>
              <w:rPr>
                <w:rFonts w:ascii="宋体" w:hAnsi="宋体" w:cs="宋体" w:eastAsia="宋体" w:hint="default"/>
                <w:sz w:val="21"/>
                <w:szCs w:val="21"/>
              </w:rPr>
            </w:pPr>
            <w:r>
              <w:rPr>
                <w:rFonts w:ascii="宋体" w:hAnsi="宋体" w:cs="宋体" w:eastAsia="宋体" w:hint="default"/>
                <w:sz w:val="21"/>
                <w:szCs w:val="21"/>
              </w:rPr>
              <w:t>李旭修</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刘登清</w:t>
            </w:r>
          </w:p>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5" w:right="0"/>
              <w:jc w:val="left"/>
              <w:rPr>
                <w:rFonts w:ascii="宋体" w:hAnsi="宋体" w:cs="宋体" w:eastAsia="宋体" w:hint="default"/>
                <w:sz w:val="21"/>
                <w:szCs w:val="21"/>
              </w:rPr>
            </w:pPr>
            <w:r>
              <w:rPr>
                <w:rFonts w:ascii="宋体" w:hAnsi="宋体" w:cs="宋体" w:eastAsia="宋体" w:hint="default"/>
                <w:sz w:val="21"/>
                <w:szCs w:val="21"/>
              </w:rPr>
              <w:t>苏建光</w:t>
            </w:r>
          </w:p>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123.39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王新泽</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总裁（总经理）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5" w:right="0"/>
              <w:jc w:val="left"/>
              <w:rPr>
                <w:rFonts w:ascii="宋体" w:hAnsi="宋体" w:cs="宋体" w:eastAsia="宋体" w:hint="default"/>
                <w:sz w:val="21"/>
                <w:szCs w:val="21"/>
              </w:rPr>
            </w:pPr>
            <w:r>
              <w:rPr>
                <w:rFonts w:ascii="宋体" w:hAnsi="宋体" w:cs="宋体" w:eastAsia="宋体" w:hint="default"/>
                <w:sz w:val="21"/>
                <w:szCs w:val="21"/>
              </w:rPr>
              <w:t>王新泽</w:t>
            </w:r>
          </w:p>
          <w:p>
            <w:pPr>
              <w:pStyle w:val="TableParagraph"/>
              <w:spacing w:line="240" w:lineRule="auto" w:before="4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8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118.09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6840" w:h="11910" w:orient="landscape"/>
          <w:pgMar w:header="880" w:footer="975" w:top="1120" w:bottom="116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994"/>
        <w:gridCol w:w="1985"/>
        <w:gridCol w:w="708"/>
        <w:gridCol w:w="709"/>
        <w:gridCol w:w="1985"/>
        <w:gridCol w:w="1985"/>
        <w:gridCol w:w="850"/>
        <w:gridCol w:w="852"/>
        <w:gridCol w:w="850"/>
        <w:gridCol w:w="992"/>
        <w:gridCol w:w="1277"/>
        <w:gridCol w:w="1087"/>
      </w:tblGrid>
      <w:tr>
        <w:trPr>
          <w:trHeight w:val="128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8" w:lineRule="auto"/>
              <w:ind w:left="211" w:right="98"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8" w:lineRule="auto"/>
              <w:ind w:left="208" w:right="103"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1"/>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78" w:lineRule="auto"/>
              <w:ind w:left="175" w:right="17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7" w:right="103"/>
              <w:jc w:val="both"/>
              <w:rPr>
                <w:rFonts w:ascii="宋体" w:hAnsi="宋体" w:cs="宋体" w:eastAsia="宋体" w:hint="default"/>
                <w:sz w:val="21"/>
                <w:szCs w:val="21"/>
              </w:rPr>
            </w:pPr>
            <w:r>
              <w:rPr>
                <w:rFonts w:ascii="宋体" w:hAnsi="宋体" w:cs="宋体" w:eastAsia="宋体" w:hint="default"/>
                <w:sz w:val="21"/>
                <w:szCs w:val="21"/>
              </w:rPr>
              <w:t>报告期内从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117" w:right="115"/>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张连钢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3"/>
              <w:jc w:val="left"/>
              <w:rPr>
                <w:rFonts w:ascii="宋体" w:hAnsi="宋体" w:cs="宋体" w:eastAsia="宋体" w:hint="default"/>
                <w:sz w:val="21"/>
                <w:szCs w:val="21"/>
              </w:rPr>
            </w:pPr>
            <w:r>
              <w:rPr>
                <w:rFonts w:ascii="宋体" w:hAnsi="宋体" w:cs="宋体" w:eastAsia="宋体" w:hint="default"/>
                <w:spacing w:val="-3"/>
                <w:sz w:val="21"/>
                <w:szCs w:val="21"/>
              </w:rPr>
              <w:t>副总裁（副总经理）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樊西为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陈福香</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118.58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张建东</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3"/>
              <w:jc w:val="left"/>
              <w:rPr>
                <w:rFonts w:ascii="宋体" w:hAnsi="宋体" w:cs="宋体" w:eastAsia="宋体" w:hint="default"/>
                <w:sz w:val="21"/>
                <w:szCs w:val="21"/>
              </w:rPr>
            </w:pPr>
            <w:r>
              <w:rPr>
                <w:rFonts w:ascii="宋体" w:hAnsi="宋体" w:cs="宋体" w:eastAsia="宋体" w:hint="default"/>
                <w:spacing w:val="-3"/>
                <w:sz w:val="21"/>
                <w:szCs w:val="21"/>
              </w:rPr>
              <w:t>副总裁（副总经理）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刘良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3"/>
              <w:jc w:val="left"/>
              <w:rPr>
                <w:rFonts w:ascii="宋体" w:hAnsi="宋体" w:cs="宋体" w:eastAsia="宋体" w:hint="default"/>
                <w:sz w:val="21"/>
                <w:szCs w:val="21"/>
              </w:rPr>
            </w:pPr>
            <w:r>
              <w:rPr>
                <w:rFonts w:ascii="宋体" w:hAnsi="宋体" w:cs="宋体" w:eastAsia="宋体" w:hint="default"/>
                <w:spacing w:val="-3"/>
                <w:sz w:val="21"/>
                <w:szCs w:val="21"/>
              </w:rPr>
              <w:t>副总裁（副总经理）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杨风广</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3"/>
              <w:jc w:val="left"/>
              <w:rPr>
                <w:rFonts w:ascii="宋体" w:hAnsi="宋体" w:cs="宋体" w:eastAsia="宋体" w:hint="default"/>
                <w:sz w:val="21"/>
                <w:szCs w:val="21"/>
              </w:rPr>
            </w:pPr>
            <w:r>
              <w:rPr>
                <w:rFonts w:ascii="宋体" w:hAnsi="宋体" w:cs="宋体" w:eastAsia="宋体" w:hint="default"/>
                <w:spacing w:val="-3"/>
                <w:sz w:val="21"/>
                <w:szCs w:val="21"/>
              </w:rPr>
              <w:t>副总裁（副总经理）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Times New Roman" w:hAnsi="Times New Roman" w:cs="Times New Roman" w:eastAsia="Times New Roman" w:hint="default"/>
                <w:sz w:val="21"/>
                <w:szCs w:val="21"/>
              </w:rPr>
            </w:pPr>
            <w:r>
              <w:rPr>
                <w:rFonts w:ascii="Times New Roman"/>
                <w:sz w:val="21"/>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3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center"/>
              <w:rPr>
                <w:rFonts w:ascii="Times New Roman" w:hAnsi="Times New Roman" w:cs="Times New Roman" w:eastAsia="Times New Roman" w:hint="default"/>
                <w:sz w:val="21"/>
                <w:szCs w:val="21"/>
              </w:rPr>
            </w:pPr>
            <w:r>
              <w:rPr>
                <w:rFonts w:ascii="Times New Roman"/>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21"/>
                <w:szCs w:val="21"/>
              </w:rPr>
            </w:pPr>
            <w:r>
              <w:rPr>
                <w:rFonts w:ascii="Times New Roman"/>
                <w:sz w:val="21"/>
              </w:rPr>
              <w:t>1,036.66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8"/>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auto" w:before="42"/>
        <w:ind w:left="258" w:right="0"/>
        <w:jc w:val="left"/>
        <w:rPr>
          <w:rFonts w:ascii="宋体" w:hAnsi="宋体" w:cs="宋体" w:eastAsia="宋体" w:hint="default"/>
        </w:rPr>
      </w:pPr>
      <w:r>
        <w:rPr/>
        <w:t>注：</w:t>
      </w:r>
      <w:r>
        <w:rPr>
          <w:rFonts w:ascii="宋体" w:hAnsi="宋体" w:cs="宋体" w:eastAsia="宋体" w:hint="default"/>
        </w:rPr>
        <w:t> </w:t>
      </w:r>
    </w:p>
    <w:p>
      <w:pPr>
        <w:pStyle w:val="BodyText"/>
        <w:spacing w:line="240" w:lineRule="auto" w:before="85"/>
        <w:ind w:left="678" w:right="0"/>
        <w:jc w:val="left"/>
      </w:pPr>
      <w:r>
        <w:rPr>
          <w:rFonts w:ascii="宋体" w:hAnsi="宋体" w:cs="宋体" w:eastAsia="宋体" w:hint="default"/>
          <w:w w:val="100"/>
        </w:rPr>
        <w:t>1</w:t>
      </w:r>
      <w:r>
        <w:rPr>
          <w:rFonts w:ascii="宋体" w:hAnsi="宋体" w:cs="宋体" w:eastAsia="宋体" w:hint="default"/>
          <w:spacing w:val="-1"/>
          <w:w w:val="100"/>
        </w:rPr>
        <w:t>.</w:t>
      </w:r>
      <w:r>
        <w:rPr>
          <w:w w:val="100"/>
        </w:rPr>
        <w:t>李</w:t>
      </w:r>
      <w:r>
        <w:rPr>
          <w:spacing w:val="-3"/>
          <w:w w:val="100"/>
        </w:rPr>
        <w:t>奉</w:t>
      </w:r>
      <w:r>
        <w:rPr>
          <w:w w:val="100"/>
        </w:rPr>
        <w:t>利</w:t>
      </w:r>
      <w:r>
        <w:rPr>
          <w:spacing w:val="-3"/>
          <w:w w:val="100"/>
        </w:rPr>
        <w:t>先</w:t>
      </w:r>
      <w:r>
        <w:rPr>
          <w:w w:val="100"/>
        </w:rPr>
        <w:t>生</w:t>
      </w:r>
      <w:r>
        <w:rPr>
          <w:spacing w:val="-3"/>
          <w:w w:val="100"/>
        </w:rPr>
        <w:t>因</w:t>
      </w:r>
      <w:r>
        <w:rPr>
          <w:w w:val="100"/>
        </w:rPr>
        <w:t>工</w:t>
      </w:r>
      <w:r>
        <w:rPr>
          <w:spacing w:val="-3"/>
          <w:w w:val="100"/>
        </w:rPr>
        <w:t>作</w:t>
      </w:r>
      <w:r>
        <w:rPr>
          <w:w w:val="100"/>
        </w:rPr>
        <w:t>调</w:t>
      </w:r>
      <w:r>
        <w:rPr>
          <w:spacing w:val="-3"/>
          <w:w w:val="100"/>
        </w:rPr>
        <w:t>整</w:t>
      </w:r>
      <w:r>
        <w:rPr>
          <w:spacing w:val="-97"/>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4"/>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10</w:t>
      </w:r>
      <w:r>
        <w:rPr>
          <w:rFonts w:ascii="宋体" w:hAnsi="宋体" w:cs="宋体" w:eastAsia="宋体" w:hint="default"/>
          <w:spacing w:val="-53"/>
        </w:rPr>
        <w:t> </w:t>
      </w:r>
      <w:r>
        <w:rPr>
          <w:spacing w:val="-3"/>
          <w:w w:val="100"/>
        </w:rPr>
        <w:t>日</w:t>
      </w:r>
      <w:r>
        <w:rPr>
          <w:w w:val="100"/>
        </w:rPr>
        <w:t>辞</w:t>
      </w:r>
      <w:r>
        <w:rPr>
          <w:spacing w:val="-3"/>
          <w:w w:val="100"/>
        </w:rPr>
        <w:t>任</w:t>
      </w:r>
      <w:r>
        <w:rPr>
          <w:w w:val="100"/>
        </w:rPr>
        <w:t>本公</w:t>
      </w:r>
      <w:r>
        <w:rPr>
          <w:spacing w:val="-3"/>
          <w:w w:val="100"/>
        </w:rPr>
        <w:t>司</w:t>
      </w:r>
      <w:r>
        <w:rPr>
          <w:w w:val="100"/>
        </w:rPr>
        <w:t>执</w:t>
      </w:r>
      <w:r>
        <w:rPr>
          <w:spacing w:val="-3"/>
          <w:w w:val="100"/>
        </w:rPr>
        <w:t>行</w:t>
      </w:r>
      <w:r>
        <w:rPr>
          <w:w w:val="100"/>
        </w:rPr>
        <w:t>董</w:t>
      </w:r>
      <w:r>
        <w:rPr>
          <w:spacing w:val="-3"/>
          <w:w w:val="100"/>
        </w:rPr>
        <w:t>事</w:t>
      </w:r>
      <w:r>
        <w:rPr>
          <w:w w:val="100"/>
        </w:rPr>
        <w:t>并</w:t>
      </w:r>
      <w:r>
        <w:rPr>
          <w:spacing w:val="-3"/>
          <w:w w:val="100"/>
        </w:rPr>
        <w:t>调</w:t>
      </w:r>
      <w:r>
        <w:rPr>
          <w:w w:val="100"/>
        </w:rPr>
        <w:t>任</w:t>
      </w:r>
      <w:r>
        <w:rPr>
          <w:spacing w:val="-3"/>
          <w:w w:val="100"/>
        </w:rPr>
        <w:t>为</w:t>
      </w:r>
      <w:r>
        <w:rPr>
          <w:w w:val="100"/>
        </w:rPr>
        <w:t>本公</w:t>
      </w:r>
      <w:r>
        <w:rPr>
          <w:spacing w:val="-3"/>
          <w:w w:val="100"/>
        </w:rPr>
        <w:t>司</w:t>
      </w:r>
      <w:r>
        <w:rPr>
          <w:w w:val="100"/>
        </w:rPr>
        <w:t>非</w:t>
      </w:r>
      <w:r>
        <w:rPr>
          <w:spacing w:val="-3"/>
          <w:w w:val="100"/>
        </w:rPr>
        <w:t>执</w:t>
      </w:r>
      <w:r>
        <w:rPr>
          <w:w w:val="100"/>
        </w:rPr>
        <w:t>行</w:t>
      </w:r>
      <w:r>
        <w:rPr>
          <w:spacing w:val="-3"/>
          <w:w w:val="100"/>
        </w:rPr>
        <w:t>董</w:t>
      </w:r>
      <w:r>
        <w:rPr>
          <w:w w:val="100"/>
        </w:rPr>
        <w:t>事</w:t>
      </w:r>
      <w:r>
        <w:rPr>
          <w:spacing w:val="-97"/>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52"/>
        </w:rPr>
        <w:t> </w:t>
      </w:r>
      <w:r>
        <w:rPr>
          <w:spacing w:val="-3"/>
          <w:w w:val="100"/>
        </w:rPr>
        <w:t>日</w:t>
      </w:r>
      <w:r>
        <w:rPr>
          <w:w w:val="100"/>
        </w:rPr>
        <w:t>辞</w:t>
      </w:r>
      <w:r>
        <w:rPr>
          <w:spacing w:val="-3"/>
          <w:w w:val="100"/>
        </w:rPr>
        <w:t>任</w:t>
      </w:r>
      <w:r>
        <w:rPr>
          <w:w w:val="100"/>
        </w:rPr>
        <w:t>公</w:t>
      </w:r>
      <w:r>
        <w:rPr>
          <w:spacing w:val="-3"/>
          <w:w w:val="100"/>
        </w:rPr>
        <w:t>司董</w:t>
      </w:r>
      <w:r>
        <w:rPr>
          <w:w w:val="100"/>
        </w:rPr>
        <w:t>事</w:t>
      </w:r>
      <w:r>
        <w:rPr>
          <w:spacing w:val="-1"/>
          <w:w w:val="100"/>
        </w:rPr>
        <w:t>长</w:t>
      </w:r>
      <w:r>
        <w:rPr>
          <w:spacing w:val="-96"/>
          <w:w w:val="100"/>
        </w:rPr>
        <w:t>、</w:t>
      </w:r>
      <w:r>
        <w:rPr>
          <w:w w:val="100"/>
        </w:rPr>
        <w:t>非</w:t>
      </w:r>
      <w:r>
        <w:rPr>
          <w:spacing w:val="-3"/>
          <w:w w:val="100"/>
        </w:rPr>
        <w:t>执</w:t>
      </w:r>
      <w:r>
        <w:rPr>
          <w:w w:val="100"/>
        </w:rPr>
        <w:t>行</w:t>
      </w:r>
      <w:r>
        <w:rPr>
          <w:spacing w:val="-3"/>
          <w:w w:val="100"/>
        </w:rPr>
        <w:t>董</w:t>
      </w:r>
      <w:r>
        <w:rPr>
          <w:w w:val="100"/>
        </w:rPr>
        <w:t>事，</w:t>
      </w:r>
    </w:p>
    <w:p>
      <w:pPr>
        <w:pStyle w:val="BodyText"/>
        <w:spacing w:line="240" w:lineRule="auto" w:before="85"/>
        <w:ind w:left="258" w:right="0"/>
        <w:jc w:val="left"/>
        <w:rPr>
          <w:rFonts w:ascii="宋体" w:hAnsi="宋体" w:cs="宋体" w:eastAsia="宋体" w:hint="default"/>
        </w:rPr>
      </w:pPr>
      <w:r>
        <w:rPr/>
        <w:t>将于 </w:t>
      </w:r>
      <w:r>
        <w:rPr>
          <w:rFonts w:ascii="宋体" w:hAnsi="宋体" w:cs="宋体" w:eastAsia="宋体" w:hint="default"/>
          <w:spacing w:val="-1"/>
        </w:rPr>
        <w:t>2019</w:t>
      </w:r>
      <w:r>
        <w:rPr>
          <w:rFonts w:ascii="宋体" w:hAnsi="宋体" w:cs="宋体" w:eastAsia="宋体" w:hint="default"/>
          <w:spacing w:val="-13"/>
        </w:rPr>
        <w:t> </w:t>
      </w:r>
      <w:r>
        <w:rPr>
          <w:spacing w:val="-2"/>
        </w:rPr>
        <w:t>年度股东大会选举产生新董事后生效。在选举产生新董事前，李奉利先生将继续履行董事长、非执行董事等职责。</w:t>
      </w:r>
      <w:r>
        <w:rPr>
          <w:rFonts w:ascii="宋体" w:hAnsi="宋体" w:cs="宋体" w:eastAsia="宋体" w:hint="default"/>
        </w:rPr>
        <w:t> </w:t>
      </w:r>
    </w:p>
    <w:p>
      <w:pPr>
        <w:pStyle w:val="BodyText"/>
        <w:spacing w:line="240" w:lineRule="auto" w:before="85"/>
        <w:ind w:left="678" w:right="0"/>
        <w:jc w:val="left"/>
        <w:rPr>
          <w:rFonts w:ascii="宋体" w:hAnsi="宋体" w:cs="宋体" w:eastAsia="宋体" w:hint="default"/>
        </w:rPr>
      </w:pPr>
      <w:r>
        <w:rPr>
          <w:rFonts w:ascii="宋体" w:hAnsi="宋体" w:cs="宋体" w:eastAsia="宋体" w:hint="default"/>
        </w:rPr>
        <w:t>2.</w:t>
      </w:r>
      <w:r>
        <w:rPr/>
        <w:t>郑明辉先生因年龄原因，于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日辞任本公司董事长、执行董事。</w:t>
      </w:r>
      <w:r>
        <w:rPr>
          <w:rFonts w:ascii="宋体" w:hAnsi="宋体" w:cs="宋体" w:eastAsia="宋体" w:hint="default"/>
        </w:rPr>
        <w:t> </w:t>
      </w:r>
    </w:p>
    <w:p>
      <w:pPr>
        <w:pStyle w:val="BodyText"/>
        <w:spacing w:line="240" w:lineRule="auto" w:before="85"/>
        <w:ind w:left="678" w:right="0"/>
        <w:jc w:val="left"/>
        <w:rPr>
          <w:rFonts w:ascii="宋体" w:hAnsi="宋体" w:cs="宋体" w:eastAsia="宋体" w:hint="default"/>
        </w:rPr>
      </w:pPr>
      <w:r>
        <w:rPr>
          <w:rFonts w:ascii="宋体" w:hAnsi="宋体" w:cs="宋体" w:eastAsia="宋体" w:hint="default"/>
        </w:rPr>
        <w:t>3.</w:t>
      </w:r>
      <w:r>
        <w:rPr/>
        <w:t>焦广军先生因工作调整，于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6"/>
        </w:rPr>
        <w:t> </w:t>
      </w:r>
      <w:r>
        <w:rPr/>
        <w:t>日辞任本公司非执行董事、副董事长。</w:t>
      </w:r>
      <w:r>
        <w:rPr>
          <w:rFonts w:ascii="宋体" w:hAnsi="宋体" w:cs="宋体" w:eastAsia="宋体" w:hint="default"/>
        </w:rPr>
        <w:t> </w:t>
      </w:r>
    </w:p>
    <w:p>
      <w:pPr>
        <w:pStyle w:val="BodyText"/>
        <w:spacing w:line="240" w:lineRule="auto" w:before="85"/>
        <w:ind w:left="678" w:right="0"/>
        <w:jc w:val="left"/>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1"/>
          <w:w w:val="100"/>
        </w:rPr>
        <w:t>.</w:t>
      </w:r>
      <w:r>
        <w:rPr>
          <w:w w:val="100"/>
        </w:rPr>
        <w:t>张</w:t>
      </w:r>
      <w:r>
        <w:rPr>
          <w:spacing w:val="-3"/>
          <w:w w:val="100"/>
        </w:rPr>
        <w:t>江</w:t>
      </w:r>
      <w:r>
        <w:rPr>
          <w:w w:val="100"/>
        </w:rPr>
        <w:t>南</w:t>
      </w:r>
      <w:r>
        <w:rPr>
          <w:spacing w:val="-3"/>
          <w:w w:val="100"/>
        </w:rPr>
        <w:t>先</w:t>
      </w:r>
      <w:r>
        <w:rPr>
          <w:w w:val="100"/>
        </w:rPr>
        <w:t>生</w:t>
      </w:r>
      <w:r>
        <w:rPr>
          <w:spacing w:val="-3"/>
          <w:w w:val="100"/>
        </w:rPr>
        <w:t>因</w:t>
      </w:r>
      <w:r>
        <w:rPr>
          <w:w w:val="100"/>
        </w:rPr>
        <w:t>工</w:t>
      </w:r>
      <w:r>
        <w:rPr>
          <w:spacing w:val="-3"/>
          <w:w w:val="100"/>
        </w:rPr>
        <w:t>作</w:t>
      </w:r>
      <w:r>
        <w:rPr>
          <w:w w:val="100"/>
        </w:rPr>
        <w:t>调</w:t>
      </w:r>
      <w:r>
        <w:rPr>
          <w:spacing w:val="-3"/>
          <w:w w:val="100"/>
        </w:rPr>
        <w:t>整</w:t>
      </w:r>
      <w:r>
        <w:rPr>
          <w:spacing w:val="-97"/>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4"/>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10</w:t>
      </w:r>
      <w:r>
        <w:rPr>
          <w:rFonts w:ascii="宋体" w:hAnsi="宋体" w:cs="宋体" w:eastAsia="宋体" w:hint="default"/>
          <w:spacing w:val="-53"/>
        </w:rPr>
        <w:t> </w:t>
      </w:r>
      <w:r>
        <w:rPr>
          <w:spacing w:val="-3"/>
          <w:w w:val="100"/>
        </w:rPr>
        <w:t>日</w:t>
      </w:r>
      <w:r>
        <w:rPr>
          <w:w w:val="100"/>
        </w:rPr>
        <w:t>辞</w:t>
      </w:r>
      <w:r>
        <w:rPr>
          <w:spacing w:val="-3"/>
          <w:w w:val="100"/>
        </w:rPr>
        <w:t>任</w:t>
      </w:r>
      <w:r>
        <w:rPr>
          <w:w w:val="100"/>
        </w:rPr>
        <w:t>本公</w:t>
      </w:r>
      <w:r>
        <w:rPr>
          <w:spacing w:val="-3"/>
          <w:w w:val="100"/>
        </w:rPr>
        <w:t>司</w:t>
      </w:r>
      <w:r>
        <w:rPr>
          <w:w w:val="100"/>
        </w:rPr>
        <w:t>执</w:t>
      </w:r>
      <w:r>
        <w:rPr>
          <w:spacing w:val="-3"/>
          <w:w w:val="100"/>
        </w:rPr>
        <w:t>行</w:t>
      </w:r>
      <w:r>
        <w:rPr>
          <w:w w:val="100"/>
        </w:rPr>
        <w:t>董</w:t>
      </w:r>
      <w:r>
        <w:rPr>
          <w:spacing w:val="-3"/>
          <w:w w:val="100"/>
        </w:rPr>
        <w:t>事</w:t>
      </w:r>
      <w:r>
        <w:rPr>
          <w:spacing w:val="-94"/>
          <w:w w:val="100"/>
        </w:rPr>
        <w:t>、</w:t>
      </w:r>
      <w:r>
        <w:rPr>
          <w:spacing w:val="-3"/>
          <w:w w:val="100"/>
        </w:rPr>
        <w:t>总</w:t>
      </w:r>
      <w:r>
        <w:rPr>
          <w:w w:val="100"/>
        </w:rPr>
        <w:t>裁</w:t>
      </w:r>
      <w:r>
        <w:rPr>
          <w:spacing w:val="-3"/>
          <w:w w:val="100"/>
        </w:rPr>
        <w:t>并调</w:t>
      </w:r>
      <w:r>
        <w:rPr>
          <w:w w:val="100"/>
        </w:rPr>
        <w:t>任为</w:t>
      </w:r>
      <w:r>
        <w:rPr>
          <w:spacing w:val="-3"/>
          <w:w w:val="100"/>
        </w:rPr>
        <w:t>本</w:t>
      </w:r>
      <w:r>
        <w:rPr>
          <w:w w:val="100"/>
        </w:rPr>
        <w:t>公</w:t>
      </w:r>
      <w:r>
        <w:rPr>
          <w:spacing w:val="-3"/>
          <w:w w:val="100"/>
        </w:rPr>
        <w:t>司</w:t>
      </w:r>
      <w:r>
        <w:rPr>
          <w:w w:val="100"/>
        </w:rPr>
        <w:t>非</w:t>
      </w:r>
      <w:r>
        <w:rPr>
          <w:spacing w:val="-3"/>
          <w:w w:val="100"/>
        </w:rPr>
        <w:t>执</w:t>
      </w:r>
      <w:r>
        <w:rPr>
          <w:w w:val="100"/>
        </w:rPr>
        <w:t>行</w:t>
      </w:r>
      <w:r>
        <w:rPr>
          <w:spacing w:val="-3"/>
          <w:w w:val="100"/>
        </w:rPr>
        <w:t>董</w:t>
      </w:r>
      <w:r>
        <w:rPr>
          <w:w w:val="100"/>
        </w:rPr>
        <w:t>事</w:t>
      </w:r>
      <w:r>
        <w:rPr>
          <w:spacing w:val="-97"/>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2"/>
        </w:rPr>
        <w:t> </w:t>
      </w:r>
      <w:r>
        <w:rPr>
          <w:w w:val="100"/>
        </w:rPr>
        <w:t>月</w:t>
      </w:r>
      <w:r>
        <w:rPr>
          <w:spacing w:val="-55"/>
        </w:rPr>
        <w:t> </w:t>
      </w:r>
      <w:r>
        <w:rPr>
          <w:rFonts w:ascii="宋体" w:hAnsi="宋体" w:cs="宋体" w:eastAsia="宋体" w:hint="default"/>
          <w:w w:val="100"/>
        </w:rPr>
        <w:t>26</w:t>
      </w:r>
      <w:r>
        <w:rPr>
          <w:rFonts w:ascii="宋体" w:hAnsi="宋体" w:cs="宋体" w:eastAsia="宋体" w:hint="default"/>
          <w:spacing w:val="-53"/>
        </w:rPr>
        <w:t> </w:t>
      </w:r>
      <w:r>
        <w:rPr>
          <w:spacing w:val="-3"/>
          <w:w w:val="100"/>
        </w:rPr>
        <w:t>日</w:t>
      </w:r>
      <w:r>
        <w:rPr>
          <w:w w:val="100"/>
        </w:rPr>
        <w:t>辞</w:t>
      </w:r>
      <w:r>
        <w:rPr>
          <w:spacing w:val="-3"/>
          <w:w w:val="100"/>
        </w:rPr>
        <w:t>任</w:t>
      </w:r>
      <w:r>
        <w:rPr>
          <w:w w:val="100"/>
        </w:rPr>
        <w:t>本公</w:t>
      </w:r>
      <w:r>
        <w:rPr>
          <w:spacing w:val="-3"/>
          <w:w w:val="100"/>
        </w:rPr>
        <w:t>司</w:t>
      </w:r>
      <w:r>
        <w:rPr>
          <w:w w:val="100"/>
        </w:rPr>
        <w:t>非</w:t>
      </w:r>
      <w:r>
        <w:rPr>
          <w:spacing w:val="-3"/>
          <w:w w:val="100"/>
        </w:rPr>
        <w:t>执</w:t>
      </w:r>
      <w:r>
        <w:rPr>
          <w:w w:val="100"/>
        </w:rPr>
        <w:t>行</w:t>
      </w:r>
      <w:r>
        <w:rPr>
          <w:spacing w:val="-3"/>
          <w:w w:val="100"/>
        </w:rPr>
        <w:t>董事。</w:t>
      </w:r>
      <w:r>
        <w:rPr>
          <w:rFonts w:ascii="宋体" w:hAnsi="宋体" w:cs="宋体" w:eastAsia="宋体" w:hint="default"/>
          <w:w w:val="100"/>
        </w:rPr>
        <w:t> </w:t>
      </w:r>
    </w:p>
    <w:p>
      <w:pPr>
        <w:pStyle w:val="BodyText"/>
        <w:spacing w:line="314" w:lineRule="auto" w:before="85"/>
        <w:ind w:left="258" w:right="0" w:firstLine="420"/>
        <w:jc w:val="left"/>
        <w:rPr>
          <w:rFonts w:ascii="宋体" w:hAnsi="宋体" w:cs="宋体" w:eastAsia="宋体" w:hint="default"/>
        </w:rPr>
      </w:pPr>
      <w:r>
        <w:rPr>
          <w:rFonts w:ascii="宋体" w:hAnsi="宋体" w:cs="宋体" w:eastAsia="宋体" w:hint="default"/>
          <w:spacing w:val="-3"/>
        </w:rPr>
        <w:t>5.</w:t>
      </w:r>
      <w:r>
        <w:rPr>
          <w:spacing w:val="-3"/>
        </w:rPr>
        <w:t>姜春凤女士因工作调整，于</w:t>
      </w:r>
      <w:r>
        <w:rPr>
          <w:spacing w:val="-46"/>
        </w:rPr>
        <w:t> </w:t>
      </w:r>
      <w:r>
        <w:rPr>
          <w:rFonts w:ascii="宋体" w:hAnsi="宋体" w:cs="宋体" w:eastAsia="宋体" w:hint="default"/>
        </w:rPr>
        <w:t>2020</w:t>
      </w:r>
      <w:r>
        <w:rPr>
          <w:rFonts w:ascii="宋体" w:hAnsi="宋体" w:cs="宋体" w:eastAsia="宋体" w:hint="default"/>
          <w:spacing w:val="-48"/>
        </w:rPr>
        <w:t> </w:t>
      </w:r>
      <w:r>
        <w:rPr/>
        <w:t>年</w:t>
      </w:r>
      <w:r>
        <w:rPr>
          <w:spacing w:val="-45"/>
        </w:rPr>
        <w:t> </w:t>
      </w:r>
      <w:r>
        <w:rPr>
          <w:rFonts w:ascii="宋体" w:hAnsi="宋体" w:cs="宋体" w:eastAsia="宋体" w:hint="default"/>
        </w:rPr>
        <w:t>1</w:t>
      </w:r>
      <w:r>
        <w:rPr>
          <w:rFonts w:ascii="宋体" w:hAnsi="宋体" w:cs="宋体" w:eastAsia="宋体" w:hint="default"/>
          <w:spacing w:val="-48"/>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spacing w:val="-4"/>
        </w:rPr>
        <w:t>日辞任本公司执行董事、副总裁、财务总监并调任为本公司非执行董事，于</w:t>
      </w:r>
      <w:r>
        <w:rPr>
          <w:spacing w:val="-46"/>
        </w:rPr>
        <w:t> </w:t>
      </w:r>
      <w:r>
        <w:rPr>
          <w:rFonts w:ascii="宋体" w:hAnsi="宋体" w:cs="宋体" w:eastAsia="宋体" w:hint="default"/>
        </w:rPr>
        <w:t>2020</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26</w:t>
      </w:r>
      <w:r>
        <w:rPr>
          <w:rFonts w:ascii="宋体" w:hAnsi="宋体" w:cs="宋体" w:eastAsia="宋体" w:hint="default"/>
          <w:spacing w:val="-48"/>
        </w:rPr>
        <w:t> </w:t>
      </w:r>
      <w:r>
        <w:rPr/>
        <w:t>日辞任本公</w:t>
      </w:r>
      <w:r>
        <w:rPr>
          <w:w w:val="100"/>
        </w:rPr>
        <w:t> </w:t>
      </w:r>
      <w:r>
        <w:rPr/>
        <w:t>司非执行董事。</w:t>
      </w:r>
      <w:r>
        <w:rPr>
          <w:rFonts w:ascii="宋体" w:hAnsi="宋体" w:cs="宋体" w:eastAsia="宋体" w:hint="default"/>
        </w:rPr>
        <w:t> </w:t>
      </w:r>
    </w:p>
    <w:p>
      <w:pPr>
        <w:pStyle w:val="BodyText"/>
        <w:spacing w:line="240" w:lineRule="auto" w:before="20"/>
        <w:ind w:left="678" w:right="0"/>
        <w:jc w:val="left"/>
        <w:rPr>
          <w:rFonts w:ascii="宋体" w:hAnsi="宋体" w:cs="宋体" w:eastAsia="宋体" w:hint="default"/>
        </w:rPr>
      </w:pPr>
      <w:r>
        <w:rPr>
          <w:rFonts w:ascii="宋体" w:hAnsi="宋体" w:cs="宋体" w:eastAsia="宋体" w:hint="default"/>
        </w:rPr>
        <w:t>6.</w:t>
      </w:r>
      <w:r>
        <w:rPr/>
        <w:t>李武成先生因工作调整，于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日辞任本公司监事。</w:t>
      </w:r>
      <w:r>
        <w:rPr>
          <w:rFonts w:ascii="宋体" w:hAnsi="宋体" w:cs="宋体" w:eastAsia="宋体" w:hint="default"/>
        </w:rPr>
        <w:t> </w:t>
      </w:r>
    </w:p>
    <w:p>
      <w:pPr>
        <w:pStyle w:val="BodyText"/>
        <w:spacing w:line="240" w:lineRule="auto" w:before="85"/>
        <w:ind w:left="678" w:right="0"/>
        <w:jc w:val="left"/>
        <w:rPr>
          <w:rFonts w:ascii="宋体" w:hAnsi="宋体" w:cs="宋体" w:eastAsia="宋体" w:hint="default"/>
        </w:rPr>
      </w:pPr>
      <w:r>
        <w:rPr>
          <w:rFonts w:ascii="宋体" w:hAnsi="宋体" w:cs="宋体" w:eastAsia="宋体" w:hint="default"/>
        </w:rPr>
        <w:t>7.</w:t>
      </w:r>
      <w:r>
        <w:rPr/>
        <w:t>王新泽先生因工作调整，于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日辞任本公司副总裁。</w:t>
      </w:r>
      <w:r>
        <w:rPr>
          <w:rFonts w:ascii="宋体" w:hAnsi="宋体" w:cs="宋体" w:eastAsia="宋体" w:hint="default"/>
        </w:rPr>
        <w:t> </w:t>
      </w:r>
    </w:p>
    <w:p>
      <w:pPr>
        <w:pStyle w:val="BodyText"/>
        <w:spacing w:line="240" w:lineRule="auto" w:before="85"/>
        <w:ind w:left="678" w:right="0"/>
        <w:jc w:val="left"/>
        <w:rPr>
          <w:rFonts w:ascii="宋体" w:hAnsi="宋体" w:cs="宋体" w:eastAsia="宋体" w:hint="default"/>
        </w:rPr>
      </w:pPr>
      <w:r>
        <w:rPr>
          <w:rFonts w:ascii="宋体" w:hAnsi="宋体" w:cs="宋体" w:eastAsia="宋体" w:hint="default"/>
        </w:rPr>
        <w:t>8.</w:t>
      </w:r>
      <w:r>
        <w:rPr/>
        <w:t>苏建光先生因工作调整，于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日辞任本公司副总裁。</w:t>
      </w:r>
      <w:r>
        <w:rPr>
          <w:rFonts w:ascii="宋体" w:hAnsi="宋体" w:cs="宋体" w:eastAsia="宋体" w:hint="default"/>
        </w:rPr>
        <w:t> </w:t>
      </w:r>
    </w:p>
    <w:p>
      <w:pPr>
        <w:pStyle w:val="BodyText"/>
        <w:spacing w:line="240" w:lineRule="auto" w:before="85"/>
        <w:ind w:left="678" w:right="0"/>
        <w:jc w:val="left"/>
      </w:pPr>
      <w:r>
        <w:rPr>
          <w:rFonts w:ascii="宋体" w:hAnsi="宋体" w:cs="宋体" w:eastAsia="宋体" w:hint="default"/>
          <w:spacing w:val="-3"/>
        </w:rPr>
        <w:t>9.</w:t>
      </w:r>
      <w:r>
        <w:rPr>
          <w:spacing w:val="-3"/>
        </w:rPr>
        <w:t>因公司董事会换届，邹国强先生、王亚平先生、杨秋林先生自</w:t>
      </w:r>
      <w:r>
        <w:rPr>
          <w:spacing w:val="-37"/>
        </w:rPr>
        <w:t> </w:t>
      </w:r>
      <w:r>
        <w:rPr>
          <w:rFonts w:ascii="宋体" w:hAnsi="宋体" w:cs="宋体" w:eastAsia="宋体" w:hint="default"/>
        </w:rPr>
        <w:t>2019</w:t>
      </w:r>
      <w:r>
        <w:rPr>
          <w:rFonts w:ascii="宋体" w:hAnsi="宋体" w:cs="宋体" w:eastAsia="宋体" w:hint="default"/>
          <w:spacing w:val="-40"/>
        </w:rPr>
        <w:t> </w:t>
      </w:r>
      <w:r>
        <w:rPr/>
        <w:t>年</w:t>
      </w:r>
      <w:r>
        <w:rPr>
          <w:spacing w:val="-37"/>
        </w:rPr>
        <w:t> </w:t>
      </w:r>
      <w:r>
        <w:rPr>
          <w:rFonts w:ascii="宋体" w:hAnsi="宋体" w:cs="宋体" w:eastAsia="宋体" w:hint="default"/>
        </w:rPr>
        <w:t>5</w:t>
      </w:r>
      <w:r>
        <w:rPr>
          <w:rFonts w:ascii="宋体" w:hAnsi="宋体" w:cs="宋体" w:eastAsia="宋体" w:hint="default"/>
          <w:spacing w:val="-40"/>
        </w:rPr>
        <w:t> </w:t>
      </w:r>
      <w:r>
        <w:rPr/>
        <w:t>月</w:t>
      </w:r>
      <w:r>
        <w:rPr>
          <w:spacing w:val="-36"/>
        </w:rPr>
        <w:t> </w:t>
      </w:r>
      <w:r>
        <w:rPr>
          <w:rFonts w:ascii="宋体" w:hAnsi="宋体" w:cs="宋体" w:eastAsia="宋体" w:hint="default"/>
        </w:rPr>
        <w:t>17</w:t>
      </w:r>
      <w:r>
        <w:rPr>
          <w:rFonts w:ascii="宋体" w:hAnsi="宋体" w:cs="宋体" w:eastAsia="宋体" w:hint="default"/>
          <w:spacing w:val="-40"/>
        </w:rPr>
        <w:t> </w:t>
      </w:r>
      <w:r>
        <w:rPr>
          <w:spacing w:val="-3"/>
        </w:rPr>
        <w:t>日起不再担任本公司独立董事，李燕女士、蒋敏先生、黎国浩先生自</w:t>
      </w:r>
    </w:p>
    <w:p>
      <w:pPr>
        <w:pStyle w:val="BodyText"/>
        <w:spacing w:line="240" w:lineRule="auto" w:before="85"/>
        <w:ind w:left="25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日起担任本公司独立董事。</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975" w:top="1120" w:bottom="1160" w:left="116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14" w:lineRule="auto" w:before="36"/>
        <w:ind w:left="138" w:right="0" w:firstLine="420"/>
        <w:jc w:val="left"/>
        <w:rPr>
          <w:rFonts w:ascii="宋体" w:hAnsi="宋体" w:cs="宋体" w:eastAsia="宋体" w:hint="default"/>
        </w:rPr>
      </w:pPr>
      <w:r>
        <w:rPr>
          <w:rFonts w:ascii="宋体" w:hAnsi="宋体" w:cs="宋体" w:eastAsia="宋体" w:hint="default"/>
        </w:rPr>
        <w:t>10.</w:t>
      </w:r>
      <w:r>
        <w:rPr/>
        <w:t>因公司监事会换届，李旭修先生、刘登清先生自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日起不再担任本公司独立监事，王亚平先生、杨秋林先生自</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日起</w:t>
      </w:r>
      <w:r>
        <w:rPr>
          <w:w w:val="100"/>
        </w:rPr>
        <w:t> </w:t>
      </w:r>
      <w:r>
        <w:rPr/>
        <w:t>担任本公司独立监事。上表中王亚平先生、杨秋林先生的薪酬为其在本报告期内分别担任本公司独立董事和独立监事的薪酬总额。</w:t>
      </w:r>
      <w:r>
        <w:rPr>
          <w:rFonts w:ascii="宋体" w:hAnsi="宋体" w:cs="宋体" w:eastAsia="宋体" w:hint="default"/>
        </w:rPr>
        <w:t> </w:t>
      </w:r>
    </w:p>
    <w:p>
      <w:pPr>
        <w:pStyle w:val="BodyText"/>
        <w:spacing w:line="314" w:lineRule="auto" w:before="20"/>
        <w:ind w:left="558" w:right="0"/>
        <w:jc w:val="left"/>
        <w:rPr>
          <w:rFonts w:ascii="宋体" w:hAnsi="宋体" w:cs="宋体" w:eastAsia="宋体" w:hint="default"/>
        </w:rPr>
      </w:pPr>
      <w:r>
        <w:rPr/>
        <w:pict>
          <v:shape style="position:absolute;margin-left:74.160004pt;margin-top:34.863663pt;width:693.95pt;height:37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2496"/>
                  </w:tblGrid>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61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李奉利</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8"/>
                          <w:jc w:val="left"/>
                          <w:rPr>
                            <w:rFonts w:ascii="宋体" w:hAnsi="宋体" w:cs="宋体" w:eastAsia="宋体" w:hint="default"/>
                            <w:sz w:val="21"/>
                            <w:szCs w:val="21"/>
                          </w:rPr>
                        </w:pPr>
                        <w:r>
                          <w:rPr>
                            <w:rFonts w:ascii="宋体" w:hAnsi="宋体" w:cs="宋体" w:eastAsia="宋体" w:hint="default"/>
                            <w:sz w:val="21"/>
                            <w:szCs w:val="21"/>
                          </w:rPr>
                          <w:t>李奉利先生，</w:t>
                        </w:r>
                        <w:r>
                          <w:rPr>
                            <w:rFonts w:ascii="Times New Roman" w:hAnsi="Times New Roman" w:cs="Times New Roman" w:eastAsia="Times New Roman" w:hint="default"/>
                            <w:sz w:val="21"/>
                            <w:szCs w:val="21"/>
                          </w:rPr>
                          <w:t>1965</w:t>
                        </w:r>
                        <w:r>
                          <w:rPr>
                            <w:rFonts w:ascii="宋体" w:hAnsi="宋体" w:cs="宋体" w:eastAsia="宋体" w:hint="default"/>
                            <w:sz w:val="21"/>
                            <w:szCs w:val="21"/>
                          </w:rPr>
                          <w:t>年出生，中国海洋大学港口、海岸及近海工程专业工学博士，工程师，于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月起加入本公司。现任本公司董事</w:t>
                        </w:r>
                        <w:r>
                          <w:rPr>
                            <w:rFonts w:ascii="宋体" w:hAnsi="宋体" w:cs="宋体" w:eastAsia="宋体" w:hint="default"/>
                            <w:w w:val="100"/>
                            <w:sz w:val="21"/>
                            <w:szCs w:val="21"/>
                          </w:rPr>
                          <w:t> </w:t>
                        </w:r>
                        <w:r>
                          <w:rPr>
                            <w:rFonts w:ascii="宋体" w:hAnsi="宋体" w:cs="宋体" w:eastAsia="宋体" w:hint="default"/>
                            <w:spacing w:val="-2"/>
                            <w:sz w:val="21"/>
                            <w:szCs w:val="21"/>
                          </w:rPr>
                          <w:t>长、非执行董事、战略发展委员会主席、提名委员会委员、薪酬委员会委员、授权代表，山东省港口集团有限公司党委副书记、董事、</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总经理，金控公司董事长。曾任青岛市李沧区委书记，青岛市黄岛区委副书记、区长，青岛西海岸新区管委主任、工委副书记，青岛</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经济技术开发区管委主任，青岛港（集团）有限公司党委书记、董事长，本公司执行董事。李奉利先生拥有超过</w:t>
                        </w:r>
                        <w:r>
                          <w:rPr>
                            <w:rFonts w:ascii="Times New Roman" w:hAnsi="Times New Roman" w:cs="Times New Roman" w:eastAsia="Times New Roman" w:hint="default"/>
                            <w:sz w:val="21"/>
                            <w:szCs w:val="21"/>
                          </w:rPr>
                          <w:t>30</w:t>
                        </w:r>
                        <w:r>
                          <w:rPr>
                            <w:rFonts w:ascii="宋体" w:hAnsi="宋体" w:cs="宋体" w:eastAsia="宋体" w:hint="default"/>
                            <w:sz w:val="21"/>
                            <w:szCs w:val="21"/>
                          </w:rPr>
                          <w:t>年的国家机关及大</w:t>
                        </w:r>
                        <w:r>
                          <w:rPr>
                            <w:rFonts w:ascii="宋体" w:hAnsi="宋体" w:cs="宋体" w:eastAsia="宋体" w:hint="default"/>
                            <w:spacing w:val="-4"/>
                            <w:sz w:val="21"/>
                            <w:szCs w:val="21"/>
                          </w:rPr>
                          <w:t> </w:t>
                        </w:r>
                        <w:r>
                          <w:rPr>
                            <w:rFonts w:ascii="宋体" w:hAnsi="宋体" w:cs="宋体" w:eastAsia="宋体" w:hint="default"/>
                            <w:sz w:val="21"/>
                            <w:szCs w:val="21"/>
                          </w:rPr>
                          <w:t>型国有企业领导管理经验。</w:t>
                        </w:r>
                      </w:p>
                    </w:tc>
                  </w:tr>
                  <w:tr>
                    <w:trPr>
                      <w:trHeight w:val="19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
                          <w:ind w:left="103" w:right="-8"/>
                          <w:jc w:val="left"/>
                          <w:rPr>
                            <w:rFonts w:ascii="宋体" w:hAnsi="宋体" w:cs="宋体" w:eastAsia="宋体" w:hint="default"/>
                            <w:sz w:val="21"/>
                            <w:szCs w:val="21"/>
                          </w:rPr>
                        </w:pPr>
                        <w:r>
                          <w:rPr>
                            <w:rFonts w:ascii="宋体" w:hAnsi="宋体" w:cs="宋体" w:eastAsia="宋体" w:hint="default"/>
                            <w:spacing w:val="-3"/>
                            <w:sz w:val="21"/>
                            <w:szCs w:val="21"/>
                          </w:rPr>
                          <w:t>张为先生，</w:t>
                        </w:r>
                        <w:r>
                          <w:rPr>
                            <w:rFonts w:ascii="Times New Roman" w:hAnsi="Times New Roman" w:cs="Times New Roman" w:eastAsia="Times New Roman" w:hint="default"/>
                            <w:spacing w:val="-3"/>
                            <w:sz w:val="21"/>
                            <w:szCs w:val="21"/>
                          </w:rPr>
                          <w:t>1973</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年出生，复旦大学变化管理专业硕士，工程师，于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月起加入本公司。现任本公司非执行董事、战略发展委员</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会委员，中国远洋海运集团有限公司副总经理、党组成员。历任中远集运市场部运价处副处长、处长，美洲贸易区副总经理、常务副</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总经理，中远集运美洲有限公司执行副总裁，中远集运美国分部副总经理，中远集运战略发展部总经理，中远集团运输部总经理、运</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营管理部总经理，中远海运集团运营管理本部总经理、整合管理办公室常务副主任，中远海运港口总经理、董事会主席、党委副书记、</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党委书记，中远海运控股副总经理、党委委员、党委书记等职。张为先生拥有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多年的航运业工作经历，在集装箱运输、码头管理方</w:t>
                        </w:r>
                        <w:r>
                          <w:rPr>
                            <w:rFonts w:ascii="宋体" w:hAnsi="宋体" w:cs="宋体" w:eastAsia="宋体" w:hint="default"/>
                            <w:w w:val="100"/>
                            <w:sz w:val="21"/>
                            <w:szCs w:val="21"/>
                          </w:rPr>
                          <w:t> </w:t>
                        </w:r>
                        <w:r>
                          <w:rPr>
                            <w:rFonts w:ascii="宋体" w:hAnsi="宋体" w:cs="宋体" w:eastAsia="宋体" w:hint="default"/>
                            <w:sz w:val="21"/>
                            <w:szCs w:val="21"/>
                          </w:rPr>
                          <w:t>面以及企业管理、整合重组、上市公司运作方面有着丰富的经验。</w:t>
                        </w:r>
                      </w:p>
                    </w:tc>
                  </w:tr>
                  <w:tr>
                    <w:trPr>
                      <w:trHeight w:val="12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褚效忠</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both"/>
                          <w:rPr>
                            <w:rFonts w:ascii="宋体" w:hAnsi="宋体" w:cs="宋体" w:eastAsia="宋体" w:hint="default"/>
                            <w:sz w:val="21"/>
                            <w:szCs w:val="21"/>
                          </w:rPr>
                        </w:pPr>
                        <w:r>
                          <w:rPr>
                            <w:rFonts w:ascii="宋体" w:hAnsi="宋体" w:cs="宋体" w:eastAsia="宋体" w:hint="default"/>
                            <w:spacing w:val="-8"/>
                            <w:sz w:val="21"/>
                            <w:szCs w:val="21"/>
                          </w:rPr>
                          <w:t>褚效忠先生，</w:t>
                        </w:r>
                        <w:r>
                          <w:rPr>
                            <w:rFonts w:ascii="Times New Roman" w:hAnsi="Times New Roman" w:cs="Times New Roman" w:eastAsia="Times New Roman" w:hint="default"/>
                            <w:spacing w:val="-8"/>
                            <w:sz w:val="21"/>
                            <w:szCs w:val="21"/>
                          </w:rPr>
                          <w:t>1960 </w:t>
                        </w:r>
                        <w:r>
                          <w:rPr>
                            <w:rFonts w:ascii="宋体" w:hAnsi="宋体" w:cs="宋体" w:eastAsia="宋体" w:hint="default"/>
                            <w:spacing w:val="-8"/>
                            <w:sz w:val="21"/>
                            <w:szCs w:val="21"/>
                          </w:rPr>
                          <w:t>年出生，山东省委党校档案文秘专业在职大学学历，高级政工师，于 </w:t>
                        </w:r>
                        <w:r>
                          <w:rPr>
                            <w:rFonts w:ascii="Times New Roman" w:hAnsi="Times New Roman" w:cs="Times New Roman" w:eastAsia="Times New Roman" w:hint="default"/>
                            <w:sz w:val="21"/>
                            <w:szCs w:val="21"/>
                          </w:rPr>
                          <w:t>1983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pacing w:val="-9"/>
                            <w:sz w:val="21"/>
                            <w:szCs w:val="21"/>
                          </w:rPr>
                          <w:t>月加入青岛港务局（现为青岛港集团），</w:t>
                        </w:r>
                      </w:p>
                      <w:p>
                        <w:pPr>
                          <w:pStyle w:val="TableParagraph"/>
                          <w:spacing w:line="271" w:lineRule="auto" w:before="31"/>
                          <w:ind w:left="103" w:right="96"/>
                          <w:jc w:val="both"/>
                          <w:rPr>
                            <w:rFonts w:ascii="宋体" w:hAnsi="宋体" w:cs="宋体" w:eastAsia="宋体" w:hint="default"/>
                            <w:sz w:val="21"/>
                            <w:szCs w:val="21"/>
                          </w:rPr>
                        </w:pPr>
                        <w:r>
                          <w:rPr>
                            <w:rFonts w:ascii="宋体" w:hAnsi="宋体" w:cs="宋体" w:eastAsia="宋体" w:hint="default"/>
                            <w:sz w:val="21"/>
                            <w:szCs w:val="21"/>
                          </w:rPr>
                          <w:t>并于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月起加入本公司。现任本公司职工代表董事，战略发展委员会委员、审计委员会委员、机关工会主席。曾任青岛港集</w:t>
                        </w:r>
                        <w:r>
                          <w:rPr>
                            <w:rFonts w:ascii="宋体" w:hAnsi="宋体" w:cs="宋体" w:eastAsia="宋体" w:hint="default"/>
                            <w:w w:val="100"/>
                            <w:sz w:val="21"/>
                            <w:szCs w:val="21"/>
                          </w:rPr>
                          <w:t> </w:t>
                        </w:r>
                        <w:r>
                          <w:rPr>
                            <w:rFonts w:ascii="宋体" w:hAnsi="宋体" w:cs="宋体" w:eastAsia="宋体" w:hint="default"/>
                            <w:sz w:val="21"/>
                            <w:szCs w:val="21"/>
                          </w:rPr>
                          <w:t>团发展部部长、人事部部长，本公司港建分公司党委书记、副经理、本公司机关党委书记、机关纪委书记、党委委员。褚效忠先生拥</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有超过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年的港口行业工作经验，在大型港口企业管理方面拥有丰富经验。</w:t>
                        </w:r>
                      </w:p>
                    </w:tc>
                  </w:tr>
                  <w:tr>
                    <w:trPr>
                      <w:trHeight w:val="22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李燕</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3"/>
                          <w:jc w:val="left"/>
                          <w:rPr>
                            <w:rFonts w:ascii="宋体" w:hAnsi="宋体" w:cs="宋体" w:eastAsia="宋体" w:hint="default"/>
                            <w:sz w:val="21"/>
                            <w:szCs w:val="21"/>
                          </w:rPr>
                        </w:pPr>
                        <w:r>
                          <w:rPr>
                            <w:rFonts w:ascii="宋体" w:hAnsi="宋体" w:cs="宋体" w:eastAsia="宋体" w:hint="default"/>
                            <w:sz w:val="21"/>
                            <w:szCs w:val="21"/>
                          </w:rPr>
                          <w:t>李燕女士，</w:t>
                        </w:r>
                        <w:r>
                          <w:rPr>
                            <w:rFonts w:ascii="Times New Roman" w:hAnsi="Times New Roman" w:cs="Times New Roman" w:eastAsia="Times New Roman" w:hint="default"/>
                            <w:sz w:val="21"/>
                            <w:szCs w:val="21"/>
                          </w:rPr>
                          <w:t>1957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年出生，中央财政金融学院（现为中央财经大学）财政专业经济学学士。</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月起加入本公司。现任本公司独立</w:t>
                        </w:r>
                        <w:r>
                          <w:rPr>
                            <w:rFonts w:ascii="宋体" w:hAnsi="宋体" w:cs="宋体" w:eastAsia="宋体" w:hint="default"/>
                            <w:w w:val="100"/>
                            <w:sz w:val="21"/>
                            <w:szCs w:val="21"/>
                          </w:rPr>
                          <w:t> </w:t>
                        </w:r>
                        <w:r>
                          <w:rPr>
                            <w:rFonts w:ascii="宋体" w:hAnsi="宋体" w:cs="宋体" w:eastAsia="宋体" w:hint="default"/>
                            <w:sz w:val="21"/>
                            <w:szCs w:val="21"/>
                          </w:rPr>
                          <w:t>非执行董事、审计委员会主席、薪酬委员会委员，中央财经大学财税学院教授、博士生导师，政府预算研究所所长，中国注册会计师</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协会非执业会员，中国财政学会理事，中国法学会财税法学研究会理事，北京东华软件股份有限公司（深圳证券交易所上市公司，股</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7"/>
                            <w:sz w:val="21"/>
                            <w:szCs w:val="21"/>
                          </w:rPr>
                          <w:t>份代码：</w:t>
                        </w:r>
                        <w:r>
                          <w:rPr>
                            <w:rFonts w:ascii="Times New Roman" w:hAnsi="Times New Roman" w:cs="Times New Roman" w:eastAsia="Times New Roman" w:hint="default"/>
                            <w:spacing w:val="-7"/>
                            <w:sz w:val="21"/>
                            <w:szCs w:val="21"/>
                          </w:rPr>
                          <w:t>002065</w:t>
                        </w:r>
                        <w:r>
                          <w:rPr>
                            <w:rFonts w:ascii="宋体" w:hAnsi="宋体" w:cs="宋体" w:eastAsia="宋体" w:hint="default"/>
                            <w:spacing w:val="-7"/>
                            <w:sz w:val="21"/>
                            <w:szCs w:val="21"/>
                          </w:rPr>
                          <w:t>）独立非执行董事，青岛啤酒股份有限公司（香港联交所和上海证券交易所上市公司，股份代码分别为</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00168</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和</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600600</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独立监事。曾任青岛啤酒股份有限公司独立非执行董事，中国电影股份有限公司（上海证券交易所上市公司，股份代码：</w:t>
                        </w:r>
                        <w:r>
                          <w:rPr>
                            <w:rFonts w:ascii="Times New Roman" w:hAnsi="Times New Roman" w:cs="Times New Roman" w:eastAsia="Times New Roman" w:hint="default"/>
                            <w:sz w:val="21"/>
                            <w:szCs w:val="21"/>
                          </w:rPr>
                          <w:t>600977</w:t>
                        </w:r>
                        <w:r>
                          <w:rPr>
                            <w:rFonts w:ascii="宋体" w:hAnsi="宋体" w:cs="宋体" w:eastAsia="宋体" w:hint="default"/>
                            <w:sz w:val="21"/>
                            <w:szCs w:val="21"/>
                          </w:rPr>
                          <w:t>）独</w:t>
                        </w:r>
                        <w:r>
                          <w:rPr>
                            <w:rFonts w:ascii="宋体" w:hAnsi="宋体" w:cs="宋体" w:eastAsia="宋体" w:hint="default"/>
                            <w:spacing w:val="-5"/>
                            <w:sz w:val="21"/>
                            <w:szCs w:val="21"/>
                          </w:rPr>
                          <w:t> </w:t>
                        </w:r>
                        <w:r>
                          <w:rPr>
                            <w:rFonts w:ascii="宋体" w:hAnsi="宋体" w:cs="宋体" w:eastAsia="宋体" w:hint="default"/>
                            <w:sz w:val="21"/>
                            <w:szCs w:val="21"/>
                          </w:rPr>
                          <w:t>立非执行董事，安徽荃银高科种业股份有限公司（深圳证券交易所上市公司，股份代码：</w:t>
                        </w:r>
                        <w:r>
                          <w:rPr>
                            <w:rFonts w:ascii="Times New Roman" w:hAnsi="Times New Roman" w:cs="Times New Roman" w:eastAsia="Times New Roman" w:hint="default"/>
                            <w:sz w:val="21"/>
                            <w:szCs w:val="21"/>
                          </w:rPr>
                          <w:t>300087</w:t>
                        </w:r>
                        <w:r>
                          <w:rPr>
                            <w:rFonts w:ascii="宋体" w:hAnsi="宋体" w:cs="宋体" w:eastAsia="宋体" w:hint="default"/>
                            <w:sz w:val="21"/>
                            <w:szCs w:val="21"/>
                          </w:rPr>
                          <w:t>）独立非执行董事，江西富祥药业股</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份有限公司（深圳证券交易所上市公司，股份代码：</w:t>
                        </w:r>
                        <w:r>
                          <w:rPr>
                            <w:rFonts w:ascii="Times New Roman" w:hAnsi="Times New Roman" w:cs="Times New Roman" w:eastAsia="Times New Roman" w:hint="default"/>
                            <w:sz w:val="21"/>
                            <w:szCs w:val="21"/>
                          </w:rPr>
                          <w:t>300497</w:t>
                        </w:r>
                        <w:r>
                          <w:rPr>
                            <w:rFonts w:ascii="宋体" w:hAnsi="宋体" w:cs="宋体" w:eastAsia="宋体" w:hint="default"/>
                            <w:sz w:val="21"/>
                            <w:szCs w:val="21"/>
                          </w:rPr>
                          <w:t>）独立非执行董事。</w:t>
                        </w:r>
                      </w:p>
                    </w:tc>
                  </w:tr>
                </w:tbl>
                <w:p>
                  <w:pPr/>
                </w:p>
              </w:txbxContent>
            </v:textbox>
            <w10:wrap type="none"/>
          </v:shape>
        </w:pict>
      </w:r>
      <w:r>
        <w:rPr>
          <w:rFonts w:ascii="宋体" w:hAnsi="宋体" w:cs="宋体" w:eastAsia="宋体" w:hint="default"/>
          <w:w w:val="100"/>
        </w:rPr>
        <w:t>  </w:t>
      </w:r>
      <w:r>
        <w:rPr>
          <w:w w:val="100"/>
        </w:rPr>
        <w:t>本公</w:t>
      </w:r>
      <w:r>
        <w:rPr>
          <w:spacing w:val="-3"/>
          <w:w w:val="100"/>
        </w:rPr>
        <w:t>司</w:t>
      </w:r>
      <w:r>
        <w:rPr>
          <w:w w:val="100"/>
        </w:rPr>
        <w:t>现</w:t>
      </w:r>
      <w:r>
        <w:rPr>
          <w:spacing w:val="-3"/>
          <w:w w:val="100"/>
        </w:rPr>
        <w:t>任</w:t>
      </w:r>
      <w:r>
        <w:rPr>
          <w:w w:val="100"/>
        </w:rPr>
        <w:t>董</w:t>
      </w:r>
      <w:r>
        <w:rPr>
          <w:spacing w:val="-3"/>
          <w:w w:val="100"/>
        </w:rPr>
        <w:t>事</w:t>
      </w:r>
      <w:r>
        <w:rPr>
          <w:w w:val="100"/>
        </w:rPr>
        <w:t>、</w:t>
      </w:r>
      <w:r>
        <w:rPr>
          <w:spacing w:val="-3"/>
          <w:w w:val="100"/>
        </w:rPr>
        <w:t>监</w:t>
      </w:r>
      <w:r>
        <w:rPr>
          <w:w w:val="100"/>
        </w:rPr>
        <w:t>事</w:t>
      </w:r>
      <w:r>
        <w:rPr>
          <w:spacing w:val="-3"/>
          <w:w w:val="100"/>
        </w:rPr>
        <w:t>及</w:t>
      </w:r>
      <w:r>
        <w:rPr>
          <w:w w:val="100"/>
        </w:rPr>
        <w:t>高级</w:t>
      </w:r>
      <w:r>
        <w:rPr>
          <w:spacing w:val="-3"/>
          <w:w w:val="100"/>
        </w:rPr>
        <w:t>管</w:t>
      </w:r>
      <w:r>
        <w:rPr>
          <w:w w:val="100"/>
        </w:rPr>
        <w:t>理</w:t>
      </w:r>
      <w:r>
        <w:rPr>
          <w:spacing w:val="-3"/>
          <w:w w:val="100"/>
        </w:rPr>
        <w:t>人</w:t>
      </w:r>
      <w:r>
        <w:rPr>
          <w:w w:val="100"/>
        </w:rPr>
        <w:t>员</w:t>
      </w:r>
      <w:r>
        <w:rPr>
          <w:spacing w:val="-3"/>
          <w:w w:val="100"/>
        </w:rPr>
        <w:t>主</w:t>
      </w:r>
      <w:r>
        <w:rPr>
          <w:w w:val="100"/>
        </w:rPr>
        <w:t>要</w:t>
      </w:r>
      <w:r>
        <w:rPr>
          <w:spacing w:val="-3"/>
          <w:w w:val="100"/>
        </w:rPr>
        <w:t>工</w:t>
      </w:r>
      <w:r>
        <w:rPr>
          <w:w w:val="100"/>
        </w:rPr>
        <w:t>作</w:t>
      </w:r>
      <w:r>
        <w:rPr>
          <w:spacing w:val="-3"/>
          <w:w w:val="100"/>
        </w:rPr>
        <w:t>经</w:t>
      </w:r>
      <w:r>
        <w:rPr>
          <w:w w:val="100"/>
        </w:rPr>
        <w:t>历如</w:t>
      </w:r>
      <w:r>
        <w:rPr>
          <w:spacing w:val="-3"/>
          <w:w w:val="100"/>
        </w:rPr>
        <w:t>下：</w:t>
      </w:r>
      <w:r>
        <w:rPr>
          <w:rFonts w:ascii="宋体" w:hAnsi="宋体" w:cs="宋体" w:eastAsia="宋体" w:hint="default"/>
          <w:w w:val="100"/>
        </w:rPr>
        <w:t> </w:t>
      </w:r>
    </w:p>
    <w:p>
      <w:pPr>
        <w:spacing w:after="0" w:line="314" w:lineRule="auto"/>
        <w:jc w:val="left"/>
        <w:rPr>
          <w:rFonts w:ascii="宋体" w:hAnsi="宋体" w:cs="宋体" w:eastAsia="宋体" w:hint="default"/>
        </w:rPr>
        <w:sectPr>
          <w:pgSz w:w="16840" w:h="11910" w:orient="landscape"/>
          <w:pgMar w:header="880" w:footer="975" w:top="1120" w:bottom="116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203" w:type="dxa"/>
        <w:tblLayout w:type="fixed"/>
        <w:tblCellMar>
          <w:top w:w="0" w:type="dxa"/>
          <w:left w:w="0" w:type="dxa"/>
          <w:bottom w:w="0" w:type="dxa"/>
          <w:right w:w="0" w:type="dxa"/>
        </w:tblCellMar>
        <w:tblLook w:val="01E0"/>
      </w:tblPr>
      <w:tblGrid>
        <w:gridCol w:w="1368"/>
        <w:gridCol w:w="12496"/>
      </w:tblGrid>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6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蒋敏</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95"/>
              <w:jc w:val="both"/>
              <w:rPr>
                <w:rFonts w:ascii="宋体" w:hAnsi="宋体" w:cs="宋体" w:eastAsia="宋体" w:hint="default"/>
                <w:sz w:val="21"/>
                <w:szCs w:val="21"/>
              </w:rPr>
            </w:pPr>
            <w:r>
              <w:rPr>
                <w:rFonts w:ascii="宋体" w:hAnsi="宋体" w:cs="宋体" w:eastAsia="宋体" w:hint="default"/>
                <w:sz w:val="21"/>
                <w:szCs w:val="21"/>
              </w:rPr>
              <w:t>蒋敏先生，</w:t>
            </w:r>
            <w:r>
              <w:rPr>
                <w:rFonts w:ascii="Times New Roman" w:hAnsi="Times New Roman" w:cs="Times New Roman" w:eastAsia="Times New Roman" w:hint="default"/>
                <w:sz w:val="21"/>
                <w:szCs w:val="21"/>
              </w:rPr>
              <w:t>1965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年出生，安徽大学民商法专业硕士。</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月起加入本公司，现任本公司独立非执行董事、提名委员会主席、战略</w:t>
            </w:r>
            <w:r>
              <w:rPr>
                <w:rFonts w:ascii="宋体" w:hAnsi="宋体" w:cs="宋体" w:eastAsia="宋体" w:hint="default"/>
                <w:w w:val="100"/>
                <w:sz w:val="21"/>
                <w:szCs w:val="21"/>
              </w:rPr>
              <w:t> </w:t>
            </w:r>
            <w:r>
              <w:rPr>
                <w:rFonts w:ascii="宋体" w:hAnsi="宋体" w:cs="宋体" w:eastAsia="宋体" w:hint="default"/>
                <w:sz w:val="21"/>
                <w:szCs w:val="21"/>
              </w:rPr>
              <w:t>发展委员会委员，安徽天禾律师事务所创始合伙人，青岛啤酒股份有限公司（香港联交所和上海证券交易所上市公司，股份代码分别</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为 </w:t>
            </w:r>
            <w:r>
              <w:rPr>
                <w:rFonts w:ascii="Times New Roman" w:hAnsi="Times New Roman" w:cs="Times New Roman" w:eastAsia="Times New Roman" w:hint="default"/>
                <w:sz w:val="21"/>
                <w:szCs w:val="21"/>
              </w:rPr>
              <w:t>00168 </w:t>
            </w:r>
            <w:r>
              <w:rPr>
                <w:rFonts w:ascii="宋体" w:hAnsi="宋体" w:cs="宋体" w:eastAsia="宋体" w:hint="default"/>
                <w:sz w:val="21"/>
                <w:szCs w:val="21"/>
              </w:rPr>
              <w:t>和</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600600</w:t>
            </w:r>
            <w:r>
              <w:rPr>
                <w:rFonts w:ascii="宋体" w:hAnsi="宋体" w:cs="宋体" w:eastAsia="宋体" w:hint="default"/>
                <w:sz w:val="21"/>
                <w:szCs w:val="21"/>
              </w:rPr>
              <w:t>）独立非执行董事，阳光电源股份有限公司（深圳证券交易所上市公司，股份代码：</w:t>
            </w:r>
            <w:r>
              <w:rPr>
                <w:rFonts w:ascii="Times New Roman" w:hAnsi="Times New Roman" w:cs="Times New Roman" w:eastAsia="Times New Roman" w:hint="default"/>
                <w:sz w:val="21"/>
                <w:szCs w:val="21"/>
              </w:rPr>
              <w:t>300274</w:t>
            </w:r>
            <w:r>
              <w:rPr>
                <w:rFonts w:ascii="宋体" w:hAnsi="宋体" w:cs="宋体" w:eastAsia="宋体" w:hint="default"/>
                <w:sz w:val="21"/>
                <w:szCs w:val="21"/>
              </w:rPr>
              <w:t>）独立非执行董事，科</w:t>
            </w:r>
            <w:r>
              <w:rPr>
                <w:rFonts w:ascii="宋体" w:hAnsi="宋体" w:cs="宋体" w:eastAsia="宋体" w:hint="default"/>
                <w:w w:val="100"/>
                <w:sz w:val="21"/>
                <w:szCs w:val="21"/>
              </w:rPr>
              <w:t> </w:t>
            </w:r>
            <w:r>
              <w:rPr>
                <w:rFonts w:ascii="宋体" w:hAnsi="宋体" w:cs="宋体" w:eastAsia="宋体" w:hint="default"/>
                <w:sz w:val="21"/>
                <w:szCs w:val="21"/>
              </w:rPr>
              <w:t>大智能科技股份有限公司（深圳证券交易所上市公司，股份代码：</w:t>
            </w:r>
            <w:r>
              <w:rPr>
                <w:rFonts w:ascii="Times New Roman" w:hAnsi="Times New Roman" w:cs="Times New Roman" w:eastAsia="Times New Roman" w:hint="default"/>
                <w:sz w:val="21"/>
                <w:szCs w:val="21"/>
              </w:rPr>
              <w:t>300222</w:t>
            </w:r>
            <w:r>
              <w:rPr>
                <w:rFonts w:ascii="宋体" w:hAnsi="宋体" w:cs="宋体" w:eastAsia="宋体" w:hint="default"/>
                <w:sz w:val="21"/>
                <w:szCs w:val="21"/>
              </w:rPr>
              <w:t>）独立非执行董事。曾任安徽省经济律师事务所副主任，山</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东药用玻璃股份有限公司（上海证券交易所上市公司，股份代码：</w:t>
            </w:r>
            <w:r>
              <w:rPr>
                <w:rFonts w:ascii="Times New Roman" w:hAnsi="Times New Roman" w:cs="Times New Roman" w:eastAsia="Times New Roman" w:hint="default"/>
                <w:sz w:val="21"/>
                <w:szCs w:val="21"/>
              </w:rPr>
              <w:t>600529</w:t>
            </w:r>
            <w:r>
              <w:rPr>
                <w:rFonts w:ascii="宋体" w:hAnsi="宋体" w:cs="宋体" w:eastAsia="宋体" w:hint="default"/>
                <w:sz w:val="21"/>
                <w:szCs w:val="21"/>
              </w:rPr>
              <w:t>）独立非执行董事。</w:t>
            </w:r>
          </w:p>
        </w:tc>
      </w:tr>
      <w:tr>
        <w:trPr>
          <w:trHeight w:val="12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黎国浩</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8"/>
              <w:jc w:val="left"/>
              <w:rPr>
                <w:rFonts w:ascii="宋体" w:hAnsi="宋体" w:cs="宋体" w:eastAsia="宋体" w:hint="default"/>
                <w:sz w:val="21"/>
                <w:szCs w:val="21"/>
              </w:rPr>
            </w:pPr>
            <w:r>
              <w:rPr>
                <w:rFonts w:ascii="宋体" w:hAnsi="宋体" w:cs="宋体" w:eastAsia="宋体" w:hint="default"/>
                <w:sz w:val="21"/>
                <w:szCs w:val="21"/>
              </w:rPr>
              <w:t>黎国浩先生，</w:t>
            </w:r>
            <w:r>
              <w:rPr>
                <w:rFonts w:ascii="Times New Roman" w:hAnsi="Times New Roman" w:cs="Times New Roman" w:eastAsia="Times New Roman" w:hint="default"/>
                <w:sz w:val="21"/>
                <w:szCs w:val="21"/>
              </w:rPr>
              <w:t>1977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年出生，香港中文大学专业会计专业工商管理学士。</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月起加入本公司，现任本公司独立非执行董事、薪酬</w:t>
            </w:r>
            <w:r>
              <w:rPr>
                <w:rFonts w:ascii="宋体" w:hAnsi="宋体" w:cs="宋体" w:eastAsia="宋体" w:hint="default"/>
                <w:w w:val="100"/>
                <w:sz w:val="21"/>
                <w:szCs w:val="21"/>
              </w:rPr>
              <w:t> </w:t>
            </w:r>
            <w:r>
              <w:rPr>
                <w:rFonts w:ascii="宋体" w:hAnsi="宋体" w:cs="宋体" w:eastAsia="宋体" w:hint="default"/>
                <w:spacing w:val="-4"/>
                <w:sz w:val="21"/>
                <w:szCs w:val="21"/>
              </w:rPr>
              <w:t>委员会主席、审计委员会委员、提名委员会委员，上海第九城市信息技术有限公司（纳斯达克证券交易所上市公司，股份代码：</w:t>
            </w:r>
            <w:r>
              <w:rPr>
                <w:rFonts w:ascii="Times New Roman" w:hAnsi="Times New Roman" w:cs="Times New Roman" w:eastAsia="Times New Roman" w:hint="default"/>
                <w:spacing w:val="-4"/>
                <w:sz w:val="21"/>
                <w:szCs w:val="21"/>
              </w:rPr>
              <w:t>NCTY</w:t>
            </w:r>
            <w:r>
              <w:rPr>
                <w:rFonts w:ascii="宋体" w:hAnsi="宋体" w:cs="宋体" w:eastAsia="宋体" w:hint="default"/>
                <w:spacing w:val="-4"/>
                <w:sz w:val="21"/>
                <w:szCs w:val="21"/>
              </w:rPr>
              <w:t>）</w:t>
            </w:r>
            <w:r>
              <w:rPr>
                <w:rFonts w:ascii="宋体" w:hAnsi="宋体" w:cs="宋体" w:eastAsia="宋体" w:hint="default"/>
                <w:spacing w:val="-31"/>
                <w:sz w:val="21"/>
                <w:szCs w:val="21"/>
              </w:rPr>
              <w:t> </w:t>
            </w:r>
            <w:r>
              <w:rPr>
                <w:rFonts w:ascii="宋体" w:hAnsi="宋体" w:cs="宋体" w:eastAsia="宋体" w:hint="default"/>
                <w:sz w:val="21"/>
                <w:szCs w:val="21"/>
              </w:rPr>
              <w:t>首席财务官、执行董事。曾任德勤会计师事务所审计经理。黎国浩先生拥有英国特许公认资深会计师、香港注册会计师、美国注册会</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计师执业资格。</w:t>
            </w:r>
          </w:p>
        </w:tc>
      </w:tr>
      <w:tr>
        <w:trPr>
          <w:trHeight w:val="12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张庆财先生，</w:t>
            </w:r>
            <w:r>
              <w:rPr>
                <w:rFonts w:ascii="Times New Roman" w:hAnsi="Times New Roman" w:cs="Times New Roman" w:eastAsia="Times New Roman" w:hint="default"/>
                <w:sz w:val="21"/>
                <w:szCs w:val="21"/>
              </w:rPr>
              <w:t>1960 </w:t>
            </w:r>
            <w:r>
              <w:rPr>
                <w:rFonts w:ascii="宋体" w:hAnsi="宋体" w:cs="宋体" w:eastAsia="宋体" w:hint="default"/>
                <w:spacing w:val="-3"/>
                <w:sz w:val="21"/>
                <w:szCs w:val="21"/>
              </w:rPr>
              <w:t>年出生，大连海运学院（现为大连海事大学）轮机专业工学学士，工程技术应用研究员，于 </w:t>
            </w:r>
            <w:r>
              <w:rPr>
                <w:rFonts w:ascii="Times New Roman" w:hAnsi="Times New Roman" w:cs="Times New Roman" w:eastAsia="Times New Roman" w:hint="default"/>
                <w:sz w:val="21"/>
                <w:szCs w:val="21"/>
              </w:rPr>
              <w:t>1983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年加入青岛港务局</w:t>
            </w:r>
          </w:p>
          <w:p>
            <w:pPr>
              <w:pStyle w:val="TableParagraph"/>
              <w:spacing w:line="264" w:lineRule="auto" w:before="28"/>
              <w:ind w:left="103" w:right="-8"/>
              <w:jc w:val="left"/>
              <w:rPr>
                <w:rFonts w:ascii="宋体" w:hAnsi="宋体" w:cs="宋体" w:eastAsia="宋体" w:hint="default"/>
                <w:sz w:val="21"/>
                <w:szCs w:val="21"/>
              </w:rPr>
            </w:pPr>
            <w:r>
              <w:rPr>
                <w:rFonts w:ascii="宋体" w:hAnsi="宋体" w:cs="宋体" w:eastAsia="宋体" w:hint="default"/>
                <w:sz w:val="21"/>
                <w:szCs w:val="21"/>
              </w:rPr>
              <w:t>（现为青岛港集团），并于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月起加入本公司。现任本公司党委委员、监事会主席，山东港口集团总工程师，青岛港集团党</w:t>
            </w:r>
            <w:r>
              <w:rPr>
                <w:rFonts w:ascii="宋体" w:hAnsi="宋体" w:cs="宋体" w:eastAsia="宋体" w:hint="default"/>
                <w:w w:val="100"/>
                <w:sz w:val="21"/>
                <w:szCs w:val="21"/>
              </w:rPr>
              <w:t> </w:t>
            </w:r>
            <w:r>
              <w:rPr>
                <w:rFonts w:ascii="宋体" w:hAnsi="宋体" w:cs="宋体" w:eastAsia="宋体" w:hint="default"/>
                <w:spacing w:val="-4"/>
                <w:sz w:val="21"/>
                <w:szCs w:val="21"/>
              </w:rPr>
              <w:t>委委员、常务副总经理。曾任青岛港集团办公室主任、安技部部长、港机厂厂长、总工程师，</w:t>
            </w:r>
            <w:r>
              <w:rPr>
                <w:rFonts w:ascii="Times New Roman" w:hAnsi="Times New Roman" w:cs="Times New Roman" w:eastAsia="Times New Roman" w:hint="default"/>
                <w:spacing w:val="-4"/>
                <w:sz w:val="21"/>
                <w:szCs w:val="21"/>
              </w:rPr>
              <w:t>QQCT </w:t>
            </w:r>
            <w:r>
              <w:rPr>
                <w:rFonts w:ascii="宋体" w:hAnsi="宋体" w:cs="宋体" w:eastAsia="宋体" w:hint="default"/>
                <w:spacing w:val="-4"/>
                <w:sz w:val="21"/>
                <w:szCs w:val="21"/>
              </w:rPr>
              <w:t>党委书记、总经理，</w:t>
            </w:r>
            <w:r>
              <w:rPr>
                <w:rFonts w:ascii="Times New Roman" w:hAnsi="Times New Roman" w:cs="Times New Roman" w:eastAsia="Times New Roman" w:hint="default"/>
                <w:spacing w:val="-4"/>
                <w:sz w:val="21"/>
                <w:szCs w:val="21"/>
              </w:rPr>
              <w:t>QQCTN </w:t>
            </w:r>
            <w:r>
              <w:rPr>
                <w:rFonts w:ascii="宋体" w:hAnsi="宋体" w:cs="宋体" w:eastAsia="宋体" w:hint="default"/>
                <w:sz w:val="21"/>
                <w:szCs w:val="21"/>
              </w:rPr>
              <w:t>董事。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张庆财先生拥有超过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年的港口行业工作经验，在大型港口企业管理方面拥有丰富经验。</w:t>
            </w:r>
          </w:p>
        </w:tc>
      </w:tr>
      <w:tr>
        <w:trPr>
          <w:trHeight w:val="19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1"/>
              <w:ind w:right="0"/>
              <w:jc w:val="center"/>
              <w:rPr>
                <w:rFonts w:ascii="宋体" w:hAnsi="宋体" w:cs="宋体" w:eastAsia="宋体" w:hint="default"/>
                <w:sz w:val="21"/>
                <w:szCs w:val="21"/>
              </w:rPr>
            </w:pPr>
            <w:r>
              <w:rPr>
                <w:rFonts w:ascii="宋体" w:hAnsi="宋体" w:cs="宋体" w:eastAsia="宋体" w:hint="default"/>
                <w:sz w:val="21"/>
                <w:szCs w:val="21"/>
              </w:rPr>
              <w:t>王亚平</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王亚平先生，</w:t>
            </w:r>
            <w:r>
              <w:rPr>
                <w:rFonts w:ascii="Times New Roman" w:hAnsi="Times New Roman" w:cs="Times New Roman" w:eastAsia="Times New Roman" w:hint="default"/>
                <w:sz w:val="21"/>
                <w:szCs w:val="21"/>
              </w:rPr>
              <w:t>1964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年出生，华东政法学院（现为华东政法大学）法学学士，二级律师，</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月起加入本公司，现任本公司独立监</w:t>
            </w:r>
            <w:r>
              <w:rPr>
                <w:rFonts w:ascii="宋体" w:hAnsi="宋体" w:cs="宋体" w:eastAsia="宋体" w:hint="default"/>
                <w:w w:val="100"/>
                <w:sz w:val="21"/>
                <w:szCs w:val="21"/>
              </w:rPr>
              <w:t> </w:t>
            </w:r>
            <w:r>
              <w:rPr>
                <w:rFonts w:ascii="宋体" w:hAnsi="宋体" w:cs="宋体" w:eastAsia="宋体" w:hint="default"/>
                <w:sz w:val="21"/>
                <w:szCs w:val="21"/>
              </w:rPr>
              <w:t>事，山东琴岛律师事务所执行主任、高级合伙人，山东省律师协会副会长，青岛市律师协会监事长，青岛市仲裁委员会仲裁员，青岛</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啤酒股份有限公司（香港联交所和上海证券交易所上市公司，股份代号分别为 </w:t>
            </w:r>
            <w:r>
              <w:rPr>
                <w:rFonts w:ascii="Times New Roman" w:hAnsi="Times New Roman" w:cs="Times New Roman" w:eastAsia="Times New Roman" w:hint="default"/>
                <w:sz w:val="21"/>
                <w:szCs w:val="21"/>
              </w:rPr>
              <w:t>00168 </w:t>
            </w:r>
            <w:r>
              <w:rPr>
                <w:rFonts w:ascii="宋体" w:hAnsi="宋体" w:cs="宋体" w:eastAsia="宋体" w:hint="default"/>
                <w:sz w:val="21"/>
                <w:szCs w:val="21"/>
              </w:rPr>
              <w:t>和</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600600</w:t>
            </w:r>
            <w:r>
              <w:rPr>
                <w:rFonts w:ascii="宋体" w:hAnsi="宋体" w:cs="宋体" w:eastAsia="宋体" w:hint="default"/>
                <w:sz w:val="21"/>
                <w:szCs w:val="21"/>
              </w:rPr>
              <w:t>）独立监事、青岛天能重工股份有限公</w:t>
            </w:r>
            <w:r>
              <w:rPr>
                <w:rFonts w:ascii="宋体" w:hAnsi="宋体" w:cs="宋体" w:eastAsia="宋体" w:hint="default"/>
                <w:w w:val="100"/>
                <w:sz w:val="21"/>
                <w:szCs w:val="21"/>
              </w:rPr>
              <w:t> </w:t>
            </w:r>
            <w:r>
              <w:rPr>
                <w:rFonts w:ascii="宋体" w:hAnsi="宋体" w:cs="宋体" w:eastAsia="宋体" w:hint="default"/>
                <w:spacing w:val="-3"/>
                <w:sz w:val="21"/>
                <w:szCs w:val="21"/>
              </w:rPr>
              <w:t>司（深圳证券交易所上市公司，股份代号：</w:t>
            </w:r>
            <w:r>
              <w:rPr>
                <w:rFonts w:ascii="Times New Roman" w:hAnsi="Times New Roman" w:cs="Times New Roman" w:eastAsia="Times New Roman" w:hint="default"/>
                <w:spacing w:val="-3"/>
                <w:sz w:val="21"/>
                <w:szCs w:val="21"/>
              </w:rPr>
              <w:t>300569</w:t>
            </w:r>
            <w:r>
              <w:rPr>
                <w:rFonts w:ascii="宋体" w:hAnsi="宋体" w:cs="宋体" w:eastAsia="宋体" w:hint="default"/>
                <w:spacing w:val="-3"/>
                <w:sz w:val="21"/>
                <w:szCs w:val="21"/>
              </w:rPr>
              <w:t>）独立董事、瑞港建设控股有限公司（香港联交所上市公司，股票代码 </w:t>
            </w:r>
            <w:r>
              <w:rPr>
                <w:rFonts w:ascii="Times New Roman" w:hAnsi="Times New Roman" w:cs="Times New Roman" w:eastAsia="Times New Roman" w:hint="default"/>
                <w:spacing w:val="-3"/>
                <w:sz w:val="21"/>
                <w:szCs w:val="21"/>
              </w:rPr>
              <w:t>06816</w:t>
            </w:r>
            <w:r>
              <w:rPr>
                <w:rFonts w:ascii="宋体" w:hAnsi="宋体" w:cs="宋体" w:eastAsia="宋体" w:hint="default"/>
                <w:spacing w:val="-3"/>
                <w:sz w:val="21"/>
                <w:szCs w:val="21"/>
              </w:rPr>
              <w:t>）独立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非执行董事、青岛国信金融控股有限公司外部董事、青岛百洋医药股份有限公司独立董事。曾任本公司独立非执行董事、提名委员会</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主席、薪酬委员会主席、战略发展委员会委员，青岛市律师协会会长。</w:t>
            </w:r>
          </w:p>
        </w:tc>
      </w:tr>
      <w:tr>
        <w:trPr>
          <w:trHeight w:val="161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杨秋林</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杨秋林先生，</w:t>
            </w:r>
            <w:r>
              <w:rPr>
                <w:rFonts w:ascii="Times New Roman" w:hAnsi="Times New Roman" w:cs="Times New Roman" w:eastAsia="Times New Roman" w:hint="default"/>
                <w:sz w:val="21"/>
                <w:szCs w:val="21"/>
              </w:rPr>
              <w:t>1966 </w:t>
            </w:r>
            <w:r>
              <w:rPr>
                <w:rFonts w:ascii="宋体" w:hAnsi="宋体" w:cs="宋体" w:eastAsia="宋体" w:hint="default"/>
                <w:sz w:val="21"/>
                <w:szCs w:val="21"/>
              </w:rPr>
              <w:t>年出生，香港浸会大学应用会计与金融理学硕士，中国注册会计师、资产评估师、山东省优秀注册会计师，</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3"/>
                <w:sz w:val="21"/>
                <w:szCs w:val="21"/>
              </w:rPr>
              <w:t>月起加入本公司。现任本公司独立监事，大华会计师事务所（特殊普通合伙）山东分所副所长、青岛睿远成德管理咨询有限公司执行</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董事。曾任本公司独立非执行董事、审计委员会委员、提名委员会委员、薪酬委员会委员，山东东方君和会计师事务所副所长、山东</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中苑投资集团财务总经理、山东利安达东信会计师事务所有限公司副总经理、利安达会计师事务所（特殊普通合伙）青岛分所副总经</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理。杨秋林先生对财务管理及资本管理具有深厚知识与从业经验。</w:t>
            </w:r>
          </w:p>
        </w:tc>
      </w:tr>
      <w:tr>
        <w:trPr>
          <w:trHeight w:val="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刘水国</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98"/>
              <w:jc w:val="left"/>
              <w:rPr>
                <w:rFonts w:ascii="宋体" w:hAnsi="宋体" w:cs="宋体" w:eastAsia="宋体" w:hint="default"/>
                <w:sz w:val="21"/>
                <w:szCs w:val="21"/>
              </w:rPr>
            </w:pPr>
            <w:r>
              <w:rPr>
                <w:rFonts w:ascii="宋体" w:hAnsi="宋体" w:cs="宋体" w:eastAsia="宋体" w:hint="default"/>
                <w:spacing w:val="-3"/>
                <w:sz w:val="21"/>
                <w:szCs w:val="21"/>
              </w:rPr>
              <w:t>刘水国先生，</w:t>
            </w:r>
            <w:r>
              <w:rPr>
                <w:rFonts w:ascii="Times New Roman" w:hAnsi="Times New Roman" w:cs="Times New Roman" w:eastAsia="Times New Roman" w:hint="default"/>
                <w:spacing w:val="-3"/>
                <w:sz w:val="21"/>
                <w:szCs w:val="21"/>
              </w:rPr>
              <w:t>1975</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年出生，大连海事大学交通运输规划与管理专业硕士，具有中华人民共和国律师资格，教授，于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月起加入</w:t>
            </w:r>
            <w:r>
              <w:rPr>
                <w:rFonts w:ascii="宋体" w:hAnsi="宋体" w:cs="宋体" w:eastAsia="宋体" w:hint="default"/>
                <w:spacing w:val="-94"/>
                <w:sz w:val="21"/>
                <w:szCs w:val="21"/>
              </w:rPr>
              <w:t> </w:t>
            </w:r>
            <w:r>
              <w:rPr>
                <w:rFonts w:ascii="宋体" w:hAnsi="宋体" w:cs="宋体" w:eastAsia="宋体" w:hint="default"/>
                <w:sz w:val="21"/>
                <w:szCs w:val="21"/>
              </w:rPr>
              <w:t>本公司，现任本公司职工代表监事、法律合规部部长、机关党委委员、机关工会副主席，金控公司监事。曾任青岛港湾职业技术学院</w:t>
            </w:r>
          </w:p>
        </w:tc>
      </w:tr>
    </w:tbl>
    <w:p>
      <w:pPr>
        <w:spacing w:after="0" w:line="264" w:lineRule="auto"/>
        <w:jc w:val="left"/>
        <w:rPr>
          <w:rFonts w:ascii="宋体" w:hAnsi="宋体" w:cs="宋体" w:eastAsia="宋体" w:hint="default"/>
          <w:sz w:val="21"/>
          <w:szCs w:val="21"/>
        </w:rPr>
        <w:sectPr>
          <w:pgSz w:w="16840" w:h="11910" w:orient="landscape"/>
          <w:pgMar w:header="880" w:footer="975" w:top="1120" w:bottom="116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203" w:type="dxa"/>
        <w:tblLayout w:type="fixed"/>
        <w:tblCellMar>
          <w:top w:w="0" w:type="dxa"/>
          <w:left w:w="0" w:type="dxa"/>
          <w:bottom w:w="0" w:type="dxa"/>
          <w:right w:w="0" w:type="dxa"/>
        </w:tblCellMar>
        <w:tblLook w:val="01E0"/>
      </w:tblPr>
      <w:tblGrid>
        <w:gridCol w:w="1368"/>
        <w:gridCol w:w="12496"/>
      </w:tblGrid>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33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党委委员、院长助理、教务处处长，本公司法务部部长助理、副部长。</w:t>
            </w:r>
          </w:p>
        </w:tc>
      </w:tr>
      <w:tr>
        <w:trPr>
          <w:trHeight w:val="97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王晓燕</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王晓燕女士，</w:t>
            </w:r>
            <w:r>
              <w:rPr>
                <w:rFonts w:ascii="Times New Roman" w:hAnsi="Times New Roman" w:cs="Times New Roman" w:eastAsia="Times New Roman" w:hint="default"/>
                <w:sz w:val="21"/>
                <w:szCs w:val="21"/>
              </w:rPr>
              <w:t>1977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年出生，山东省委党校档案文秘专业在职大学学历，政工师，于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月起加入本公司，现任本公司职工代表</w:t>
            </w:r>
            <w:r>
              <w:rPr>
                <w:rFonts w:ascii="宋体" w:hAnsi="宋体" w:cs="宋体" w:eastAsia="宋体" w:hint="default"/>
                <w:w w:val="100"/>
                <w:sz w:val="21"/>
                <w:szCs w:val="21"/>
              </w:rPr>
              <w:t> </w:t>
            </w:r>
            <w:r>
              <w:rPr>
                <w:rFonts w:ascii="宋体" w:hAnsi="宋体" w:cs="宋体" w:eastAsia="宋体" w:hint="default"/>
                <w:sz w:val="21"/>
                <w:szCs w:val="21"/>
              </w:rPr>
              <w:t>监事、</w:t>
            </w:r>
            <w:r>
              <w:rPr>
                <w:rFonts w:ascii="Times New Roman" w:hAnsi="Times New Roman" w:cs="Times New Roman" w:eastAsia="Times New Roman" w:hint="default"/>
                <w:sz w:val="21"/>
                <w:szCs w:val="21"/>
              </w:rPr>
              <w:t>QQCTN </w:t>
            </w:r>
            <w:r>
              <w:rPr>
                <w:rFonts w:ascii="宋体" w:hAnsi="宋体" w:cs="宋体" w:eastAsia="宋体" w:hint="default"/>
                <w:spacing w:val="-3"/>
                <w:sz w:val="21"/>
                <w:szCs w:val="21"/>
              </w:rPr>
              <w:t>党委委员、工会主席。曾任本公司工会办公室主任、女工委副主任、人力资源部部门主任、老龄工作主管、大港分公司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综合部经理，青岛港集团工会办公室主任、女工委副主任。</w:t>
            </w:r>
          </w:p>
        </w:tc>
      </w:tr>
      <w:tr>
        <w:trPr>
          <w:trHeight w:val="12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王新泽</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5"/>
              <w:jc w:val="left"/>
              <w:rPr>
                <w:rFonts w:ascii="宋体" w:hAnsi="宋体" w:cs="宋体" w:eastAsia="宋体" w:hint="default"/>
                <w:sz w:val="21"/>
                <w:szCs w:val="21"/>
              </w:rPr>
            </w:pPr>
            <w:r>
              <w:rPr>
                <w:rFonts w:ascii="宋体" w:hAnsi="宋体" w:cs="宋体" w:eastAsia="宋体" w:hint="default"/>
                <w:spacing w:val="-4"/>
                <w:sz w:val="21"/>
                <w:szCs w:val="21"/>
              </w:rPr>
              <w:t>王新泽先生，</w:t>
            </w:r>
            <w:r>
              <w:rPr>
                <w:rFonts w:ascii="Times New Roman" w:hAnsi="Times New Roman" w:cs="Times New Roman" w:eastAsia="Times New Roman" w:hint="default"/>
                <w:spacing w:val="-4"/>
                <w:sz w:val="21"/>
                <w:szCs w:val="21"/>
              </w:rPr>
              <w:t>1963 </w:t>
            </w:r>
            <w:r>
              <w:rPr>
                <w:rFonts w:ascii="宋体" w:hAnsi="宋体" w:cs="宋体" w:eastAsia="宋体" w:hint="default"/>
                <w:spacing w:val="-5"/>
                <w:sz w:val="21"/>
                <w:szCs w:val="21"/>
              </w:rPr>
              <w:t>年出生，山东省委党校经济管理专业在职大学学历，高级经济师，于 </w:t>
            </w:r>
            <w:r>
              <w:rPr>
                <w:rFonts w:ascii="Times New Roman" w:hAnsi="Times New Roman" w:cs="Times New Roman" w:eastAsia="Times New Roman" w:hint="default"/>
                <w:sz w:val="21"/>
                <w:szCs w:val="21"/>
              </w:rPr>
              <w:t>1983 </w:t>
            </w:r>
            <w:r>
              <w:rPr>
                <w:rFonts w:ascii="宋体" w:hAnsi="宋体" w:cs="宋体" w:eastAsia="宋体" w:hint="default"/>
                <w:spacing w:val="-5"/>
                <w:sz w:val="21"/>
                <w:szCs w:val="21"/>
              </w:rPr>
              <w:t>年起加入青岛港务局（现为青岛港集团），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并于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月起加入本公司。现任本公司党委副书记、总裁（总经理），青岛港集团党委副书记、董事。曾任青岛港务局劳资处</w:t>
            </w:r>
            <w:r>
              <w:rPr>
                <w:rFonts w:ascii="宋体" w:hAnsi="宋体" w:cs="宋体" w:eastAsia="宋体" w:hint="default"/>
                <w:w w:val="100"/>
                <w:sz w:val="21"/>
                <w:szCs w:val="21"/>
              </w:rPr>
              <w:t> </w:t>
            </w:r>
            <w:r>
              <w:rPr>
                <w:rFonts w:ascii="宋体" w:hAnsi="宋体" w:cs="宋体" w:eastAsia="宋体" w:hint="default"/>
                <w:sz w:val="21"/>
                <w:szCs w:val="21"/>
              </w:rPr>
              <w:t>副处长，青岛港集团人事部副部长、部长、办公室副主任，本公司综合管理部部长、人力资源部部长、副总裁。王新泽先生拥有超过</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8"/>
                <w:sz w:val="21"/>
                <w:szCs w:val="21"/>
              </w:rPr>
              <w:t> </w:t>
            </w:r>
            <w:r>
              <w:rPr>
                <w:rFonts w:ascii="宋体" w:hAnsi="宋体" w:cs="宋体" w:eastAsia="宋体" w:hint="default"/>
                <w:spacing w:val="-2"/>
                <w:sz w:val="21"/>
                <w:szCs w:val="21"/>
              </w:rPr>
              <w:t>年的港口行业工作经验，在大型港口管理方面拥有丰富经验。</w:t>
            </w:r>
          </w:p>
        </w:tc>
      </w:tr>
      <w:tr>
        <w:trPr>
          <w:trHeight w:val="12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张连钢</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张连钢先生，</w:t>
            </w:r>
            <w:r>
              <w:rPr>
                <w:rFonts w:ascii="Times New Roman" w:hAnsi="Times New Roman" w:cs="Times New Roman" w:eastAsia="Times New Roman" w:hint="default"/>
                <w:sz w:val="21"/>
                <w:szCs w:val="21"/>
              </w:rPr>
              <w:t>1960</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年出生，武汉水运工程学院（现为武汉理工大学）电工及计算机科学系船舶港口电气化专业学士，高级工程师，于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1983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年起加入青岛港务局（现为青岛港集团），并于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月起加入本公司。现任本公司党委委员、副总裁（副总经理）。曾任</w:t>
            </w:r>
            <w:r>
              <w:rPr>
                <w:rFonts w:ascii="宋体" w:hAnsi="宋体" w:cs="宋体" w:eastAsia="宋体" w:hint="default"/>
                <w:w w:val="100"/>
                <w:sz w:val="21"/>
                <w:szCs w:val="21"/>
              </w:rPr>
              <w:t> </w:t>
            </w:r>
            <w:r>
              <w:rPr>
                <w:rFonts w:ascii="宋体" w:hAnsi="宋体" w:cs="宋体" w:eastAsia="宋体" w:hint="default"/>
                <w:spacing w:val="-3"/>
                <w:sz w:val="21"/>
                <w:szCs w:val="21"/>
              </w:rPr>
              <w:t>青岛港集团集装箱公司副经理、副总工程师、安技部副部长、部长，本公司副总工程师，</w:t>
            </w:r>
            <w:r>
              <w:rPr>
                <w:rFonts w:ascii="Times New Roman" w:hAnsi="Times New Roman" w:cs="Times New Roman" w:eastAsia="Times New Roman" w:hint="default"/>
                <w:spacing w:val="-3"/>
                <w:sz w:val="21"/>
                <w:szCs w:val="21"/>
              </w:rPr>
              <w:t>QQCTN </w:t>
            </w:r>
            <w:r>
              <w:rPr>
                <w:rFonts w:ascii="宋体" w:hAnsi="宋体" w:cs="宋体" w:eastAsia="宋体" w:hint="default"/>
                <w:spacing w:val="-3"/>
                <w:sz w:val="21"/>
                <w:szCs w:val="21"/>
              </w:rPr>
              <w:t>党委书记、董事长、总经理。张连钢</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先生拥有超过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年的港口行业工作经验，在大型港口管理方面拥有丰富经验。</w:t>
            </w:r>
          </w:p>
        </w:tc>
      </w:tr>
      <w:tr>
        <w:trPr>
          <w:trHeight w:val="12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樊西为</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97"/>
              <w:jc w:val="both"/>
              <w:rPr>
                <w:rFonts w:ascii="宋体" w:hAnsi="宋体" w:cs="宋体" w:eastAsia="宋体" w:hint="default"/>
                <w:sz w:val="21"/>
                <w:szCs w:val="21"/>
              </w:rPr>
            </w:pPr>
            <w:r>
              <w:rPr>
                <w:rFonts w:ascii="宋体" w:hAnsi="宋体" w:cs="宋体" w:eastAsia="宋体" w:hint="default"/>
                <w:sz w:val="21"/>
                <w:szCs w:val="21"/>
              </w:rPr>
              <w:t>樊西为先生，</w:t>
            </w:r>
            <w:r>
              <w:rPr>
                <w:rFonts w:ascii="Times New Roman" w:hAnsi="Times New Roman" w:cs="Times New Roman" w:eastAsia="Times New Roman" w:hint="default"/>
                <w:sz w:val="21"/>
                <w:szCs w:val="21"/>
              </w:rPr>
              <w:t>1977</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年出生，山东财政学院（现为山东财经大学）财政学专业学士，高级会计师，于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月起加入本公司。现任本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公司财务总监，青岛港集团董事，金控公司董事，山东高速光控产业投资基金管理有限公司董事、财务总监、财务部经理。曾任山东</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高速物流集团有限公司财务审计部经理，山东渤海湾港口集团有限公司总会计师。樊西为先生拥有超过</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年的财务管理工作经验，在</w:t>
            </w:r>
            <w:r>
              <w:rPr>
                <w:rFonts w:ascii="宋体" w:hAnsi="宋体" w:cs="宋体" w:eastAsia="宋体" w:hint="default"/>
                <w:w w:val="100"/>
                <w:sz w:val="21"/>
                <w:szCs w:val="21"/>
              </w:rPr>
              <w:t> </w:t>
            </w:r>
            <w:r>
              <w:rPr>
                <w:rFonts w:ascii="宋体" w:hAnsi="宋体" w:cs="宋体" w:eastAsia="宋体" w:hint="default"/>
                <w:sz w:val="21"/>
                <w:szCs w:val="21"/>
              </w:rPr>
              <w:t>大型企业财务管理方面拥有丰富经验。</w:t>
            </w:r>
          </w:p>
        </w:tc>
      </w:tr>
      <w:tr>
        <w:trPr>
          <w:trHeight w:val="12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陈福香</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96"/>
              <w:jc w:val="both"/>
              <w:rPr>
                <w:rFonts w:ascii="宋体" w:hAnsi="宋体" w:cs="宋体" w:eastAsia="宋体" w:hint="default"/>
                <w:sz w:val="21"/>
                <w:szCs w:val="21"/>
              </w:rPr>
            </w:pPr>
            <w:r>
              <w:rPr>
                <w:rFonts w:ascii="宋体" w:hAnsi="宋体" w:cs="宋体" w:eastAsia="宋体" w:hint="default"/>
                <w:sz w:val="21"/>
                <w:szCs w:val="21"/>
              </w:rPr>
              <w:t>陈福香先生，</w:t>
            </w:r>
            <w:r>
              <w:rPr>
                <w:rFonts w:ascii="Times New Roman" w:hAnsi="Times New Roman" w:cs="Times New Roman" w:eastAsia="Times New Roman" w:hint="default"/>
                <w:sz w:val="21"/>
                <w:szCs w:val="21"/>
              </w:rPr>
              <w:t>1966 </w:t>
            </w:r>
            <w:r>
              <w:rPr>
                <w:rFonts w:ascii="宋体" w:hAnsi="宋体" w:cs="宋体" w:eastAsia="宋体" w:hint="default"/>
                <w:spacing w:val="-3"/>
                <w:sz w:val="21"/>
                <w:szCs w:val="21"/>
              </w:rPr>
              <w:t>年出生，大连海事大学国际法学专业硕士，高级经济师，高级政工师，持有中华人民共和国律师资格，于 </w:t>
            </w:r>
            <w:r>
              <w:rPr>
                <w:rFonts w:ascii="Times New Roman" w:hAnsi="Times New Roman" w:cs="Times New Roman" w:eastAsia="Times New Roman" w:hint="default"/>
                <w:sz w:val="21"/>
                <w:szCs w:val="21"/>
              </w:rPr>
              <w:t>1988 </w:t>
            </w:r>
            <w:r>
              <w:rPr>
                <w:rFonts w:ascii="宋体" w:hAnsi="宋体" w:cs="宋体" w:eastAsia="宋体" w:hint="default"/>
                <w:spacing w:val="-3"/>
                <w:sz w:val="21"/>
                <w:szCs w:val="21"/>
              </w:rPr>
              <w:t>年起</w:t>
            </w:r>
            <w:r>
              <w:rPr>
                <w:rFonts w:ascii="宋体" w:hAnsi="宋体" w:cs="宋体" w:eastAsia="宋体" w:hint="default"/>
                <w:spacing w:val="-92"/>
                <w:sz w:val="21"/>
                <w:szCs w:val="21"/>
              </w:rPr>
              <w:t> </w:t>
            </w:r>
            <w:r>
              <w:rPr>
                <w:rFonts w:ascii="宋体" w:hAnsi="宋体" w:cs="宋体" w:eastAsia="宋体" w:hint="default"/>
                <w:sz w:val="21"/>
                <w:szCs w:val="21"/>
              </w:rPr>
              <w:t>加入青岛港务局（现为青岛港集团），并于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月起加入本公司。现任本公司公司秘书、董事会秘书、董事会办公室主任、授</w:t>
            </w:r>
            <w:r>
              <w:rPr>
                <w:rFonts w:ascii="宋体" w:hAnsi="宋体" w:cs="宋体" w:eastAsia="宋体" w:hint="default"/>
                <w:w w:val="100"/>
                <w:sz w:val="21"/>
                <w:szCs w:val="21"/>
              </w:rPr>
              <w:t> </w:t>
            </w:r>
            <w:r>
              <w:rPr>
                <w:rFonts w:ascii="宋体" w:hAnsi="宋体" w:cs="宋体" w:eastAsia="宋体" w:hint="default"/>
                <w:sz w:val="21"/>
                <w:szCs w:val="21"/>
              </w:rPr>
              <w:t>权代表。曾任青岛港务局办公室副主任、研究室主任，青岛港集团办公室副主任、主任、工会副主席、党委宣传部部长，本公司党委</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办公室主任、党委委员、工会主席。陈福香先生拥有超过</w:t>
            </w:r>
            <w:r>
              <w:rPr>
                <w:rFonts w:ascii="宋体" w:hAnsi="宋体" w:cs="宋体" w:eastAsia="宋体" w:hint="default"/>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5"/>
                <w:sz w:val="21"/>
                <w:szCs w:val="21"/>
              </w:rPr>
              <w:t> </w:t>
            </w:r>
            <w:r>
              <w:rPr>
                <w:rFonts w:ascii="宋体" w:hAnsi="宋体" w:cs="宋体" w:eastAsia="宋体" w:hint="default"/>
                <w:spacing w:val="-2"/>
                <w:sz w:val="21"/>
                <w:szCs w:val="21"/>
              </w:rPr>
              <w:t>年的港口行业工作经验，在大型港口企业管理方面拥有丰富经验。</w:t>
            </w:r>
          </w:p>
        </w:tc>
      </w:tr>
      <w:tr>
        <w:trPr>
          <w:trHeight w:val="161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张建东</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
              <w:ind w:left="103" w:right="-5"/>
              <w:jc w:val="left"/>
              <w:rPr>
                <w:rFonts w:ascii="宋体" w:hAnsi="宋体" w:cs="宋体" w:eastAsia="宋体" w:hint="default"/>
                <w:sz w:val="21"/>
                <w:szCs w:val="21"/>
              </w:rPr>
            </w:pPr>
            <w:r>
              <w:rPr>
                <w:rFonts w:ascii="宋体" w:hAnsi="宋体" w:cs="宋体" w:eastAsia="宋体" w:hint="default"/>
                <w:spacing w:val="-4"/>
                <w:sz w:val="21"/>
                <w:szCs w:val="21"/>
              </w:rPr>
              <w:t>张建东先生，</w:t>
            </w:r>
            <w:r>
              <w:rPr>
                <w:rFonts w:ascii="Times New Roman" w:hAnsi="Times New Roman" w:cs="Times New Roman" w:eastAsia="Times New Roman" w:hint="default"/>
                <w:spacing w:val="-4"/>
                <w:sz w:val="21"/>
                <w:szCs w:val="21"/>
              </w:rPr>
              <w:t>1962 </w:t>
            </w:r>
            <w:r>
              <w:rPr>
                <w:rFonts w:ascii="宋体" w:hAnsi="宋体" w:cs="宋体" w:eastAsia="宋体" w:hint="default"/>
                <w:spacing w:val="-5"/>
                <w:sz w:val="21"/>
                <w:szCs w:val="21"/>
              </w:rPr>
              <w:t>年出生，中央党校大学经济管理专业在职大学学历，高级经济师，于 </w:t>
            </w:r>
            <w:r>
              <w:rPr>
                <w:rFonts w:ascii="Times New Roman" w:hAnsi="Times New Roman" w:cs="Times New Roman" w:eastAsia="Times New Roman" w:hint="default"/>
                <w:sz w:val="21"/>
                <w:szCs w:val="21"/>
              </w:rPr>
              <w:t>1989 </w:t>
            </w:r>
            <w:r>
              <w:rPr>
                <w:rFonts w:ascii="宋体" w:hAnsi="宋体" w:cs="宋体" w:eastAsia="宋体" w:hint="default"/>
                <w:spacing w:val="-5"/>
                <w:sz w:val="21"/>
                <w:szCs w:val="21"/>
              </w:rPr>
              <w:t>年起加入青岛港务局（现为青岛港集团），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并于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月起加入本公司。现任本公司党委委员、副总裁（副总经理），威海港集团有限公司监事会主席，山东威海港股份有</w:t>
            </w:r>
            <w:r>
              <w:rPr>
                <w:rFonts w:ascii="宋体" w:hAnsi="宋体" w:cs="宋体" w:eastAsia="宋体" w:hint="default"/>
                <w:w w:val="100"/>
                <w:sz w:val="21"/>
                <w:szCs w:val="21"/>
              </w:rPr>
              <w:t> </w:t>
            </w:r>
            <w:r>
              <w:rPr>
                <w:rFonts w:ascii="宋体" w:hAnsi="宋体" w:cs="宋体" w:eastAsia="宋体" w:hint="default"/>
                <w:sz w:val="21"/>
                <w:szCs w:val="21"/>
              </w:rPr>
              <w:t>限公司监事会主席。曾任青岛港务局业务处调度室副主任，青岛港集团业务部部长，本公司前港分公司经理、党委书记，本公司安技</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部部长、监审部部长，青港财务公司监事长，金控公司监事长，青岛港保险经纪有限公司监事。张建东先生拥有超过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年的港口行业</w:t>
            </w:r>
            <w:r>
              <w:rPr>
                <w:rFonts w:ascii="宋体" w:hAnsi="宋体" w:cs="宋体" w:eastAsia="宋体" w:hint="default"/>
                <w:w w:val="100"/>
                <w:sz w:val="21"/>
                <w:szCs w:val="21"/>
              </w:rPr>
              <w:t> </w:t>
            </w:r>
            <w:r>
              <w:rPr>
                <w:rFonts w:ascii="宋体" w:hAnsi="宋体" w:cs="宋体" w:eastAsia="宋体" w:hint="default"/>
                <w:sz w:val="21"/>
                <w:szCs w:val="21"/>
              </w:rPr>
              <w:t>工作经验，在大型港口企业管理方面拥有丰富经验。</w:t>
            </w:r>
          </w:p>
        </w:tc>
      </w:tr>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刘良</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刘良先生，</w:t>
            </w:r>
            <w:r>
              <w:rPr>
                <w:rFonts w:ascii="Times New Roman" w:hAnsi="Times New Roman" w:cs="Times New Roman" w:eastAsia="Times New Roman" w:hint="default"/>
                <w:spacing w:val="-3"/>
                <w:sz w:val="21"/>
                <w:szCs w:val="21"/>
              </w:rPr>
              <w:t>1965 </w:t>
            </w:r>
            <w:r>
              <w:rPr>
                <w:rFonts w:ascii="宋体" w:hAnsi="宋体" w:cs="宋体" w:eastAsia="宋体" w:hint="default"/>
                <w:spacing w:val="-4"/>
                <w:sz w:val="21"/>
                <w:szCs w:val="21"/>
              </w:rPr>
              <w:t>年出生，大连海事大学轮机管理专业学士，高级工程师，于 </w:t>
            </w:r>
            <w:r>
              <w:rPr>
                <w:rFonts w:ascii="Times New Roman" w:hAnsi="Times New Roman" w:cs="Times New Roman" w:eastAsia="Times New Roman" w:hint="default"/>
                <w:sz w:val="21"/>
                <w:szCs w:val="21"/>
              </w:rPr>
              <w:t>1987 </w:t>
            </w:r>
            <w:r>
              <w:rPr>
                <w:rFonts w:ascii="宋体" w:hAnsi="宋体" w:cs="宋体" w:eastAsia="宋体" w:hint="default"/>
                <w:spacing w:val="-4"/>
                <w:sz w:val="21"/>
                <w:szCs w:val="21"/>
              </w:rPr>
              <w:t>年起加入青岛港务局（现为青岛港集团），并于</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2013</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975" w:top="1120" w:bottom="116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203" w:type="dxa"/>
        <w:tblLayout w:type="fixed"/>
        <w:tblCellMar>
          <w:top w:w="0" w:type="dxa"/>
          <w:left w:w="0" w:type="dxa"/>
          <w:bottom w:w="0" w:type="dxa"/>
          <w:right w:w="0" w:type="dxa"/>
        </w:tblCellMar>
        <w:tblLook w:val="01E0"/>
      </w:tblPr>
      <w:tblGrid>
        <w:gridCol w:w="1368"/>
        <w:gridCol w:w="12496"/>
      </w:tblGrid>
      <w:tr>
        <w:trPr>
          <w:trHeight w:val="3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970"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8"/>
                <w:sz w:val="21"/>
                <w:szCs w:val="21"/>
              </w:rPr>
              <w:t> </w:t>
            </w:r>
            <w:r>
              <w:rPr>
                <w:rFonts w:ascii="宋体" w:hAnsi="宋体" w:cs="宋体" w:eastAsia="宋体" w:hint="default"/>
                <w:spacing w:val="-2"/>
                <w:sz w:val="21"/>
                <w:szCs w:val="21"/>
              </w:rPr>
              <w:t>月起加入本公司。现任本公司党委委员、副总裁（副总经理）。曾任青岛港集团轮驳公司副经理、党委委员，本公司物资设备招</w:t>
            </w:r>
          </w:p>
          <w:p>
            <w:pPr>
              <w:pStyle w:val="TableParagraph"/>
              <w:spacing w:line="264" w:lineRule="auto" w:before="31"/>
              <w:ind w:left="103" w:right="96"/>
              <w:jc w:val="left"/>
              <w:rPr>
                <w:rFonts w:ascii="宋体" w:hAnsi="宋体" w:cs="宋体" w:eastAsia="宋体" w:hint="default"/>
                <w:sz w:val="21"/>
                <w:szCs w:val="21"/>
              </w:rPr>
            </w:pPr>
            <w:r>
              <w:rPr>
                <w:rFonts w:ascii="宋体" w:hAnsi="宋体" w:cs="宋体" w:eastAsia="宋体" w:hint="default"/>
                <w:sz w:val="21"/>
                <w:szCs w:val="21"/>
              </w:rPr>
              <w:t>标采购中心党支部书记、主任、轮驳分公司党委书记、经理。刘良先生拥有超过</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年的港口行业工作经验，在大型港口企业管理方面</w:t>
            </w:r>
            <w:r>
              <w:rPr>
                <w:rFonts w:ascii="宋体" w:hAnsi="宋体" w:cs="宋体" w:eastAsia="宋体" w:hint="default"/>
                <w:w w:val="100"/>
                <w:sz w:val="21"/>
                <w:szCs w:val="21"/>
              </w:rPr>
              <w:t> </w:t>
            </w:r>
            <w:r>
              <w:rPr>
                <w:rFonts w:ascii="宋体" w:hAnsi="宋体" w:cs="宋体" w:eastAsia="宋体" w:hint="default"/>
                <w:sz w:val="21"/>
                <w:szCs w:val="21"/>
              </w:rPr>
              <w:t>拥有丰富经验。</w:t>
            </w:r>
          </w:p>
        </w:tc>
      </w:tr>
      <w:tr>
        <w:trPr>
          <w:trHeight w:val="129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杨风广</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83"/>
              <w:jc w:val="both"/>
              <w:rPr>
                <w:rFonts w:ascii="宋体" w:hAnsi="宋体" w:cs="宋体" w:eastAsia="宋体" w:hint="default"/>
                <w:sz w:val="21"/>
                <w:szCs w:val="21"/>
              </w:rPr>
            </w:pPr>
            <w:r>
              <w:rPr>
                <w:rFonts w:ascii="宋体" w:hAnsi="宋体" w:cs="宋体" w:eastAsia="宋体" w:hint="default"/>
                <w:sz w:val="21"/>
                <w:szCs w:val="21"/>
              </w:rPr>
              <w:t>杨风广先生，</w:t>
            </w:r>
            <w:r>
              <w:rPr>
                <w:rFonts w:ascii="Times New Roman" w:hAnsi="Times New Roman" w:cs="Times New Roman" w:eastAsia="Times New Roman" w:hint="default"/>
                <w:sz w:val="21"/>
                <w:szCs w:val="21"/>
              </w:rPr>
              <w:t>1964 </w:t>
            </w:r>
            <w:r>
              <w:rPr>
                <w:rFonts w:ascii="宋体" w:hAnsi="宋体" w:cs="宋体" w:eastAsia="宋体" w:hint="default"/>
                <w:sz w:val="21"/>
                <w:szCs w:val="21"/>
              </w:rPr>
              <w:t>年出生，山东行政学院工商管理专业学士，高级政工师，于 </w:t>
            </w:r>
            <w:r>
              <w:rPr>
                <w:rFonts w:ascii="Times New Roman" w:hAnsi="Times New Roman" w:cs="Times New Roman" w:eastAsia="Times New Roman" w:hint="default"/>
                <w:sz w:val="21"/>
                <w:szCs w:val="21"/>
              </w:rPr>
              <w:t>1985</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年起加入青岛港务局（现为青岛港集团），并于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月起加入本公司。现任本公司党委委员、副总裁（副总经理）。曾任青岛港集团多个下属公司副经理、经理、党委委员、党</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委书记，</w:t>
            </w:r>
            <w:r>
              <w:rPr>
                <w:rFonts w:ascii="Times New Roman" w:hAnsi="Times New Roman" w:cs="Times New Roman" w:eastAsia="Times New Roman" w:hint="default"/>
                <w:sz w:val="21"/>
                <w:szCs w:val="21"/>
              </w:rPr>
              <w:t>QDOT</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总经理、党委书记、纪委书记，本公司前港分公司党委书记、经理。杨风广先生拥有超过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年的港口行业工作经验，</w:t>
            </w:r>
            <w:r>
              <w:rPr>
                <w:rFonts w:ascii="宋体" w:hAnsi="宋体" w:cs="宋体" w:eastAsia="宋体" w:hint="default"/>
                <w:w w:val="100"/>
                <w:sz w:val="21"/>
                <w:szCs w:val="21"/>
              </w:rPr>
              <w:t> </w:t>
            </w:r>
            <w:r>
              <w:rPr>
                <w:rFonts w:ascii="宋体" w:hAnsi="宋体" w:cs="宋体" w:eastAsia="宋体" w:hint="default"/>
                <w:sz w:val="21"/>
                <w:szCs w:val="21"/>
              </w:rPr>
              <w:t>在大型港口企业管理方面拥有丰富经验。</w:t>
            </w:r>
          </w:p>
        </w:tc>
      </w:tr>
    </w:tbl>
    <w:p>
      <w:pPr>
        <w:pStyle w:val="BodyText"/>
        <w:spacing w:line="239" w:lineRule="exact"/>
        <w:ind w:left="138"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Heading5"/>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董事、高级管理人员报告期内被授予的股权激励情况</w:t>
      </w:r>
      <w:r>
        <w:rPr>
          <w:b w:val="0"/>
          <w:bCs w:val="0"/>
        </w:rPr>
      </w:r>
    </w:p>
    <w:p>
      <w:pPr>
        <w:pStyle w:val="BodyText"/>
        <w:spacing w:line="240" w:lineRule="auto" w:before="29"/>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9"/>
          <w:pgSz w:w="16840" w:h="11910" w:orient="landscape"/>
          <w:pgMar w:footer="975" w:header="880" w:top="1120" w:bottom="1160" w:left="1280" w:right="1300"/>
        </w:sectPr>
      </w:pPr>
    </w:p>
    <w:p>
      <w:pPr>
        <w:spacing w:line="240" w:lineRule="auto" w:before="0"/>
        <w:rPr>
          <w:rFonts w:ascii="宋体" w:hAnsi="宋体" w:cs="宋体" w:eastAsia="宋体" w:hint="default"/>
          <w:sz w:val="20"/>
          <w:szCs w:val="20"/>
        </w:rPr>
      </w:pPr>
    </w:p>
    <w:p>
      <w:pPr>
        <w:pStyle w:val="Heading5"/>
        <w:spacing w:line="240" w:lineRule="auto" w:before="175"/>
        <w:ind w:left="178" w:right="0"/>
        <w:jc w:val="left"/>
        <w:rPr>
          <w:b w:val="0"/>
          <w:bCs w:val="0"/>
        </w:rPr>
      </w:pPr>
      <w:r>
        <w:rPr/>
        <w:t>二、现任及报告期内离任董事、监事和高级管理人员的任职情况</w:t>
      </w:r>
      <w:r>
        <w:rPr>
          <w:b w:val="0"/>
          <w:bCs w:val="0"/>
        </w:rPr>
      </w:r>
    </w:p>
    <w:p>
      <w:pPr>
        <w:pStyle w:val="Heading5"/>
        <w:spacing w:line="240" w:lineRule="auto"/>
        <w:ind w:left="1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1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1102"/>
        <w:gridCol w:w="3010"/>
        <w:gridCol w:w="2693"/>
        <w:gridCol w:w="1222"/>
        <w:gridCol w:w="1135"/>
      </w:tblGrid>
      <w:tr>
        <w:trPr>
          <w:trHeight w:val="65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335" w:right="122"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868"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9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395" w:right="183"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350" w:right="139"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李奉利</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党委书记、董事长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2019.12</w:t>
            </w:r>
          </w:p>
        </w:tc>
      </w:tr>
      <w:tr>
        <w:trPr>
          <w:trHeight w:val="65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焦广军</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9"/>
              <w:jc w:val="left"/>
              <w:rPr>
                <w:rFonts w:ascii="宋体" w:hAnsi="宋体" w:cs="宋体" w:eastAsia="宋体" w:hint="default"/>
                <w:sz w:val="21"/>
                <w:szCs w:val="21"/>
              </w:rPr>
            </w:pPr>
            <w:r>
              <w:rPr>
                <w:rFonts w:ascii="宋体" w:hAnsi="宋体" w:cs="宋体" w:eastAsia="宋体" w:hint="default"/>
                <w:spacing w:val="-5"/>
                <w:sz w:val="21"/>
                <w:szCs w:val="21"/>
              </w:rPr>
              <w:t>总裁、党委副书记、副董事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2020.01</w:t>
            </w:r>
          </w:p>
        </w:tc>
      </w:tr>
      <w:tr>
        <w:trPr>
          <w:trHeight w:val="33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上海中海码头发展有限公司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2017.03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2019.12</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中海码头发展有限公司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2017.03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2019.12</w:t>
            </w:r>
          </w:p>
        </w:tc>
      </w:tr>
      <w:tr>
        <w:trPr>
          <w:trHeight w:val="33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张为</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中远海运港口发展有限公司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2016.12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2019.10</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宋体" w:hAnsi="宋体" w:cs="宋体" w:eastAsia="宋体" w:hint="default"/>
                <w:sz w:val="21"/>
                <w:szCs w:val="21"/>
              </w:rPr>
            </w:pPr>
            <w:r>
              <w:rPr>
                <w:rFonts w:ascii="宋体" w:hAnsi="宋体" w:cs="宋体" w:eastAsia="宋体" w:hint="default"/>
                <w:sz w:val="21"/>
                <w:szCs w:val="21"/>
              </w:rPr>
              <w:t>张江南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21"/>
                <w:szCs w:val="21"/>
              </w:rPr>
            </w:pPr>
            <w:r>
              <w:rPr>
                <w:rFonts w:ascii="Times New Roman"/>
                <w:sz w:val="21"/>
              </w:rPr>
              <w:t>2018.09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0" w:right="0"/>
              <w:jc w:val="left"/>
              <w:rPr>
                <w:rFonts w:ascii="Times New Roman" w:hAnsi="Times New Roman" w:cs="Times New Roman" w:eastAsia="Times New Roman" w:hint="default"/>
                <w:sz w:val="21"/>
                <w:szCs w:val="21"/>
              </w:rPr>
            </w:pPr>
            <w:r>
              <w:rPr>
                <w:rFonts w:ascii="Times New Roman"/>
                <w:sz w:val="21"/>
              </w:rPr>
              <w:t>2020.01</w:t>
            </w:r>
          </w:p>
        </w:tc>
      </w:tr>
      <w:tr>
        <w:trPr>
          <w:trHeight w:val="33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褚效忠</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青岛建港指挥部党委书记</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2005.05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2020.01</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2015.03</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2015.03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2020.01</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张庆财</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2020.01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王晓燕</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8"/>
              <w:jc w:val="left"/>
              <w:rPr>
                <w:rFonts w:ascii="宋体" w:hAnsi="宋体" w:cs="宋体" w:eastAsia="宋体" w:hint="default"/>
                <w:sz w:val="21"/>
                <w:szCs w:val="21"/>
              </w:rPr>
            </w:pPr>
            <w:r>
              <w:rPr>
                <w:rFonts w:ascii="宋体" w:hAnsi="宋体" w:cs="宋体" w:eastAsia="宋体" w:hint="default"/>
                <w:spacing w:val="-5"/>
                <w:sz w:val="21"/>
                <w:szCs w:val="21"/>
              </w:rPr>
              <w:t>工会办公室主任、女工委副</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主任</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2020.01</w:t>
            </w:r>
          </w:p>
        </w:tc>
      </w:tr>
      <w:tr>
        <w:trPr>
          <w:trHeight w:val="33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党委委员</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2016.12</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苏建光</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5"/>
                <w:sz w:val="21"/>
                <w:szCs w:val="21"/>
              </w:rPr>
              <w:t>党委副书记、董事、总经理</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2020.01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王新泽</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党委组织部部长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2017.01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0" w:right="0"/>
              <w:jc w:val="left"/>
              <w:rPr>
                <w:rFonts w:ascii="Times New Roman" w:hAnsi="Times New Roman" w:cs="Times New Roman" w:eastAsia="Times New Roman" w:hint="default"/>
                <w:sz w:val="21"/>
                <w:szCs w:val="21"/>
              </w:rPr>
            </w:pPr>
            <w:r>
              <w:rPr>
                <w:rFonts w:ascii="Times New Roman"/>
                <w:sz w:val="21"/>
              </w:rPr>
              <w:t>2019.04</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王新泽</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党委副书记、董事</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2020.01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陈福香</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8"/>
              <w:jc w:val="left"/>
              <w:rPr>
                <w:rFonts w:ascii="宋体" w:hAnsi="宋体" w:cs="宋体" w:eastAsia="宋体" w:hint="default"/>
                <w:sz w:val="21"/>
                <w:szCs w:val="21"/>
              </w:rPr>
            </w:pPr>
            <w:r>
              <w:rPr>
                <w:rFonts w:ascii="宋体" w:hAnsi="宋体" w:cs="宋体" w:eastAsia="宋体" w:hint="default"/>
                <w:spacing w:val="-5"/>
                <w:sz w:val="21"/>
                <w:szCs w:val="21"/>
              </w:rPr>
              <w:t>工会副主席、党委宣传部部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21"/>
                <w:szCs w:val="21"/>
              </w:rPr>
            </w:pPr>
            <w:r>
              <w:rPr>
                <w:rFonts w:ascii="Times New Roman"/>
                <w:sz w:val="21"/>
              </w:rPr>
              <w:t>2019.04</w:t>
            </w:r>
          </w:p>
        </w:tc>
      </w:tr>
      <w:tr>
        <w:trPr>
          <w:trHeight w:val="3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樊西为</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青岛港（集团）有限公司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2020.01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97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24" w:right="122"/>
              <w:jc w:val="both"/>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0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3"/>
        <w:spacing w:line="274" w:lineRule="exact"/>
        <w:ind w:left="178" w:right="0"/>
        <w:jc w:val="left"/>
        <w:rPr>
          <w:rFonts w:ascii="宋体" w:hAnsi="宋体" w:cs="宋体" w:eastAsia="宋体" w:hint="default"/>
        </w:rPr>
      </w:pPr>
      <w:r>
        <w:rPr>
          <w:rFonts w:ascii="宋体"/>
        </w:rPr>
        <w:t> </w:t>
      </w:r>
    </w:p>
    <w:p>
      <w:pPr>
        <w:pStyle w:val="Heading5"/>
        <w:spacing w:line="240" w:lineRule="auto" w:before="61"/>
        <w:ind w:left="17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1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4"/>
              <w:jc w:val="right"/>
              <w:rPr>
                <w:rFonts w:ascii="宋体" w:hAnsi="宋体" w:cs="宋体" w:eastAsia="宋体" w:hint="default"/>
                <w:sz w:val="21"/>
                <w:szCs w:val="21"/>
              </w:rPr>
            </w:pPr>
            <w:r>
              <w:rPr>
                <w:rFonts w:ascii="宋体" w:hAnsi="宋体" w:cs="宋体" w:eastAsia="宋体" w:hint="default"/>
                <w:spacing w:val="-1"/>
                <w:sz w:val="21"/>
                <w:szCs w:val="21"/>
              </w:rPr>
              <w:t>李奉利</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山东省港口集团有限公司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2019.07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李奉利</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2019.01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李奉利</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青岛港国际发展（香港）有限公司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2020.03 </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焦广军</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山东省港口集团有限公司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党委常委、副总经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2019.07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2020.01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4"/>
              <w:jc w:val="right"/>
              <w:rPr>
                <w:rFonts w:ascii="宋体" w:hAnsi="宋体" w:cs="宋体" w:eastAsia="宋体" w:hint="default"/>
                <w:sz w:val="21"/>
                <w:szCs w:val="21"/>
              </w:rPr>
            </w:pPr>
            <w:r>
              <w:rPr>
                <w:rFonts w:ascii="宋体" w:hAnsi="宋体" w:cs="宋体" w:eastAsia="宋体" w:hint="default"/>
                <w:spacing w:val="-1"/>
                <w:sz w:val="21"/>
                <w:szCs w:val="21"/>
              </w:rPr>
              <w:t>焦广军</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天津港（集团）有限公司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事、总裁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焦广军</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天津港股份有限公司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焦广军</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青岛港通泽商贸有限公司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bl>
    <w:p>
      <w:pPr>
        <w:spacing w:after="0" w:line="241" w:lineRule="exact"/>
        <w:jc w:val="left"/>
        <w:rPr>
          <w:rFonts w:ascii="宋体" w:hAnsi="宋体" w:cs="宋体" w:eastAsia="宋体" w:hint="default"/>
          <w:sz w:val="21"/>
          <w:szCs w:val="21"/>
        </w:rPr>
        <w:sectPr>
          <w:headerReference w:type="default" r:id="rId40"/>
          <w:footerReference w:type="default" r:id="rId41"/>
          <w:pgSz w:w="11910" w:h="16840"/>
          <w:pgMar w:header="877" w:footer="974" w:top="1100" w:bottom="1160" w:left="1240" w:right="122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2019.09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中远海运控股股份有限公司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2019.08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中远海运控股股份有限公司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2019.08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中国远洋海运集团有限公司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2019.07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w:t>
            </w:r>
            <w:r>
              <w:rPr>
                <w:rFonts w:ascii="宋体" w:hAnsi="宋体" w:cs="宋体" w:eastAsia="宋体" w:hint="default"/>
                <w:sz w:val="21"/>
                <w:szCs w:val="21"/>
              </w:rPr>
              <w:t>-</w:t>
            </w:r>
            <w:r>
              <w:rPr>
                <w:rFonts w:ascii="宋体" w:hAnsi="宋体" w:cs="宋体" w:eastAsia="宋体" w:hint="default"/>
                <w:sz w:val="21"/>
                <w:szCs w:val="21"/>
              </w:rPr>
              <w:t>国际货柜码头</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亚洲货柜码头法式租赁有限公司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AsiaContainerTerminalsHoldingsLimi</w:t>
            </w:r>
          </w:p>
          <w:p>
            <w:pPr>
              <w:pStyle w:val="TableParagraph"/>
              <w:spacing w:line="274" w:lineRule="exact"/>
              <w:ind w:left="103" w:right="0"/>
              <w:jc w:val="left"/>
              <w:rPr>
                <w:rFonts w:ascii="宋体" w:hAnsi="宋体" w:cs="宋体" w:eastAsia="宋体" w:hint="default"/>
                <w:sz w:val="21"/>
                <w:szCs w:val="21"/>
              </w:rPr>
            </w:pPr>
            <w:r>
              <w:rPr>
                <w:rFonts w:ascii="宋体"/>
                <w:sz w:val="21"/>
              </w:rPr>
              <w:t>ted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2019.11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亚洲货柜码头有限公司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2019.11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中远海运港口（南通）有限公司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COSCOSHIPPINGPorts(PortSaid)Limite</w:t>
            </w:r>
          </w:p>
          <w:p>
            <w:pPr>
              <w:pStyle w:val="TableParagraph"/>
              <w:spacing w:line="273" w:lineRule="exact"/>
              <w:ind w:left="103" w:right="0"/>
              <w:jc w:val="left"/>
              <w:rPr>
                <w:rFonts w:ascii="宋体" w:hAnsi="宋体" w:cs="宋体" w:eastAsia="宋体" w:hint="default"/>
                <w:sz w:val="21"/>
                <w:szCs w:val="21"/>
              </w:rPr>
            </w:pPr>
            <w:r>
              <w:rPr>
                <w:rFonts w:ascii="宋体"/>
                <w:sz w:val="21"/>
              </w:rPr>
              <w:t>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2019.11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COSCOSHIPPINGPortsChancayPeruS.A.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董事会主席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w:t>
            </w:r>
            <w:r>
              <w:rPr>
                <w:rFonts w:ascii="宋体" w:hAnsi="宋体" w:cs="宋体" w:eastAsia="宋体" w:hint="default"/>
                <w:sz w:val="21"/>
                <w:szCs w:val="21"/>
              </w:rPr>
              <w:t>-HPHT</w:t>
            </w:r>
            <w:r>
              <w:rPr>
                <w:rFonts w:ascii="宋体" w:hAnsi="宋体" w:cs="宋体" w:eastAsia="宋体" w:hint="default"/>
                <w:spacing w:val="-56"/>
                <w:sz w:val="21"/>
                <w:szCs w:val="21"/>
              </w:rPr>
              <w:t> </w:t>
            </w:r>
            <w:r>
              <w:rPr>
                <w:rFonts w:ascii="宋体" w:hAnsi="宋体" w:cs="宋体" w:eastAsia="宋体" w:hint="default"/>
                <w:sz w:val="21"/>
                <w:szCs w:val="21"/>
              </w:rPr>
              <w:t>亚洲货柜码头有限公司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中远海运港口阿布扎比码头有限公司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sz w:val="21"/>
              </w:rPr>
              <w:t>Euro-</w:t>
            </w:r>
            <w:r>
              <w:rPr>
                <w:rFonts w:ascii="宋体" w:hAnsi="宋体"/>
                <w:sz w:val="21"/>
              </w:rPr>
              <w:t>AsiaOceangateS.àr.l.</w:t>
            </w:r>
            <w:r>
              <w:rPr>
                <w:rFonts w:ascii="宋体" w:hAns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广州南沙海港集装箱码头有限公司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和记黄埔盐田港口投资有限公司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PiraeusContainerTerminalS.A.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SigmaEnterprisesLimited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SuezCanalContaineTerminalS.A.E.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WattrusLimited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武汉中远海运港口码头有限公司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上海中远海运港口投资有限公司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COSCOSHIPPINGPORTS(SPAIN)TERMINALS</w:t>
            </w:r>
          </w:p>
          <w:p>
            <w:pPr>
              <w:pStyle w:val="TableParagraph"/>
              <w:spacing w:line="273" w:lineRule="exact"/>
              <w:ind w:left="103" w:right="0"/>
              <w:jc w:val="left"/>
              <w:rPr>
                <w:rFonts w:ascii="宋体" w:hAnsi="宋体" w:cs="宋体" w:eastAsia="宋体" w:hint="default"/>
                <w:sz w:val="21"/>
                <w:szCs w:val="21"/>
              </w:rPr>
            </w:pPr>
            <w:r>
              <w:rPr>
                <w:rFonts w:ascii="宋体"/>
                <w:sz w:val="21"/>
              </w:rPr>
              <w:t>,S.L.U.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2017.10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2019.12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COSCOSHIPPINGPORTS(SPAIN)HOLDING,S</w:t>
            </w:r>
          </w:p>
          <w:p>
            <w:pPr>
              <w:pStyle w:val="TableParagraph"/>
              <w:spacing w:line="273" w:lineRule="exact"/>
              <w:ind w:left="103" w:right="0"/>
              <w:jc w:val="left"/>
              <w:rPr>
                <w:rFonts w:ascii="宋体" w:hAnsi="宋体" w:cs="宋体" w:eastAsia="宋体" w:hint="default"/>
                <w:sz w:val="21"/>
                <w:szCs w:val="21"/>
              </w:rPr>
            </w:pPr>
            <w:r>
              <w:rPr>
                <w:rFonts w:ascii="宋体"/>
                <w:sz w:val="21"/>
              </w:rPr>
              <w:t>.L.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2017.10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2019.12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盐田国际集装箱码头有限公司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宁波远东码头经营有限公司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上海浦东国际集装箱码头有限公司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厦门远海集装箱码头有限公司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晋江太平洋港口发展有限公司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泉州太平洋集装箱码头有限公司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洋山</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COSCOPacificFinance(2013)CompanyLi</w:t>
            </w:r>
          </w:p>
          <w:p>
            <w:pPr>
              <w:pStyle w:val="TableParagraph"/>
              <w:spacing w:line="274" w:lineRule="exact"/>
              <w:ind w:left="103" w:right="0"/>
              <w:jc w:val="left"/>
              <w:rPr>
                <w:rFonts w:ascii="宋体" w:hAnsi="宋体" w:cs="宋体" w:eastAsia="宋体" w:hint="default"/>
                <w:sz w:val="21"/>
                <w:szCs w:val="21"/>
              </w:rPr>
            </w:pPr>
            <w:r>
              <w:rPr>
                <w:rFonts w:ascii="宋体"/>
                <w:sz w:val="21"/>
              </w:rPr>
              <w:t>mited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COSCOPacificLimited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授权代表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sz w:val="21"/>
              </w:rPr>
              <w:t>COSCOSHIPPINGPorts(Greece)S.àr.l.</w:t>
            </w:r>
            <w:r>
              <w:rPr>
                <w:rFonts w:ascii="宋体" w:hAns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鹿特丹</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伊斯坦布尔</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盐田</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亚洲货柜</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授权代表</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中远国际</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宋体" w:hAnsi="宋体" w:cs="宋体" w:eastAsia="宋体" w:hint="default"/>
                <w:sz w:val="21"/>
                <w:szCs w:val="21"/>
              </w:rPr>
              <w:t>(</w:t>
            </w:r>
            <w:r>
              <w:rPr>
                <w:rFonts w:ascii="宋体" w:hAnsi="宋体" w:cs="宋体" w:eastAsia="宋体" w:hint="default"/>
                <w:sz w:val="21"/>
                <w:szCs w:val="21"/>
              </w:rPr>
              <w:t>宁波北仑</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bl>
    <w:p>
      <w:pPr>
        <w:spacing w:after="0" w:line="241" w:lineRule="exact"/>
        <w:jc w:val="left"/>
        <w:rPr>
          <w:rFonts w:ascii="宋体" w:hAnsi="宋体" w:cs="宋体" w:eastAsia="宋体" w:hint="default"/>
          <w:sz w:val="21"/>
          <w:szCs w:val="21"/>
        </w:rPr>
        <w:sectPr>
          <w:pgSz w:w="11910" w:h="16840"/>
          <w:pgMar w:header="877" w:footer="974" w:top="1100" w:bottom="1160" w:left="124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宋体" w:hAnsi="宋体" w:cs="宋体" w:eastAsia="宋体" w:hint="default"/>
                <w:sz w:val="21"/>
                <w:szCs w:val="21"/>
              </w:rPr>
              <w:t>(</w:t>
            </w:r>
            <w:r>
              <w:rPr>
                <w:rFonts w:ascii="宋体" w:hAnsi="宋体" w:cs="宋体" w:eastAsia="宋体" w:hint="default"/>
                <w:sz w:val="21"/>
                <w:szCs w:val="21"/>
              </w:rPr>
              <w:t>浦东</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领航控股有限公司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2019.07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海路国际港口运营管理有限公司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中远海运港口（钱凯）有限公司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中远海运港口（西班牙）有限公司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阿布扎比</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中远码头</w:t>
            </w:r>
            <w:r>
              <w:rPr>
                <w:rFonts w:ascii="宋体" w:hAnsi="宋体" w:cs="宋体" w:eastAsia="宋体" w:hint="default"/>
                <w:sz w:val="21"/>
                <w:szCs w:val="21"/>
              </w:rPr>
              <w:t>(</w:t>
            </w:r>
            <w:r>
              <w:rPr>
                <w:rFonts w:ascii="宋体" w:hAnsi="宋体" w:cs="宋体" w:eastAsia="宋体" w:hint="default"/>
                <w:sz w:val="21"/>
                <w:szCs w:val="21"/>
              </w:rPr>
              <w:t>南沙</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厦门</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晋江</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中远海运港口</w:t>
            </w:r>
            <w:r>
              <w:rPr>
                <w:rFonts w:ascii="宋体" w:hAnsi="宋体" w:cs="宋体" w:eastAsia="宋体" w:hint="default"/>
                <w:sz w:val="21"/>
                <w:szCs w:val="21"/>
              </w:rPr>
              <w:t>(</w:t>
            </w:r>
            <w:r>
              <w:rPr>
                <w:rFonts w:ascii="宋体" w:hAnsi="宋体" w:cs="宋体" w:eastAsia="宋体" w:hint="default"/>
                <w:sz w:val="21"/>
                <w:szCs w:val="21"/>
              </w:rPr>
              <w:t>泉州</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连云港新东方国际货柜码头有限公司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日照港集团有限公司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日照港股份有限公司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日照港股份有限公司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青岛实华原油码头有限公司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青岛前湾西港联合码头有限责任公司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滨州港青港国际码头有限公司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青岛港通宝航运有限公司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青岛港施维策拖轮有限公司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青岛外轮理货有限公司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青岛东港国际集装箱储运有限公司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青岛联合国际船舶代理有限公司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青岛港董家口万邦物流有限公司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青岛海湾液体化工港务有限公司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大唐青岛港务有限公司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青岛海业摩科瑞物流有限公司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青岛海业摩科瑞仓储有限公司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山东港联化管道石油输送有限公司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青岛港董家口液体化工码头有限公司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东营港联化管道石油输送有限公司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青岛港引航站有限公司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山东青东管道有限公司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青岛前湾智能集装箱码头有限公司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青岛前湾新联合集装箱码头有限责任公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2019.01 </w:t>
            </w:r>
          </w:p>
        </w:tc>
      </w:tr>
    </w:tbl>
    <w:p>
      <w:pPr>
        <w:spacing w:after="0" w:line="240" w:lineRule="auto"/>
        <w:jc w:val="left"/>
        <w:rPr>
          <w:rFonts w:ascii="宋体" w:hAnsi="宋体" w:cs="宋体" w:eastAsia="宋体" w:hint="default"/>
          <w:sz w:val="21"/>
          <w:szCs w:val="21"/>
        </w:rPr>
        <w:sectPr>
          <w:pgSz w:w="11910" w:h="16840"/>
          <w:pgMar w:header="877" w:footer="974" w:top="1100" w:bottom="1160" w:left="124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青岛港华物流有限公司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青岛长荣集装箱储运有限公司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华能青岛港务有限公司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青岛港董家口中外运物流有限公司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青岛港董家口中外运物流有限公司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张江南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青岛港董家口矿石码头有限公司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青岛永利保险代理有限公司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青岛港科技有限公司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青岛港文化传媒有限公司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青岛港国际融资租赁有限公司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青岛港资产管理有限公司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山东港联化管道石油输送有限公司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青岛港通泽商贸有限公司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东营港联化管道石油输送有限公司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青岛市资产管理有限责任公司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青港（深圳）商业保理有限公司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青港（深圳）商业保理有限公司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青岛港基金管理有限公司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姜春凤</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青岛港保险经纪有限公司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山东省港口集团有限公司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总工程师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青岛前湾新联合集装箱码头有限责任公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2019.01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张庆财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威海青威集装箱码头有限公司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山东港口陆海国际物流集团有限公司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党委书记、执行董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党委书记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青岛港怡之航冷链物流有限公司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青岛港怡之航冷链物流有限公司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青岛联合国际船舶代理有限公司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青岛港前湾港区保税物流中心有限公司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青岛神州行国际货运代理有限公司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青岛港海国际物流有限公司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bl>
    <w:p>
      <w:pPr>
        <w:spacing w:after="0" w:line="241" w:lineRule="exact"/>
        <w:jc w:val="left"/>
        <w:rPr>
          <w:rFonts w:ascii="宋体" w:hAnsi="宋体" w:cs="宋体" w:eastAsia="宋体" w:hint="default"/>
          <w:sz w:val="21"/>
          <w:szCs w:val="21"/>
        </w:rPr>
        <w:sectPr>
          <w:pgSz w:w="11910" w:h="16840"/>
          <w:pgMar w:header="877" w:footer="974" w:top="1100" w:bottom="1160" w:left="124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青岛港海国际物流有限公司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青岛港联顺船务有限公司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青岛宏宇货运代理有限公司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青岛港国际贸易物流有限公司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青岛港运泰物流有限公司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青岛港易通国际物流有限公司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青岛港董家口散货物流中心有限公司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青岛港捷运通国际物流有限公司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青岛港捷丰国际物流有限公司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青岛港纸浆物流有限公司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青岛市青岛港大宗商品交易中心有限公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2015.05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青岛港联捷国际物流有限公司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青岛港联捷国际物流有限公司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青岛港联宇国际物流有限公司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青岛港联荣国际物流有限公司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青岛港联荣国际物流有限公司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青岛港联欣国际物流有限公司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青岛港联华国际物流有限公司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青岛港联海国际物流有限公司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青岛港即墨港区国际物流有限公司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青岛前湾国际汽车供应链服务有限公司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威海青威集装箱码头有限公司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2013.08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2019.01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青岛港（临沂）高速物流有限公司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李武成</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青岛西岸鑫通物流有限公司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青岛实华原油码头有限公司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大唐青岛港务有限公司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青岛港董家口通用码头有限公司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青岛振华石油仓储有限公司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2017.05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刘水国</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王晓燕</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工会主席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李燕</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中央财经大学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教授、博导</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1982.07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李燕</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2019.09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李燕</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北京东华软件股份有限公司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李燕</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青岛啤酒股份有限公司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蒋敏</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安徽天禾律师事务所，</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创始合伙人</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1996.01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蒋敏</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青岛啤酒股份有限公司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蒋敏</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山东省药用玻璃股份有限公司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蒋敏</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阳光电源股份有限公司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蒋敏</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科大智能科技股份有限公司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黎国浩</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上海第九城市信息技术有限公司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首席财务官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2008.07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黎国浩</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上海第九城市信息技术有限公司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77" w:footer="974" w:top="1100" w:bottom="1160" w:left="124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山东省律师协会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青岛市律师协会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会长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2019.12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青岛市律师协会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山东琴岛律师事务所</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执行主任</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青岛市仲裁委员会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仲裁员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1996.04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青岛啤酒股份有限公司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青岛国信金融控股有限公司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青岛百洋医药股份有限公司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青岛天能重工股份有限公司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王亚平</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瑞港建设控股有限公司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4"/>
              <w:jc w:val="right"/>
              <w:rPr>
                <w:rFonts w:ascii="宋体" w:hAnsi="宋体" w:cs="宋体" w:eastAsia="宋体" w:hint="default"/>
                <w:sz w:val="21"/>
                <w:szCs w:val="21"/>
              </w:rPr>
            </w:pPr>
            <w:r>
              <w:rPr>
                <w:rFonts w:ascii="宋体" w:hAnsi="宋体" w:cs="宋体" w:eastAsia="宋体" w:hint="default"/>
                <w:spacing w:val="-1"/>
                <w:sz w:val="21"/>
                <w:szCs w:val="21"/>
              </w:rPr>
              <w:t>杨秋林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大华会计师事务所（特殊普通合伙）山</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东分所</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副所长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2017.08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杨秋林</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青岛睿远成德管理咨询有限公司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2018.02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邹国强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卡姆丹克太阳能系统集团有限公司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执行董事、首席财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务官兼公司秘书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2007.11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2020.01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邹国强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The9Limited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邹国强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中烟国际（香港）有限公司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邹国强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中国新华教育集团</w:t>
            </w:r>
            <w:r>
              <w:rPr>
                <w:rFonts w:ascii="宋体" w:hAnsi="宋体" w:cs="宋体" w:eastAsia="宋体" w:hint="default"/>
                <w:spacing w:val="-53"/>
                <w:sz w:val="21"/>
                <w:szCs w:val="21"/>
              </w:rPr>
              <w:t> </w:t>
            </w:r>
            <w:r>
              <w:rPr>
                <w:rFonts w:ascii="宋体" w:hAnsi="宋体" w:cs="宋体" w:eastAsia="宋体" w:hint="default"/>
                <w:sz w:val="21"/>
                <w:szCs w:val="21"/>
              </w:rPr>
              <w:t>2528</w:t>
            </w:r>
            <w:r>
              <w:rPr>
                <w:rFonts w:ascii="宋体" w:hAnsi="宋体" w:cs="宋体" w:eastAsia="宋体" w:hint="default"/>
                <w:spacing w:val="-56"/>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邹国强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尚晋国际控股有限公司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独立董事、审计委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员会主席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2019.12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山东德衡律师事务所</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主任、管理合伙人</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青岛和合涂装材料有限公司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2019.02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中国国际经济贸易仲裁委员会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仲裁员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山东省人大常委会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专家顾问</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山东省律师协会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公司法专业委员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会主任</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2019.02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山东省私营企业协会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李旭修</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青岛市律师协会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副会长、常务副监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2016.09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北京资产评估协会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北京中企华资产评估有限责任公司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董事、总裁兼首席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执行官</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2015.06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恒信东方文化股份有限公司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2015.06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华创阳安股份有限公司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中国东方红卫星股份有限公司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2014.11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东方电气股份有限公司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刘登清</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中国矿业权评估师协会</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4"/>
              <w:jc w:val="right"/>
              <w:rPr>
                <w:rFonts w:ascii="宋体" w:hAnsi="宋体" w:cs="宋体" w:eastAsia="宋体" w:hint="default"/>
                <w:sz w:val="21"/>
                <w:szCs w:val="21"/>
              </w:rPr>
            </w:pPr>
            <w:r>
              <w:rPr>
                <w:rFonts w:ascii="宋体" w:hAnsi="宋体" w:cs="宋体" w:eastAsia="宋体" w:hint="default"/>
                <w:spacing w:val="-1"/>
                <w:sz w:val="21"/>
                <w:szCs w:val="21"/>
              </w:rPr>
              <w:t>苏建光</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青岛港口投资建设（集团）有限责任公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党委书记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2015.03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苏建光</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苏建光</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苏建光</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苏建光</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青岛邮轮母港开发建设有限公司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苏建光</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青岛董家口铁路有限公司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张连钢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张连钢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青岛新前湾集装箱码头有限公司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2020.03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张连钢</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青岛前湾智能集装箱码头有限公司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77" w:footer="974" w:top="1100" w:bottom="1160" w:left="124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243"/>
        <w:gridCol w:w="3855"/>
        <w:gridCol w:w="1844"/>
        <w:gridCol w:w="1133"/>
        <w:gridCol w:w="1135"/>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任期起始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樊西为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山东高速光控产业投资基金管理有限公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2016.08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樊西为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山东高速光控产业投资基金管理有限公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2018.12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樊西为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山东渤海湾港口集团有限公司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总会计师</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2020.01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樊西为</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2020.03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张建东</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威海港集团有限公司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张建东</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山东威海港股份有限公司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2019.08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张建东</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原青岛港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金融控股有限公司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2020.03 </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张建东</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青岛港财务有限责任公司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2020.03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张建东</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青岛港保险经纪有限公司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2020.03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刘良</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青岛港通泽商贸有限公司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2019.04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刘良</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青岛港通宝航运有限公司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2020.01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刘良</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青岛港施维策拖轮有限公司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2019.04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杨风广</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青岛港董家口万邦物流有限公司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2020.01 </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杨风广</w:t>
            </w:r>
            <w:r>
              <w:rPr>
                <w:rFonts w:ascii="宋体" w:hAnsi="宋体" w:cs="宋体" w:eastAsia="宋体" w:hint="default"/>
                <w:sz w:val="21"/>
                <w:szCs w:val="21"/>
              </w:rPr>
              <w:t> </w:t>
            </w:r>
          </w:p>
        </w:tc>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青岛中海船务代理有限公司</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2019.04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r>
              <w:rPr>
                <w:rFonts w:ascii="宋体" w:hAnsi="宋体" w:cs="宋体" w:eastAsia="宋体" w:hint="default"/>
                <w:sz w:val="21"/>
                <w:szCs w:val="21"/>
              </w:rPr>
              <w:t> </w:t>
            </w:r>
          </w:p>
        </w:tc>
        <w:tc>
          <w:tcPr>
            <w:tcW w:w="79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37" w:lineRule="exact"/>
        <w:ind w:left="178" w:right="0"/>
        <w:jc w:val="left"/>
        <w:rPr>
          <w:rFonts w:ascii="宋体" w:hAnsi="宋体" w:cs="宋体" w:eastAsia="宋体" w:hint="default"/>
        </w:rPr>
      </w:pPr>
      <w:r>
        <w:rPr>
          <w:rFonts w:ascii="宋体"/>
          <w:w w:val="100"/>
        </w:rPr>
        <w:t> </w:t>
      </w:r>
    </w:p>
    <w:p>
      <w:pPr>
        <w:pStyle w:val="Heading3"/>
        <w:spacing w:line="310" w:lineRule="exact"/>
        <w:ind w:left="178" w:right="0"/>
        <w:jc w:val="left"/>
        <w:rPr>
          <w:rFonts w:ascii="宋体" w:hAnsi="宋体" w:cs="宋体" w:eastAsia="宋体" w:hint="default"/>
        </w:rPr>
      </w:pPr>
      <w:r>
        <w:rPr>
          <w:rFonts w:ascii="宋体"/>
        </w:rPr>
        <w:t> </w:t>
      </w:r>
    </w:p>
    <w:p>
      <w:pPr>
        <w:pStyle w:val="Heading5"/>
        <w:spacing w:line="240" w:lineRule="auto" w:before="64"/>
        <w:ind w:left="178" w:right="0"/>
        <w:jc w:val="left"/>
        <w:rPr>
          <w:b w:val="0"/>
          <w:bCs w:val="0"/>
        </w:rPr>
      </w:pPr>
      <w:r>
        <w:rPr/>
        <w:t>三、董事、监事、高级管理人员报酬情况</w:t>
      </w:r>
      <w:r>
        <w:rPr>
          <w:b w:val="0"/>
          <w:bCs w:val="0"/>
        </w:rPr>
      </w:r>
    </w:p>
    <w:p>
      <w:pPr>
        <w:pStyle w:val="Heading3"/>
        <w:spacing w:line="240" w:lineRule="auto" w:before="50"/>
        <w:ind w:left="1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70" w:type="dxa"/>
        <w:tblLayout w:type="fixed"/>
        <w:tblCellMar>
          <w:top w:w="0" w:type="dxa"/>
          <w:left w:w="0" w:type="dxa"/>
          <w:bottom w:w="0" w:type="dxa"/>
          <w:right w:w="0" w:type="dxa"/>
        </w:tblCellMar>
        <w:tblLook w:val="01E0"/>
      </w:tblPr>
      <w:tblGrid>
        <w:gridCol w:w="1702"/>
        <w:gridCol w:w="7382"/>
      </w:tblGrid>
      <w:tr>
        <w:trPr>
          <w:trHeight w:val="9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102"/>
              <w:jc w:val="both"/>
              <w:rPr>
                <w:rFonts w:ascii="宋体" w:hAnsi="宋体" w:cs="宋体" w:eastAsia="宋体" w:hint="default"/>
                <w:sz w:val="21"/>
                <w:szCs w:val="21"/>
              </w:rPr>
            </w:pPr>
            <w:r>
              <w:rPr>
                <w:rFonts w:ascii="宋体" w:hAnsi="宋体" w:cs="宋体" w:eastAsia="宋体" w:hint="default"/>
                <w:sz w:val="21"/>
                <w:szCs w:val="21"/>
              </w:rPr>
              <w:t>董事、监事、高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级管理人员报酬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的决策程序</w:t>
            </w:r>
            <w:r>
              <w:rPr>
                <w:rFonts w:ascii="宋体" w:hAnsi="宋体" w:cs="宋体" w:eastAsia="宋体" w:hint="default"/>
                <w:sz w:val="21"/>
                <w:szCs w:val="21"/>
              </w:rPr>
              <w:t> </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3"/>
              <w:jc w:val="left"/>
              <w:rPr>
                <w:rFonts w:ascii="宋体" w:hAnsi="宋体" w:cs="宋体" w:eastAsia="宋体" w:hint="default"/>
                <w:sz w:val="21"/>
                <w:szCs w:val="21"/>
              </w:rPr>
            </w:pPr>
            <w:r>
              <w:rPr>
                <w:rFonts w:ascii="宋体" w:hAnsi="宋体" w:cs="宋体" w:eastAsia="宋体" w:hint="default"/>
                <w:spacing w:val="-7"/>
                <w:w w:val="100"/>
                <w:sz w:val="21"/>
                <w:szCs w:val="21"/>
              </w:rPr>
              <w:t>董事薪酬方案经公司董事会薪酬委员会、董事会审议通过后，由股东大会批准。</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监事薪酬方案经公司监事会审议通过后，由股东大会批准。</w:t>
            </w:r>
            <w:r>
              <w:rPr>
                <w:rFonts w:ascii="宋体" w:hAnsi="宋体" w:cs="宋体" w:eastAsia="宋体" w:hint="default"/>
                <w:w w:val="100"/>
                <w:sz w:val="21"/>
                <w:szCs w:val="21"/>
              </w:rPr>
              <w:t> </w:t>
            </w:r>
            <w:r>
              <w:rPr>
                <w:rFonts w:ascii="宋体" w:hAnsi="宋体" w:cs="宋体" w:eastAsia="宋体" w:hint="default"/>
                <w:sz w:val="21"/>
                <w:szCs w:val="21"/>
              </w:rPr>
              <w:t>高级管理人员薪酬方案经公司董事会薪酬委员会审议通过后，由董事会批准。</w:t>
            </w:r>
            <w:r>
              <w:rPr>
                <w:rFonts w:ascii="宋体" w:hAnsi="宋体" w:cs="宋体" w:eastAsia="宋体" w:hint="default"/>
                <w:sz w:val="21"/>
                <w:szCs w:val="21"/>
              </w:rPr>
              <w:t> </w:t>
            </w:r>
          </w:p>
        </w:tc>
      </w:tr>
      <w:tr>
        <w:trPr>
          <w:trHeight w:val="9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102"/>
              <w:jc w:val="both"/>
              <w:rPr>
                <w:rFonts w:ascii="宋体" w:hAnsi="宋体" w:cs="宋体" w:eastAsia="宋体" w:hint="default"/>
                <w:sz w:val="21"/>
                <w:szCs w:val="21"/>
              </w:rPr>
            </w:pPr>
            <w:r>
              <w:rPr>
                <w:rFonts w:ascii="宋体" w:hAnsi="宋体" w:cs="宋体" w:eastAsia="宋体" w:hint="default"/>
                <w:sz w:val="21"/>
                <w:szCs w:val="21"/>
              </w:rPr>
              <w:t>董事、监事、高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级管理人员报酬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确定依据</w:t>
            </w:r>
            <w:r>
              <w:rPr>
                <w:rFonts w:ascii="宋体" w:hAnsi="宋体" w:cs="宋体" w:eastAsia="宋体" w:hint="default"/>
                <w:sz w:val="21"/>
                <w:szCs w:val="21"/>
              </w:rPr>
              <w:t> </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03" w:right="-7"/>
              <w:jc w:val="left"/>
              <w:rPr>
                <w:rFonts w:ascii="宋体" w:hAnsi="宋体" w:cs="宋体" w:eastAsia="宋体" w:hint="default"/>
                <w:sz w:val="24"/>
                <w:szCs w:val="24"/>
              </w:rPr>
            </w:pPr>
            <w:r>
              <w:rPr>
                <w:rFonts w:ascii="宋体" w:hAnsi="宋体" w:cs="宋体" w:eastAsia="宋体" w:hint="default"/>
                <w:spacing w:val="-4"/>
                <w:sz w:val="21"/>
                <w:szCs w:val="21"/>
              </w:rPr>
              <w:t>公司根据所处行业薪酬水平、公司年度经营业绩及其绩效考核结果等确定董事、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监事、高级管理人员报酬。</w:t>
            </w:r>
            <w:r>
              <w:rPr>
                <w:rFonts w:ascii="宋体" w:hAnsi="宋体" w:cs="宋体" w:eastAsia="宋体" w:hint="default"/>
                <w:sz w:val="24"/>
                <w:szCs w:val="24"/>
              </w:rPr>
              <w:t> </w:t>
            </w:r>
          </w:p>
        </w:tc>
      </w:tr>
      <w:tr>
        <w:trPr>
          <w:trHeight w:val="9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12"/>
              <w:jc w:val="both"/>
              <w:rPr>
                <w:rFonts w:ascii="宋体" w:hAnsi="宋体" w:cs="宋体" w:eastAsia="宋体" w:hint="default"/>
                <w:sz w:val="21"/>
                <w:szCs w:val="21"/>
              </w:rPr>
            </w:pPr>
            <w:r>
              <w:rPr>
                <w:rFonts w:ascii="宋体" w:hAnsi="宋体" w:cs="宋体" w:eastAsia="宋体" w:hint="default"/>
                <w:sz w:val="21"/>
                <w:szCs w:val="21"/>
              </w:rPr>
              <w:t>董事、监事和高</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级管理人员报酬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的实际支付情况</w:t>
            </w:r>
            <w:r>
              <w:rPr>
                <w:rFonts w:ascii="宋体" w:hAnsi="宋体" w:cs="宋体" w:eastAsia="宋体" w:hint="default"/>
                <w:sz w:val="21"/>
                <w:szCs w:val="21"/>
              </w:rPr>
              <w:t> </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03" w:right="99"/>
              <w:jc w:val="left"/>
              <w:rPr>
                <w:rFonts w:ascii="宋体" w:hAnsi="宋体" w:cs="宋体" w:eastAsia="宋体" w:hint="default"/>
                <w:sz w:val="24"/>
                <w:szCs w:val="24"/>
              </w:rPr>
            </w:pPr>
            <w:r>
              <w:rPr>
                <w:rFonts w:ascii="宋体" w:hAnsi="宋体" w:cs="宋体" w:eastAsia="宋体" w:hint="default"/>
                <w:spacing w:val="-1"/>
                <w:sz w:val="21"/>
                <w:szCs w:val="21"/>
              </w:rPr>
              <w:t>报告期内，公司实际支付给公司董事、监事、高级管理人员的薪酬请见本报告</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“董事、监事、高级管理人员持股变动及报酬情况”有关内容。</w:t>
            </w:r>
            <w:r>
              <w:rPr>
                <w:rFonts w:ascii="宋体" w:hAnsi="宋体" w:cs="宋体" w:eastAsia="宋体" w:hint="default"/>
                <w:sz w:val="24"/>
                <w:szCs w:val="24"/>
              </w:rPr>
              <w:t> </w:t>
            </w:r>
          </w:p>
        </w:tc>
      </w:tr>
      <w:tr>
        <w:trPr>
          <w:trHeight w:val="129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0" w:right="102"/>
              <w:jc w:val="both"/>
              <w:rPr>
                <w:rFonts w:ascii="宋体" w:hAnsi="宋体" w:cs="宋体" w:eastAsia="宋体" w:hint="default"/>
                <w:sz w:val="21"/>
                <w:szCs w:val="21"/>
              </w:rPr>
            </w:pPr>
            <w:r>
              <w:rPr>
                <w:rFonts w:ascii="宋体" w:hAnsi="宋体" w:cs="宋体" w:eastAsia="宋体" w:hint="default"/>
                <w:sz w:val="21"/>
                <w:szCs w:val="21"/>
              </w:rPr>
              <w:t>报告期末全体董</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事、监事和高级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管理人员实际获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得的报酬合计</w:t>
            </w:r>
            <w:r>
              <w:rPr>
                <w:rFonts w:ascii="宋体" w:hAnsi="宋体" w:cs="宋体" w:eastAsia="宋体" w:hint="default"/>
                <w:sz w:val="21"/>
                <w:szCs w:val="21"/>
              </w:rPr>
              <w:t> </w:t>
            </w:r>
          </w:p>
        </w:tc>
        <w:tc>
          <w:tcPr>
            <w:tcW w:w="7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78" w:lineRule="auto"/>
              <w:ind w:left="103" w:right="99"/>
              <w:jc w:val="left"/>
              <w:rPr>
                <w:rFonts w:ascii="宋体" w:hAnsi="宋体" w:cs="宋体" w:eastAsia="宋体" w:hint="default"/>
                <w:sz w:val="24"/>
                <w:szCs w:val="24"/>
              </w:rPr>
            </w:pPr>
            <w:r>
              <w:rPr>
                <w:rFonts w:ascii="宋体" w:hAnsi="宋体" w:cs="宋体" w:eastAsia="宋体" w:hint="default"/>
                <w:spacing w:val="-1"/>
                <w:sz w:val="21"/>
                <w:szCs w:val="21"/>
              </w:rPr>
              <w:t>报告期末全体董事、监事和高级管理人员实际获得的报酬合计请见本报告“董</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事、监事、高级管理人员持股变动及报酬情况”有关内容。</w:t>
            </w:r>
            <w:r>
              <w:rPr>
                <w:rFonts w:ascii="宋体" w:hAnsi="宋体" w:cs="宋体" w:eastAsia="宋体" w:hint="default"/>
                <w:sz w:val="24"/>
                <w:szCs w:val="24"/>
              </w:rPr>
              <w:t> </w:t>
            </w:r>
          </w:p>
        </w:tc>
      </w:tr>
    </w:tbl>
    <w:p>
      <w:pPr>
        <w:pStyle w:val="Heading3"/>
        <w:spacing w:line="274" w:lineRule="exact"/>
        <w:ind w:left="178" w:right="0"/>
        <w:jc w:val="left"/>
        <w:rPr>
          <w:rFonts w:ascii="宋体" w:hAnsi="宋体" w:cs="宋体" w:eastAsia="宋体" w:hint="default"/>
        </w:rPr>
      </w:pPr>
      <w:r>
        <w:rPr>
          <w:rFonts w:ascii="宋体"/>
        </w:rPr>
        <w:t> </w:t>
      </w:r>
    </w:p>
    <w:p>
      <w:pPr>
        <w:pStyle w:val="Heading5"/>
        <w:spacing w:line="240" w:lineRule="auto" w:before="64"/>
        <w:ind w:left="178" w:right="0"/>
        <w:jc w:val="left"/>
        <w:rPr>
          <w:b w:val="0"/>
          <w:bCs w:val="0"/>
        </w:rPr>
      </w:pPr>
      <w:r>
        <w:rPr/>
        <w:t>四、公司董事、监事、高级管理人员变动情况</w:t>
      </w:r>
      <w:r>
        <w:rPr>
          <w:b w:val="0"/>
          <w:bCs w:val="0"/>
        </w:rPr>
      </w:r>
    </w:p>
    <w:p>
      <w:pPr>
        <w:pStyle w:val="Heading3"/>
        <w:spacing w:line="240" w:lineRule="auto" w:before="50"/>
        <w:ind w:left="1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1277"/>
        <w:gridCol w:w="2410"/>
        <w:gridCol w:w="1133"/>
        <w:gridCol w:w="4194"/>
      </w:tblGrid>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74"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李奉利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8" w:right="0"/>
              <w:jc w:val="center"/>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77" w:footer="974" w:top="1100" w:bottom="1160" w:left="124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379" w:type="dxa"/>
        <w:tblLayout w:type="fixed"/>
        <w:tblCellMar>
          <w:top w:w="0" w:type="dxa"/>
          <w:left w:w="0" w:type="dxa"/>
          <w:bottom w:w="0" w:type="dxa"/>
          <w:right w:w="0" w:type="dxa"/>
        </w:tblCellMar>
        <w:tblLook w:val="01E0"/>
      </w:tblPr>
      <w:tblGrid>
        <w:gridCol w:w="1277"/>
        <w:gridCol w:w="2410"/>
        <w:gridCol w:w="1133"/>
        <w:gridCol w:w="4194"/>
      </w:tblGrid>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center"/>
              <w:rPr>
                <w:rFonts w:ascii="宋体" w:hAnsi="宋体" w:cs="宋体" w:eastAsia="宋体" w:hint="default"/>
                <w:sz w:val="21"/>
                <w:szCs w:val="21"/>
              </w:rPr>
            </w:pPr>
            <w:r>
              <w:rPr>
                <w:rFonts w:ascii="宋体" w:hAnsi="宋体" w:cs="宋体" w:eastAsia="宋体" w:hint="default"/>
                <w:sz w:val="21"/>
                <w:szCs w:val="21"/>
              </w:rPr>
              <w:t>李奉利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7"/>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董事会选举</w:t>
            </w:r>
            <w:r>
              <w:rPr>
                <w:rFonts w:ascii="宋体" w:hAnsi="宋体" w:cs="宋体" w:eastAsia="宋体" w:hint="default"/>
                <w:sz w:val="21"/>
                <w:szCs w:val="21"/>
              </w:rPr>
              <w:t> </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郑明辉</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董事长、执行董事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因年龄原因辞任</w:t>
            </w:r>
            <w:r>
              <w:rPr>
                <w:rFonts w:ascii="宋体" w:hAnsi="宋体" w:cs="宋体" w:eastAsia="宋体" w:hint="default"/>
                <w:sz w:val="21"/>
                <w:szCs w:val="21"/>
              </w:rPr>
              <w:t> </w:t>
            </w: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李燕</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r>
              <w:rPr>
                <w:rFonts w:ascii="宋体" w:hAnsi="宋体" w:cs="宋体" w:eastAsia="宋体" w:hint="default"/>
                <w:sz w:val="21"/>
                <w:szCs w:val="21"/>
              </w:rPr>
              <w:t> </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蒋敏</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r>
              <w:rPr>
                <w:rFonts w:ascii="宋体" w:hAnsi="宋体" w:cs="宋体" w:eastAsia="宋体" w:hint="default"/>
                <w:sz w:val="21"/>
                <w:szCs w:val="21"/>
              </w:rPr>
              <w:t> </w:t>
            </w: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黎国浩</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r>
              <w:rPr>
                <w:rFonts w:ascii="宋体" w:hAnsi="宋体" w:cs="宋体" w:eastAsia="宋体" w:hint="default"/>
                <w:sz w:val="21"/>
                <w:szCs w:val="21"/>
              </w:rPr>
              <w:t> </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王亚平</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r>
              <w:rPr>
                <w:rFonts w:ascii="宋体" w:hAnsi="宋体" w:cs="宋体" w:eastAsia="宋体" w:hint="default"/>
                <w:sz w:val="21"/>
                <w:szCs w:val="21"/>
              </w:rPr>
              <w:t> </w:t>
            </w: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杨秋林</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r>
              <w:rPr>
                <w:rFonts w:ascii="宋体" w:hAnsi="宋体" w:cs="宋体" w:eastAsia="宋体" w:hint="default"/>
                <w:sz w:val="21"/>
                <w:szCs w:val="21"/>
              </w:rPr>
              <w:t> </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邹国强</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r>
              <w:rPr>
                <w:rFonts w:ascii="宋体" w:hAnsi="宋体" w:cs="宋体" w:eastAsia="宋体" w:hint="default"/>
                <w:sz w:val="21"/>
                <w:szCs w:val="21"/>
              </w:rPr>
              <w:t> </w:t>
            </w: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王亚平</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r>
              <w:rPr>
                <w:rFonts w:ascii="宋体" w:hAnsi="宋体" w:cs="宋体" w:eastAsia="宋体" w:hint="default"/>
                <w:sz w:val="21"/>
                <w:szCs w:val="21"/>
              </w:rPr>
              <w:t> </w:t>
            </w:r>
          </w:p>
        </w:tc>
      </w:tr>
      <w:tr>
        <w:trPr>
          <w:trHeight w:val="33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杨秋林</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选举</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股东大会选举</w:t>
            </w:r>
            <w:r>
              <w:rPr>
                <w:rFonts w:ascii="宋体" w:hAnsi="宋体" w:cs="宋体" w:eastAsia="宋体" w:hint="default"/>
                <w:sz w:val="21"/>
                <w:szCs w:val="21"/>
              </w:rPr>
              <w:t> </w:t>
            </w:r>
          </w:p>
        </w:tc>
      </w:tr>
      <w:tr>
        <w:trPr>
          <w:trHeight w:val="32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李旭修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r>
              <w:rPr>
                <w:rFonts w:ascii="宋体" w:hAnsi="宋体" w:cs="宋体" w:eastAsia="宋体" w:hint="default"/>
                <w:sz w:val="21"/>
                <w:szCs w:val="21"/>
              </w:rPr>
              <w:t> </w:t>
            </w:r>
          </w:p>
        </w:tc>
      </w:tr>
      <w:tr>
        <w:trPr>
          <w:trHeight w:val="33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center"/>
              <w:rPr>
                <w:rFonts w:ascii="宋体" w:hAnsi="宋体" w:cs="宋体" w:eastAsia="宋体" w:hint="default"/>
                <w:sz w:val="21"/>
                <w:szCs w:val="21"/>
              </w:rPr>
            </w:pPr>
            <w:r>
              <w:rPr>
                <w:rFonts w:ascii="宋体" w:hAnsi="宋体" w:cs="宋体" w:eastAsia="宋体" w:hint="default"/>
                <w:sz w:val="21"/>
                <w:szCs w:val="21"/>
              </w:rPr>
              <w:t>刘登清</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独立监事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7"/>
              <w:jc w:val="right"/>
              <w:rPr>
                <w:rFonts w:ascii="宋体" w:hAnsi="宋体" w:cs="宋体" w:eastAsia="宋体" w:hint="default"/>
                <w:sz w:val="21"/>
                <w:szCs w:val="21"/>
              </w:rPr>
            </w:pPr>
            <w:r>
              <w:rPr>
                <w:rFonts w:ascii="宋体" w:hAnsi="宋体" w:cs="宋体" w:eastAsia="宋体" w:hint="default"/>
                <w:spacing w:val="-2"/>
                <w:sz w:val="21"/>
                <w:szCs w:val="21"/>
              </w:rPr>
              <w:t>离任</w:t>
            </w:r>
            <w:r>
              <w:rPr>
                <w:rFonts w:ascii="宋体" w:hAnsi="宋体" w:cs="宋体" w:eastAsia="宋体" w:hint="default"/>
                <w:sz w:val="21"/>
                <w:szCs w:val="21"/>
              </w:rPr>
              <w:t> </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任期届满离任</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五、近三年受证券监管机构处罚的情况说明</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90" w:lineRule="auto" w:before="0"/>
        <w:ind w:right="5935"/>
        <w:jc w:val="left"/>
        <w:rPr>
          <w:b w:val="0"/>
          <w:bCs w:val="0"/>
        </w:rPr>
      </w:pPr>
      <w:r>
        <w:rPr>
          <w:rFonts w:ascii="宋体" w:hAnsi="宋体" w:cs="宋体" w:eastAsia="宋体" w:hint="default"/>
          <w:b w:val="0"/>
          <w:bCs w:val="0"/>
          <w:sz w:val="24"/>
          <w:szCs w:val="24"/>
        </w:rPr>
        <w:t> </w:t>
      </w:r>
      <w:r>
        <w:rPr>
          <w:w w:val="100"/>
        </w:rPr>
        <w:t>六、母公司和主要子公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6" w:type="dxa"/>
        <w:tblLayout w:type="fixed"/>
        <w:tblCellMar>
          <w:top w:w="0" w:type="dxa"/>
          <w:left w:w="0" w:type="dxa"/>
          <w:bottom w:w="0" w:type="dxa"/>
          <w:right w:w="0" w:type="dxa"/>
        </w:tblCellMar>
        <w:tblLook w:val="01E0"/>
      </w:tblPr>
      <w:tblGrid>
        <w:gridCol w:w="4880"/>
        <w:gridCol w:w="4443"/>
      </w:tblGrid>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4,866</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3,872</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8,738</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z w:val="21"/>
              </w:rPr>
              <w:t>7,596</w:t>
            </w:r>
          </w:p>
        </w:tc>
      </w:tr>
      <w:tr>
        <w:trPr>
          <w:trHeight w:val="331" w:hRule="exact"/>
        </w:trPr>
        <w:tc>
          <w:tcPr>
            <w:tcW w:w="9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5,150</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74</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2,050</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207</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1,026</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231</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8,738</w:t>
            </w:r>
          </w:p>
        </w:tc>
      </w:tr>
      <w:tr>
        <w:trPr>
          <w:trHeight w:val="329" w:hRule="exact"/>
        </w:trPr>
        <w:tc>
          <w:tcPr>
            <w:tcW w:w="93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32"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284</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1,301</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大专和专科学校</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3,460</w:t>
            </w:r>
          </w:p>
        </w:tc>
      </w:tr>
      <w:tr>
        <w:trPr>
          <w:trHeight w:val="33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3,693</w:t>
            </w:r>
          </w:p>
        </w:tc>
      </w:tr>
      <w:tr>
        <w:trPr>
          <w:trHeight w:val="32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8,738</w:t>
            </w:r>
          </w:p>
        </w:tc>
      </w:tr>
    </w:tbl>
    <w:p>
      <w:pPr>
        <w:pStyle w:val="Heading3"/>
        <w:spacing w:line="28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40" w:lineRule="auto" w:before="32"/>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974" w:top="1100" w:bottom="1160" w:left="120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14" w:lineRule="auto" w:before="36"/>
        <w:ind w:right="248" w:firstLine="420"/>
        <w:jc w:val="both"/>
        <w:rPr>
          <w:rFonts w:ascii="宋体" w:hAnsi="宋体" w:cs="宋体" w:eastAsia="宋体" w:hint="default"/>
        </w:rPr>
      </w:pPr>
      <w:r>
        <w:rPr>
          <w:spacing w:val="-2"/>
        </w:rPr>
        <w:t>公司主要实行计件工资和计时工资两种工资制度，作业一线操作工人、机械司机主要实行计件</w:t>
      </w:r>
      <w:r>
        <w:rPr>
          <w:w w:val="100"/>
        </w:rPr>
        <w:t> </w:t>
      </w:r>
      <w:r>
        <w:rPr>
          <w:spacing w:val="-2"/>
        </w:rPr>
        <w:t>工资制，其他在岗员工主要实行计时工资制。员工薪酬包括基本工资及绩效奖励，薪酬的增长按照</w:t>
      </w:r>
      <w:r>
        <w:rPr>
          <w:spacing w:val="-25"/>
        </w:rPr>
        <w:t> </w:t>
      </w:r>
      <w:r>
        <w:rPr>
          <w:spacing w:val="-25"/>
        </w:rPr>
      </w:r>
      <w:r>
        <w:rPr>
          <w:spacing w:val="-2"/>
        </w:rPr>
        <w:t>与公司经营绩效增长同步、与劳动生产率提高同步的原则，依据员工工作表现、经济环境以及人力</w:t>
      </w:r>
      <w:r>
        <w:rPr>
          <w:spacing w:val="-25"/>
        </w:rPr>
        <w:t> </w:t>
      </w:r>
      <w:r>
        <w:rPr>
          <w:spacing w:val="-25"/>
        </w:rPr>
      </w:r>
      <w:r>
        <w:rPr/>
        <w:t>资源市场供求状况决定。</w:t>
      </w:r>
      <w:r>
        <w:rPr>
          <w:rFonts w:ascii="宋体" w:hAnsi="宋体" w:cs="宋体" w:eastAsia="宋体" w:hint="default"/>
        </w:rPr>
        <w:t> </w:t>
      </w:r>
    </w:p>
    <w:p>
      <w:pPr>
        <w:pStyle w:val="BodyText"/>
        <w:spacing w:line="314" w:lineRule="auto" w:before="20"/>
        <w:ind w:right="248" w:firstLine="420"/>
        <w:jc w:val="both"/>
      </w:pPr>
      <w:r>
        <w:rPr>
          <w:spacing w:val="-2"/>
        </w:rPr>
        <w:t>公司为员工缴纳养老、医疗、失业、工伤、生育等各项社会保险，为员工提供高温补贴、取暖</w:t>
      </w:r>
      <w:r>
        <w:rPr>
          <w:w w:val="100"/>
        </w:rPr>
        <w:t> </w:t>
      </w:r>
      <w:r>
        <w:rPr>
          <w:spacing w:val="-2"/>
        </w:rPr>
        <w:t>补贴等福利待遇，为员工建立企业年金计划，保障员工权益和长远利益。建立了补充医疗保险大病</w:t>
      </w:r>
      <w:r>
        <w:rPr>
          <w:spacing w:val="-25"/>
        </w:rPr>
        <w:t> </w:t>
      </w:r>
      <w:r>
        <w:rPr>
          <w:spacing w:val="-25"/>
        </w:rPr>
      </w:r>
      <w:r>
        <w:rPr/>
        <w:t>医疗救助制度，解决重病员工的实际困难。</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304" w:lineRule="auto" w:before="3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公司努力打造员工成长成才的舞台，畅通员工成长成才渠道。坚持只要肯学肯干，人人皆可成</w:t>
      </w:r>
    </w:p>
    <w:p>
      <w:pPr>
        <w:pStyle w:val="BodyText"/>
        <w:spacing w:line="314" w:lineRule="auto" w:before="28"/>
        <w:ind w:right="0"/>
        <w:jc w:val="left"/>
      </w:pPr>
      <w:r>
        <w:rPr>
          <w:spacing w:val="-6"/>
        </w:rPr>
        <w:t>才，尊重人、培养人、造就人，用先进的文化凝聚人，用灵活的机制激励人，创造条件、搭建平台，</w:t>
      </w:r>
      <w:r>
        <w:rPr>
          <w:spacing w:val="-24"/>
        </w:rPr>
        <w:t> </w:t>
      </w:r>
      <w:r>
        <w:rPr>
          <w:spacing w:val="-24"/>
        </w:rPr>
      </w:r>
      <w:r>
        <w:rPr/>
        <w:t>让员工尽展其才，让有为者有位，促进员工的全面发展，实现企业与员工的和谐共赢。</w:t>
      </w:r>
    </w:p>
    <w:p>
      <w:pPr>
        <w:pStyle w:val="BodyText"/>
        <w:spacing w:line="302" w:lineRule="auto" w:before="20"/>
        <w:ind w:right="0" w:firstLine="420"/>
        <w:jc w:val="left"/>
      </w:pPr>
      <w:r>
        <w:rPr/>
        <w:t>公司注重人才培养与发展，大力推进人才培养计划。</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t>年，本集团新获得各类国家高、中、</w:t>
      </w:r>
      <w:r>
        <w:rPr>
          <w:w w:val="100"/>
        </w:rPr>
        <w:t> </w:t>
      </w:r>
      <w:r>
        <w:rPr/>
        <w:t>初级专业技术职称资格的人数达</w:t>
      </w:r>
      <w:r>
        <w:rPr>
          <w:spacing w:val="-54"/>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人，新获得高级技师、技师资格人数达</w:t>
      </w:r>
      <w:r>
        <w:rPr>
          <w:spacing w:val="-56"/>
        </w:rPr>
        <w:t> </w:t>
      </w:r>
      <w:r>
        <w:rPr>
          <w:rFonts w:ascii="Times New Roman" w:hAnsi="Times New Roman" w:cs="Times New Roman" w:eastAsia="Times New Roman" w:hint="default"/>
        </w:rPr>
        <w:t>113</w:t>
      </w:r>
      <w:r>
        <w:rPr>
          <w:rFonts w:ascii="Times New Roman" w:hAnsi="Times New Roman" w:cs="Times New Roman" w:eastAsia="Times New Roman" w:hint="default"/>
          <w:spacing w:val="-1"/>
        </w:rPr>
        <w:t> </w:t>
      </w:r>
      <w:r>
        <w:rPr/>
        <w:t>人。管理人员、技</w:t>
      </w:r>
      <w:r>
        <w:rPr>
          <w:w w:val="100"/>
        </w:rPr>
        <w:t> </w:t>
      </w:r>
      <w:r>
        <w:rPr/>
        <w:t>术工人等关键重点岗位人员的年龄、学历、知识、能力结构呈现向高技能、高素质方面转变，为公</w:t>
      </w:r>
      <w:r>
        <w:rPr>
          <w:w w:val="100"/>
        </w:rPr>
        <w:t> </w:t>
      </w:r>
      <w:r>
        <w:rPr/>
        <w:t>司发展提供了人才保障。</w:t>
      </w:r>
    </w:p>
    <w:p>
      <w:pPr>
        <w:pStyle w:val="BodyText"/>
        <w:spacing w:line="297" w:lineRule="auto" w:before="30"/>
        <w:ind w:right="0" w:firstLine="420"/>
        <w:jc w:val="left"/>
        <w:rPr>
          <w:rFonts w:ascii="宋体" w:hAnsi="宋体" w:cs="宋体" w:eastAsia="宋体" w:hint="default"/>
        </w:rPr>
      </w:pPr>
      <w:r>
        <w:rPr>
          <w:spacing w:val="-8"/>
        </w:rPr>
        <w:t>公司学习型员工、学习型组织建设取得新提升。</w:t>
      </w:r>
      <w:r>
        <w:rPr>
          <w:rFonts w:ascii="Times New Roman" w:hAnsi="Times New Roman" w:cs="Times New Roman" w:eastAsia="Times New Roman" w:hint="default"/>
          <w:spacing w:val="-8"/>
        </w:rPr>
        <w:t>2019</w:t>
      </w:r>
      <w:r>
        <w:rPr>
          <w:rFonts w:ascii="Times New Roman" w:hAnsi="Times New Roman" w:cs="Times New Roman" w:eastAsia="Times New Roman" w:hint="default"/>
          <w:spacing w:val="14"/>
        </w:rPr>
        <w:t> </w:t>
      </w:r>
      <w:r>
        <w:rPr>
          <w:spacing w:val="-6"/>
        </w:rPr>
        <w:t>年，公司总部层面共组织实施国际化人才、</w:t>
      </w:r>
      <w:r>
        <w:rPr>
          <w:w w:val="100"/>
        </w:rPr>
        <w:t> </w:t>
      </w:r>
      <w:r>
        <w:rPr/>
        <w:t>中青年骨干外部学习等十大类培训项目</w:t>
      </w:r>
      <w:r>
        <w:rPr>
          <w:spacing w:val="-53"/>
        </w:rPr>
        <w:t> </w:t>
      </w:r>
      <w:r>
        <w:rPr>
          <w:rFonts w:ascii="Times New Roman" w:hAnsi="Times New Roman" w:cs="Times New Roman" w:eastAsia="Times New Roman" w:hint="default"/>
        </w:rPr>
        <w:t>24 </w:t>
      </w:r>
      <w:r>
        <w:rPr/>
        <w:t>个专题</w:t>
      </w:r>
      <w:r>
        <w:rPr>
          <w:spacing w:val="-55"/>
        </w:rPr>
        <w:t> </w:t>
      </w:r>
      <w:r>
        <w:rPr>
          <w:rFonts w:ascii="Times New Roman" w:hAnsi="Times New Roman" w:cs="Times New Roman" w:eastAsia="Times New Roman" w:hint="default"/>
        </w:rPr>
        <w:t>51 </w:t>
      </w:r>
      <w:r>
        <w:rPr/>
        <w:t>期培训，累计培训</w:t>
      </w:r>
      <w:r>
        <w:rPr>
          <w:spacing w:val="-55"/>
        </w:rPr>
        <w:t> </w:t>
      </w:r>
      <w:r>
        <w:rPr>
          <w:rFonts w:ascii="Times New Roman" w:hAnsi="Times New Roman" w:cs="Times New Roman" w:eastAsia="Times New Roman" w:hint="default"/>
        </w:rPr>
        <w:t>237</w:t>
      </w:r>
      <w:r>
        <w:rPr>
          <w:rFonts w:ascii="Times New Roman" w:hAnsi="Times New Roman" w:cs="Times New Roman" w:eastAsia="Times New Roman" w:hint="default"/>
          <w:spacing w:val="-3"/>
        </w:rPr>
        <w:t> </w:t>
      </w:r>
      <w:r>
        <w:rPr/>
        <w:t>天，参训学员</w:t>
      </w:r>
      <w:r>
        <w:rPr>
          <w:spacing w:val="-52"/>
        </w:rPr>
        <w:t> </w:t>
      </w:r>
      <w:r>
        <w:rPr>
          <w:rFonts w:ascii="Times New Roman" w:hAnsi="Times New Roman" w:cs="Times New Roman" w:eastAsia="Times New Roman" w:hint="default"/>
        </w:rPr>
        <w:t>3,677</w:t>
      </w:r>
      <w:r>
        <w:rPr>
          <w:rFonts w:ascii="Times New Roman" w:hAnsi="Times New Roman" w:cs="Times New Roman" w:eastAsia="Times New Roman" w:hint="default"/>
          <w:spacing w:val="-3"/>
        </w:rPr>
        <w:t> </w:t>
      </w:r>
      <w:r>
        <w:rPr/>
        <w:t>人</w:t>
      </w:r>
      <w:r>
        <w:rPr>
          <w:w w:val="100"/>
        </w:rPr>
        <w:t> </w:t>
      </w:r>
      <w:r>
        <w:rPr/>
        <w:t>次。</w:t>
      </w:r>
      <w:r>
        <w:rPr>
          <w:rFonts w:ascii="宋体" w:hAnsi="宋体" w:cs="宋体" w:eastAsia="宋体" w:hint="default"/>
        </w:rPr>
        <w:t> </w:t>
      </w:r>
    </w:p>
    <w:p>
      <w:pPr>
        <w:pStyle w:val="BodyText"/>
        <w:spacing w:line="23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3"/>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412"/>
        <w:gridCol w:w="4412"/>
      </w:tblGrid>
      <w:tr>
        <w:trPr>
          <w:trHeight w:val="329"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3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49,067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七、其他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tabs>
          <w:tab w:pos="3099"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77" w:footer="974" w:top="1100" w:bottom="1160" w:left="12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tabs>
          <w:tab w:pos="1359" w:val="left" w:leader="none"/>
        </w:tabs>
        <w:spacing w:line="240" w:lineRule="auto"/>
        <w:ind w:left="99" w:right="0"/>
        <w:jc w:val="center"/>
        <w:rPr>
          <w:b w:val="0"/>
          <w:bCs w:val="0"/>
        </w:rPr>
      </w:pPr>
      <w:bookmarkStart w:name="_TOC_250003" w:id="15"/>
      <w:r>
        <w:rPr>
          <w:w w:val="95"/>
        </w:rPr>
        <w:t>第九节</w:t>
      </w:r>
      <w:r>
        <w:rPr>
          <w:rFonts w:ascii="宋体" w:hAnsi="宋体" w:cs="宋体" w:eastAsia="宋体" w:hint="default"/>
          <w:w w:val="95"/>
        </w:rPr>
        <w:tab/>
      </w:r>
      <w:r>
        <w:rPr/>
        <w:t>公司治理</w:t>
      </w:r>
      <w:bookmarkEnd w:id="15"/>
      <w:r>
        <w:rPr>
          <w:b w:val="0"/>
          <w:bCs w:val="0"/>
        </w:rPr>
      </w:r>
    </w:p>
    <w:p>
      <w:pPr>
        <w:spacing w:line="240" w:lineRule="auto" w:before="4"/>
        <w:rPr>
          <w:rFonts w:ascii="黑体" w:hAnsi="黑体" w:cs="黑体" w:eastAsia="黑体" w:hint="default"/>
          <w:b/>
          <w:bCs/>
          <w:sz w:val="19"/>
          <w:szCs w:val="19"/>
        </w:rPr>
      </w:pPr>
    </w:p>
    <w:p>
      <w:pPr>
        <w:pStyle w:val="Heading5"/>
        <w:spacing w:line="240" w:lineRule="auto" w:before="0"/>
        <w:ind w:right="0"/>
        <w:jc w:val="both"/>
        <w:rPr>
          <w:b w:val="0"/>
          <w:bCs w:val="0"/>
        </w:rPr>
      </w:pPr>
      <w:r>
        <w:rPr/>
        <w:t>一、</w:t>
      </w:r>
      <w:r>
        <w:rPr>
          <w:spacing w:val="-93"/>
        </w:rPr>
        <w:t> </w:t>
      </w:r>
      <w:r>
        <w:rPr>
          <w:rFonts w:ascii="宋体" w:hAnsi="宋体" w:cs="宋体" w:eastAsia="宋体" w:hint="default"/>
          <w:spacing w:val="-93"/>
        </w:rPr>
      </w:r>
      <w:r>
        <w:rPr>
          <w:spacing w:val="-1"/>
        </w:rPr>
        <w:t>公司治理相关情况说明</w:t>
      </w:r>
      <w:r>
        <w:rPr>
          <w:b w:val="0"/>
          <w:bCs w:val="0"/>
          <w:spacing w:val="-1"/>
        </w:rPr>
      </w:r>
    </w:p>
    <w:p>
      <w:pPr>
        <w:pStyle w:val="BodyText"/>
        <w:spacing w:line="304" w:lineRule="auto" w:before="58"/>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公司严格遵守法律、法规及规范性文件要求，依法合规运作，始终致力维护和提升公司良好形</w:t>
      </w:r>
    </w:p>
    <w:p>
      <w:pPr>
        <w:pStyle w:val="BodyText"/>
        <w:spacing w:line="314" w:lineRule="auto" w:before="28"/>
        <w:ind w:right="147"/>
        <w:jc w:val="both"/>
        <w:rPr>
          <w:rFonts w:ascii="宋体" w:hAnsi="宋体" w:cs="宋体" w:eastAsia="宋体" w:hint="default"/>
        </w:rPr>
      </w:pPr>
      <w:r>
        <w:rPr>
          <w:spacing w:val="-2"/>
        </w:rPr>
        <w:t>象。公司根据《中华人民共和国公司法》、《中华人民共和国证券法》、《到境外上市公司章程必</w:t>
      </w:r>
      <w:r>
        <w:rPr>
          <w:spacing w:val="-25"/>
        </w:rPr>
        <w:t> </w:t>
      </w:r>
      <w:r>
        <w:rPr>
          <w:spacing w:val="-25"/>
        </w:rPr>
      </w:r>
      <w:r>
        <w:rPr>
          <w:spacing w:val="-2"/>
        </w:rPr>
        <w:t>备条款》等法律法规以及股票上市地上市规则等监管规定，形成了股东大会、董事会、监事会、管</w:t>
      </w:r>
      <w:r>
        <w:rPr>
          <w:spacing w:val="-25"/>
        </w:rPr>
        <w:t> </w:t>
      </w:r>
      <w:r>
        <w:rPr>
          <w:spacing w:val="-25"/>
        </w:rPr>
      </w:r>
      <w:r>
        <w:rPr>
          <w:spacing w:val="-2"/>
        </w:rPr>
        <w:t>理层之间分权制衡、各司其职的公司治理结构，实现了公司的规范运作。公司股东大会、董事会及</w:t>
      </w:r>
      <w:r>
        <w:rPr>
          <w:spacing w:val="-25"/>
        </w:rPr>
        <w:t> </w:t>
      </w:r>
      <w:r>
        <w:rPr>
          <w:spacing w:val="-25"/>
        </w:rPr>
      </w:r>
      <w:r>
        <w:rPr>
          <w:spacing w:val="-2"/>
        </w:rPr>
        <w:t>四个专门委员会、监事会的会议召集召开程序、表决程序合法有效，公司信息披露真实、准确、及</w:t>
      </w:r>
      <w:r>
        <w:rPr>
          <w:spacing w:val="-25"/>
        </w:rPr>
        <w:t> </w:t>
      </w:r>
      <w:r>
        <w:rPr>
          <w:spacing w:val="-25"/>
        </w:rPr>
      </w:r>
      <w:r>
        <w:rPr/>
        <w:t>时、完整，投资者关系管理高效务实，公司治理科学、严谨、规范。</w:t>
      </w:r>
      <w:r>
        <w:rPr>
          <w:rFonts w:ascii="宋体" w:hAnsi="宋体" w:cs="宋体" w:eastAsia="宋体" w:hint="default"/>
        </w:rPr>
        <w:t> </w:t>
      </w:r>
    </w:p>
    <w:p>
      <w:pPr>
        <w:pStyle w:val="BodyText"/>
        <w:spacing w:line="314" w:lineRule="auto" w:before="20"/>
        <w:ind w:right="109" w:firstLine="420"/>
        <w:jc w:val="both"/>
        <w:rPr>
          <w:rFonts w:ascii="宋体" w:hAnsi="宋体" w:cs="宋体" w:eastAsia="宋体" w:hint="default"/>
        </w:rPr>
      </w:pPr>
      <w:r>
        <w:rPr>
          <w:spacing w:val="-2"/>
        </w:rPr>
        <w:t>报告期内，股东大会、董事会、监事会、管理层等机构和人员能够按照有关法律、法规、公司</w:t>
      </w:r>
      <w:r>
        <w:rPr>
          <w:w w:val="100"/>
        </w:rPr>
        <w:t> </w:t>
      </w:r>
      <w:r>
        <w:rPr>
          <w:spacing w:val="-6"/>
          <w:w w:val="100"/>
        </w:rPr>
        <w:t>章程和相关治理制度的规定，独立有效运作并切实履行应尽的职责和义务，没有重大违法违规行为，</w:t>
      </w:r>
      <w:r>
        <w:rPr>
          <w:spacing w:val="-73"/>
          <w:w w:val="100"/>
        </w:rPr>
        <w:t> </w:t>
      </w:r>
      <w:r>
        <w:rPr>
          <w:spacing w:val="-73"/>
          <w:w w:val="100"/>
        </w:rPr>
      </w:r>
      <w:r>
        <w:rPr>
          <w:spacing w:val="-2"/>
        </w:rPr>
        <w:t>不存在董事会、管理层等违反法律、法规和规范性文件等规定行使职权的情形，公司治理与中国证</w:t>
      </w:r>
      <w:r>
        <w:rPr>
          <w:spacing w:val="-25"/>
        </w:rPr>
        <w:t> </w:t>
      </w:r>
      <w:r>
        <w:rPr>
          <w:spacing w:val="-25"/>
        </w:rPr>
      </w:r>
      <w:r>
        <w:rPr/>
        <w:t>监会发布的有关上市公司治理的规范性文件不存在重大差异。</w:t>
      </w:r>
      <w:r>
        <w:rPr>
          <w:rFonts w:ascii="宋体" w:hAnsi="宋体" w:cs="宋体" w:eastAsia="宋体" w:hint="default"/>
        </w:rPr>
        <w:t> </w:t>
      </w:r>
    </w:p>
    <w:p>
      <w:pPr>
        <w:pStyle w:val="BodyText"/>
        <w:spacing w:line="217"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5"/>
        <w:spacing w:line="240" w:lineRule="auto" w:before="58"/>
        <w:ind w:right="0"/>
        <w:jc w:val="both"/>
        <w:rPr>
          <w:b w:val="0"/>
          <w:bCs w:val="0"/>
        </w:rPr>
      </w:pPr>
      <w:r>
        <w:rPr/>
        <w:t>二、</w:t>
      </w:r>
      <w:r>
        <w:rPr>
          <w:spacing w:val="-101"/>
        </w:rPr>
        <w:t> </w:t>
      </w:r>
      <w:r>
        <w:rPr>
          <w:rFonts w:ascii="宋体" w:hAnsi="宋体" w:cs="宋体" w:eastAsia="宋体" w:hint="default"/>
          <w:spacing w:val="-101"/>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2254"/>
        <w:gridCol w:w="2110"/>
        <w:gridCol w:w="2348"/>
        <w:gridCol w:w="2113"/>
      </w:tblGrid>
      <w:tr>
        <w:trPr>
          <w:trHeight w:val="557"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734"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年度股东大会</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39"/>
              <w:jc w:val="left"/>
              <w:rPr>
                <w:rFonts w:ascii="Times New Roman" w:hAnsi="Times New Roman" w:cs="Times New Roman" w:eastAsia="Times New Roman" w:hint="default"/>
                <w:sz w:val="21"/>
                <w:szCs w:val="21"/>
              </w:rPr>
            </w:pPr>
            <w:hyperlink r:id="rId43">
              <w:r>
                <w:rPr>
                  <w:rFonts w:ascii="Times New Roman"/>
                  <w:sz w:val="21"/>
                </w:rPr>
                <w:t>www.hkexnews.hk</w:t>
              </w:r>
            </w:hyperlink>
            <w:r>
              <w:rPr>
                <w:rFonts w:ascii="Times New Roman"/>
                <w:w w:val="100"/>
                <w:sz w:val="21"/>
              </w:rPr>
              <w:t> </w:t>
            </w:r>
            <w:hyperlink r:id="rId13">
              <w:r>
                <w:rPr>
                  <w:rFonts w:ascii="Times New Roman"/>
                  <w:sz w:val="21"/>
                </w:rPr>
                <w:t>www.sse.com.cn</w:t>
              </w:r>
            </w:hyperlink>
            <w:r>
              <w:rPr>
                <w:rFonts w:ascii="Times New Roman"/>
                <w:w w:val="100"/>
                <w:sz w:val="21"/>
              </w:rPr>
              <w:t> </w:t>
            </w:r>
            <w:hyperlink r:id="rId11">
              <w:r>
                <w:rPr>
                  <w:rFonts w:ascii="Times New Roman"/>
                  <w:spacing w:val="-2"/>
                  <w:sz w:val="21"/>
                </w:rPr>
                <w:t>www.qingdao-port.com</w:t>
              </w:r>
            </w:hyperlink>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4" w:lineRule="exact" w:before="1"/>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304" w:lineRule="auto"/>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股东大会作为公司的最高权力机构，根据《公司章程》以及《青岛港国际股份有限公司股东大</w:t>
      </w:r>
    </w:p>
    <w:p>
      <w:pPr>
        <w:pStyle w:val="BodyText"/>
        <w:spacing w:line="314" w:lineRule="auto" w:before="28"/>
        <w:ind w:right="144"/>
        <w:jc w:val="left"/>
      </w:pPr>
      <w:r>
        <w:rPr>
          <w:spacing w:val="-2"/>
        </w:rPr>
        <w:t>会议事规则》等规定，依法行使职权。公司严格按照规定召集、召开股东大会，确保所有股东享有</w:t>
      </w:r>
      <w:r>
        <w:rPr>
          <w:spacing w:val="-25"/>
        </w:rPr>
        <w:t> </w:t>
      </w:r>
      <w:r>
        <w:rPr>
          <w:spacing w:val="-25"/>
        </w:rPr>
      </w:r>
      <w:r>
        <w:rPr/>
        <w:t>平等地位，充分行使股东权利。报告期内，公司共召开</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次股东大会，会议情况和决议内容如下：</w:t>
      </w:r>
    </w:p>
    <w:p>
      <w:pPr>
        <w:pStyle w:val="BodyText"/>
        <w:spacing w:line="288" w:lineRule="exact"/>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日，公司召开</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年度股东大会，审议通过了</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项议案：</w:t>
      </w:r>
    </w:p>
    <w:p>
      <w:pPr>
        <w:pStyle w:val="BodyText"/>
        <w:spacing w:line="240" w:lineRule="auto" w:before="69"/>
        <w:ind w:left="638" w:right="0"/>
        <w:jc w:val="left"/>
      </w:pPr>
      <w:r>
        <w:rPr>
          <w:rFonts w:ascii="Times New Roman" w:hAnsi="Times New Roman" w:cs="Times New Roman" w:eastAsia="Times New Roman" w:hint="default"/>
        </w:rPr>
        <w:t>1</w:t>
      </w:r>
      <w:r>
        <w:rPr/>
        <w:t>、《关于青岛港国际股份有限公司发行股份一般性授权的议案》</w:t>
      </w:r>
    </w:p>
    <w:p>
      <w:pPr>
        <w:pStyle w:val="BodyText"/>
        <w:spacing w:line="240" w:lineRule="auto" w:before="70"/>
        <w:ind w:left="638" w:right="0"/>
        <w:jc w:val="left"/>
      </w:pPr>
      <w:r>
        <w:rPr>
          <w:rFonts w:ascii="Times New Roman" w:hAnsi="Times New Roman" w:cs="Times New Roman" w:eastAsia="Times New Roman" w:hint="default"/>
        </w:rPr>
        <w:t>2</w:t>
      </w:r>
      <w:r>
        <w:rPr/>
        <w:t>、《关于青岛港国际股份有限公司发行境内外债券类融资工具一般性授权的议案》</w:t>
      </w:r>
    </w:p>
    <w:p>
      <w:pPr>
        <w:pStyle w:val="BodyText"/>
        <w:spacing w:line="240" w:lineRule="auto" w:before="69"/>
        <w:ind w:left="638" w:right="0"/>
        <w:jc w:val="left"/>
      </w:pPr>
      <w:r>
        <w:rPr>
          <w:rFonts w:ascii="Times New Roman" w:hAnsi="Times New Roman" w:cs="Times New Roman" w:eastAsia="Times New Roman" w:hint="default"/>
        </w:rPr>
        <w:t>3</w:t>
      </w:r>
      <w:r>
        <w:rPr/>
        <w:t>、《关于青岛港国际股份有限公司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年年度报告的议案》</w:t>
      </w:r>
    </w:p>
    <w:p>
      <w:pPr>
        <w:pStyle w:val="BodyText"/>
        <w:spacing w:line="240" w:lineRule="auto" w:before="69"/>
        <w:ind w:left="638" w:right="0"/>
        <w:jc w:val="left"/>
      </w:pPr>
      <w:r>
        <w:rPr>
          <w:rFonts w:ascii="Times New Roman" w:hAnsi="Times New Roman" w:cs="Times New Roman" w:eastAsia="Times New Roman" w:hint="default"/>
        </w:rPr>
        <w:t>4</w:t>
      </w:r>
      <w:r>
        <w:rPr/>
        <w:t>、《关于青岛港国际股份有限公司</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年度董事会工作报告的议案》</w:t>
      </w:r>
    </w:p>
    <w:p>
      <w:pPr>
        <w:pStyle w:val="BodyText"/>
        <w:spacing w:line="240" w:lineRule="auto" w:before="69"/>
        <w:ind w:left="638" w:right="0"/>
        <w:jc w:val="left"/>
      </w:pPr>
      <w:r>
        <w:rPr>
          <w:rFonts w:ascii="Times New Roman" w:hAnsi="Times New Roman" w:cs="Times New Roman" w:eastAsia="Times New Roman" w:hint="default"/>
        </w:rPr>
        <w:t>5</w:t>
      </w:r>
      <w:r>
        <w:rPr/>
        <w:t>、《关于青岛港国际股份有限公司</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年度监事会工作报告的议案》</w:t>
      </w:r>
    </w:p>
    <w:p>
      <w:pPr>
        <w:pStyle w:val="BodyText"/>
        <w:spacing w:line="240" w:lineRule="auto" w:before="69"/>
        <w:ind w:left="638" w:right="0"/>
        <w:jc w:val="left"/>
      </w:pPr>
      <w:r>
        <w:rPr>
          <w:rFonts w:ascii="Times New Roman" w:hAnsi="Times New Roman" w:cs="Times New Roman" w:eastAsia="Times New Roman" w:hint="default"/>
        </w:rPr>
        <w:t>6</w:t>
      </w:r>
      <w:r>
        <w:rPr/>
        <w:t>、《关于青岛港国际股份有限公司董事</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年度薪酬的议案》</w:t>
      </w:r>
    </w:p>
    <w:p>
      <w:pPr>
        <w:pStyle w:val="BodyText"/>
        <w:spacing w:line="240" w:lineRule="auto" w:before="69"/>
        <w:ind w:left="638" w:right="0"/>
        <w:jc w:val="left"/>
      </w:pPr>
      <w:r>
        <w:rPr>
          <w:rFonts w:ascii="Times New Roman" w:hAnsi="Times New Roman" w:cs="Times New Roman" w:eastAsia="Times New Roman" w:hint="default"/>
        </w:rPr>
        <w:t>7</w:t>
      </w:r>
      <w:r>
        <w:rPr/>
        <w:t>、《关于青岛港国际股份有限公司监事</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年度薪酬的议案》</w:t>
      </w:r>
    </w:p>
    <w:p>
      <w:pPr>
        <w:pStyle w:val="BodyText"/>
        <w:spacing w:line="240" w:lineRule="auto" w:before="69"/>
        <w:ind w:left="638" w:right="0"/>
        <w:jc w:val="left"/>
      </w:pPr>
      <w:r>
        <w:rPr>
          <w:rFonts w:ascii="Times New Roman" w:hAnsi="Times New Roman" w:cs="Times New Roman" w:eastAsia="Times New Roman" w:hint="default"/>
        </w:rPr>
        <w:t>8</w:t>
      </w:r>
      <w:r>
        <w:rPr/>
        <w:t>、《关于青岛港国际股份有限公司</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年度财务决算报告的议案》</w:t>
      </w:r>
    </w:p>
    <w:p>
      <w:pPr>
        <w:pStyle w:val="BodyText"/>
        <w:spacing w:line="240" w:lineRule="auto" w:before="69"/>
        <w:ind w:left="638" w:right="0"/>
        <w:jc w:val="left"/>
      </w:pPr>
      <w:r>
        <w:rPr>
          <w:rFonts w:ascii="Times New Roman" w:hAnsi="Times New Roman" w:cs="Times New Roman" w:eastAsia="Times New Roman" w:hint="default"/>
        </w:rPr>
        <w:t>9</w:t>
      </w:r>
      <w:r>
        <w:rPr/>
        <w:t>、《关于青岛港国际股份有限公司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年度和</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年度利润分配方案的议案》</w:t>
      </w:r>
    </w:p>
    <w:p>
      <w:pPr>
        <w:pStyle w:val="BodyText"/>
        <w:spacing w:line="240" w:lineRule="auto" w:before="69"/>
        <w:ind w:left="638" w:right="0"/>
        <w:jc w:val="left"/>
      </w:pPr>
      <w:r>
        <w:rPr>
          <w:rFonts w:ascii="Times New Roman" w:hAnsi="Times New Roman" w:cs="Times New Roman" w:eastAsia="Times New Roman" w:hint="default"/>
        </w:rPr>
        <w:t>10</w:t>
      </w:r>
      <w:r>
        <w:rPr/>
        <w:t>、《关于聘任青岛港国际股份有限公司</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年度会计师事务所的议案》</w:t>
      </w:r>
    </w:p>
    <w:p>
      <w:pPr>
        <w:spacing w:after="0" w:line="240" w:lineRule="auto"/>
        <w:jc w:val="left"/>
        <w:sectPr>
          <w:footerReference w:type="default" r:id="rId42"/>
          <w:pgSz w:w="11910" w:h="16840"/>
          <w:pgMar w:footer="974" w:header="877" w:top="1100" w:bottom="1160" w:left="120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97" w:lineRule="auto" w:before="36"/>
        <w:ind w:right="0" w:firstLine="420"/>
        <w:jc w:val="left"/>
      </w:pPr>
      <w:r>
        <w:rPr>
          <w:rFonts w:ascii="Times New Roman" w:hAnsi="Times New Roman" w:cs="Times New Roman" w:eastAsia="Times New Roman" w:hint="default"/>
          <w:spacing w:val="-4"/>
        </w:rPr>
        <w:t>11</w:t>
      </w:r>
      <w:r>
        <w:rPr>
          <w:spacing w:val="-4"/>
        </w:rPr>
        <w:t>、《关于调整青岛港国际股份有限公司与青岛港财务有限责任公司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年度存款服务年度上</w:t>
      </w:r>
      <w:r>
        <w:rPr>
          <w:w w:val="100"/>
        </w:rPr>
        <w:t> </w:t>
      </w:r>
      <w:r>
        <w:rPr/>
        <w:t>限的议案》</w:t>
      </w:r>
    </w:p>
    <w:p>
      <w:pPr>
        <w:pStyle w:val="BodyText"/>
        <w:spacing w:line="297" w:lineRule="auto" w:before="34"/>
        <w:ind w:right="167" w:firstLine="420"/>
        <w:jc w:val="left"/>
      </w:pPr>
      <w:r>
        <w:rPr>
          <w:rFonts w:ascii="Times New Roman" w:hAnsi="Times New Roman" w:cs="Times New Roman" w:eastAsia="Times New Roman" w:hint="default"/>
          <w:spacing w:val="-2"/>
        </w:rPr>
        <w:t>12</w:t>
      </w:r>
      <w:r>
        <w:rPr>
          <w:spacing w:val="-2"/>
        </w:rPr>
        <w:t>、《关于签署</w:t>
      </w:r>
      <w:r>
        <w:rPr>
          <w:rFonts w:ascii="Times New Roman" w:hAnsi="Times New Roman" w:cs="Times New Roman" w:eastAsia="Times New Roman" w:hint="default"/>
          <w:spacing w:val="-2"/>
        </w:rPr>
        <w:t>&lt;</w:t>
      </w:r>
      <w:r>
        <w:rPr>
          <w:spacing w:val="-2"/>
        </w:rPr>
        <w:t>青岛港国际股份有限公司与青岛港财务有限责任公司金融服务框架协议</w:t>
      </w:r>
      <w:r>
        <w:rPr>
          <w:rFonts w:ascii="Times New Roman" w:hAnsi="Times New Roman" w:cs="Times New Roman" w:eastAsia="Times New Roman" w:hint="default"/>
          <w:spacing w:val="-2"/>
        </w:rPr>
        <w:t>&gt;</w:t>
      </w:r>
      <w:r>
        <w:rPr>
          <w:spacing w:val="-2"/>
        </w:rPr>
        <w:t>并厘</w:t>
      </w:r>
      <w:r>
        <w:rPr>
          <w:w w:val="100"/>
        </w:rPr>
        <w:t> </w:t>
      </w:r>
      <w:r>
        <w:rPr/>
        <w:t>定</w:t>
      </w:r>
      <w:r>
        <w:rPr>
          <w:spacing w:val="-54"/>
        </w:rPr>
        <w:t> </w:t>
      </w:r>
      <w:r>
        <w:rPr>
          <w:rFonts w:ascii="Times New Roman" w:hAnsi="Times New Roman" w:cs="Times New Roman" w:eastAsia="Times New Roman" w:hint="default"/>
        </w:rPr>
        <w:t>2020-2022</w:t>
      </w:r>
      <w:r>
        <w:rPr>
          <w:rFonts w:ascii="Times New Roman" w:hAnsi="Times New Roman" w:cs="Times New Roman" w:eastAsia="Times New Roman" w:hint="default"/>
          <w:spacing w:val="-1"/>
        </w:rPr>
        <w:t> </w:t>
      </w:r>
      <w:r>
        <w:rPr/>
        <w:t>年度上限的议案》</w:t>
      </w:r>
    </w:p>
    <w:p>
      <w:pPr>
        <w:pStyle w:val="BodyText"/>
        <w:spacing w:line="297" w:lineRule="auto" w:before="13"/>
        <w:ind w:right="0" w:firstLine="420"/>
        <w:jc w:val="left"/>
      </w:pPr>
      <w:r>
        <w:rPr>
          <w:rFonts w:ascii="Times New Roman" w:hAnsi="Times New Roman" w:cs="Times New Roman" w:eastAsia="Times New Roman" w:hint="default"/>
          <w:spacing w:val="-4"/>
        </w:rPr>
        <w:t>13</w:t>
      </w:r>
      <w:r>
        <w:rPr>
          <w:spacing w:val="-4"/>
        </w:rPr>
        <w:t>、《关于调整青岛港财务有限责任公司与青岛港（集团）有限公司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年度信贷服务年度上</w:t>
      </w:r>
      <w:r>
        <w:rPr>
          <w:w w:val="100"/>
        </w:rPr>
        <w:t> </w:t>
      </w:r>
      <w:r>
        <w:rPr/>
        <w:t>限的议案》</w:t>
      </w:r>
    </w:p>
    <w:p>
      <w:pPr>
        <w:pStyle w:val="BodyText"/>
        <w:spacing w:line="297" w:lineRule="auto" w:before="34"/>
        <w:ind w:right="167" w:firstLine="420"/>
        <w:jc w:val="left"/>
      </w:pPr>
      <w:r>
        <w:rPr>
          <w:rFonts w:ascii="Times New Roman" w:hAnsi="Times New Roman" w:cs="Times New Roman" w:eastAsia="Times New Roman" w:hint="default"/>
          <w:spacing w:val="-2"/>
        </w:rPr>
        <w:t>14</w:t>
      </w:r>
      <w:r>
        <w:rPr>
          <w:spacing w:val="-2"/>
        </w:rPr>
        <w:t>、《关于签署</w:t>
      </w:r>
      <w:r>
        <w:rPr>
          <w:rFonts w:ascii="Times New Roman" w:hAnsi="Times New Roman" w:cs="Times New Roman" w:eastAsia="Times New Roman" w:hint="default"/>
          <w:spacing w:val="-2"/>
        </w:rPr>
        <w:t>&lt;</w:t>
      </w:r>
      <w:r>
        <w:rPr>
          <w:spacing w:val="-2"/>
        </w:rPr>
        <w:t>青岛港财务有限责任公司与青岛港（集团）有限公司金融服务框架协议</w:t>
      </w:r>
      <w:r>
        <w:rPr>
          <w:rFonts w:ascii="Times New Roman" w:hAnsi="Times New Roman" w:cs="Times New Roman" w:eastAsia="Times New Roman" w:hint="default"/>
          <w:spacing w:val="-2"/>
        </w:rPr>
        <w:t>&gt;</w:t>
      </w:r>
      <w:r>
        <w:rPr>
          <w:spacing w:val="-2"/>
        </w:rPr>
        <w:t>并厘</w:t>
      </w:r>
      <w:r>
        <w:rPr>
          <w:w w:val="100"/>
        </w:rPr>
        <w:t> </w:t>
      </w:r>
      <w:r>
        <w:rPr/>
        <w:t>定</w:t>
      </w:r>
      <w:r>
        <w:rPr>
          <w:spacing w:val="-54"/>
        </w:rPr>
        <w:t> </w:t>
      </w:r>
      <w:r>
        <w:rPr>
          <w:rFonts w:ascii="Times New Roman" w:hAnsi="Times New Roman" w:cs="Times New Roman" w:eastAsia="Times New Roman" w:hint="default"/>
        </w:rPr>
        <w:t>2020-2022</w:t>
      </w:r>
      <w:r>
        <w:rPr>
          <w:rFonts w:ascii="Times New Roman" w:hAnsi="Times New Roman" w:cs="Times New Roman" w:eastAsia="Times New Roman" w:hint="default"/>
          <w:spacing w:val="-1"/>
        </w:rPr>
        <w:t> </w:t>
      </w:r>
      <w:r>
        <w:rPr/>
        <w:t>年度上限的议案》</w:t>
      </w:r>
    </w:p>
    <w:p>
      <w:pPr>
        <w:pStyle w:val="BodyText"/>
        <w:spacing w:line="240" w:lineRule="auto" w:before="13"/>
        <w:ind w:left="638" w:right="0"/>
        <w:jc w:val="left"/>
      </w:pPr>
      <w:r>
        <w:rPr>
          <w:rFonts w:ascii="Times New Roman" w:hAnsi="Times New Roman" w:cs="Times New Roman" w:eastAsia="Times New Roman" w:hint="default"/>
        </w:rPr>
        <w:t>15</w:t>
      </w:r>
      <w:r>
        <w:rPr/>
        <w:t>、《关于青岛港财务有限责任公司与相关关联人关联交易的议案》</w:t>
      </w:r>
    </w:p>
    <w:p>
      <w:pPr>
        <w:pStyle w:val="BodyText"/>
        <w:spacing w:line="297" w:lineRule="auto" w:before="69"/>
        <w:ind w:right="0" w:firstLine="420"/>
        <w:jc w:val="left"/>
      </w:pPr>
      <w:r>
        <w:rPr>
          <w:rFonts w:ascii="Times New Roman" w:hAnsi="Times New Roman" w:cs="Times New Roman" w:eastAsia="Times New Roman" w:hint="default"/>
          <w:spacing w:val="-2"/>
        </w:rPr>
        <w:t>16</w:t>
      </w:r>
      <w:r>
        <w:rPr>
          <w:spacing w:val="-2"/>
        </w:rPr>
        <w:t>、《关于青岛港财务有限责任公司与青岛港联海国际物流有限公司、青岛东港国际集装箱储</w:t>
      </w:r>
      <w:r>
        <w:rPr>
          <w:w w:val="100"/>
        </w:rPr>
        <w:t> </w:t>
      </w:r>
      <w:r>
        <w:rPr/>
        <w:t>运有限公司关联交易的议案》</w:t>
      </w:r>
    </w:p>
    <w:p>
      <w:pPr>
        <w:pStyle w:val="BodyText"/>
        <w:spacing w:line="297" w:lineRule="auto" w:before="34"/>
        <w:ind w:right="167" w:firstLine="420"/>
        <w:jc w:val="left"/>
      </w:pPr>
      <w:r>
        <w:rPr>
          <w:rFonts w:ascii="Times New Roman" w:hAnsi="Times New Roman" w:cs="Times New Roman" w:eastAsia="Times New Roman" w:hint="default"/>
          <w:spacing w:val="-2"/>
        </w:rPr>
        <w:t>17</w:t>
      </w:r>
      <w:r>
        <w:rPr>
          <w:spacing w:val="-2"/>
        </w:rPr>
        <w:t>、《关于签署</w:t>
      </w:r>
      <w:r>
        <w:rPr>
          <w:rFonts w:ascii="Times New Roman" w:hAnsi="Times New Roman" w:cs="Times New Roman" w:eastAsia="Times New Roman" w:hint="default"/>
          <w:spacing w:val="-2"/>
        </w:rPr>
        <w:t>&lt;</w:t>
      </w:r>
      <w:r>
        <w:rPr>
          <w:spacing w:val="-2"/>
        </w:rPr>
        <w:t>青岛港国际股份有限公司与青岛港（集团）有限公司金融服务框架协议</w:t>
      </w:r>
      <w:r>
        <w:rPr>
          <w:rFonts w:ascii="Times New Roman" w:hAnsi="Times New Roman" w:cs="Times New Roman" w:eastAsia="Times New Roman" w:hint="default"/>
          <w:spacing w:val="-2"/>
        </w:rPr>
        <w:t>&gt;</w:t>
      </w:r>
      <w:r>
        <w:rPr>
          <w:spacing w:val="-2"/>
        </w:rPr>
        <w:t>并厘</w:t>
      </w:r>
      <w:r>
        <w:rPr>
          <w:w w:val="100"/>
        </w:rPr>
        <w:t> </w:t>
      </w:r>
      <w:r>
        <w:rPr/>
        <w:t>定</w:t>
      </w:r>
      <w:r>
        <w:rPr>
          <w:spacing w:val="-54"/>
        </w:rPr>
        <w:t> </w:t>
      </w:r>
      <w:r>
        <w:rPr>
          <w:rFonts w:ascii="Times New Roman" w:hAnsi="Times New Roman" w:cs="Times New Roman" w:eastAsia="Times New Roman" w:hint="default"/>
        </w:rPr>
        <w:t>2020-2022</w:t>
      </w:r>
      <w:r>
        <w:rPr>
          <w:rFonts w:ascii="Times New Roman" w:hAnsi="Times New Roman" w:cs="Times New Roman" w:eastAsia="Times New Roman" w:hint="default"/>
          <w:spacing w:val="-1"/>
        </w:rPr>
        <w:t> </w:t>
      </w:r>
      <w:r>
        <w:rPr/>
        <w:t>年度上限的议案》</w:t>
      </w:r>
    </w:p>
    <w:p>
      <w:pPr>
        <w:pStyle w:val="BodyText"/>
        <w:spacing w:line="240" w:lineRule="auto" w:before="13"/>
        <w:ind w:left="638" w:right="0"/>
        <w:jc w:val="left"/>
      </w:pPr>
      <w:r>
        <w:rPr>
          <w:rFonts w:ascii="Times New Roman" w:hAnsi="Times New Roman" w:cs="Times New Roman" w:eastAsia="Times New Roman" w:hint="default"/>
        </w:rPr>
        <w:t>18</w:t>
      </w:r>
      <w:r>
        <w:rPr/>
        <w:t>、《关于青岛港国际股份有限公司与青岛港（集团）有限公司关联交易的议案》</w:t>
      </w:r>
    </w:p>
    <w:p>
      <w:pPr>
        <w:pStyle w:val="BodyText"/>
        <w:spacing w:line="297" w:lineRule="auto" w:before="69"/>
        <w:ind w:right="167" w:firstLine="420"/>
        <w:jc w:val="left"/>
      </w:pPr>
      <w:r>
        <w:rPr>
          <w:rFonts w:ascii="Times New Roman" w:hAnsi="Times New Roman" w:cs="Times New Roman" w:eastAsia="Times New Roman" w:hint="default"/>
          <w:spacing w:val="-4"/>
        </w:rPr>
        <w:t>19</w:t>
      </w:r>
      <w:r>
        <w:rPr>
          <w:spacing w:val="-4"/>
        </w:rPr>
        <w:t>、《关于调整</w:t>
      </w:r>
      <w:r>
        <w:rPr>
          <w:rFonts w:ascii="Times New Roman" w:hAnsi="Times New Roman" w:cs="Times New Roman" w:eastAsia="Times New Roman" w:hint="default"/>
          <w:spacing w:val="-4"/>
        </w:rPr>
        <w:t>&lt;</w:t>
      </w:r>
      <w:r>
        <w:rPr>
          <w:spacing w:val="-4"/>
        </w:rPr>
        <w:t>青岛港国际股份有限公司与中国远洋海运集团有限公司综合产品和服务框架协</w:t>
      </w:r>
      <w:r>
        <w:rPr>
          <w:w w:val="100"/>
        </w:rPr>
        <w:t> </w:t>
      </w:r>
      <w:r>
        <w:rPr/>
        <w:t>议</w:t>
      </w:r>
      <w:r>
        <w:rPr>
          <w:spacing w:val="-54"/>
        </w:rPr>
        <w:t> </w:t>
      </w:r>
      <w:r>
        <w:rPr>
          <w:rFonts w:ascii="Times New Roman" w:hAnsi="Times New Roman" w:cs="Times New Roman" w:eastAsia="Times New Roman" w:hint="default"/>
        </w:rPr>
        <w:t>I&gt;</w:t>
      </w:r>
      <w:r>
        <w:rPr/>
        <w:t>项下关联交易</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年度上限的议案》</w:t>
      </w:r>
    </w:p>
    <w:p>
      <w:pPr>
        <w:pStyle w:val="BodyText"/>
        <w:spacing w:line="314" w:lineRule="auto" w:before="13"/>
        <w:ind w:right="0" w:firstLine="420"/>
        <w:jc w:val="left"/>
        <w:rPr>
          <w:rFonts w:ascii="宋体" w:hAnsi="宋体" w:cs="宋体" w:eastAsia="宋体" w:hint="default"/>
        </w:rPr>
      </w:pPr>
      <w:r>
        <w:rPr>
          <w:rFonts w:ascii="宋体" w:hAnsi="宋体" w:cs="宋体" w:eastAsia="宋体" w:hint="default"/>
          <w:spacing w:val="-3"/>
        </w:rPr>
        <w:t>20</w:t>
      </w:r>
      <w:r>
        <w:rPr>
          <w:spacing w:val="-3"/>
        </w:rPr>
        <w:t>、《关于签署</w:t>
      </w:r>
      <w:r>
        <w:rPr>
          <w:rFonts w:ascii="宋体" w:hAnsi="宋体" w:cs="宋体" w:eastAsia="宋体" w:hint="default"/>
          <w:spacing w:val="-3"/>
        </w:rPr>
        <w:t>&lt;</w:t>
      </w:r>
      <w:r>
        <w:rPr>
          <w:spacing w:val="-3"/>
        </w:rPr>
        <w:t>青岛港国际股份有限公司与中国远洋海运集团有限公司综合产品和服务框架协</w:t>
      </w:r>
      <w:r>
        <w:rPr>
          <w:w w:val="100"/>
        </w:rPr>
        <w:t> </w:t>
      </w:r>
      <w:r>
        <w:rPr/>
        <w:t>议</w:t>
      </w:r>
      <w:r>
        <w:rPr>
          <w:rFonts w:ascii="宋体" w:hAnsi="宋体" w:cs="宋体" w:eastAsia="宋体" w:hint="default"/>
        </w:rPr>
        <w:t>&gt;</w:t>
      </w:r>
      <w:r>
        <w:rPr/>
        <w:t>并厘定</w:t>
      </w:r>
      <w:r>
        <w:rPr>
          <w:spacing w:val="-57"/>
        </w:rPr>
        <w:t> </w:t>
      </w:r>
      <w:r>
        <w:rPr>
          <w:rFonts w:ascii="宋体" w:hAnsi="宋体" w:cs="宋体" w:eastAsia="宋体" w:hint="default"/>
        </w:rPr>
        <w:t>2020-2022</w:t>
      </w:r>
      <w:r>
        <w:rPr>
          <w:rFonts w:ascii="宋体" w:hAnsi="宋体" w:cs="宋体" w:eastAsia="宋体" w:hint="default"/>
          <w:spacing w:val="-55"/>
        </w:rPr>
        <w:t> </w:t>
      </w:r>
      <w:r>
        <w:rPr/>
        <w:t>年度上限的议案》</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rFonts w:ascii="宋体" w:hAnsi="宋体" w:cs="宋体" w:eastAsia="宋体" w:hint="default"/>
        </w:rPr>
        <w:t>21</w:t>
      </w:r>
      <w:r>
        <w:rPr/>
        <w:t>、《关于选举青岛港国际股份有限公司第三届董事会董事的议案》</w:t>
      </w:r>
      <w:r>
        <w:rPr>
          <w:rFonts w:ascii="宋体" w:hAnsi="宋体" w:cs="宋体" w:eastAsia="宋体" w:hint="default"/>
        </w:rPr>
        <w:t> </w:t>
      </w:r>
    </w:p>
    <w:p>
      <w:pPr>
        <w:pStyle w:val="BodyText"/>
        <w:spacing w:line="240" w:lineRule="auto" w:before="85"/>
        <w:ind w:left="638" w:right="0"/>
        <w:jc w:val="left"/>
        <w:rPr>
          <w:rFonts w:ascii="宋体" w:hAnsi="宋体" w:cs="宋体" w:eastAsia="宋体" w:hint="default"/>
        </w:rPr>
      </w:pPr>
      <w:r>
        <w:rPr>
          <w:rFonts w:ascii="宋体" w:hAnsi="宋体" w:cs="宋体" w:eastAsia="宋体" w:hint="default"/>
        </w:rPr>
        <w:t>22</w:t>
      </w:r>
      <w:r>
        <w:rPr/>
        <w:t>、《关于选举青岛港国际股份有限公司第三届董事会独立董事的议案》</w:t>
      </w:r>
      <w:r>
        <w:rPr>
          <w:rFonts w:ascii="宋体" w:hAnsi="宋体" w:cs="宋体" w:eastAsia="宋体" w:hint="default"/>
        </w:rPr>
        <w:t> </w:t>
      </w:r>
    </w:p>
    <w:p>
      <w:pPr>
        <w:pStyle w:val="BodyText"/>
        <w:spacing w:line="240" w:lineRule="auto" w:before="85"/>
        <w:ind w:left="638" w:right="0"/>
        <w:jc w:val="left"/>
        <w:rPr>
          <w:rFonts w:ascii="宋体" w:hAnsi="宋体" w:cs="宋体" w:eastAsia="宋体" w:hint="default"/>
        </w:rPr>
      </w:pPr>
      <w:r>
        <w:rPr>
          <w:rFonts w:ascii="宋体" w:hAnsi="宋体" w:cs="宋体" w:eastAsia="宋体" w:hint="default"/>
        </w:rPr>
        <w:t>23</w:t>
      </w:r>
      <w:r>
        <w:rPr/>
        <w:t>、《关于选举青岛港国际股份有限公司第三届监事会监事的议案》</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t>三、</w:t>
      </w:r>
      <w:r>
        <w:rPr>
          <w:spacing w:val="-101"/>
        </w:rPr>
        <w:t> </w:t>
      </w:r>
      <w:r>
        <w:rPr>
          <w:rFonts w:ascii="宋体" w:hAnsi="宋体" w:cs="宋体" w:eastAsia="宋体" w:hint="default"/>
          <w:spacing w:val="-101"/>
        </w:rPr>
      </w:r>
      <w:r>
        <w:rPr/>
        <w:t>董事履行职责情况</w:t>
      </w:r>
      <w:r>
        <w:rPr>
          <w:b w:val="0"/>
          <w:bCs w:val="0"/>
        </w:rPr>
      </w:r>
    </w:p>
    <w:p>
      <w:pPr>
        <w:pStyle w:val="Heading5"/>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1526"/>
        <w:gridCol w:w="826"/>
        <w:gridCol w:w="1071"/>
        <w:gridCol w:w="830"/>
        <w:gridCol w:w="944"/>
        <w:gridCol w:w="883"/>
        <w:gridCol w:w="823"/>
        <w:gridCol w:w="1289"/>
        <w:gridCol w:w="1133"/>
      </w:tblGrid>
      <w:tr>
        <w:trPr>
          <w:trHeight w:val="571"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547" w:right="545"/>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196" w:right="19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8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41" w:right="137"/>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1526"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17" w:right="108"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亲自</w:t>
            </w:r>
          </w:p>
          <w:p>
            <w:pPr>
              <w:pStyle w:val="TableParagraph"/>
              <w:spacing w:line="272" w:lineRule="exact" w:before="27"/>
              <w:ind w:left="199" w:right="197"/>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51" w:right="147"/>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0" w:right="119"/>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6" w:right="192"/>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4" w:right="111"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455" w:right="137"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李奉利</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郑明辉（离任）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焦广军（离任）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张为</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张江南（离任）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禇效忠</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姜春凤（离任）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蒋敏</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黎国浩</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王亚平（离任）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邹国强（离任）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杨秋林（离任）</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3"/>
              <w:jc w:val="right"/>
              <w:rPr>
                <w:rFonts w:ascii="Times New Roman" w:hAnsi="Times New Roman" w:cs="Times New Roman" w:eastAsia="Times New Roman" w:hint="default"/>
                <w:sz w:val="21"/>
                <w:szCs w:val="21"/>
              </w:rPr>
            </w:pPr>
            <w:r>
              <w:rPr>
                <w:rFonts w:ascii="Times New Roman"/>
                <w:w w:val="100"/>
                <w:sz w:val="21"/>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r>
    </w:tbl>
    <w:p>
      <w:pPr>
        <w:spacing w:after="0" w:line="240" w:lineRule="auto"/>
        <w:jc w:val="center"/>
        <w:rPr>
          <w:rFonts w:ascii="Times New Roman" w:hAnsi="Times New Roman" w:cs="Times New Roman" w:eastAsia="Times New Roman" w:hint="default"/>
          <w:sz w:val="21"/>
          <w:szCs w:val="21"/>
        </w:rPr>
        <w:sectPr>
          <w:footerReference w:type="default" r:id="rId44"/>
          <w:pgSz w:w="11910" w:h="16840"/>
          <w:pgMar w:footer="974" w:header="877" w:top="1100" w:bottom="1160" w:left="1200" w:right="1160"/>
          <w:pgNumType w:start="71"/>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before="36"/>
        <w:ind w:left="138" w:right="0"/>
        <w:jc w:val="left"/>
      </w:pPr>
      <w:r>
        <w:rPr/>
        <w:t>注：</w:t>
      </w:r>
    </w:p>
    <w:p>
      <w:pPr>
        <w:pStyle w:val="BodyText"/>
        <w:spacing w:line="240" w:lineRule="auto" w:before="85"/>
        <w:ind w:left="558" w:right="0"/>
        <w:jc w:val="left"/>
      </w:pPr>
      <w:r>
        <w:rPr>
          <w:rFonts w:ascii="Times New Roman" w:hAnsi="Times New Roman" w:cs="Times New Roman" w:eastAsia="Times New Roman" w:hint="default"/>
          <w:w w:val="100"/>
        </w:rPr>
        <w:t>1.</w:t>
      </w:r>
      <w:r>
        <w:rPr>
          <w:w w:val="100"/>
        </w:rPr>
        <w:t>李</w:t>
      </w:r>
      <w:r>
        <w:rPr>
          <w:spacing w:val="-3"/>
          <w:w w:val="100"/>
        </w:rPr>
        <w:t>奉</w:t>
      </w:r>
      <w:r>
        <w:rPr>
          <w:spacing w:val="-1"/>
          <w:w w:val="100"/>
        </w:rPr>
        <w:t>利</w:t>
      </w:r>
      <w:r>
        <w:rPr>
          <w:spacing w:val="-3"/>
          <w:w w:val="100"/>
        </w:rPr>
        <w:t>先</w:t>
      </w:r>
      <w:r>
        <w:rPr>
          <w:w w:val="100"/>
        </w:rPr>
        <w:t>生于</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7"/>
        </w:rPr>
        <w:t> </w:t>
      </w:r>
      <w:r>
        <w:rPr>
          <w:w w:val="100"/>
        </w:rPr>
        <w:t>年</w:t>
      </w:r>
      <w:r>
        <w:rPr>
          <w:spacing w:val="-59"/>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w w:val="100"/>
        </w:rPr>
        <w:t>月</w:t>
      </w:r>
      <w:r>
        <w:rPr>
          <w:spacing w:val="-6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7"/>
        </w:rPr>
        <w:t> </w:t>
      </w:r>
      <w:r>
        <w:rPr>
          <w:spacing w:val="-3"/>
          <w:w w:val="100"/>
        </w:rPr>
        <w:t>日</w:t>
      </w:r>
      <w:r>
        <w:rPr>
          <w:w w:val="100"/>
        </w:rPr>
        <w:t>获</w:t>
      </w:r>
      <w:r>
        <w:rPr>
          <w:spacing w:val="-3"/>
          <w:w w:val="100"/>
        </w:rPr>
        <w:t>委</w:t>
      </w:r>
      <w:r>
        <w:rPr>
          <w:w w:val="100"/>
        </w:rPr>
        <w:t>任</w:t>
      </w:r>
      <w:r>
        <w:rPr>
          <w:spacing w:val="-106"/>
          <w:w w:val="100"/>
        </w:rPr>
        <w:t>。</w:t>
      </w:r>
      <w:r>
        <w:rPr>
          <w:spacing w:val="-3"/>
          <w:w w:val="100"/>
        </w:rPr>
        <w:t>公</w:t>
      </w:r>
      <w:r>
        <w:rPr>
          <w:w w:val="100"/>
        </w:rPr>
        <w:t>司于</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rPr>
        <w:t> </w:t>
      </w:r>
      <w:r>
        <w:rPr>
          <w:w w:val="100"/>
        </w:rPr>
        <w:t>年</w:t>
      </w:r>
      <w:r>
        <w:rPr>
          <w:spacing w:val="-6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7"/>
        </w:rPr>
        <w:t> </w:t>
      </w:r>
      <w:r>
        <w:rPr>
          <w:w w:val="100"/>
        </w:rPr>
        <w:t>月</w:t>
      </w:r>
      <w:r>
        <w:rPr>
          <w:spacing w:val="-6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0"/>
        </w:rPr>
        <w:t> </w:t>
      </w:r>
      <w:r>
        <w:rPr>
          <w:w w:val="100"/>
        </w:rPr>
        <w:t>日至</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7"/>
        </w:rPr>
        <w:t> </w:t>
      </w:r>
      <w:r>
        <w:rPr>
          <w:w w:val="100"/>
        </w:rPr>
        <w:t>年</w:t>
      </w:r>
      <w:r>
        <w:rPr>
          <w:spacing w:val="-6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rPr>
        <w:t> </w:t>
      </w:r>
      <w:r>
        <w:rPr>
          <w:w w:val="100"/>
        </w:rPr>
        <w:t>月</w:t>
      </w:r>
      <w:r>
        <w:rPr>
          <w:spacing w:val="-6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7"/>
        </w:rPr>
        <w:t> </w:t>
      </w:r>
      <w:r>
        <w:rPr>
          <w:spacing w:val="-3"/>
          <w:w w:val="100"/>
        </w:rPr>
        <w:t>日</w:t>
      </w:r>
      <w:r>
        <w:rPr>
          <w:w w:val="100"/>
        </w:rPr>
        <w:t>期</w:t>
      </w:r>
      <w:r>
        <w:rPr>
          <w:spacing w:val="-3"/>
          <w:w w:val="100"/>
        </w:rPr>
        <w:t>间</w:t>
      </w:r>
      <w:r>
        <w:rPr>
          <w:w w:val="100"/>
        </w:rPr>
        <w:t>，</w:t>
      </w:r>
    </w:p>
    <w:p>
      <w:pPr>
        <w:pStyle w:val="BodyText"/>
        <w:spacing w:line="240" w:lineRule="auto" w:before="69"/>
        <w:ind w:left="138" w:right="0"/>
        <w:jc w:val="left"/>
      </w:pPr>
      <w:r>
        <w:rPr/>
        <w:t>举行了</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次董事会会议和</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BodyText"/>
        <w:spacing w:line="297" w:lineRule="auto" w:before="69"/>
        <w:ind w:left="138" w:right="0" w:firstLine="420"/>
        <w:jc w:val="left"/>
      </w:pPr>
      <w:r>
        <w:rPr>
          <w:rFonts w:ascii="Times New Roman" w:hAnsi="Times New Roman" w:cs="Times New Roman" w:eastAsia="Times New Roman" w:hint="default"/>
        </w:rPr>
        <w:t>2.</w:t>
      </w:r>
      <w:r>
        <w:rPr/>
        <w:t>郑明辉先生于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日辞任。公司于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日期间，未</w:t>
      </w:r>
      <w:r>
        <w:rPr>
          <w:w w:val="100"/>
        </w:rPr>
        <w:t> </w:t>
      </w:r>
      <w:r>
        <w:rPr/>
        <w:t>举行董事会会议，未举行股东大会会议。</w:t>
      </w:r>
    </w:p>
    <w:p>
      <w:pPr>
        <w:pStyle w:val="BodyText"/>
        <w:spacing w:line="240" w:lineRule="auto" w:before="34"/>
        <w:ind w:left="558" w:right="0"/>
        <w:jc w:val="left"/>
      </w:pPr>
      <w:r>
        <w:rPr>
          <w:rFonts w:ascii="Times New Roman" w:hAnsi="Times New Roman" w:cs="Times New Roman" w:eastAsia="Times New Roman" w:hint="default"/>
        </w:rPr>
        <w:t>3.</w:t>
      </w:r>
      <w:r>
        <w:rPr/>
        <w:t>李燕女士于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日获委任。公司于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日期间，</w:t>
      </w:r>
    </w:p>
    <w:p>
      <w:pPr>
        <w:pStyle w:val="BodyText"/>
        <w:spacing w:line="240" w:lineRule="auto" w:before="69"/>
        <w:ind w:left="138" w:right="0"/>
        <w:jc w:val="left"/>
      </w:pPr>
      <w:r>
        <w:rPr/>
        <w:t>举行了</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次董事会会议和</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BodyText"/>
        <w:spacing w:line="240" w:lineRule="auto" w:before="69"/>
        <w:ind w:left="558" w:right="0"/>
        <w:jc w:val="left"/>
      </w:pPr>
      <w:r>
        <w:rPr>
          <w:rFonts w:ascii="Times New Roman" w:hAnsi="Times New Roman" w:cs="Times New Roman" w:eastAsia="Times New Roman" w:hint="default"/>
        </w:rPr>
        <w:t>4.</w:t>
      </w:r>
      <w:r>
        <w:rPr/>
        <w:t>蒋敏先生于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日获委任。公司于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日期间，</w:t>
      </w:r>
    </w:p>
    <w:p>
      <w:pPr>
        <w:pStyle w:val="BodyText"/>
        <w:spacing w:line="240" w:lineRule="auto" w:before="69"/>
        <w:ind w:left="138" w:right="0"/>
        <w:jc w:val="left"/>
      </w:pPr>
      <w:r>
        <w:rPr/>
        <w:t>举行了</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次董事会会议和</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BodyText"/>
        <w:spacing w:line="240" w:lineRule="auto" w:before="69"/>
        <w:ind w:left="558" w:right="0"/>
        <w:jc w:val="left"/>
      </w:pPr>
      <w:r>
        <w:rPr>
          <w:rFonts w:ascii="Times New Roman" w:hAnsi="Times New Roman" w:cs="Times New Roman" w:eastAsia="Times New Roman" w:hint="default"/>
          <w:w w:val="100"/>
        </w:rPr>
        <w:t>5.</w:t>
      </w:r>
      <w:r>
        <w:rPr>
          <w:w w:val="100"/>
        </w:rPr>
        <w:t>黎</w:t>
      </w:r>
      <w:r>
        <w:rPr>
          <w:spacing w:val="-3"/>
          <w:w w:val="100"/>
        </w:rPr>
        <w:t>国</w:t>
      </w:r>
      <w:r>
        <w:rPr>
          <w:w w:val="100"/>
        </w:rPr>
        <w:t>浩</w:t>
      </w:r>
      <w:r>
        <w:rPr>
          <w:spacing w:val="-3"/>
          <w:w w:val="100"/>
        </w:rPr>
        <w:t>先</w:t>
      </w:r>
      <w:r>
        <w:rPr>
          <w:w w:val="100"/>
        </w:rPr>
        <w:t>生于</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7"/>
        </w:rPr>
        <w:t> </w:t>
      </w:r>
      <w:r>
        <w:rPr>
          <w:w w:val="100"/>
        </w:rPr>
        <w:t>年</w:t>
      </w:r>
      <w:r>
        <w:rPr>
          <w:spacing w:val="-59"/>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0"/>
        </w:rPr>
        <w:t> </w:t>
      </w:r>
      <w:r>
        <w:rPr>
          <w:w w:val="100"/>
        </w:rPr>
        <w:t>月</w:t>
      </w:r>
      <w:r>
        <w:rPr>
          <w:spacing w:val="-6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7"/>
        </w:rPr>
        <w:t> </w:t>
      </w:r>
      <w:r>
        <w:rPr>
          <w:spacing w:val="-3"/>
          <w:w w:val="100"/>
        </w:rPr>
        <w:t>日</w:t>
      </w:r>
      <w:r>
        <w:rPr>
          <w:w w:val="100"/>
        </w:rPr>
        <w:t>获</w:t>
      </w:r>
      <w:r>
        <w:rPr>
          <w:spacing w:val="-3"/>
          <w:w w:val="100"/>
        </w:rPr>
        <w:t>委</w:t>
      </w:r>
      <w:r>
        <w:rPr>
          <w:w w:val="100"/>
        </w:rPr>
        <w:t>任</w:t>
      </w:r>
      <w:r>
        <w:rPr>
          <w:spacing w:val="-106"/>
          <w:w w:val="100"/>
        </w:rPr>
        <w:t>。</w:t>
      </w:r>
      <w:r>
        <w:rPr>
          <w:spacing w:val="-3"/>
          <w:w w:val="100"/>
        </w:rPr>
        <w:t>公</w:t>
      </w:r>
      <w:r>
        <w:rPr>
          <w:w w:val="100"/>
        </w:rPr>
        <w:t>司于</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rPr>
        <w:t> </w:t>
      </w:r>
      <w:r>
        <w:rPr>
          <w:w w:val="100"/>
        </w:rPr>
        <w:t>年</w:t>
      </w:r>
      <w:r>
        <w:rPr>
          <w:spacing w:val="-6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7"/>
        </w:rPr>
        <w:t> </w:t>
      </w:r>
      <w:r>
        <w:rPr>
          <w:w w:val="100"/>
        </w:rPr>
        <w:t>月</w:t>
      </w:r>
      <w:r>
        <w:rPr>
          <w:spacing w:val="-60"/>
        </w:rPr>
        <w:t> </w:t>
      </w:r>
      <w:r>
        <w:rPr>
          <w:rFonts w:ascii="Times New Roman" w:hAnsi="Times New Roman" w:cs="Times New Roman" w:eastAsia="Times New Roman" w:hint="default"/>
          <w:w w:val="100"/>
        </w:rPr>
        <w:t>17</w:t>
      </w:r>
      <w:r>
        <w:rPr>
          <w:rFonts w:ascii="Times New Roman" w:hAnsi="Times New Roman" w:cs="Times New Roman" w:eastAsia="Times New Roman" w:hint="default"/>
          <w:spacing w:val="-10"/>
        </w:rPr>
        <w:t> </w:t>
      </w:r>
      <w:r>
        <w:rPr>
          <w:w w:val="100"/>
        </w:rPr>
        <w:t>日至</w:t>
      </w:r>
      <w:r>
        <w:rPr>
          <w:spacing w:val="-6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7"/>
        </w:rPr>
        <w:t> </w:t>
      </w:r>
      <w:r>
        <w:rPr>
          <w:w w:val="100"/>
        </w:rPr>
        <w:t>年</w:t>
      </w:r>
      <w:r>
        <w:rPr>
          <w:spacing w:val="-60"/>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rPr>
        <w:t> </w:t>
      </w:r>
      <w:r>
        <w:rPr>
          <w:w w:val="100"/>
        </w:rPr>
        <w:t>月</w:t>
      </w:r>
      <w:r>
        <w:rPr>
          <w:spacing w:val="-6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7"/>
        </w:rPr>
        <w:t> </w:t>
      </w:r>
      <w:r>
        <w:rPr>
          <w:spacing w:val="-3"/>
          <w:w w:val="100"/>
        </w:rPr>
        <w:t>日</w:t>
      </w:r>
      <w:r>
        <w:rPr>
          <w:w w:val="100"/>
        </w:rPr>
        <w:t>期</w:t>
      </w:r>
      <w:r>
        <w:rPr>
          <w:spacing w:val="-3"/>
          <w:w w:val="100"/>
        </w:rPr>
        <w:t>间</w:t>
      </w:r>
      <w:r>
        <w:rPr>
          <w:w w:val="100"/>
        </w:rPr>
        <w:t>，</w:t>
      </w:r>
    </w:p>
    <w:p>
      <w:pPr>
        <w:pStyle w:val="BodyText"/>
        <w:spacing w:line="240" w:lineRule="auto" w:before="70"/>
        <w:ind w:left="138" w:right="0"/>
        <w:jc w:val="left"/>
      </w:pPr>
      <w:r>
        <w:rPr/>
        <w:t>举行了</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次董事会会议和</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BodyText"/>
        <w:spacing w:line="240" w:lineRule="auto" w:before="69"/>
        <w:ind w:left="558" w:right="0"/>
        <w:jc w:val="left"/>
      </w:pPr>
      <w:r>
        <w:rPr>
          <w:rFonts w:ascii="Times New Roman" w:hAnsi="Times New Roman" w:cs="Times New Roman" w:eastAsia="Times New Roman" w:hint="default"/>
        </w:rPr>
        <w:t>6.</w:t>
      </w:r>
      <w:r>
        <w:rPr/>
        <w:t>王亚平先生于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3"/>
        </w:rPr>
        <w:t>日辞任。公司于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日期间举行</w:t>
      </w:r>
    </w:p>
    <w:p>
      <w:pPr>
        <w:pStyle w:val="BodyText"/>
        <w:spacing w:line="240" w:lineRule="auto" w:before="69"/>
        <w:ind w:left="138" w:right="0"/>
        <w:jc w:val="left"/>
      </w:pPr>
      <w:r>
        <w:rPr/>
        <w:t>了</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次董事会会议和</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BodyText"/>
        <w:spacing w:line="240" w:lineRule="auto" w:before="69"/>
        <w:ind w:left="558" w:right="0"/>
        <w:jc w:val="left"/>
      </w:pPr>
      <w:r>
        <w:rPr>
          <w:rFonts w:ascii="Times New Roman" w:hAnsi="Times New Roman" w:cs="Times New Roman" w:eastAsia="Times New Roman" w:hint="default"/>
        </w:rPr>
        <w:t>7.</w:t>
      </w:r>
      <w:r>
        <w:rPr/>
        <w:t>邹国强先生于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3"/>
        </w:rPr>
        <w:t>日辞任。公司于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日期间举行</w:t>
      </w:r>
    </w:p>
    <w:p>
      <w:pPr>
        <w:pStyle w:val="BodyText"/>
        <w:spacing w:line="240" w:lineRule="auto" w:before="69"/>
        <w:ind w:left="138" w:right="0"/>
        <w:jc w:val="left"/>
      </w:pPr>
      <w:r>
        <w:rPr/>
        <w:t>了</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次董事会会议和</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BodyText"/>
        <w:spacing w:line="240" w:lineRule="auto" w:before="69"/>
        <w:ind w:left="558" w:right="0"/>
        <w:jc w:val="left"/>
      </w:pPr>
      <w:r>
        <w:rPr>
          <w:rFonts w:ascii="Times New Roman" w:hAnsi="Times New Roman" w:cs="Times New Roman" w:eastAsia="Times New Roman" w:hint="default"/>
        </w:rPr>
        <w:t>8.</w:t>
      </w:r>
      <w:r>
        <w:rPr/>
        <w:t>杨秋林先生于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3"/>
        </w:rPr>
        <w:t>日辞任。公司于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日期间举行</w:t>
      </w:r>
    </w:p>
    <w:p>
      <w:pPr>
        <w:pStyle w:val="BodyText"/>
        <w:spacing w:line="284" w:lineRule="exact" w:before="69"/>
        <w:ind w:left="138" w:right="0"/>
        <w:jc w:val="left"/>
      </w:pPr>
      <w:r>
        <w:rPr/>
        <w:t>了</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次董事会会议和</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次股东大会会议。</w:t>
      </w:r>
    </w:p>
    <w:p>
      <w:pPr>
        <w:pStyle w:val="Heading3"/>
        <w:spacing w:line="307" w:lineRule="exact"/>
        <w:ind w:left="138" w:right="0"/>
        <w:jc w:val="left"/>
        <w:rPr>
          <w:rFonts w:ascii="宋体" w:hAnsi="宋体" w:cs="宋体" w:eastAsia="宋体" w:hint="default"/>
        </w:rPr>
      </w:pPr>
      <w:r>
        <w:rPr>
          <w:rFonts w:ascii="宋体"/>
        </w:rPr>
        <w:t> </w:t>
      </w:r>
    </w:p>
    <w:p>
      <w:pPr>
        <w:pStyle w:val="BodyText"/>
        <w:spacing w:line="274" w:lineRule="exact" w:before="1"/>
        <w:ind w:left="13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453" w:type="dxa"/>
        <w:tblLayout w:type="fixed"/>
        <w:tblCellMar>
          <w:top w:w="0" w:type="dxa"/>
          <w:left w:w="0" w:type="dxa"/>
          <w:bottom w:w="0" w:type="dxa"/>
          <w:right w:w="0" w:type="dxa"/>
        </w:tblCellMar>
        <w:tblLook w:val="01E0"/>
      </w:tblPr>
      <w:tblGrid>
        <w:gridCol w:w="5670"/>
        <w:gridCol w:w="2763"/>
      </w:tblGrid>
      <w:tr>
        <w:trPr>
          <w:trHeight w:val="281"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sz w:val="21"/>
              </w:rPr>
              <w:t>8 </w:t>
            </w:r>
          </w:p>
        </w:tc>
      </w:tr>
      <w:tr>
        <w:trPr>
          <w:trHeight w:val="283"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sz w:val="21"/>
              </w:rPr>
              <w:t>6 </w:t>
            </w:r>
          </w:p>
        </w:tc>
      </w:tr>
      <w:tr>
        <w:trPr>
          <w:trHeight w:val="283"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sz w:val="21"/>
              </w:rPr>
              <w:t>2 </w:t>
            </w:r>
          </w:p>
        </w:tc>
      </w:tr>
      <w:tr>
        <w:trPr>
          <w:trHeight w:val="283"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sz w:val="21"/>
              </w:rPr>
              <w:t>0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5"/>
        <w:spacing w:line="240" w:lineRule="auto"/>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3"/>
        <w:spacing w:line="240" w:lineRule="auto" w:before="23"/>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5"/>
        <w:spacing w:line="240" w:lineRule="auto" w:before="58"/>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spacing w:line="240" w:lineRule="auto" w:before="57"/>
        <w:ind w:left="563" w:right="0" w:hanging="425"/>
        <w:jc w:val="left"/>
        <w:rPr>
          <w:b w:val="0"/>
          <w:bCs w:val="0"/>
        </w:rPr>
      </w:pPr>
      <w:r>
        <w:rPr/>
        <w:t>四、</w:t>
      </w:r>
      <w:r>
        <w:rPr>
          <w:spacing w:val="-100"/>
        </w:rPr>
        <w:t> </w:t>
      </w:r>
      <w:r>
        <w:rPr>
          <w:rFonts w:ascii="宋体" w:hAnsi="宋体" w:cs="宋体" w:eastAsia="宋体" w:hint="default"/>
          <w:spacing w:val="-100"/>
        </w:rPr>
      </w:r>
      <w:r>
        <w:rPr>
          <w:spacing w:val="-1"/>
        </w:rPr>
        <w:t>董事会下设专门委员会在报告期内履行职责时所提出的重要意见和建议，存在异议事项的，应</w:t>
      </w:r>
      <w:r>
        <w:rPr>
          <w:spacing w:val="-72"/>
        </w:rPr>
        <w:t> </w:t>
      </w:r>
      <w:r>
        <w:rPr>
          <w:spacing w:val="-72"/>
        </w:rPr>
      </w:r>
      <w:r>
        <w:rPr/>
        <w:t>当披露具体情况</w:t>
      </w:r>
      <w:r>
        <w:rPr>
          <w:b w:val="0"/>
          <w:bCs w:val="0"/>
        </w:rPr>
      </w:r>
    </w:p>
    <w:p>
      <w:pPr>
        <w:pStyle w:val="BodyText"/>
        <w:spacing w:line="273" w:lineRule="exact" w:before="56"/>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307"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（一）董事会专门委员会构成</w:t>
      </w:r>
      <w:r>
        <w:rPr>
          <w:rFonts w:ascii="宋体" w:hAnsi="宋体" w:cs="宋体" w:eastAsia="宋体" w:hint="default"/>
          <w:b/>
          <w:bCs/>
          <w:w w:val="99"/>
          <w:sz w:val="21"/>
          <w:szCs w:val="21"/>
        </w:rPr>
        <w:t> </w:t>
      </w:r>
      <w:r>
        <w:rPr>
          <w:rFonts w:ascii="宋体" w:hAnsi="宋体" w:cs="宋体" w:eastAsia="宋体" w:hint="default"/>
          <w:spacing w:val="-2"/>
          <w:sz w:val="21"/>
          <w:szCs w:val="21"/>
        </w:rPr>
        <w:t>公司董事会下设战略发展委员会、审计委员会、提名委员会、薪酬委员会四个专门委员会。各</w:t>
      </w:r>
    </w:p>
    <w:p>
      <w:pPr>
        <w:pStyle w:val="BodyText"/>
        <w:spacing w:line="314" w:lineRule="auto" w:before="26"/>
        <w:ind w:left="558" w:right="0" w:hanging="420"/>
        <w:jc w:val="left"/>
        <w:rPr>
          <w:rFonts w:ascii="宋体" w:hAnsi="宋体" w:cs="宋体" w:eastAsia="宋体" w:hint="default"/>
        </w:rPr>
      </w:pPr>
      <w:r>
        <w:rPr/>
        <w:pict>
          <v:shape style="position:absolute;margin-left:70.704002pt;margin-top:35.163685pt;width:447.35pt;height:41.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6380"/>
                  </w:tblGrid>
                  <w:tr>
                    <w:trPr>
                      <w:trHeight w:val="40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9" w:right="0"/>
                          <w:jc w:val="left"/>
                          <w:rPr>
                            <w:rFonts w:ascii="宋体" w:hAnsi="宋体" w:cs="宋体" w:eastAsia="宋体" w:hint="default"/>
                            <w:sz w:val="21"/>
                            <w:szCs w:val="21"/>
                          </w:rPr>
                        </w:pPr>
                        <w:r>
                          <w:rPr>
                            <w:rFonts w:ascii="宋体" w:hAnsi="宋体" w:cs="宋体" w:eastAsia="宋体" w:hint="default"/>
                            <w:b/>
                            <w:bCs/>
                            <w:sz w:val="21"/>
                            <w:szCs w:val="21"/>
                          </w:rPr>
                          <w:t>董事会各专门委员会</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hAnsi="宋体" w:cs="宋体" w:eastAsia="宋体" w:hint="default"/>
                            <w:b/>
                            <w:bCs/>
                            <w:sz w:val="21"/>
                            <w:szCs w:val="21"/>
                          </w:rPr>
                          <w:t>委员姓名</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0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战略发展委员会</w:t>
                        </w:r>
                        <w:r>
                          <w:rPr>
                            <w:rFonts w:ascii="宋体" w:hAnsi="宋体" w:cs="宋体" w:eastAsia="宋体" w:hint="default"/>
                            <w:sz w:val="21"/>
                            <w:szCs w:val="21"/>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李奉利、张为、禇效忠、蒋敏</w:t>
                        </w:r>
                        <w:r>
                          <w:rPr>
                            <w:rFonts w:ascii="宋体" w:hAnsi="宋体" w:cs="宋体" w:eastAsia="宋体" w:hint="default"/>
                            <w:sz w:val="21"/>
                            <w:szCs w:val="21"/>
                          </w:rPr>
                          <w:t> </w:t>
                        </w:r>
                      </w:p>
                    </w:tc>
                  </w:tr>
                </w:tbl>
                <w:p>
                  <w:pPr/>
                </w:p>
              </w:txbxContent>
            </v:textbox>
            <w10:wrap type="none"/>
          </v:shape>
        </w:pict>
      </w:r>
      <w:r>
        <w:rPr/>
        <w:t>专门委员会对董事会负责，制定了各自的议事规则，并依据议事规则履行职责。</w:t>
      </w:r>
      <w:r>
        <w:rPr>
          <w:rFonts w:ascii="宋体" w:hAnsi="宋体" w:cs="宋体" w:eastAsia="宋体" w:hint="default"/>
          <w:w w:val="100"/>
        </w:rPr>
        <w:t> </w:t>
      </w:r>
      <w:r>
        <w:rPr/>
        <w:t>董事会专门委员会设置情况如下：</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77" w:footer="974" w:top="1100" w:bottom="1160" w:left="128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2552"/>
        <w:gridCol w:w="6380"/>
      </w:tblGrid>
      <w:tr>
        <w:trPr>
          <w:trHeight w:val="40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审计委员会</w:t>
            </w:r>
            <w:r>
              <w:rPr>
                <w:rFonts w:ascii="宋体" w:hAnsi="宋体" w:cs="宋体" w:eastAsia="宋体" w:hint="default"/>
                <w:sz w:val="21"/>
                <w:szCs w:val="21"/>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李燕、禇效忠、黎国浩</w:t>
            </w:r>
            <w:r>
              <w:rPr>
                <w:rFonts w:ascii="宋体" w:hAnsi="宋体" w:cs="宋体" w:eastAsia="宋体" w:hint="default"/>
                <w:sz w:val="21"/>
                <w:szCs w:val="21"/>
              </w:rPr>
              <w:t> </w:t>
            </w:r>
          </w:p>
        </w:tc>
      </w:tr>
      <w:tr>
        <w:trPr>
          <w:trHeight w:val="40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提名委员会</w:t>
            </w:r>
            <w:r>
              <w:rPr>
                <w:rFonts w:ascii="宋体" w:hAnsi="宋体" w:cs="宋体" w:eastAsia="宋体" w:hint="default"/>
                <w:sz w:val="21"/>
                <w:szCs w:val="21"/>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蒋敏、李奉利、黎国浩</w:t>
            </w:r>
            <w:r>
              <w:rPr>
                <w:rFonts w:ascii="宋体" w:hAnsi="宋体" w:cs="宋体" w:eastAsia="宋体" w:hint="default"/>
                <w:sz w:val="21"/>
                <w:szCs w:val="21"/>
              </w:rPr>
              <w:t> </w:t>
            </w:r>
          </w:p>
        </w:tc>
      </w:tr>
      <w:tr>
        <w:trPr>
          <w:trHeight w:val="40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薪酬委员会</w:t>
            </w:r>
            <w:r>
              <w:rPr>
                <w:rFonts w:ascii="宋体" w:hAnsi="宋体" w:cs="宋体" w:eastAsia="宋体" w:hint="default"/>
                <w:sz w:val="21"/>
                <w:szCs w:val="21"/>
              </w:rPr>
              <w:t> </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黎国浩、李奉利、李燕</w:t>
            </w:r>
            <w:r>
              <w:rPr>
                <w:rFonts w:ascii="宋体" w:hAnsi="宋体" w:cs="宋体" w:eastAsia="宋体" w:hint="default"/>
                <w:sz w:val="21"/>
                <w:szCs w:val="21"/>
              </w:rPr>
              <w:t> </w:t>
            </w:r>
          </w:p>
        </w:tc>
      </w:tr>
    </w:tbl>
    <w:p>
      <w:pPr>
        <w:pStyle w:val="BodyText"/>
        <w:spacing w:line="239" w:lineRule="exact"/>
        <w:ind w:left="138" w:right="0"/>
        <w:jc w:val="both"/>
        <w:rPr>
          <w:rFonts w:ascii="宋体" w:hAnsi="宋体" w:cs="宋体" w:eastAsia="宋体" w:hint="default"/>
        </w:rPr>
      </w:pPr>
      <w:r>
        <w:rPr>
          <w:rFonts w:ascii="宋体"/>
          <w:w w:val="100"/>
        </w:rPr>
        <w:t> </w:t>
      </w:r>
    </w:p>
    <w:p>
      <w:pPr>
        <w:pStyle w:val="Heading5"/>
        <w:spacing w:line="273" w:lineRule="exact" w:before="0"/>
        <w:ind w:left="138" w:right="0"/>
        <w:jc w:val="both"/>
        <w:rPr>
          <w:rFonts w:ascii="宋体" w:hAnsi="宋体" w:cs="宋体" w:eastAsia="宋体" w:hint="default"/>
          <w:b w:val="0"/>
          <w:bCs w:val="0"/>
        </w:rPr>
      </w:pPr>
      <w:r>
        <w:rPr/>
        <w:t>（二）董事会专门委员会履职情况</w:t>
      </w:r>
      <w:r>
        <w:rPr>
          <w:rFonts w:ascii="宋体" w:hAnsi="宋体" w:cs="宋体" w:eastAsia="宋体" w:hint="default"/>
          <w:w w:val="99"/>
        </w:rPr>
        <w:t> </w:t>
      </w:r>
      <w:r>
        <w:rPr>
          <w:rFonts w:ascii="宋体" w:hAnsi="宋体" w:cs="宋体" w:eastAsia="宋体" w:hint="default"/>
          <w:b w:val="0"/>
          <w:bCs w:val="0"/>
        </w:rPr>
      </w:r>
    </w:p>
    <w:p>
      <w:pPr>
        <w:pStyle w:val="BodyText"/>
        <w:spacing w:line="297" w:lineRule="auto" w:before="75"/>
        <w:ind w:left="558" w:right="0" w:firstLine="2"/>
        <w:jc w:val="left"/>
      </w:pPr>
      <w:r>
        <w:rPr>
          <w:rFonts w:ascii="Times New Roman" w:hAnsi="Times New Roman" w:cs="Times New Roman" w:eastAsia="Times New Roman" w:hint="default"/>
          <w:b/>
          <w:bCs/>
        </w:rPr>
        <w:t>1.</w:t>
      </w:r>
      <w:r>
        <w:rPr>
          <w:rFonts w:ascii="宋体" w:hAnsi="宋体" w:cs="宋体" w:eastAsia="宋体" w:hint="default"/>
          <w:b/>
          <w:bCs/>
        </w:rPr>
        <w:t>战略发展委员会</w:t>
      </w:r>
      <w:r>
        <w:rPr>
          <w:rFonts w:ascii="宋体" w:hAnsi="宋体" w:cs="宋体" w:eastAsia="宋体" w:hint="default"/>
          <w:b/>
          <w:bCs/>
          <w:w w:val="100"/>
        </w:rPr>
        <w:t> </w:t>
      </w:r>
      <w:r>
        <w:rPr>
          <w:spacing w:val="-2"/>
        </w:rPr>
        <w:t>战略发展委员会的主要职责包括对本公司总体发展战略规划、本公司的重大投资及融资方案、</w:t>
      </w:r>
    </w:p>
    <w:p>
      <w:pPr>
        <w:pStyle w:val="BodyText"/>
        <w:spacing w:line="314" w:lineRule="auto" w:before="34"/>
        <w:ind w:left="558" w:right="0" w:hanging="420"/>
        <w:jc w:val="left"/>
      </w:pPr>
      <w:r>
        <w:rPr/>
        <w:t>其他影响本公司发展的重大事项进行审议，并向董事会提出建议。</w:t>
      </w:r>
      <w:r>
        <w:rPr>
          <w:w w:val="100"/>
        </w:rPr>
        <w:t> </w:t>
      </w:r>
      <w:r>
        <w:rPr>
          <w:spacing w:val="-2"/>
        </w:rPr>
        <w:t>于报告期内，战略发展委员会共召开了两次会议，审议通过了公司发行股份一般性授权、公司</w:t>
      </w:r>
    </w:p>
    <w:p>
      <w:pPr>
        <w:pStyle w:val="BodyText"/>
        <w:spacing w:line="297" w:lineRule="auto" w:before="20"/>
        <w:ind w:left="138" w:right="0"/>
        <w:jc w:val="left"/>
      </w:pPr>
      <w:r>
        <w:rPr>
          <w:spacing w:val="-3"/>
        </w:rPr>
        <w:t>发行境内外债券类融资工具一般性授权、公司 </w:t>
      </w:r>
      <w:r>
        <w:rPr>
          <w:rFonts w:ascii="Times New Roman" w:hAnsi="Times New Roman" w:cs="Times New Roman" w:eastAsia="Times New Roman" w:hint="default"/>
        </w:rPr>
        <w:t>2019 </w:t>
      </w:r>
      <w:r>
        <w:rPr>
          <w:spacing w:val="-4"/>
        </w:rPr>
        <w:t>年度经营计划、青岛港国际发展（香港）有限公</w:t>
      </w:r>
      <w:r>
        <w:rPr>
          <w:spacing w:val="-84"/>
        </w:rPr>
        <w:t> </w:t>
      </w:r>
      <w:r>
        <w:rPr>
          <w:spacing w:val="-84"/>
        </w:rPr>
      </w:r>
      <w:r>
        <w:rPr/>
        <w:t>司收购中远海运港口（阿布扎比）有限公司部分股权等相关议案，并向董事会提出建议。</w:t>
      </w:r>
    </w:p>
    <w:p>
      <w:pPr>
        <w:pStyle w:val="BodyText"/>
        <w:spacing w:line="297" w:lineRule="auto" w:before="34"/>
        <w:ind w:left="558" w:right="0" w:firstLine="2"/>
        <w:jc w:val="left"/>
      </w:pPr>
      <w:r>
        <w:rPr>
          <w:rFonts w:ascii="Times New Roman" w:hAnsi="Times New Roman" w:cs="Times New Roman" w:eastAsia="Times New Roman" w:hint="default"/>
          <w:b/>
          <w:bCs/>
        </w:rPr>
        <w:t>2.</w:t>
      </w:r>
      <w:r>
        <w:rPr>
          <w:rFonts w:ascii="宋体" w:hAnsi="宋体" w:cs="宋体" w:eastAsia="宋体" w:hint="default"/>
          <w:b/>
          <w:bCs/>
        </w:rPr>
        <w:t>审计委员会</w:t>
      </w:r>
      <w:r>
        <w:rPr>
          <w:rFonts w:ascii="宋体" w:hAnsi="宋体" w:cs="宋体" w:eastAsia="宋体" w:hint="default"/>
          <w:b/>
          <w:bCs/>
          <w:w w:val="100"/>
        </w:rPr>
        <w:t> </w:t>
      </w:r>
      <w:r>
        <w:rPr>
          <w:spacing w:val="-3"/>
        </w:rPr>
        <w:t>审计委员会的主要职责包括审核本公司的财务信息及其披露情况、监督本公司的财务营运状况、</w:t>
      </w:r>
    </w:p>
    <w:p>
      <w:pPr>
        <w:pStyle w:val="BodyText"/>
        <w:spacing w:line="314" w:lineRule="auto" w:before="34"/>
        <w:ind w:left="138" w:right="0"/>
        <w:jc w:val="left"/>
        <w:rPr>
          <w:rFonts w:ascii="宋体" w:hAnsi="宋体" w:cs="宋体" w:eastAsia="宋体" w:hint="default"/>
        </w:rPr>
      </w:pPr>
      <w:r>
        <w:rPr>
          <w:spacing w:val="-2"/>
        </w:rPr>
        <w:t>风险管理及内部监控程序、对外部审计机构的聘任事宜发表意见并监督其与本公司的关系、保持本</w:t>
      </w:r>
      <w:r>
        <w:rPr>
          <w:spacing w:val="-25"/>
        </w:rPr>
        <w:t> </w:t>
      </w:r>
      <w:r>
        <w:rPr>
          <w:spacing w:val="-25"/>
        </w:rPr>
      </w:r>
      <w:r>
        <w:rPr/>
        <w:t>公司与管理层和外部审计机构的密切沟通。</w:t>
      </w:r>
      <w:r>
        <w:rPr>
          <w:rFonts w:ascii="宋体" w:hAnsi="宋体" w:cs="宋体" w:eastAsia="宋体" w:hint="default"/>
        </w:rPr>
        <w:t> </w:t>
      </w:r>
    </w:p>
    <w:p>
      <w:pPr>
        <w:pStyle w:val="BodyText"/>
        <w:spacing w:line="314" w:lineRule="auto" w:before="20"/>
        <w:ind w:left="138" w:right="206" w:firstLine="420"/>
        <w:jc w:val="left"/>
      </w:pPr>
      <w:r>
        <w:rPr>
          <w:spacing w:val="-2"/>
        </w:rPr>
        <w:t>于报告期内，审计委员会共召开了七次会议，审议通过了公司用募集资金置换预先投入募投项</w:t>
      </w:r>
      <w:r>
        <w:rPr>
          <w:w w:val="100"/>
        </w:rPr>
        <w:t> </w:t>
      </w:r>
      <w:r>
        <w:rPr>
          <w:spacing w:val="-4"/>
        </w:rPr>
        <w:t>目的自筹资金、使用闲置募集资金进行现金管理、公司 </w:t>
      </w:r>
      <w:r>
        <w:rPr>
          <w:rFonts w:ascii="宋体" w:hAnsi="宋体" w:cs="宋体" w:eastAsia="宋体" w:hint="default"/>
        </w:rPr>
        <w:t>2018</w:t>
      </w:r>
      <w:r>
        <w:rPr>
          <w:rFonts w:ascii="宋体" w:hAnsi="宋体" w:cs="宋体" w:eastAsia="宋体" w:hint="default"/>
          <w:spacing w:val="-27"/>
        </w:rPr>
        <w:t> </w:t>
      </w:r>
      <w:r>
        <w:rPr>
          <w:spacing w:val="-3"/>
        </w:rPr>
        <w:t>年年度报告、公司控股股东及其他关联</w:t>
      </w:r>
    </w:p>
    <w:p>
      <w:pPr>
        <w:pStyle w:val="BodyText"/>
        <w:spacing w:line="240" w:lineRule="auto" w:before="20"/>
        <w:ind w:left="138" w:right="0"/>
        <w:jc w:val="both"/>
      </w:pPr>
      <w:r>
        <w:rPr/>
        <w:t>方占用资金情况、公司</w:t>
      </w:r>
      <w:r>
        <w:rPr>
          <w:spacing w:val="-57"/>
        </w:rPr>
        <w:t> </w:t>
      </w:r>
      <w:r>
        <w:rPr>
          <w:rFonts w:ascii="宋体" w:hAnsi="宋体" w:cs="宋体" w:eastAsia="宋体" w:hint="default"/>
        </w:rPr>
        <w:t>2019</w:t>
      </w:r>
      <w:r>
        <w:rPr>
          <w:rFonts w:ascii="宋体" w:hAnsi="宋体" w:cs="宋体" w:eastAsia="宋体" w:hint="default"/>
          <w:spacing w:val="-56"/>
        </w:rPr>
        <w:t> </w:t>
      </w:r>
      <w:r>
        <w:rPr/>
        <w:t>年度担保计划、聘任公司</w:t>
      </w:r>
      <w:r>
        <w:rPr>
          <w:spacing w:val="-57"/>
        </w:rPr>
        <w:t> </w:t>
      </w:r>
      <w:r>
        <w:rPr>
          <w:rFonts w:ascii="宋体" w:hAnsi="宋体" w:cs="宋体" w:eastAsia="宋体" w:hint="default"/>
        </w:rPr>
        <w:t>2019</w:t>
      </w:r>
      <w:r>
        <w:rPr>
          <w:rFonts w:ascii="宋体" w:hAnsi="宋体" w:cs="宋体" w:eastAsia="宋体" w:hint="default"/>
          <w:spacing w:val="-56"/>
        </w:rPr>
        <w:t> </w:t>
      </w:r>
      <w:r>
        <w:rPr/>
        <w:t>年度会计师事务所、关联交易框架协议</w:t>
      </w:r>
    </w:p>
    <w:p>
      <w:pPr>
        <w:pStyle w:val="BodyText"/>
        <w:spacing w:line="240" w:lineRule="auto" w:before="85"/>
        <w:ind w:left="138" w:right="0"/>
        <w:jc w:val="both"/>
      </w:pPr>
      <w:r>
        <w:rPr>
          <w:spacing w:val="-4"/>
        </w:rPr>
        <w:t>及年度上限、公司</w:t>
      </w:r>
      <w:r>
        <w:rPr>
          <w:spacing w:val="-47"/>
        </w:rPr>
        <w:t> </w:t>
      </w:r>
      <w:r>
        <w:rPr>
          <w:rFonts w:ascii="宋体" w:hAnsi="宋体" w:cs="宋体" w:eastAsia="宋体" w:hint="default"/>
        </w:rPr>
        <w:t>2019</w:t>
      </w:r>
      <w:r>
        <w:rPr>
          <w:rFonts w:ascii="宋体" w:hAnsi="宋体" w:cs="宋体" w:eastAsia="宋体" w:hint="default"/>
          <w:spacing w:val="-49"/>
        </w:rPr>
        <w:t> </w:t>
      </w:r>
      <w:r>
        <w:rPr>
          <w:spacing w:val="-4"/>
        </w:rPr>
        <w:t>年第一季度报告、公司</w:t>
      </w:r>
      <w:r>
        <w:rPr>
          <w:spacing w:val="-46"/>
        </w:rPr>
        <w:t> </w:t>
      </w:r>
      <w:r>
        <w:rPr>
          <w:rFonts w:ascii="宋体" w:hAnsi="宋体" w:cs="宋体" w:eastAsia="宋体" w:hint="default"/>
        </w:rPr>
        <w:t>2019</w:t>
      </w:r>
      <w:r>
        <w:rPr>
          <w:rFonts w:ascii="宋体" w:hAnsi="宋体" w:cs="宋体" w:eastAsia="宋体" w:hint="default"/>
          <w:spacing w:val="-49"/>
        </w:rPr>
        <w:t> </w:t>
      </w:r>
      <w:r>
        <w:rPr>
          <w:spacing w:val="-4"/>
        </w:rPr>
        <w:t>年半年度报告、公司</w:t>
      </w:r>
      <w:r>
        <w:rPr>
          <w:spacing w:val="-46"/>
        </w:rPr>
        <w:t> </w:t>
      </w:r>
      <w:r>
        <w:rPr>
          <w:rFonts w:ascii="宋体" w:hAnsi="宋体" w:cs="宋体" w:eastAsia="宋体" w:hint="default"/>
        </w:rPr>
        <w:t>2019</w:t>
      </w:r>
      <w:r>
        <w:rPr>
          <w:rFonts w:ascii="宋体" w:hAnsi="宋体" w:cs="宋体" w:eastAsia="宋体" w:hint="default"/>
          <w:spacing w:val="-49"/>
        </w:rPr>
        <w:t> </w:t>
      </w:r>
      <w:r>
        <w:rPr/>
        <w:t>年上半年募集资金存</w:t>
      </w:r>
    </w:p>
    <w:p>
      <w:pPr>
        <w:pStyle w:val="BodyText"/>
        <w:spacing w:line="240" w:lineRule="auto" w:before="85"/>
        <w:ind w:left="138" w:right="0"/>
        <w:jc w:val="both"/>
      </w:pPr>
      <w:r>
        <w:rPr>
          <w:spacing w:val="-3"/>
        </w:rPr>
        <w:t>放与实际使用情况专项报告、公司 </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spacing w:val="-4"/>
        </w:rPr>
        <w:t>年第三季度报告、青岛港国际发展（香港）有限公司收购中</w:t>
      </w:r>
    </w:p>
    <w:p>
      <w:pPr>
        <w:pStyle w:val="BodyText"/>
        <w:spacing w:line="297" w:lineRule="auto" w:before="69"/>
        <w:ind w:left="138" w:right="252"/>
        <w:jc w:val="left"/>
      </w:pPr>
      <w:r>
        <w:rPr/>
        <w:t>远海运港口（阿布扎比）有限公司部分股权、公司</w:t>
      </w:r>
      <w:r>
        <w:rPr>
          <w:spacing w:val="-5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年度担保计划、公司</w:t>
      </w:r>
      <w:r>
        <w:rPr>
          <w:spacing w:val="-5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年度委托理财投</w:t>
      </w:r>
      <w:r>
        <w:rPr>
          <w:w w:val="100"/>
        </w:rPr>
        <w:t> </w:t>
      </w:r>
      <w:r>
        <w:rPr/>
        <w:t>资计划等议案，并向董事会提出建议。</w:t>
      </w:r>
    </w:p>
    <w:p>
      <w:pPr>
        <w:pStyle w:val="BodyText"/>
        <w:spacing w:line="297" w:lineRule="auto" w:before="34"/>
        <w:ind w:left="138" w:right="207" w:firstLine="420"/>
        <w:jc w:val="left"/>
      </w:pPr>
      <w:r>
        <w:rPr>
          <w:spacing w:val="-9"/>
          <w:w w:val="100"/>
        </w:rPr>
        <w:t>同时，审计委员会与外聘审计师就</w:t>
      </w:r>
      <w:r>
        <w:rPr>
          <w:spacing w:val="-67"/>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3"/>
          <w:w w:val="100"/>
        </w:rPr>
        <w:t> </w:t>
      </w:r>
      <w:r>
        <w:rPr>
          <w:spacing w:val="-2"/>
          <w:w w:val="100"/>
        </w:rPr>
        <w:t>年度审计结果及</w:t>
      </w:r>
      <w:r>
        <w:rPr>
          <w:spacing w:val="-63"/>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3"/>
          <w:w w:val="100"/>
        </w:rPr>
        <w:t> </w:t>
      </w:r>
      <w:r>
        <w:rPr>
          <w:spacing w:val="-2"/>
          <w:w w:val="100"/>
        </w:rPr>
        <w:t>年度审计计划等事项进行了沟通，</w:t>
      </w:r>
      <w:r>
        <w:rPr>
          <w:w w:val="100"/>
        </w:rPr>
        <w:t> </w:t>
      </w:r>
      <w:r>
        <w:rPr/>
        <w:t>并听取了内部审计部门负责人所做的内部审计及内控评价情况报告。</w:t>
      </w:r>
    </w:p>
    <w:p>
      <w:pPr>
        <w:pStyle w:val="BodyText"/>
        <w:spacing w:line="297" w:lineRule="auto" w:before="34"/>
        <w:ind w:left="558" w:right="0" w:firstLine="2"/>
        <w:jc w:val="left"/>
      </w:pPr>
      <w:r>
        <w:rPr>
          <w:rFonts w:ascii="Times New Roman" w:hAnsi="Times New Roman" w:cs="Times New Roman" w:eastAsia="Times New Roman" w:hint="default"/>
          <w:b/>
          <w:bCs/>
        </w:rPr>
        <w:t>3.</w:t>
      </w:r>
      <w:r>
        <w:rPr>
          <w:rFonts w:ascii="宋体" w:hAnsi="宋体" w:cs="宋体" w:eastAsia="宋体" w:hint="default"/>
          <w:b/>
          <w:bCs/>
        </w:rPr>
        <w:t>提名委员会</w:t>
      </w:r>
      <w:r>
        <w:rPr>
          <w:rFonts w:ascii="宋体" w:hAnsi="宋体" w:cs="宋体" w:eastAsia="宋体" w:hint="default"/>
          <w:b/>
          <w:bCs/>
          <w:w w:val="100"/>
        </w:rPr>
        <w:t> </w:t>
      </w:r>
      <w:r>
        <w:rPr>
          <w:spacing w:val="-3"/>
        </w:rPr>
        <w:t>提名委员会的主要职责包括拟定董事会及高级管理人员甄选标准与程序，并向董事会提出建议；</w:t>
      </w:r>
    </w:p>
    <w:p>
      <w:pPr>
        <w:pStyle w:val="BodyText"/>
        <w:spacing w:line="314" w:lineRule="auto" w:before="34"/>
        <w:ind w:left="138" w:right="247"/>
        <w:jc w:val="both"/>
      </w:pPr>
      <w:r>
        <w:rPr>
          <w:spacing w:val="-2"/>
        </w:rPr>
        <w:t>审核董事会及其委员会的架构、人数、组成和成员多元化情况，并对任何配合本公司策略而对董事</w:t>
      </w:r>
      <w:r>
        <w:rPr>
          <w:spacing w:val="-25"/>
        </w:rPr>
        <w:t> </w:t>
      </w:r>
      <w:r>
        <w:rPr>
          <w:spacing w:val="-25"/>
        </w:rPr>
      </w:r>
      <w:r>
        <w:rPr>
          <w:spacing w:val="-2"/>
        </w:rPr>
        <w:t>会作出的调整提出适当建议；就董事、总裁、副总裁、财务总监及董事会秘书的人选向董事会提出</w:t>
      </w:r>
      <w:r>
        <w:rPr>
          <w:spacing w:val="-25"/>
        </w:rPr>
        <w:t> </w:t>
      </w:r>
      <w:r>
        <w:rPr>
          <w:spacing w:val="-25"/>
        </w:rPr>
      </w:r>
      <w:r>
        <w:rPr/>
        <w:t>建议。</w:t>
      </w:r>
    </w:p>
    <w:p>
      <w:pPr>
        <w:pStyle w:val="BodyText"/>
        <w:spacing w:line="314" w:lineRule="auto" w:before="20"/>
        <w:ind w:left="138" w:right="0" w:firstLine="420"/>
        <w:jc w:val="left"/>
      </w:pPr>
      <w:r>
        <w:rPr>
          <w:spacing w:val="-2"/>
        </w:rPr>
        <w:t>于报告期内，提名委员会召开了两次会议，审议通过了增补公司提名委员会委员、提名公司第</w:t>
      </w:r>
      <w:r>
        <w:rPr>
          <w:w w:val="100"/>
        </w:rPr>
        <w:t> </w:t>
      </w:r>
      <w:r>
        <w:rPr>
          <w:spacing w:val="-2"/>
        </w:rPr>
        <w:t>三届董事会非职工代表董事候选人、提名公司高级管理人员候选人等议案，并向董事会提出建议。</w:t>
      </w:r>
    </w:p>
    <w:p>
      <w:pPr>
        <w:pStyle w:val="BodyText"/>
        <w:spacing w:line="297" w:lineRule="auto" w:before="20"/>
        <w:ind w:left="558" w:right="0" w:firstLine="2"/>
        <w:jc w:val="left"/>
      </w:pPr>
      <w:r>
        <w:rPr>
          <w:rFonts w:ascii="Times New Roman" w:hAnsi="Times New Roman" w:cs="Times New Roman" w:eastAsia="Times New Roman" w:hint="default"/>
          <w:b/>
          <w:bCs/>
        </w:rPr>
        <w:t>4.</w:t>
      </w:r>
      <w:r>
        <w:rPr>
          <w:rFonts w:ascii="宋体" w:hAnsi="宋体" w:cs="宋体" w:eastAsia="宋体" w:hint="default"/>
          <w:b/>
          <w:bCs/>
        </w:rPr>
        <w:t>薪酬委员会</w:t>
      </w:r>
      <w:r>
        <w:rPr>
          <w:rFonts w:ascii="宋体" w:hAnsi="宋体" w:cs="宋体" w:eastAsia="宋体" w:hint="default"/>
          <w:b/>
          <w:bCs/>
          <w:w w:val="100"/>
        </w:rPr>
        <w:t> </w:t>
      </w:r>
      <w:r>
        <w:rPr>
          <w:spacing w:val="-2"/>
        </w:rPr>
        <w:t>薪酬委员会的主要职责包括审议本公司全体董事及高级管理人员的薪酬架构和政策、为制定该</w:t>
      </w:r>
    </w:p>
    <w:p>
      <w:pPr>
        <w:pStyle w:val="BodyText"/>
        <w:spacing w:line="314" w:lineRule="auto" w:before="34"/>
        <w:ind w:left="138" w:right="0"/>
        <w:jc w:val="left"/>
      </w:pPr>
      <w:r>
        <w:rPr>
          <w:spacing w:val="-2"/>
        </w:rPr>
        <w:t>等薪酬政策而设立正式且具透明度的程序、董事及高级管理人员的薪酬方案等事项，并向董事会提</w:t>
      </w:r>
      <w:r>
        <w:rPr>
          <w:spacing w:val="-25"/>
        </w:rPr>
        <w:t> </w:t>
      </w:r>
      <w:r>
        <w:rPr>
          <w:spacing w:val="-25"/>
        </w:rPr>
      </w:r>
      <w:r>
        <w:rPr/>
        <w:t>出建议。</w:t>
      </w:r>
    </w:p>
    <w:p>
      <w:pPr>
        <w:pStyle w:val="BodyText"/>
        <w:spacing w:line="240" w:lineRule="auto" w:before="20"/>
        <w:ind w:left="558" w:right="0"/>
        <w:jc w:val="left"/>
      </w:pPr>
      <w:r>
        <w:rPr>
          <w:spacing w:val="-4"/>
        </w:rPr>
        <w:t>于报告期内，薪酬委员会召开了一次会议，审议通过了本公司董事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年度薪酬和公司高级管</w:t>
      </w:r>
    </w:p>
    <w:p>
      <w:pPr>
        <w:pStyle w:val="BodyText"/>
        <w:spacing w:line="287" w:lineRule="exact" w:before="69"/>
        <w:ind w:left="138" w:right="0"/>
        <w:jc w:val="both"/>
        <w:rPr>
          <w:rFonts w:ascii="宋体" w:hAnsi="宋体" w:cs="宋体" w:eastAsia="宋体" w:hint="default"/>
        </w:rPr>
      </w:pPr>
      <w:r>
        <w:rPr/>
        <w:t>理人员</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年度薪酬两项议案。</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spacing w:after="0" w:line="271" w:lineRule="exact"/>
        <w:jc w:val="both"/>
        <w:rPr>
          <w:rFonts w:ascii="宋体" w:hAnsi="宋体" w:cs="宋体" w:eastAsia="宋体" w:hint="default"/>
        </w:rPr>
        <w:sectPr>
          <w:pgSz w:w="11910" w:h="16840"/>
          <w:pgMar w:header="877" w:footer="974" w:top="1100" w:bottom="1160" w:left="1280" w:right="1200"/>
        </w:sectPr>
      </w:pPr>
    </w:p>
    <w:p>
      <w:pPr>
        <w:spacing w:line="240" w:lineRule="auto" w:before="0"/>
        <w:rPr>
          <w:rFonts w:ascii="宋体" w:hAnsi="宋体" w:cs="宋体" w:eastAsia="宋体" w:hint="default"/>
          <w:sz w:val="20"/>
          <w:szCs w:val="20"/>
        </w:rPr>
      </w:pPr>
    </w:p>
    <w:p>
      <w:pPr>
        <w:pStyle w:val="Heading5"/>
        <w:spacing w:line="240" w:lineRule="auto" w:before="175"/>
        <w:ind w:left="138" w:right="0"/>
        <w:jc w:val="left"/>
        <w:rPr>
          <w:b w:val="0"/>
          <w:bCs w:val="0"/>
        </w:rPr>
      </w:pPr>
      <w:r>
        <w:rPr/>
        <w:t>五、</w:t>
      </w:r>
      <w:r>
        <w:rPr>
          <w:spacing w:val="-91"/>
        </w:rPr>
        <w:t> </w:t>
      </w:r>
      <w:r>
        <w:rPr>
          <w:rFonts w:ascii="宋体" w:hAnsi="宋体" w:cs="宋体" w:eastAsia="宋体" w:hint="default"/>
          <w:spacing w:val="-91"/>
        </w:rPr>
      </w:r>
      <w:r>
        <w:rPr>
          <w:spacing w:val="-1"/>
        </w:rPr>
        <w:t>监事会发现公司存在风险的说明</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spacing w:line="240" w:lineRule="auto"/>
        <w:ind w:left="563" w:right="0" w:hanging="425"/>
        <w:jc w:val="left"/>
        <w:rPr>
          <w:b w:val="0"/>
          <w:bCs w:val="0"/>
        </w:rPr>
      </w:pPr>
      <w:r>
        <w:rPr/>
        <w:t>六、</w:t>
      </w:r>
      <w:r>
        <w:rPr>
          <w:spacing w:val="-100"/>
        </w:rPr>
        <w:t> </w:t>
      </w:r>
      <w:r>
        <w:rPr>
          <w:rFonts w:ascii="宋体" w:hAnsi="宋体" w:cs="宋体" w:eastAsia="宋体" w:hint="default"/>
          <w:spacing w:val="-100"/>
        </w:rPr>
      </w:r>
      <w:r>
        <w:rPr>
          <w:spacing w:val="-1"/>
        </w:rPr>
        <w:t>公司就其与控股股东在业务、人员、资产、机构、财务等方面存在的不能保证独立性、不能保</w:t>
      </w:r>
      <w:r>
        <w:rPr>
          <w:spacing w:val="-72"/>
        </w:rPr>
        <w:t> </w:t>
      </w:r>
      <w:r>
        <w:rPr>
          <w:spacing w:val="-72"/>
        </w:rPr>
      </w:r>
      <w:r>
        <w:rPr/>
        <w:t>持自主经营能力的情况说明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6" w:lineRule="exact"/>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2" w:lineRule="auto" w:before="75"/>
        <w:ind w:left="138" w:right="108" w:firstLine="4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日，青岛市国资委、青岛港集团与威海市人民政府国有资产监督管理委员会、威</w:t>
      </w:r>
      <w:r>
        <w:rPr>
          <w:w w:val="100"/>
        </w:rPr>
        <w:t> </w:t>
      </w:r>
      <w:r>
        <w:rPr/>
        <w:t>海港集团有限公司签署了《国有产权无偿划转协议》，威海市人民政府国有资产监督管理委员会将</w:t>
      </w:r>
      <w:r>
        <w:rPr>
          <w:w w:val="100"/>
        </w:rPr>
        <w:t> </w:t>
      </w:r>
      <w:r>
        <w:rPr/>
        <w:t>其持有的威海港集团有限公司</w:t>
      </w:r>
      <w:r>
        <w:rPr>
          <w:spacing w:val="-45"/>
        </w:rPr>
        <w:t> </w:t>
      </w:r>
      <w:r>
        <w:rPr>
          <w:rFonts w:ascii="Times New Roman" w:hAnsi="Times New Roman" w:cs="Times New Roman" w:eastAsia="Times New Roman" w:hint="default"/>
        </w:rPr>
        <w:t>100%</w:t>
      </w:r>
      <w:r>
        <w:rPr/>
        <w:t>股权（不含非经营性资产及对应负债）无偿划转给青岛港集团。</w:t>
      </w:r>
      <w:r>
        <w:rPr>
          <w:spacing w:val="-102"/>
        </w:rPr>
        <w:t> </w:t>
      </w:r>
      <w:r>
        <w:rPr>
          <w:spacing w:val="-102"/>
        </w:rPr>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日，上述股权划转的工商变更登记手续已办理完成。</w:t>
      </w:r>
    </w:p>
    <w:p>
      <w:pPr>
        <w:pStyle w:val="BodyText"/>
        <w:spacing w:line="314" w:lineRule="auto" w:before="9"/>
        <w:ind w:left="138" w:right="211" w:firstLine="420"/>
        <w:jc w:val="both"/>
        <w:rPr>
          <w:rFonts w:ascii="Times New Roman" w:hAnsi="Times New Roman" w:cs="Times New Roman" w:eastAsia="Times New Roman" w:hint="default"/>
        </w:rPr>
      </w:pPr>
      <w:r>
        <w:rPr>
          <w:spacing w:val="-2"/>
        </w:rPr>
        <w:t>威海港集团有限公司的主营业务为集装箱、金属矿石、煤炭等货物的装卸和配套服务、物流及</w:t>
      </w:r>
      <w:r>
        <w:rPr>
          <w:w w:val="100"/>
        </w:rPr>
        <w:t> </w:t>
      </w:r>
      <w:r>
        <w:rPr>
          <w:spacing w:val="-2"/>
        </w:rPr>
        <w:t>港口增值服务、港口配套服务、融资租赁服务、客滚班轮运输业务等，与青岛港在主营业务上存在</w:t>
      </w:r>
      <w:r>
        <w:rPr>
          <w:spacing w:val="-26"/>
        </w:rPr>
        <w:t> </w:t>
      </w:r>
      <w:r>
        <w:rPr>
          <w:spacing w:val="-26"/>
        </w:rPr>
      </w:r>
      <w:r>
        <w:rPr>
          <w:spacing w:val="-2"/>
        </w:rPr>
        <w:t>一定程度的同业竞争。考虑到威海港集团有限公司规模相对青岛港较小且威海港集团有限公司货物</w:t>
      </w:r>
      <w:r>
        <w:rPr>
          <w:spacing w:val="-28"/>
        </w:rPr>
        <w:t> </w:t>
      </w:r>
      <w:r>
        <w:rPr>
          <w:spacing w:val="-28"/>
        </w:rPr>
      </w:r>
      <w:r>
        <w:rPr>
          <w:spacing w:val="-7"/>
        </w:rPr>
        <w:t>处理能力较为有限，二者在主营业务上的竞争程度有限。此外，考虑到下文所述的青岛港集团于</w:t>
      </w:r>
      <w:r>
        <w:rPr>
          <w:spacing w:val="9"/>
        </w:rPr>
        <w:t> </w:t>
      </w:r>
      <w:r>
        <w:rPr>
          <w:rFonts w:ascii="Times New Roman" w:hAnsi="Times New Roman" w:cs="Times New Roman" w:eastAsia="Times New Roman" w:hint="default"/>
        </w:rPr>
        <w:t>2019</w:t>
      </w:r>
    </w:p>
    <w:p>
      <w:pPr>
        <w:pStyle w:val="BodyText"/>
        <w:spacing w:line="297" w:lineRule="auto"/>
        <w:ind w:left="138" w:right="246"/>
        <w:jc w:val="left"/>
      </w:pP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日出具的《关于解决和避免同业竞争的承诺函》，预期本次无偿划转不会对青岛港的业务</w:t>
      </w:r>
      <w:r>
        <w:rPr>
          <w:w w:val="100"/>
        </w:rPr>
        <w:t> </w:t>
      </w:r>
      <w:r>
        <w:rPr/>
        <w:t>产生重大影响。</w:t>
      </w:r>
    </w:p>
    <w:p>
      <w:pPr>
        <w:pStyle w:val="BodyText"/>
        <w:spacing w:line="314" w:lineRule="auto" w:before="34"/>
        <w:ind w:left="138" w:right="248" w:firstLine="420"/>
        <w:jc w:val="both"/>
      </w:pPr>
      <w:r>
        <w:rPr>
          <w:spacing w:val="-2"/>
        </w:rPr>
        <w:t>为保护青岛港的合法利益，维护广大投资者特别是中小投资者的合法利益，青岛港集团作出如</w:t>
      </w:r>
      <w:r>
        <w:rPr>
          <w:w w:val="100"/>
        </w:rPr>
        <w:t> </w:t>
      </w:r>
      <w:r>
        <w:rPr/>
        <w:t>下关于解决和避免同业竞争的承诺：</w:t>
      </w:r>
    </w:p>
    <w:p>
      <w:pPr>
        <w:pStyle w:val="BodyText"/>
        <w:spacing w:line="302" w:lineRule="auto" w:before="20"/>
        <w:ind w:left="138" w:right="209" w:firstLine="420"/>
        <w:jc w:val="both"/>
      </w:pPr>
      <w:r>
        <w:rPr>
          <w:spacing w:val="-3"/>
        </w:rPr>
        <w:t>“</w:t>
      </w:r>
      <w:r>
        <w:rPr>
          <w:rFonts w:ascii="Times New Roman" w:hAnsi="Times New Roman" w:cs="Times New Roman" w:eastAsia="Times New Roman" w:hint="default"/>
          <w:spacing w:val="-3"/>
        </w:rPr>
        <w:t>1</w:t>
      </w:r>
      <w:r>
        <w:rPr>
          <w:spacing w:val="-3"/>
        </w:rPr>
        <w:t>、在符合相关法律法规及规范性文件要求的情况下，按照有利于维护投资者利益的原则，积</w:t>
      </w:r>
      <w:r>
        <w:rPr>
          <w:w w:val="100"/>
        </w:rPr>
        <w:t> </w:t>
      </w:r>
      <w:r>
        <w:rPr>
          <w:spacing w:val="-2"/>
        </w:rPr>
        <w:t>极规范和发展上述竞争业务及资产，为该等业务及资产注入青岛港创造条件，并自威海港股权工商</w:t>
      </w:r>
      <w:r>
        <w:rPr>
          <w:spacing w:val="-25"/>
        </w:rPr>
        <w:t> </w:t>
      </w:r>
      <w:r>
        <w:rPr>
          <w:spacing w:val="-25"/>
        </w:rPr>
      </w:r>
      <w:r>
        <w:rPr/>
        <w:t>变更登记及国有产权变更登记完成后</w:t>
      </w:r>
      <w:r>
        <w:rPr>
          <w:spacing w:val="-39"/>
        </w:rPr>
        <w:t> </w:t>
      </w:r>
      <w:r>
        <w:rPr>
          <w:rFonts w:ascii="Times New Roman" w:hAnsi="Times New Roman" w:cs="Times New Roman" w:eastAsia="Times New Roman" w:hint="default"/>
        </w:rPr>
        <w:t>36</w:t>
      </w:r>
      <w:r>
        <w:rPr>
          <w:rFonts w:ascii="Times New Roman" w:hAnsi="Times New Roman" w:cs="Times New Roman" w:eastAsia="Times New Roman" w:hint="default"/>
          <w:spacing w:val="10"/>
        </w:rPr>
        <w:t> </w:t>
      </w:r>
      <w:r>
        <w:rPr>
          <w:spacing w:val="-4"/>
        </w:rPr>
        <w:t>个月内，按照适用的法律法规及本集团和青岛港公司章程等</w:t>
      </w:r>
      <w:r>
        <w:rPr>
          <w:spacing w:val="-100"/>
        </w:rPr>
        <w:t> </w:t>
      </w:r>
      <w:r>
        <w:rPr>
          <w:spacing w:val="-100"/>
        </w:rPr>
      </w:r>
      <w:r>
        <w:rPr/>
        <w:t>有关法律文件，履行相应的内部决策程序后注入青岛港。</w:t>
      </w:r>
    </w:p>
    <w:p>
      <w:pPr>
        <w:pStyle w:val="BodyText"/>
        <w:spacing w:line="297" w:lineRule="auto" w:before="30"/>
        <w:ind w:left="138" w:right="209" w:firstLine="420"/>
        <w:jc w:val="both"/>
      </w:pPr>
      <w:r>
        <w:rPr>
          <w:rFonts w:ascii="Times New Roman" w:hAnsi="Times New Roman" w:cs="Times New Roman" w:eastAsia="Times New Roman" w:hint="default"/>
          <w:spacing w:val="-3"/>
        </w:rPr>
        <w:t>2</w:t>
      </w:r>
      <w:r>
        <w:rPr>
          <w:spacing w:val="-3"/>
        </w:rPr>
        <w:t>、本集团作为青岛港控股股东期间，不会利用自身的控制地位限制青岛港正常的商业机会，不</w:t>
      </w:r>
      <w:r>
        <w:rPr>
          <w:w w:val="100"/>
        </w:rPr>
        <w:t> </w:t>
      </w:r>
      <w:r>
        <w:rPr/>
        <w:t>会从事任何可能损害上市公司利益的活动。</w:t>
      </w:r>
    </w:p>
    <w:p>
      <w:pPr>
        <w:pStyle w:val="BodyText"/>
        <w:spacing w:line="297" w:lineRule="auto" w:before="34"/>
        <w:ind w:left="138" w:right="209"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、本集团作为青岛港控股股东期间，将继续履行本集团此前做出的关于避免同业竞争的相关承</w:t>
      </w:r>
      <w:r>
        <w:rPr>
          <w:w w:val="100"/>
        </w:rPr>
        <w:t> </w:t>
      </w:r>
      <w:r>
        <w:rPr/>
        <w:t>诺。</w:t>
      </w:r>
      <w:r>
        <w:rPr>
          <w:rFonts w:ascii="Times New Roman" w:hAnsi="Times New Roman" w:cs="Times New Roman" w:eastAsia="Times New Roman" w:hint="default"/>
        </w:rPr>
        <w:t>”</w:t>
      </w:r>
    </w:p>
    <w:p>
      <w:pPr>
        <w:pStyle w:val="BodyText"/>
        <w:spacing w:line="314" w:lineRule="auto" w:before="13"/>
        <w:ind w:left="138" w:right="248" w:firstLine="420"/>
        <w:jc w:val="both"/>
        <w:rPr>
          <w:rFonts w:ascii="宋体" w:hAnsi="宋体" w:cs="宋体" w:eastAsia="宋体" w:hint="default"/>
        </w:rPr>
      </w:pPr>
      <w:r>
        <w:rPr>
          <w:spacing w:val="-2"/>
        </w:rPr>
        <w:t>本公司将密切关注上述事项的进展，并将按照相关法律法规及上海证券交易所的相关规定，及</w:t>
      </w:r>
      <w:r>
        <w:rPr>
          <w:w w:val="100"/>
        </w:rPr>
        <w:t> </w:t>
      </w:r>
      <w:r>
        <w:rPr/>
        <w:t>时履行信息披露义务。</w:t>
      </w:r>
      <w:r>
        <w:rPr>
          <w:rFonts w:ascii="宋体" w:hAnsi="宋体" w:cs="宋体" w:eastAsia="宋体" w:hint="default"/>
        </w:rPr>
        <w:t> </w:t>
      </w:r>
    </w:p>
    <w:p>
      <w:pPr>
        <w:pStyle w:val="BodyText"/>
        <w:spacing w:line="219" w:lineRule="exact"/>
        <w:ind w:left="138" w:right="0"/>
        <w:jc w:val="left"/>
        <w:rPr>
          <w:rFonts w:ascii="宋体" w:hAnsi="宋体" w:cs="宋体" w:eastAsia="宋体" w:hint="default"/>
        </w:rPr>
      </w:pPr>
      <w:r>
        <w:rPr>
          <w:rFonts w:ascii="宋体"/>
          <w:w w:val="100"/>
        </w:rPr>
        <w:t> </w:t>
      </w:r>
    </w:p>
    <w:p>
      <w:pPr>
        <w:pStyle w:val="Heading5"/>
        <w:spacing w:line="240" w:lineRule="auto"/>
        <w:ind w:left="138" w:right="0"/>
        <w:jc w:val="left"/>
        <w:rPr>
          <w:b w:val="0"/>
          <w:bCs w:val="0"/>
        </w:rPr>
      </w:pPr>
      <w:r>
        <w:rPr/>
        <w:t>七、</w:t>
      </w:r>
      <w:r>
        <w:rPr>
          <w:spacing w:val="-73"/>
        </w:rPr>
        <w:t> </w:t>
      </w:r>
      <w:r>
        <w:rPr>
          <w:rFonts w:ascii="宋体" w:hAnsi="宋体" w:cs="宋体" w:eastAsia="宋体" w:hint="default"/>
          <w:spacing w:val="-73"/>
        </w:rPr>
      </w:r>
      <w:r>
        <w:rPr>
          <w:spacing w:val="-1"/>
        </w:rPr>
        <w:t>报告期内对高级管理人员的考评机制，以及激励机制的建立、实施情况</w:t>
      </w:r>
      <w:r>
        <w:rPr>
          <w:b w:val="0"/>
          <w:bCs w:val="0"/>
          <w:spacing w:val="-1"/>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公司推行月度与年度考评相结合，经营规模和风险与关键绩效指标综合评价相结合的年薪制管</w:t>
      </w:r>
    </w:p>
    <w:p>
      <w:pPr>
        <w:pStyle w:val="BodyText"/>
        <w:spacing w:line="314" w:lineRule="auto" w:before="28"/>
        <w:ind w:left="138" w:right="0"/>
        <w:jc w:val="left"/>
      </w:pPr>
      <w:r>
        <w:rPr>
          <w:spacing w:val="-2"/>
        </w:rPr>
        <w:t>理办法。高级管理人员和下属企业经营者年薪标准按照单位的经营规模、资产、收入、利润、管理</w:t>
      </w:r>
      <w:r>
        <w:rPr>
          <w:spacing w:val="-25"/>
        </w:rPr>
        <w:t> </w:t>
      </w:r>
      <w:r>
        <w:rPr>
          <w:spacing w:val="-25"/>
        </w:rPr>
      </w:r>
      <w:r>
        <w:rPr>
          <w:spacing w:val="-3"/>
        </w:rPr>
        <w:t>风险、职工人数等指标确定；年薪水平与经营管理业绩挂钩。同时，公司执行经营者年薪</w:t>
      </w:r>
      <w:r>
        <w:rPr>
          <w:rFonts w:ascii="宋体" w:hAnsi="宋体" w:cs="宋体" w:eastAsia="宋体" w:hint="default"/>
          <w:spacing w:val="-3"/>
        </w:rPr>
        <w:t>=</w:t>
      </w:r>
      <w:r>
        <w:rPr>
          <w:spacing w:val="-3"/>
        </w:rPr>
        <w:t>基本工资</w:t>
      </w:r>
    </w:p>
    <w:p>
      <w:pPr>
        <w:pStyle w:val="BodyText"/>
        <w:spacing w:line="314" w:lineRule="auto" w:before="20"/>
        <w:ind w:left="138" w:right="0"/>
        <w:jc w:val="left"/>
        <w:rPr>
          <w:rFonts w:ascii="宋体" w:hAnsi="宋体" w:cs="宋体" w:eastAsia="宋体" w:hint="default"/>
        </w:rPr>
      </w:pPr>
      <w:r>
        <w:rPr>
          <w:rFonts w:ascii="宋体" w:hAnsi="宋体" w:cs="宋体" w:eastAsia="宋体" w:hint="default"/>
          <w:spacing w:val="-3"/>
        </w:rPr>
        <w:t>+</w:t>
      </w:r>
      <w:r>
        <w:rPr>
          <w:spacing w:val="-3"/>
        </w:rPr>
        <w:t>绩效年薪的管理模式，其中：基本工资按照任职时间等因素设定标准，并采取月度绩效评价的办法</w:t>
      </w:r>
      <w:r>
        <w:rPr>
          <w:spacing w:val="-47"/>
        </w:rPr>
        <w:t> </w:t>
      </w:r>
      <w:r>
        <w:rPr>
          <w:spacing w:val="-47"/>
        </w:rPr>
      </w:r>
      <w:r>
        <w:rPr/>
        <w:t>考核兑现；绩效年薪按照企业安全生产、收入、利润、吞吐量、人工成本利润率等指标综合评价。</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spacing w:after="0" w:line="218" w:lineRule="exact"/>
        <w:jc w:val="left"/>
        <w:rPr>
          <w:rFonts w:ascii="宋体" w:hAnsi="宋体" w:cs="宋体" w:eastAsia="宋体" w:hint="default"/>
        </w:rPr>
        <w:sectPr>
          <w:pgSz w:w="11910" w:h="16840"/>
          <w:pgMar w:header="877" w:footer="974" w:top="1100" w:bottom="1160" w:left="1280" w:right="1200"/>
        </w:sectPr>
      </w:pPr>
    </w:p>
    <w:p>
      <w:pPr>
        <w:spacing w:line="240" w:lineRule="auto" w:before="0"/>
        <w:rPr>
          <w:rFonts w:ascii="宋体" w:hAnsi="宋体" w:cs="宋体" w:eastAsia="宋体" w:hint="default"/>
          <w:sz w:val="20"/>
          <w:szCs w:val="20"/>
        </w:rPr>
      </w:pPr>
    </w:p>
    <w:p>
      <w:pPr>
        <w:pStyle w:val="Heading5"/>
        <w:spacing w:line="240" w:lineRule="auto" w:before="175"/>
        <w:ind w:left="138" w:right="192"/>
        <w:jc w:val="left"/>
        <w:rPr>
          <w:b w:val="0"/>
          <w:bCs w:val="0"/>
        </w:rPr>
      </w:pPr>
      <w:r>
        <w:rPr/>
        <w:t>八、</w:t>
      </w:r>
      <w:r>
        <w:rPr>
          <w:spacing w:val="-91"/>
        </w:rPr>
        <w:t> </w:t>
      </w:r>
      <w:r>
        <w:rPr>
          <w:rFonts w:ascii="宋体" w:hAnsi="宋体" w:cs="宋体" w:eastAsia="宋体" w:hint="default"/>
          <w:spacing w:val="-91"/>
        </w:rPr>
      </w:r>
      <w:r>
        <w:rPr>
          <w:spacing w:val="-1"/>
        </w:rPr>
        <w:t>是否披露内部控制自我评价报告</w:t>
      </w:r>
      <w:r>
        <w:rPr>
          <w:b w:val="0"/>
          <w:bCs w:val="0"/>
          <w:spacing w:val="-1"/>
        </w:rPr>
      </w:r>
    </w:p>
    <w:p>
      <w:pPr>
        <w:pStyle w:val="BodyText"/>
        <w:spacing w:line="240" w:lineRule="auto" w:before="56"/>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558" w:right="0"/>
        <w:jc w:val="left"/>
      </w:pPr>
      <w:r>
        <w:rPr>
          <w:spacing w:val="-4"/>
        </w:rPr>
        <w:t>公司第三届董事会第七次会议审议通过了《青岛港国际股份有限公司 </w:t>
      </w:r>
      <w:r>
        <w:rPr>
          <w:rFonts w:ascii="宋体" w:hAnsi="宋体" w:cs="宋体" w:eastAsia="宋体" w:hint="default"/>
        </w:rPr>
        <w:t>2019</w:t>
      </w:r>
      <w:r>
        <w:rPr>
          <w:rFonts w:ascii="宋体" w:hAnsi="宋体" w:cs="宋体" w:eastAsia="宋体" w:hint="default"/>
          <w:spacing w:val="-56"/>
        </w:rPr>
        <w:t> </w:t>
      </w:r>
      <w:r>
        <w:rPr/>
        <w:t>年度内部控制评价报</w:t>
      </w:r>
    </w:p>
    <w:p>
      <w:pPr>
        <w:pStyle w:val="BodyText"/>
        <w:spacing w:line="240" w:lineRule="auto" w:before="85"/>
        <w:ind w:left="138" w:right="192"/>
        <w:jc w:val="left"/>
        <w:rPr>
          <w:rFonts w:ascii="宋体" w:hAnsi="宋体" w:cs="宋体" w:eastAsia="宋体" w:hint="default"/>
        </w:rPr>
      </w:pPr>
      <w:r>
        <w:rPr/>
        <w:t>告》，该报告于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3"/>
        </w:rPr>
        <w:t> </w:t>
      </w:r>
      <w:r>
        <w:rPr>
          <w:rFonts w:ascii="宋体" w:hAnsi="宋体" w:cs="宋体" w:eastAsia="宋体" w:hint="default"/>
        </w:rPr>
        <w:t>27</w:t>
      </w:r>
      <w:r>
        <w:rPr>
          <w:rFonts w:ascii="宋体" w:hAnsi="宋体" w:cs="宋体" w:eastAsia="宋体" w:hint="default"/>
          <w:spacing w:val="-56"/>
        </w:rPr>
        <w:t> </w:t>
      </w:r>
      <w:r>
        <w:rPr/>
        <w:t>日在上交所网站（</w:t>
      </w:r>
      <w:hyperlink r:id="rId13">
        <w:r>
          <w:rPr>
            <w:rFonts w:ascii="宋体" w:hAnsi="宋体" w:cs="宋体" w:eastAsia="宋体" w:hint="default"/>
          </w:rPr>
          <w:t>www.sse.com.cn</w:t>
        </w:r>
      </w:hyperlink>
      <w:r>
        <w:rPr/>
        <w:t>）披露。</w:t>
      </w:r>
      <w:r>
        <w:rPr>
          <w:rFonts w:ascii="宋体" w:hAnsi="宋体" w:cs="宋体" w:eastAsia="宋体" w:hint="default"/>
        </w:rPr>
        <w:t> </w:t>
      </w:r>
    </w:p>
    <w:p>
      <w:pPr>
        <w:pStyle w:val="BodyText"/>
        <w:spacing w:line="272" w:lineRule="exact" w:before="36"/>
        <w:ind w:left="138" w:right="192"/>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7" w:lineRule="exact"/>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5"/>
        <w:spacing w:line="240" w:lineRule="auto" w:before="58"/>
        <w:ind w:left="138" w:right="192"/>
        <w:jc w:val="left"/>
        <w:rPr>
          <w:b w:val="0"/>
          <w:bCs w:val="0"/>
        </w:rPr>
      </w:pPr>
      <w:r>
        <w:rPr/>
        <w:t>九、</w:t>
      </w:r>
      <w:r>
        <w:rPr>
          <w:spacing w:val="-89"/>
        </w:rPr>
        <w:t> </w:t>
      </w:r>
      <w:r>
        <w:rPr>
          <w:rFonts w:ascii="宋体" w:hAnsi="宋体" w:cs="宋体" w:eastAsia="宋体" w:hint="default"/>
          <w:spacing w:val="-89"/>
        </w:rPr>
      </w:r>
      <w:r>
        <w:rPr>
          <w:spacing w:val="-1"/>
        </w:rPr>
        <w:t>内部控制审计报告的相关情况说明</w:t>
      </w:r>
      <w:r>
        <w:rPr>
          <w:b w:val="0"/>
          <w:bCs w:val="0"/>
          <w:spacing w:val="-1"/>
        </w:rPr>
      </w:r>
    </w:p>
    <w:p>
      <w:pPr>
        <w:pStyle w:val="BodyText"/>
        <w:spacing w:line="304"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6"/>
          <w:w w:val="100"/>
        </w:rPr>
        <w:t>普华永道中天会计师事务所（特殊普通合伙）对公司财务报告相关内部控制有效性进行了审计，</w:t>
      </w:r>
    </w:p>
    <w:p>
      <w:pPr>
        <w:pStyle w:val="BodyText"/>
        <w:spacing w:line="240" w:lineRule="auto" w:before="29"/>
        <w:ind w:left="138" w:right="192"/>
        <w:jc w:val="left"/>
      </w:pPr>
      <w:r>
        <w:rPr/>
        <w:t>并出具了标准无保留意见的内部控制审计报告。该报告于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日在上交所网站</w:t>
      </w:r>
    </w:p>
    <w:p>
      <w:pPr>
        <w:pStyle w:val="BodyText"/>
        <w:spacing w:line="247" w:lineRule="auto" w:before="85"/>
        <w:ind w:left="558" w:right="5328" w:hanging="420"/>
        <w:jc w:val="left"/>
        <w:rPr>
          <w:rFonts w:ascii="宋体" w:hAnsi="宋体" w:cs="宋体" w:eastAsia="宋体" w:hint="default"/>
        </w:rPr>
      </w:pPr>
      <w:r>
        <w:rPr/>
        <w:t>（</w:t>
      </w:r>
      <w:hyperlink r:id="rId13">
        <w:r>
          <w:rPr>
            <w:rFonts w:ascii="宋体" w:hAnsi="宋体" w:cs="宋体" w:eastAsia="宋体" w:hint="default"/>
          </w:rPr>
          <w:t>www.sse.com.cn</w:t>
        </w:r>
      </w:hyperlink>
      <w:r>
        <w:rPr/>
        <w:t>）披露。</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67" w:lineRule="exact"/>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b w:val="0"/>
          <w:bCs w:val="0"/>
        </w:rPr>
      </w:pPr>
      <w:r>
        <w:rPr/>
        <w:t>十、</w:t>
      </w:r>
      <w:r>
        <w:rPr>
          <w:spacing w:val="-103"/>
        </w:rPr>
        <w:t> </w:t>
      </w:r>
      <w:r>
        <w:rPr>
          <w:rFonts w:ascii="宋体" w:hAnsi="宋体" w:cs="宋体" w:eastAsia="宋体" w:hint="default"/>
          <w:spacing w:val="-103"/>
        </w:rPr>
      </w:r>
      <w:r>
        <w:rPr/>
        <w:t>其他</w:t>
      </w:r>
      <w:r>
        <w:rPr>
          <w:b w:val="0"/>
          <w:bCs w:val="0"/>
        </w:rPr>
      </w:r>
    </w:p>
    <w:p>
      <w:pPr>
        <w:pStyle w:val="BodyText"/>
        <w:spacing w:line="273" w:lineRule="exact" w:before="58"/>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974" w:top="1100" w:bottom="1160" w:left="1280" w:right="1300"/>
        </w:sectPr>
      </w:pPr>
    </w:p>
    <w:p>
      <w:pPr>
        <w:spacing w:before="15"/>
        <w:ind w:left="0" w:right="10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1"/>
        <w:tabs>
          <w:tab w:pos="1259" w:val="left" w:leader="none"/>
        </w:tabs>
        <w:spacing w:line="240" w:lineRule="auto"/>
        <w:ind w:right="76"/>
        <w:jc w:val="center"/>
        <w:rPr>
          <w:b w:val="0"/>
          <w:bCs w:val="0"/>
        </w:rPr>
      </w:pPr>
      <w:bookmarkStart w:name="_TOC_250002" w:id="16"/>
      <w:r>
        <w:rPr>
          <w:w w:val="95"/>
        </w:rPr>
        <w:t>第十节</w:t>
      </w:r>
      <w:r>
        <w:rPr>
          <w:rFonts w:ascii="宋体" w:hAnsi="宋体" w:cs="宋体" w:eastAsia="宋体" w:hint="default"/>
          <w:w w:val="95"/>
        </w:rPr>
        <w:tab/>
      </w:r>
      <w:r>
        <w:rPr/>
        <w:t>公司债券相关情况</w:t>
      </w:r>
      <w:bookmarkEnd w:id="1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5"/>
          <w:footerReference w:type="default" r:id="rId46"/>
          <w:pgSz w:w="16840" w:h="11910" w:orient="landscape"/>
          <w:pgMar w:header="0" w:footer="0" w:top="800" w:bottom="280" w:left="1280" w:right="1200"/>
        </w:sectPr>
      </w:pPr>
    </w:p>
    <w:p>
      <w:pPr>
        <w:spacing w:line="290" w:lineRule="auto" w:before="36"/>
        <w:ind w:left="138" w:right="-1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138" w:right="0"/>
        <w:jc w:val="left"/>
        <w:rPr>
          <w:rFonts w:ascii="宋体" w:hAnsi="宋体" w:cs="宋体" w:eastAsia="宋体" w:hint="default"/>
        </w:rPr>
      </w:pPr>
      <w:r>
        <w:rPr/>
        <w:t>单位</w:t>
      </w:r>
      <w:r>
        <w:rPr>
          <w:rFonts w:ascii="宋体" w:hAnsi="宋体" w:cs="宋体" w:eastAsia="宋体" w:hint="default"/>
        </w:rPr>
        <w:t>:</w:t>
      </w:r>
      <w:r>
        <w:rPr/>
        <w:t>亿元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80" w:right="1200"/>
          <w:cols w:num="2" w:equalWidth="0">
            <w:col w:w="2251" w:space="9441"/>
            <w:col w:w="266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73"/>
        <w:gridCol w:w="1277"/>
        <w:gridCol w:w="1133"/>
        <w:gridCol w:w="1277"/>
        <w:gridCol w:w="1275"/>
        <w:gridCol w:w="1135"/>
        <w:gridCol w:w="1073"/>
        <w:gridCol w:w="2965"/>
        <w:gridCol w:w="1349"/>
      </w:tblGrid>
      <w:tr>
        <w:trPr>
          <w:trHeight w:val="329"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简称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21"/>
                <w:szCs w:val="21"/>
              </w:rPr>
            </w:pPr>
            <w:r>
              <w:rPr>
                <w:rFonts w:ascii="宋体" w:hAnsi="宋体" w:cs="宋体" w:eastAsia="宋体" w:hint="default"/>
                <w:sz w:val="21"/>
                <w:szCs w:val="21"/>
              </w:rPr>
              <w:t>代码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6"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债券余额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5"/>
              <w:jc w:val="left"/>
              <w:rPr>
                <w:rFonts w:ascii="宋体" w:hAnsi="宋体" w:cs="宋体" w:eastAsia="宋体" w:hint="default"/>
                <w:sz w:val="21"/>
                <w:szCs w:val="21"/>
              </w:rPr>
            </w:pPr>
            <w:r>
              <w:rPr>
                <w:rFonts w:ascii="宋体" w:hAnsi="宋体" w:cs="宋体" w:eastAsia="宋体" w:hint="default"/>
                <w:spacing w:val="-12"/>
                <w:sz w:val="21"/>
                <w:szCs w:val="21"/>
              </w:rPr>
              <w:t>利率（</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还本付息方式</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交易场所</w:t>
            </w:r>
          </w:p>
        </w:tc>
      </w:tr>
      <w:tr>
        <w:trPr>
          <w:trHeight w:val="129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
                <w:sz w:val="21"/>
                <w:szCs w:val="21"/>
              </w:rPr>
              <w:t>青岛港国际股份有限公司</w:t>
            </w:r>
          </w:p>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年公司债券</w:t>
            </w:r>
            <w:r>
              <w:rPr>
                <w:rFonts w:ascii="Times New Roman" w:hAnsi="Times New Roman" w:cs="Times New Roman" w:eastAsia="Times New Roman" w:hint="default"/>
                <w:sz w:val="21"/>
                <w:szCs w:val="21"/>
              </w:rPr>
              <w:t>(</w:t>
            </w:r>
            <w:r>
              <w:rPr>
                <w:rFonts w:ascii="宋体" w:hAnsi="宋体" w:cs="宋体" w:eastAsia="宋体" w:hint="default"/>
                <w:sz w:val="21"/>
                <w:szCs w:val="21"/>
              </w:rPr>
              <w:t>第一期</w:t>
            </w:r>
            <w:r>
              <w:rPr>
                <w:rFonts w:ascii="Times New Roman" w:hAnsi="Times New Roman" w:cs="Times New Roman" w:eastAsia="Times New Roman"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青港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136298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2016-3-18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2" w:right="0"/>
              <w:jc w:val="left"/>
              <w:rPr>
                <w:rFonts w:ascii="Times New Roman" w:hAnsi="Times New Roman" w:cs="Times New Roman" w:eastAsia="Times New Roman" w:hint="default"/>
                <w:sz w:val="21"/>
                <w:szCs w:val="21"/>
              </w:rPr>
            </w:pPr>
            <w:r>
              <w:rPr>
                <w:rFonts w:ascii="Times New Roman"/>
                <w:sz w:val="21"/>
              </w:rPr>
              <w:t>2021-3-18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14.091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48" w:right="0"/>
              <w:jc w:val="left"/>
              <w:rPr>
                <w:rFonts w:ascii="Times New Roman" w:hAnsi="Times New Roman" w:cs="Times New Roman" w:eastAsia="Times New Roman" w:hint="default"/>
                <w:sz w:val="21"/>
                <w:szCs w:val="21"/>
              </w:rPr>
            </w:pPr>
            <w:r>
              <w:rPr>
                <w:rFonts w:ascii="Times New Roman"/>
                <w:sz w:val="21"/>
              </w:rPr>
              <w:t>3.68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03" w:right="97"/>
              <w:jc w:val="both"/>
              <w:rPr>
                <w:rFonts w:ascii="宋体" w:hAnsi="宋体" w:cs="宋体" w:eastAsia="宋体" w:hint="default"/>
                <w:sz w:val="21"/>
                <w:szCs w:val="21"/>
              </w:rPr>
            </w:pPr>
            <w:r>
              <w:rPr>
                <w:rFonts w:ascii="宋体" w:hAnsi="宋体" w:cs="宋体" w:eastAsia="宋体" w:hint="default"/>
                <w:sz w:val="21"/>
                <w:szCs w:val="21"/>
              </w:rPr>
              <w:t>本期债券采用单利按年计息，</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不计复利，每年付息一次，最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后一期利息随本金的兑付一起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支付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78"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上海证券交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易所</w:t>
            </w:r>
          </w:p>
        </w:tc>
      </w:tr>
      <w:tr>
        <w:trPr>
          <w:trHeight w:val="65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2"/>
                <w:sz w:val="21"/>
                <w:szCs w:val="21"/>
              </w:rPr>
              <w:t>青岛港国际股份有限公司</w:t>
            </w:r>
          </w:p>
          <w:p>
            <w:pPr>
              <w:pStyle w:val="TableParagraph"/>
              <w:spacing w:line="240" w:lineRule="auto" w:before="4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年公司债券</w:t>
            </w:r>
            <w:r>
              <w:rPr>
                <w:rFonts w:ascii="Times New Roman" w:hAnsi="Times New Roman" w:cs="Times New Roman" w:eastAsia="Times New Roman" w:hint="default"/>
                <w:sz w:val="21"/>
                <w:szCs w:val="21"/>
              </w:rPr>
              <w:t>(</w:t>
            </w:r>
            <w:r>
              <w:rPr>
                <w:rFonts w:ascii="宋体" w:hAnsi="宋体" w:cs="宋体" w:eastAsia="宋体" w:hint="default"/>
                <w:sz w:val="21"/>
                <w:szCs w:val="21"/>
              </w:rPr>
              <w:t>第二期</w:t>
            </w:r>
            <w:r>
              <w:rPr>
                <w:rFonts w:ascii="Times New Roman" w:hAnsi="Times New Roman" w:cs="Times New Roman" w:eastAsia="Times New Roman"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青港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136472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2016-6-8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2021-6-8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7.078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8" w:right="0"/>
              <w:jc w:val="left"/>
              <w:rPr>
                <w:rFonts w:ascii="Times New Roman" w:hAnsi="Times New Roman" w:cs="Times New Roman" w:eastAsia="Times New Roman" w:hint="default"/>
                <w:sz w:val="21"/>
                <w:szCs w:val="21"/>
              </w:rPr>
            </w:pPr>
            <w:r>
              <w:rPr>
                <w:rFonts w:ascii="Times New Roman"/>
                <w:sz w:val="21"/>
              </w:rPr>
              <w:t>3.68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同上</w:t>
            </w:r>
          </w:p>
        </w:tc>
      </w:tr>
    </w:tbl>
    <w:p>
      <w:pPr>
        <w:pStyle w:val="Heading3"/>
        <w:spacing w:line="274" w:lineRule="exact"/>
        <w:ind w:left="138" w:right="0"/>
        <w:jc w:val="left"/>
        <w:rPr>
          <w:rFonts w:ascii="宋体" w:hAnsi="宋体" w:cs="宋体" w:eastAsia="宋体" w:hint="default"/>
        </w:rPr>
      </w:pPr>
      <w:r>
        <w:rPr>
          <w:rFonts w:ascii="宋体"/>
        </w:rPr>
        <w:t> </w:t>
      </w:r>
    </w:p>
    <w:p>
      <w:pPr>
        <w:pStyle w:val="BodyText"/>
        <w:spacing w:line="274" w:lineRule="exact" w:before="1"/>
        <w:ind w:left="138" w:right="0"/>
        <w:jc w:val="left"/>
      </w:pPr>
      <w:r>
        <w:rPr/>
        <w:t>公司债券付息兑付情况</w:t>
      </w:r>
    </w:p>
    <w:p>
      <w:pPr>
        <w:pStyle w:val="BodyText"/>
        <w:spacing w:line="274" w:lineRule="exact"/>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73"/>
        <w:ind w:left="558" w:right="0"/>
        <w:jc w:val="left"/>
      </w:pPr>
      <w:r>
        <w:rPr/>
        <w:t>公司于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年分两期共发行</w:t>
      </w:r>
      <w:r>
        <w:rPr>
          <w:spacing w:val="-50"/>
        </w:rPr>
        <w:t> </w:t>
      </w:r>
      <w:r>
        <w:rPr>
          <w:rFonts w:ascii="Times New Roman" w:hAnsi="Times New Roman" w:cs="Times New Roman" w:eastAsia="Times New Roman" w:hint="default"/>
        </w:rPr>
        <w:t>35 </w:t>
      </w:r>
      <w:r>
        <w:rPr>
          <w:spacing w:val="-3"/>
        </w:rPr>
        <w:t>亿元公司债，其中：</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3"/>
        </w:rPr>
        <w:t> </w:t>
      </w:r>
      <w:r>
        <w:rPr/>
        <w:t>青港</w:t>
      </w:r>
      <w:r>
        <w:rPr>
          <w:spacing w:val="-50"/>
        </w:rPr>
        <w:t> </w:t>
      </w:r>
      <w:r>
        <w:rPr>
          <w:rFonts w:ascii="Times New Roman" w:hAnsi="Times New Roman" w:cs="Times New Roman" w:eastAsia="Times New Roman" w:hint="default"/>
          <w:spacing w:val="-4"/>
        </w:rPr>
        <w:t>01”</w:t>
      </w:r>
      <w:r>
        <w:rPr>
          <w:spacing w:val="-4"/>
        </w:rPr>
        <w:t>（第一期）为</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年期共计</w:t>
      </w:r>
      <w:r>
        <w:rPr>
          <w:spacing w:val="-52"/>
        </w:rPr>
        <w:t> </w:t>
      </w:r>
      <w:r>
        <w:rPr>
          <w:rFonts w:ascii="Times New Roman" w:hAnsi="Times New Roman" w:cs="Times New Roman" w:eastAsia="Times New Roman" w:hint="default"/>
        </w:rPr>
        <w:t>15 </w:t>
      </w:r>
      <w:r>
        <w:rPr>
          <w:spacing w:val="-3"/>
        </w:rPr>
        <w:t>亿元，附第</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年末发行人上调票面利率选择权及投资者</w:t>
      </w:r>
    </w:p>
    <w:p>
      <w:pPr>
        <w:pStyle w:val="BodyText"/>
        <w:spacing w:line="240" w:lineRule="auto" w:before="69"/>
        <w:ind w:left="138" w:right="0"/>
        <w:jc w:val="left"/>
        <w:rPr>
          <w:rFonts w:ascii="Times New Roman" w:hAnsi="Times New Roman" w:cs="Times New Roman" w:eastAsia="Times New Roman" w:hint="default"/>
        </w:rPr>
      </w:pPr>
      <w:r>
        <w:rPr>
          <w:spacing w:val="-5"/>
        </w:rPr>
        <w:t>回售选择权；</w:t>
      </w:r>
      <w:r>
        <w:rPr>
          <w:rFonts w:ascii="Times New Roman" w:hAnsi="Times New Roman" w:cs="Times New Roman" w:eastAsia="Times New Roman" w:hint="default"/>
          <w:spacing w:val="-5"/>
        </w:rPr>
        <w:t>“16</w:t>
      </w:r>
      <w:r>
        <w:rPr>
          <w:rFonts w:ascii="Times New Roman" w:hAnsi="Times New Roman" w:cs="Times New Roman" w:eastAsia="Times New Roman" w:hint="default"/>
          <w:spacing w:val="7"/>
        </w:rPr>
        <w:t> </w:t>
      </w:r>
      <w:r>
        <w:rPr/>
        <w:t>青港</w:t>
      </w:r>
      <w:r>
        <w:rPr>
          <w:spacing w:val="-46"/>
        </w:rPr>
        <w:t> </w:t>
      </w:r>
      <w:r>
        <w:rPr>
          <w:rFonts w:ascii="Times New Roman" w:hAnsi="Times New Roman" w:cs="Times New Roman" w:eastAsia="Times New Roman" w:hint="default"/>
          <w:spacing w:val="-8"/>
        </w:rPr>
        <w:t>02”</w:t>
      </w:r>
      <w:r>
        <w:rPr>
          <w:spacing w:val="-8"/>
        </w:rPr>
        <w:t>（第二期）为</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年期共计</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spacing w:val="-7"/>
        </w:rPr>
        <w:t>亿元，附第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年末发行人上调票面利率选择权及投资者回售选择权。公司于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spacing w:val="-6"/>
        </w:rPr>
        <w:t>年、</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7"/>
        </w:rPr>
        <w:t> </w:t>
      </w:r>
      <w:r>
        <w:rPr>
          <w:spacing w:val="-6"/>
        </w:rPr>
        <w:t>年、</w:t>
      </w:r>
      <w:r>
        <w:rPr>
          <w:rFonts w:ascii="Times New Roman" w:hAnsi="Times New Roman" w:cs="Times New Roman" w:eastAsia="Times New Roman" w:hint="default"/>
          <w:spacing w:val="-6"/>
        </w:rPr>
        <w:t>2019</w:t>
      </w:r>
    </w:p>
    <w:p>
      <w:pPr>
        <w:pStyle w:val="BodyText"/>
        <w:spacing w:line="240" w:lineRule="auto" w:before="69"/>
        <w:ind w:left="138" w:right="0"/>
        <w:jc w:val="left"/>
      </w:pPr>
      <w:r>
        <w:rPr/>
        <w:t>年已按时足额支付上述两期公司债利息及投资者回售部分的兑付款，并于</w:t>
      </w:r>
      <w:r>
        <w:rPr>
          <w:spacing w:val="-53"/>
        </w:rPr>
        <w:t> </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3 </w:t>
      </w:r>
      <w:r>
        <w:rPr/>
        <w:t>月</w:t>
      </w:r>
      <w:r>
        <w:rPr>
          <w:spacing w:val="-53"/>
        </w:rPr>
        <w:t> </w:t>
      </w:r>
      <w:r>
        <w:rPr>
          <w:rFonts w:ascii="Times New Roman" w:hAnsi="Times New Roman" w:cs="Times New Roman" w:eastAsia="Times New Roman" w:hint="default"/>
        </w:rPr>
        <w:t>18 </w:t>
      </w:r>
      <w:r>
        <w:rPr/>
        <w:t>日已支付</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青港</w:t>
      </w:r>
      <w:r>
        <w:rPr>
          <w:spacing w:val="-53"/>
        </w:rPr>
        <w:t> </w:t>
      </w:r>
      <w:r>
        <w:rPr>
          <w:rFonts w:ascii="Times New Roman" w:hAnsi="Times New Roman" w:cs="Times New Roman" w:eastAsia="Times New Roman" w:hint="default"/>
        </w:rPr>
        <w:t>01”</w:t>
      </w:r>
      <w:r>
        <w:rPr/>
        <w:t>自</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日至</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w:t>
      </w:r>
    </w:p>
    <w:p>
      <w:pPr>
        <w:pStyle w:val="BodyText"/>
        <w:spacing w:line="240" w:lineRule="auto" w:before="69"/>
        <w:ind w:left="138" w:right="0"/>
        <w:jc w:val="left"/>
      </w:pPr>
      <w:r>
        <w:rPr/>
        <w:t>期间的利息，将于</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 </w:t>
      </w:r>
      <w:r>
        <w:rPr/>
        <w:t>日支付</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青港</w:t>
      </w:r>
      <w:r>
        <w:rPr>
          <w:spacing w:val="-55"/>
        </w:rPr>
        <w:t> </w:t>
      </w:r>
      <w:r>
        <w:rPr>
          <w:rFonts w:ascii="Times New Roman" w:hAnsi="Times New Roman" w:cs="Times New Roman" w:eastAsia="Times New Roman" w:hint="default"/>
        </w:rPr>
        <w:t>02”</w:t>
      </w:r>
      <w:r>
        <w:rPr/>
        <w:t>自</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日至</w:t>
      </w:r>
      <w:r>
        <w:rPr>
          <w:spacing w:val="-53"/>
        </w:rPr>
        <w:t> </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6 </w:t>
      </w:r>
      <w:r>
        <w:rPr/>
        <w:t>月</w:t>
      </w:r>
      <w:r>
        <w:rPr>
          <w:spacing w:val="-55"/>
        </w:rPr>
        <w:t> </w:t>
      </w:r>
      <w:r>
        <w:rPr>
          <w:rFonts w:ascii="Times New Roman" w:hAnsi="Times New Roman" w:cs="Times New Roman" w:eastAsia="Times New Roman" w:hint="default"/>
        </w:rPr>
        <w:t>7 </w:t>
      </w:r>
      <w:r>
        <w:rPr/>
        <w:t>日期间的利息。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63"/>
        <w:ind w:left="0" w:right="78" w:firstLine="0"/>
        <w:jc w:val="center"/>
        <w:rPr>
          <w:rFonts w:ascii="Calibri" w:hAnsi="Calibri" w:cs="Calibri" w:eastAsia="Calibri" w:hint="default"/>
          <w:sz w:val="18"/>
          <w:szCs w:val="18"/>
        </w:rPr>
      </w:pPr>
      <w:r>
        <w:rPr>
          <w:rFonts w:ascii="Calibri"/>
          <w:b/>
          <w:sz w:val="18"/>
        </w:rPr>
        <w:t>76 </w:t>
      </w:r>
      <w:r>
        <w:rPr>
          <w:rFonts w:ascii="Calibri"/>
          <w:sz w:val="18"/>
        </w:rPr>
        <w:t>/</w:t>
      </w:r>
      <w:r>
        <w:rPr>
          <w:rFonts w:ascii="Calibri"/>
          <w:spacing w:val="-4"/>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80" w:right="12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5"/>
          <w:szCs w:val="15"/>
        </w:rPr>
      </w:pPr>
    </w:p>
    <w:p>
      <w:pPr>
        <w:pStyle w:val="BodyText"/>
        <w:spacing w:line="274" w:lineRule="exact"/>
        <w:ind w:right="0"/>
        <w:jc w:val="left"/>
      </w:pPr>
      <w:r>
        <w:rPr/>
        <w:t>公司债券其他情况的说明</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73"/>
        <w:ind w:left="638" w:right="0"/>
        <w:jc w:val="left"/>
      </w:pPr>
      <w:r>
        <w:rPr>
          <w:spacing w:val="-3"/>
        </w:rPr>
        <w:t>根据《青岛港国际股份有限公司 </w:t>
      </w: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spacing w:val="-4"/>
        </w:rPr>
        <w:t>年公司债券（第一期）募集说明书》、《青岛港国际股份</w:t>
      </w:r>
    </w:p>
    <w:p>
      <w:pPr>
        <w:pStyle w:val="BodyText"/>
        <w:spacing w:line="297" w:lineRule="auto" w:before="69"/>
        <w:ind w:right="0"/>
        <w:jc w:val="left"/>
      </w:pPr>
      <w:r>
        <w:rPr/>
        <w:t>有限公司 </w:t>
      </w:r>
      <w:r>
        <w:rPr>
          <w:rFonts w:ascii="Times New Roman" w:hAnsi="Times New Roman" w:cs="Times New Roman" w:eastAsia="Times New Roman" w:hint="default"/>
        </w:rPr>
        <w:t>2016 </w:t>
      </w:r>
      <w:r>
        <w:rPr>
          <w:spacing w:val="-4"/>
        </w:rPr>
        <w:t>年公司债券（第二期）募集说明书》中关于发行人上调票面利率选择权和投资者回售</w:t>
      </w:r>
      <w:r>
        <w:rPr>
          <w:spacing w:val="-85"/>
        </w:rPr>
        <w:t> </w:t>
      </w:r>
      <w:r>
        <w:rPr>
          <w:spacing w:val="-85"/>
        </w:rPr>
      </w:r>
      <w:r>
        <w:rPr/>
        <w:t>选择权的约定，本公司实施了上调票面利率和投资者回售。</w:t>
      </w:r>
    </w:p>
    <w:p>
      <w:pPr>
        <w:pStyle w:val="BodyText"/>
        <w:spacing w:line="297" w:lineRule="auto" w:before="34"/>
        <w:ind w:right="111" w:firstLine="420"/>
        <w:jc w:val="both"/>
      </w:pPr>
      <w:r>
        <w:rPr/>
        <w:t>本公司于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4"/>
        </w:rPr>
        <w:t>日披露了《青岛港国际股份有限公司关于</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3"/>
        </w:rPr>
        <w:t> </w:t>
      </w:r>
      <w:r>
        <w:rPr/>
        <w:t>青港</w:t>
      </w:r>
      <w:r>
        <w:rPr>
          <w:spacing w:val="-51"/>
        </w:rPr>
        <w:t> </w:t>
      </w:r>
      <w:r>
        <w:rPr>
          <w:rFonts w:ascii="Times New Roman" w:hAnsi="Times New Roman" w:cs="Times New Roman" w:eastAsia="Times New Roman" w:hint="default"/>
        </w:rPr>
        <w:t>01”</w:t>
      </w:r>
      <w:r>
        <w:rPr/>
        <w:t>公司债券票面利</w:t>
      </w:r>
      <w:r>
        <w:rPr>
          <w:w w:val="100"/>
        </w:rPr>
        <w:t> </w:t>
      </w:r>
      <w:r>
        <w:rPr>
          <w:spacing w:val="-3"/>
        </w:rPr>
        <w:t>率上调的公告》，在存续期的第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3"/>
        </w:rPr>
        <w:t>年末，根据当时的市场环境，本公司决定将</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10"/>
        </w:rPr>
        <w:t> </w:t>
      </w:r>
      <w:r>
        <w:rPr/>
        <w:t>青港</w:t>
      </w:r>
      <w:r>
        <w:rPr>
          <w:spacing w:val="-42"/>
        </w:rPr>
        <w:t> </w:t>
      </w:r>
      <w:r>
        <w:rPr>
          <w:rFonts w:ascii="Times New Roman" w:hAnsi="Times New Roman" w:cs="Times New Roman" w:eastAsia="Times New Roman" w:hint="default"/>
        </w:rPr>
        <w:t>01”</w:t>
      </w:r>
      <w:r>
        <w:rPr/>
        <w:t>的票面利</w:t>
      </w:r>
      <w:r>
        <w:rPr>
          <w:spacing w:val="-99"/>
        </w:rPr>
        <w:t> </w:t>
      </w:r>
      <w:r>
        <w:rPr>
          <w:spacing w:val="-99"/>
        </w:rPr>
      </w:r>
      <w:r>
        <w:rPr/>
        <w:t>率由</w:t>
      </w:r>
      <w:r>
        <w:rPr>
          <w:spacing w:val="-54"/>
        </w:rPr>
        <w:t> </w:t>
      </w:r>
      <w:r>
        <w:rPr>
          <w:rFonts w:ascii="Times New Roman" w:hAnsi="Times New Roman" w:cs="Times New Roman" w:eastAsia="Times New Roman" w:hint="default"/>
        </w:rPr>
        <w:t>2.90%</w:t>
      </w:r>
      <w:r>
        <w:rPr/>
        <w:t>上调至</w:t>
      </w:r>
      <w:r>
        <w:rPr>
          <w:spacing w:val="-54"/>
        </w:rPr>
        <w:t> </w:t>
      </w:r>
      <w:r>
        <w:rPr>
          <w:rFonts w:ascii="Times New Roman" w:hAnsi="Times New Roman" w:cs="Times New Roman" w:eastAsia="Times New Roman" w:hint="default"/>
        </w:rPr>
        <w:t>3.68%</w:t>
      </w:r>
      <w:r>
        <w:rPr/>
        <w:t>，即</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青港</w:t>
      </w:r>
      <w:r>
        <w:rPr>
          <w:spacing w:val="-56"/>
        </w:rPr>
        <w:t> </w:t>
      </w:r>
      <w:r>
        <w:rPr>
          <w:rFonts w:ascii="Times New Roman" w:hAnsi="Times New Roman" w:cs="Times New Roman" w:eastAsia="Times New Roman" w:hint="default"/>
        </w:rPr>
        <w:t>01”</w:t>
      </w:r>
      <w:r>
        <w:rPr/>
        <w:t>存续期后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年的票面利率为</w:t>
      </w:r>
      <w:r>
        <w:rPr>
          <w:spacing w:val="-54"/>
        </w:rPr>
        <w:t> </w:t>
      </w:r>
      <w:r>
        <w:rPr>
          <w:rFonts w:ascii="Times New Roman" w:hAnsi="Times New Roman" w:cs="Times New Roman" w:eastAsia="Times New Roman" w:hint="default"/>
        </w:rPr>
        <w:t>3.68%</w:t>
      </w:r>
      <w:r>
        <w:rPr/>
        <w:t>，并在其存续期后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w w:val="100"/>
        </w:rPr>
        <w:t> </w:t>
      </w:r>
      <w:r>
        <w:rPr>
          <w:spacing w:val="-4"/>
        </w:rPr>
        <w:t>固定不变。本公司于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spacing w:val="-3"/>
        </w:rPr>
        <w:t>日同时披露了《青岛港国际股份有限公司关于</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7"/>
        </w:rPr>
        <w:t> </w:t>
      </w:r>
      <w:r>
        <w:rPr/>
        <w:t>青港</w:t>
      </w:r>
      <w:r>
        <w:rPr>
          <w:spacing w:val="-46"/>
        </w:rPr>
        <w:t> </w:t>
      </w:r>
      <w:r>
        <w:rPr>
          <w:rFonts w:ascii="Times New Roman" w:hAnsi="Times New Roman" w:cs="Times New Roman" w:eastAsia="Times New Roman" w:hint="default"/>
        </w:rPr>
        <w:t>01”</w:t>
      </w:r>
      <w:r>
        <w:rPr/>
        <w:t>公司</w:t>
      </w:r>
    </w:p>
    <w:p>
      <w:pPr>
        <w:pStyle w:val="BodyText"/>
        <w:spacing w:line="240" w:lineRule="auto" w:before="13"/>
        <w:ind w:right="0"/>
        <w:jc w:val="left"/>
      </w:pPr>
      <w:r>
        <w:rPr/>
        <w:t>债券投资者回售实施办法的公告》，并分别于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日和</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302" w:lineRule="auto" w:before="70"/>
        <w:ind w:right="0"/>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日披露了回售提示性公告，于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日披露了回售申报情况的公告，于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w w:val="100"/>
        </w:rPr>
        <w:t> </w:t>
      </w:r>
      <w:r>
        <w:rPr>
          <w:spacing w:val="-2"/>
        </w:rPr>
        <w:t>日披露了回售实施结果的公告。根据中国证券登记结算有限责任公司上海分公司提供的债券回售申</w:t>
      </w:r>
      <w:r>
        <w:rPr>
          <w:spacing w:val="-25"/>
        </w:rPr>
        <w:t> </w:t>
      </w:r>
      <w:r>
        <w:rPr>
          <w:spacing w:val="-25"/>
        </w:rPr>
      </w:r>
      <w:r>
        <w:rPr/>
        <w:t>报数据，</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青港</w:t>
      </w:r>
      <w:r>
        <w:rPr>
          <w:spacing w:val="-54"/>
        </w:rPr>
        <w:t> </w:t>
      </w:r>
      <w:r>
        <w:rPr>
          <w:rFonts w:ascii="Times New Roman" w:hAnsi="Times New Roman" w:cs="Times New Roman" w:eastAsia="Times New Roman" w:hint="default"/>
        </w:rPr>
        <w:t>01”</w:t>
      </w:r>
      <w:r>
        <w:rPr/>
        <w:t>的回售金额为人民币</w:t>
      </w:r>
      <w:r>
        <w:rPr>
          <w:spacing w:val="-53"/>
        </w:rPr>
        <w:t> </w:t>
      </w:r>
      <w:r>
        <w:rPr>
          <w:rFonts w:ascii="Times New Roman" w:hAnsi="Times New Roman" w:cs="Times New Roman" w:eastAsia="Times New Roman" w:hint="default"/>
        </w:rPr>
        <w:t>90,900,000</w:t>
      </w:r>
      <w:r>
        <w:rPr>
          <w:rFonts w:ascii="Times New Roman" w:hAnsi="Times New Roman" w:cs="Times New Roman" w:eastAsia="Times New Roman" w:hint="default"/>
          <w:spacing w:val="-1"/>
        </w:rPr>
        <w:t> </w:t>
      </w:r>
      <w:r>
        <w:rPr/>
        <w:t>元（不含利息）。</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日为本次回</w:t>
      </w:r>
      <w:r>
        <w:rPr>
          <w:w w:val="100"/>
        </w:rPr>
        <w:t> </w:t>
      </w:r>
      <w:r>
        <w:rPr>
          <w:spacing w:val="-4"/>
        </w:rPr>
        <w:t>售债券资金发放日。本次回售实施完毕后，</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12"/>
        </w:rPr>
        <w:t> </w:t>
      </w:r>
      <w:r>
        <w:rPr/>
        <w:t>青港</w:t>
      </w:r>
      <w:r>
        <w:rPr>
          <w:spacing w:val="-38"/>
        </w:rPr>
        <w:t> </w:t>
      </w:r>
      <w:r>
        <w:rPr>
          <w:rFonts w:ascii="Times New Roman" w:hAnsi="Times New Roman" w:cs="Times New Roman" w:eastAsia="Times New Roman" w:hint="default"/>
        </w:rPr>
        <w:t>01”</w:t>
      </w:r>
      <w:r>
        <w:rPr/>
        <w:t>公司债券在上海证券交易所上市并交易的债</w:t>
      </w:r>
      <w:r>
        <w:rPr>
          <w:spacing w:val="-99"/>
        </w:rPr>
        <w:t> </w:t>
      </w:r>
      <w:r>
        <w:rPr>
          <w:spacing w:val="-99"/>
        </w:rPr>
      </w:r>
      <w:r>
        <w:rPr/>
        <w:t>券余额为</w:t>
      </w:r>
      <w:r>
        <w:rPr>
          <w:spacing w:val="-58"/>
        </w:rPr>
        <w:t> </w:t>
      </w:r>
      <w:r>
        <w:rPr>
          <w:rFonts w:ascii="Times New Roman" w:hAnsi="Times New Roman" w:cs="Times New Roman" w:eastAsia="Times New Roman" w:hint="default"/>
        </w:rPr>
        <w:t>14.091</w:t>
      </w:r>
      <w:r>
        <w:rPr>
          <w:rFonts w:ascii="Times New Roman" w:hAnsi="Times New Roman" w:cs="Times New Roman" w:eastAsia="Times New Roman" w:hint="default"/>
          <w:spacing w:val="-5"/>
        </w:rPr>
        <w:t> </w:t>
      </w:r>
      <w:r>
        <w:rPr/>
        <w:t>亿元。公告内容详见上海证券交易所网站（</w:t>
      </w:r>
      <w:hyperlink r:id="rId13">
        <w:r>
          <w:rPr>
            <w:rFonts w:ascii="Times New Roman" w:hAnsi="Times New Roman" w:cs="Times New Roman" w:eastAsia="Times New Roman" w:hint="default"/>
          </w:rPr>
          <w:t>www.sse.com.cn</w:t>
        </w:r>
      </w:hyperlink>
      <w:r>
        <w:rPr/>
        <w:t>）。</w:t>
      </w:r>
    </w:p>
    <w:p>
      <w:pPr>
        <w:pStyle w:val="BodyText"/>
        <w:spacing w:line="297" w:lineRule="auto" w:before="9"/>
        <w:ind w:right="111" w:firstLine="420"/>
        <w:jc w:val="both"/>
      </w:pPr>
      <w:r>
        <w:rPr/>
        <w:t>本公司于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日披露了《青岛港国际股份有限公司关于</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3"/>
        </w:rPr>
        <w:t> </w:t>
      </w:r>
      <w:r>
        <w:rPr/>
        <w:t>青港</w:t>
      </w:r>
      <w:r>
        <w:rPr>
          <w:spacing w:val="-51"/>
        </w:rPr>
        <w:t> </w:t>
      </w:r>
      <w:r>
        <w:rPr>
          <w:rFonts w:ascii="Times New Roman" w:hAnsi="Times New Roman" w:cs="Times New Roman" w:eastAsia="Times New Roman" w:hint="default"/>
        </w:rPr>
        <w:t>02”</w:t>
      </w:r>
      <w:r>
        <w:rPr/>
        <w:t>公司债券票面利</w:t>
      </w:r>
      <w:r>
        <w:rPr>
          <w:w w:val="100"/>
        </w:rPr>
        <w:t> </w:t>
      </w:r>
      <w:r>
        <w:rPr>
          <w:spacing w:val="-3"/>
        </w:rPr>
        <w:t>率上调的公告》，在存续期的第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spacing w:val="-3"/>
        </w:rPr>
        <w:t>年末，根据当时的市场环境，本公司决定将</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10"/>
        </w:rPr>
        <w:t> </w:t>
      </w:r>
      <w:r>
        <w:rPr/>
        <w:t>青港</w:t>
      </w:r>
      <w:r>
        <w:rPr>
          <w:spacing w:val="-42"/>
        </w:rPr>
        <w:t> </w:t>
      </w:r>
      <w:r>
        <w:rPr>
          <w:rFonts w:ascii="Times New Roman" w:hAnsi="Times New Roman" w:cs="Times New Roman" w:eastAsia="Times New Roman" w:hint="default"/>
        </w:rPr>
        <w:t>02”</w:t>
      </w:r>
      <w:r>
        <w:rPr/>
        <w:t>的票面利</w:t>
      </w:r>
      <w:r>
        <w:rPr>
          <w:spacing w:val="-99"/>
        </w:rPr>
        <w:t> </w:t>
      </w:r>
      <w:r>
        <w:rPr>
          <w:spacing w:val="-99"/>
        </w:rPr>
      </w:r>
      <w:r>
        <w:rPr/>
        <w:t>率由</w:t>
      </w:r>
      <w:r>
        <w:rPr>
          <w:spacing w:val="-54"/>
        </w:rPr>
        <w:t> </w:t>
      </w:r>
      <w:r>
        <w:rPr>
          <w:rFonts w:ascii="Times New Roman" w:hAnsi="Times New Roman" w:cs="Times New Roman" w:eastAsia="Times New Roman" w:hint="default"/>
        </w:rPr>
        <w:t>3.09%</w:t>
      </w:r>
      <w:r>
        <w:rPr/>
        <w:t>上调至</w:t>
      </w:r>
      <w:r>
        <w:rPr>
          <w:spacing w:val="-54"/>
        </w:rPr>
        <w:t> </w:t>
      </w:r>
      <w:r>
        <w:rPr>
          <w:rFonts w:ascii="Times New Roman" w:hAnsi="Times New Roman" w:cs="Times New Roman" w:eastAsia="Times New Roman" w:hint="default"/>
        </w:rPr>
        <w:t>3.68%</w:t>
      </w:r>
      <w:r>
        <w:rPr/>
        <w:t>，即</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青港</w:t>
      </w:r>
      <w:r>
        <w:rPr>
          <w:spacing w:val="-56"/>
        </w:rPr>
        <w:t> </w:t>
      </w:r>
      <w:r>
        <w:rPr>
          <w:rFonts w:ascii="Times New Roman" w:hAnsi="Times New Roman" w:cs="Times New Roman" w:eastAsia="Times New Roman" w:hint="default"/>
        </w:rPr>
        <w:t>02”</w:t>
      </w:r>
      <w:r>
        <w:rPr/>
        <w:t>存续期后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年的票面利率为</w:t>
      </w:r>
      <w:r>
        <w:rPr>
          <w:spacing w:val="-54"/>
        </w:rPr>
        <w:t> </w:t>
      </w:r>
      <w:r>
        <w:rPr>
          <w:rFonts w:ascii="Times New Roman" w:hAnsi="Times New Roman" w:cs="Times New Roman" w:eastAsia="Times New Roman" w:hint="default"/>
        </w:rPr>
        <w:t>3.68%</w:t>
      </w:r>
      <w:r>
        <w:rPr/>
        <w:t>，并在其存续期后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w w:val="100"/>
        </w:rPr>
        <w:t> </w:t>
      </w:r>
      <w:r>
        <w:rPr>
          <w:spacing w:val="-4"/>
        </w:rPr>
        <w:t>固定不变。本公司于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日同时披露了《青岛港国际股份有限公司关于</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7"/>
        </w:rPr>
        <w:t> </w:t>
      </w:r>
      <w:r>
        <w:rPr/>
        <w:t>青港</w:t>
      </w:r>
      <w:r>
        <w:rPr>
          <w:spacing w:val="-46"/>
        </w:rPr>
        <w:t> </w:t>
      </w:r>
      <w:r>
        <w:rPr>
          <w:rFonts w:ascii="Times New Roman" w:hAnsi="Times New Roman" w:cs="Times New Roman" w:eastAsia="Times New Roman" w:hint="default"/>
        </w:rPr>
        <w:t>02”</w:t>
      </w:r>
      <w:r>
        <w:rPr/>
        <w:t>公司</w:t>
      </w:r>
    </w:p>
    <w:p>
      <w:pPr>
        <w:pStyle w:val="BodyText"/>
        <w:spacing w:line="240" w:lineRule="auto" w:before="14"/>
        <w:ind w:right="0"/>
        <w:jc w:val="left"/>
      </w:pPr>
      <w:r>
        <w:rPr/>
        <w:t>债券投资者回售实施办法的公告》，并分别于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日和</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p>
    <w:p>
      <w:pPr>
        <w:pStyle w:val="BodyText"/>
        <w:spacing w:line="302" w:lineRule="auto" w:before="69"/>
        <w:ind w:right="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日披露了回售提示性公告，于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日披露了回售申报情况的公告，于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w w:val="100"/>
        </w:rPr>
        <w:t> </w:t>
      </w:r>
      <w:r>
        <w:rPr>
          <w:spacing w:val="-2"/>
        </w:rPr>
        <w:t>日披露了回售实施结果的公告。根据中国证券登记结算有限责任公司上海分公司提供的债券回售申</w:t>
      </w:r>
      <w:r>
        <w:rPr>
          <w:spacing w:val="-25"/>
        </w:rPr>
        <w:t> </w:t>
      </w:r>
      <w:r>
        <w:rPr>
          <w:spacing w:val="-25"/>
        </w:rPr>
      </w:r>
      <w:r>
        <w:rPr>
          <w:spacing w:val="-3"/>
        </w:rPr>
        <w:t>报数据，</w:t>
      </w:r>
      <w:r>
        <w:rPr>
          <w:rFonts w:ascii="Times New Roman" w:hAnsi="Times New Roman" w:cs="Times New Roman" w:eastAsia="Times New Roman" w:hint="default"/>
          <w:spacing w:val="-3"/>
        </w:rPr>
        <w:t>“16</w:t>
      </w:r>
      <w:r>
        <w:rPr>
          <w:rFonts w:ascii="Times New Roman" w:hAnsi="Times New Roman" w:cs="Times New Roman" w:eastAsia="Times New Roman" w:hint="default"/>
          <w:spacing w:val="-2"/>
        </w:rPr>
        <w:t> </w:t>
      </w:r>
      <w:r>
        <w:rPr/>
        <w:t>青港</w:t>
      </w:r>
      <w:r>
        <w:rPr>
          <w:spacing w:val="-52"/>
        </w:rPr>
        <w:t> </w:t>
      </w:r>
      <w:r>
        <w:rPr>
          <w:rFonts w:ascii="Times New Roman" w:hAnsi="Times New Roman" w:cs="Times New Roman" w:eastAsia="Times New Roman" w:hint="default"/>
        </w:rPr>
        <w:t>02”</w:t>
      </w:r>
      <w:r>
        <w:rPr/>
        <w:t>的回售金额为人民币</w:t>
      </w:r>
      <w:r>
        <w:rPr>
          <w:spacing w:val="-51"/>
        </w:rPr>
        <w:t> </w:t>
      </w:r>
      <w:r>
        <w:rPr>
          <w:rFonts w:ascii="Times New Roman" w:hAnsi="Times New Roman" w:cs="Times New Roman" w:eastAsia="Times New Roman" w:hint="default"/>
        </w:rPr>
        <w:t>1,292,200,000</w:t>
      </w:r>
      <w:r>
        <w:rPr>
          <w:rFonts w:ascii="Times New Roman" w:hAnsi="Times New Roman" w:cs="Times New Roman" w:eastAsia="Times New Roman" w:hint="default"/>
          <w:spacing w:val="1"/>
        </w:rPr>
        <w:t> </w:t>
      </w:r>
      <w:r>
        <w:rPr>
          <w:spacing w:val="-4"/>
        </w:rPr>
        <w:t>元（不含利息）。</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日为本次</w:t>
      </w:r>
      <w:r>
        <w:rPr>
          <w:w w:val="100"/>
        </w:rPr>
        <w:t> </w:t>
      </w:r>
      <w:r>
        <w:rPr>
          <w:spacing w:val="-4"/>
        </w:rPr>
        <w:t>回售债券资金发放日。本次回售实施完毕后，</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17"/>
        </w:rPr>
        <w:t> </w:t>
      </w:r>
      <w:r>
        <w:rPr/>
        <w:t>青港</w:t>
      </w:r>
      <w:r>
        <w:rPr>
          <w:spacing w:val="-36"/>
        </w:rPr>
        <w:t> </w:t>
      </w:r>
      <w:r>
        <w:rPr>
          <w:rFonts w:ascii="Times New Roman" w:hAnsi="Times New Roman" w:cs="Times New Roman" w:eastAsia="Times New Roman" w:hint="default"/>
        </w:rPr>
        <w:t>02”</w:t>
      </w:r>
      <w:r>
        <w:rPr/>
        <w:t>公司债券在上海证券交易所上市并交易的</w:t>
      </w:r>
      <w:r>
        <w:rPr>
          <w:spacing w:val="-98"/>
        </w:rPr>
        <w:t> </w:t>
      </w:r>
      <w:r>
        <w:rPr>
          <w:spacing w:val="-98"/>
        </w:rPr>
      </w:r>
      <w:r>
        <w:rPr/>
        <w:t>债券余额为</w:t>
      </w:r>
      <w:r>
        <w:rPr>
          <w:spacing w:val="-57"/>
        </w:rPr>
        <w:t> </w:t>
      </w:r>
      <w:r>
        <w:rPr>
          <w:rFonts w:ascii="Times New Roman" w:hAnsi="Times New Roman" w:cs="Times New Roman" w:eastAsia="Times New Roman" w:hint="default"/>
        </w:rPr>
        <w:t>7.078</w:t>
      </w:r>
      <w:r>
        <w:rPr>
          <w:rFonts w:ascii="Times New Roman" w:hAnsi="Times New Roman" w:cs="Times New Roman" w:eastAsia="Times New Roman" w:hint="default"/>
          <w:spacing w:val="-4"/>
        </w:rPr>
        <w:t> </w:t>
      </w:r>
      <w:r>
        <w:rPr/>
        <w:t>亿元。公告内容详见上海证券交易所网站（</w:t>
      </w:r>
      <w:hyperlink r:id="rId13">
        <w:r>
          <w:rPr>
            <w:rFonts w:ascii="Times New Roman" w:hAnsi="Times New Roman" w:cs="Times New Roman" w:eastAsia="Times New Roman" w:hint="default"/>
          </w:rPr>
          <w:t>www.sse.com.cn</w:t>
        </w:r>
      </w:hyperlink>
      <w:r>
        <w:rPr/>
        <w:t>）。</w:t>
      </w:r>
    </w:p>
    <w:p>
      <w:pPr>
        <w:pStyle w:val="BodyText"/>
        <w:spacing w:line="207" w:lineRule="exact"/>
        <w:ind w:left="638"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t>二、公司债券受托管理联系人、联系方式及资信评级机构联系方式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867"/>
        <w:gridCol w:w="1237"/>
        <w:gridCol w:w="6078"/>
      </w:tblGrid>
      <w:tr>
        <w:trPr>
          <w:trHeight w:val="329" w:hRule="exact"/>
        </w:trPr>
        <w:tc>
          <w:tcPr>
            <w:tcW w:w="18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瑞银证券有限责任公司</w:t>
            </w:r>
          </w:p>
        </w:tc>
      </w:tr>
      <w:tr>
        <w:trPr>
          <w:trHeight w:val="331" w:hRule="exact"/>
        </w:trPr>
        <w:tc>
          <w:tcPr>
            <w:tcW w:w="1867" w:type="dxa"/>
            <w:vMerge/>
            <w:tcBorders>
              <w:left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6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号英蓝国际金融中心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329" w:hRule="exact"/>
        </w:trPr>
        <w:tc>
          <w:tcPr>
            <w:tcW w:w="1867" w:type="dxa"/>
            <w:vMerge/>
            <w:tcBorders>
              <w:left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6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sz w:val="21"/>
                <w:szCs w:val="21"/>
              </w:rPr>
              <w:t>贾巍巍</w:t>
            </w:r>
            <w:r>
              <w:rPr>
                <w:rFonts w:ascii="宋体" w:hAnsi="宋体" w:cs="宋体" w:eastAsia="宋体" w:hint="default"/>
                <w:sz w:val="21"/>
                <w:szCs w:val="21"/>
              </w:rPr>
              <w:t> </w:t>
            </w:r>
          </w:p>
        </w:tc>
      </w:tr>
      <w:tr>
        <w:trPr>
          <w:trHeight w:val="331" w:hRule="exact"/>
        </w:trPr>
        <w:tc>
          <w:tcPr>
            <w:tcW w:w="1867" w:type="dxa"/>
            <w:vMerge/>
            <w:tcBorders>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6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宋体" w:hAnsi="宋体" w:cs="宋体" w:eastAsia="宋体" w:hint="default"/>
                <w:sz w:val="21"/>
                <w:szCs w:val="21"/>
              </w:rPr>
            </w:pPr>
            <w:r>
              <w:rPr>
                <w:rFonts w:ascii="Times New Roman"/>
                <w:sz w:val="21"/>
              </w:rPr>
              <w:t>010-58328888</w:t>
            </w:r>
            <w:r>
              <w:rPr>
                <w:rFonts w:ascii="宋体"/>
                <w:sz w:val="21"/>
              </w:rPr>
              <w:t> </w:t>
            </w:r>
          </w:p>
        </w:tc>
      </w:tr>
      <w:tr>
        <w:trPr>
          <w:trHeight w:val="329" w:hRule="exact"/>
        </w:trPr>
        <w:tc>
          <w:tcPr>
            <w:tcW w:w="1867" w:type="dxa"/>
            <w:vMerge w:val="restart"/>
            <w:tcBorders>
              <w:top w:val="single" w:sz="4" w:space="0" w:color="000000"/>
              <w:left w:val="single" w:sz="4" w:space="0" w:color="000000"/>
              <w:right w:val="single" w:sz="4" w:space="0" w:color="000000"/>
            </w:tcBorders>
          </w:tcPr>
          <w:p>
            <w:pPr>
              <w:pStyle w:val="TableParagraph"/>
              <w:spacing w:line="240" w:lineRule="auto" w:before="177"/>
              <w:ind w:left="297"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大公国际资信评估有限公司</w:t>
            </w:r>
            <w:r>
              <w:rPr>
                <w:rFonts w:ascii="宋体" w:hAnsi="宋体" w:cs="宋体" w:eastAsia="宋体" w:hint="default"/>
                <w:sz w:val="21"/>
                <w:szCs w:val="21"/>
              </w:rPr>
              <w:t> </w:t>
            </w:r>
          </w:p>
        </w:tc>
      </w:tr>
      <w:tr>
        <w:trPr>
          <w:trHeight w:val="331" w:hRule="exact"/>
        </w:trPr>
        <w:tc>
          <w:tcPr>
            <w:tcW w:w="1867" w:type="dxa"/>
            <w:vMerge/>
            <w:tcBorders>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6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z w:val="21"/>
                <w:szCs w:val="21"/>
              </w:rPr>
              <w:t>北京市海淀区西三环北路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89 </w:t>
            </w:r>
            <w:r>
              <w:rPr>
                <w:rFonts w:ascii="宋体" w:hAnsi="宋体" w:cs="宋体" w:eastAsia="宋体" w:hint="default"/>
                <w:sz w:val="21"/>
                <w:szCs w:val="21"/>
              </w:rPr>
              <w:t>号中国外文大厦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3"/>
                <w:sz w:val="21"/>
                <w:szCs w:val="21"/>
              </w:rPr>
              <w:t>层</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三、公司债券募集资金使用情况</w:t>
      </w:r>
      <w:r>
        <w:rPr>
          <w:b w:val="0"/>
          <w:bCs w:val="0"/>
        </w:rPr>
      </w:r>
    </w:p>
    <w:p>
      <w:pPr>
        <w:pStyle w:val="BodyText"/>
        <w:tabs>
          <w:tab w:pos="1161" w:val="left" w:leader="none"/>
        </w:tabs>
        <w:spacing w:line="240" w:lineRule="auto" w:before="56"/>
        <w:ind w:right="0"/>
        <w:jc w:val="left"/>
      </w:pPr>
      <w:r>
        <w:rPr/>
        <w:t>√适用</w:t>
        <w:tab/>
        <w:t>□不适用</w:t>
      </w:r>
    </w:p>
    <w:p>
      <w:pPr>
        <w:spacing w:after="0" w:line="240" w:lineRule="auto"/>
        <w:jc w:val="left"/>
        <w:sectPr>
          <w:footerReference w:type="default" r:id="rId47"/>
          <w:pgSz w:w="11910" w:h="16840"/>
          <w:pgMar w:footer="974" w:header="0" w:top="1100" w:bottom="1160" w:left="1200" w:right="1300"/>
          <w:pgNumType w:start="77"/>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04" w:lineRule="auto" w:before="36"/>
        <w:ind w:right="212" w:firstLine="420"/>
        <w:jc w:val="right"/>
      </w:pPr>
      <w:r>
        <w:rPr>
          <w:spacing w:val="-2"/>
        </w:rPr>
        <w:t>本公司的全部公司债券募集资金使用情况与募集说明书承诺的用途、使用计划一致：在扣除必</w:t>
      </w:r>
      <w:r>
        <w:rPr>
          <w:w w:val="100"/>
        </w:rPr>
        <w:t> </w:t>
      </w:r>
      <w:r>
        <w:rPr>
          <w:spacing w:val="-4"/>
        </w:rPr>
        <w:t>要的发行费用后，</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3"/>
        </w:rPr>
        <w:t> </w:t>
      </w:r>
      <w:r>
        <w:rPr/>
        <w:t>青港</w:t>
      </w:r>
      <w:r>
        <w:rPr>
          <w:spacing w:val="-46"/>
        </w:rPr>
        <w:t> </w:t>
      </w:r>
      <w:r>
        <w:rPr>
          <w:rFonts w:ascii="Times New Roman" w:hAnsi="Times New Roman" w:cs="Times New Roman" w:eastAsia="Times New Roman" w:hint="default"/>
        </w:rPr>
        <w:t>01”</w:t>
      </w:r>
      <w:r>
        <w:rPr/>
        <w:t>实际募集资金</w:t>
      </w:r>
      <w:r>
        <w:rPr>
          <w:spacing w:val="-50"/>
        </w:rPr>
        <w:t> </w:t>
      </w:r>
      <w:r>
        <w:rPr>
          <w:rFonts w:ascii="Times New Roman" w:hAnsi="Times New Roman" w:cs="Times New Roman" w:eastAsia="Times New Roman" w:hint="default"/>
        </w:rPr>
        <w:t>14.91</w:t>
      </w:r>
      <w:r>
        <w:rPr>
          <w:rFonts w:ascii="Times New Roman" w:hAnsi="Times New Roman" w:cs="Times New Roman" w:eastAsia="Times New Roman" w:hint="default"/>
          <w:spacing w:val="2"/>
        </w:rPr>
        <w:t> </w:t>
      </w:r>
      <w:r>
        <w:rPr>
          <w:spacing w:val="-4"/>
        </w:rPr>
        <w:t>亿元，全部用于补充流动资金；</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3"/>
        </w:rPr>
        <w:t> </w:t>
      </w:r>
      <w:r>
        <w:rPr/>
        <w:t>青港</w:t>
      </w:r>
      <w:r>
        <w:rPr>
          <w:spacing w:val="-47"/>
        </w:rPr>
        <w:t> </w:t>
      </w:r>
      <w:r>
        <w:rPr>
          <w:rFonts w:ascii="Times New Roman" w:hAnsi="Times New Roman" w:cs="Times New Roman" w:eastAsia="Times New Roman" w:hint="default"/>
        </w:rPr>
        <w:t>02”</w:t>
      </w:r>
      <w:r>
        <w:rPr/>
        <w:t>实际</w:t>
      </w:r>
      <w:r>
        <w:rPr>
          <w:spacing w:val="-3"/>
          <w:w w:val="100"/>
        </w:rPr>
        <w:t> </w:t>
      </w:r>
      <w:r>
        <w:rPr/>
        <w:t>募集资金</w:t>
      </w:r>
      <w:r>
        <w:rPr>
          <w:spacing w:val="-47"/>
        </w:rPr>
        <w:t> </w:t>
      </w:r>
      <w:r>
        <w:rPr>
          <w:rFonts w:ascii="Times New Roman" w:hAnsi="Times New Roman" w:cs="Times New Roman" w:eastAsia="Times New Roman" w:hint="default"/>
        </w:rPr>
        <w:t>19.91</w:t>
      </w:r>
      <w:r>
        <w:rPr>
          <w:rFonts w:ascii="Times New Roman" w:hAnsi="Times New Roman" w:cs="Times New Roman" w:eastAsia="Times New Roman" w:hint="default"/>
          <w:spacing w:val="3"/>
        </w:rPr>
        <w:t> </w:t>
      </w:r>
      <w:r>
        <w:rPr>
          <w:spacing w:val="-11"/>
        </w:rPr>
        <w:t>亿元，全部用于补充流动资金。截至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7"/>
        </w:rPr>
        <w:t>日，公司债券募集专户无余额。</w:t>
      </w:r>
      <w:r>
        <w:rPr>
          <w:w w:val="100"/>
        </w:rPr>
        <w:t> </w:t>
      </w:r>
      <w:r>
        <w:rPr>
          <w:spacing w:val="-2"/>
        </w:rPr>
        <w:t>本公司制定专门的债券募集资金使用计划，相关业务部门对资金使用情况进行严格检查，切实</w:t>
      </w:r>
      <w:r>
        <w:rPr>
          <w:w w:val="100"/>
        </w:rPr>
        <w:t> </w:t>
      </w:r>
      <w:r>
        <w:rPr>
          <w:spacing w:val="-2"/>
        </w:rPr>
        <w:t>做到专款专用，保证募集资金的投入、运用等方面的顺畅运作，并确保债券募集资金根据股东大会</w:t>
      </w:r>
    </w:p>
    <w:p>
      <w:pPr>
        <w:pStyle w:val="BodyText"/>
        <w:spacing w:line="240" w:lineRule="auto" w:before="28"/>
        <w:ind w:right="0"/>
        <w:jc w:val="both"/>
      </w:pPr>
      <w:r>
        <w:rPr/>
        <w:t>决议并按照募集说明书披露的用途使用。</w:t>
      </w:r>
    </w:p>
    <w:p>
      <w:pPr>
        <w:spacing w:line="240" w:lineRule="auto" w:before="7"/>
        <w:rPr>
          <w:rFonts w:ascii="宋体" w:hAnsi="宋体" w:cs="宋体" w:eastAsia="宋体" w:hint="default"/>
          <w:sz w:val="23"/>
          <w:szCs w:val="23"/>
        </w:rPr>
      </w:pPr>
    </w:p>
    <w:p>
      <w:pPr>
        <w:pStyle w:val="Heading5"/>
        <w:spacing w:line="240" w:lineRule="auto" w:before="0"/>
        <w:ind w:right="0"/>
        <w:jc w:val="both"/>
        <w:rPr>
          <w:b w:val="0"/>
          <w:bCs w:val="0"/>
        </w:rPr>
      </w:pPr>
      <w:r>
        <w:rPr/>
        <w:t>四、公司债券评级情况</w:t>
      </w:r>
      <w:r>
        <w:rPr>
          <w:b w:val="0"/>
          <w:bCs w:val="0"/>
        </w:rPr>
      </w:r>
    </w:p>
    <w:p>
      <w:pPr>
        <w:pStyle w:val="BodyText"/>
        <w:spacing w:line="304" w:lineRule="auto" w:before="58"/>
        <w:ind w:left="638" w:right="20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5"/>
          <w:w w:val="100"/>
        </w:rPr>
        <w:t>大公国际资信评估有限公司是公司及公司发行全部公司债的资信评级机构，</w:t>
      </w:r>
      <w:r>
        <w:rPr>
          <w:rFonts w:ascii="Times New Roman" w:hAnsi="Times New Roman" w:cs="Times New Roman" w:eastAsia="Times New Roman" w:hint="default"/>
          <w:spacing w:val="-5"/>
          <w:w w:val="100"/>
        </w:rPr>
        <w:t>2016</w:t>
      </w:r>
      <w:r>
        <w:rPr>
          <w:rFonts w:ascii="Times New Roman" w:hAnsi="Times New Roman" w:cs="Times New Roman" w:eastAsia="Times New Roman" w:hint="default"/>
          <w:spacing w:val="4"/>
          <w:w w:val="100"/>
        </w:rPr>
        <w:t> </w:t>
      </w:r>
      <w:r>
        <w:rPr>
          <w:w w:val="100"/>
        </w:rPr>
        <w:t>年</w:t>
      </w:r>
      <w:r>
        <w:rPr>
          <w:spacing w:val="-52"/>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 </w:t>
      </w:r>
      <w:r>
        <w:rPr>
          <w:w w:val="100"/>
        </w:rPr>
        <w:t>月</w:t>
      </w:r>
      <w:r>
        <w:rPr>
          <w:spacing w:val="-52"/>
          <w:w w:val="100"/>
        </w:rPr>
        <w:t> </w:t>
      </w:r>
      <w:r>
        <w:rPr>
          <w:rFonts w:ascii="Times New Roman" w:hAnsi="Times New Roman" w:cs="Times New Roman" w:eastAsia="Times New Roman" w:hint="default"/>
          <w:w w:val="100"/>
        </w:rPr>
        <w:t>11 </w:t>
      </w:r>
      <w:r>
        <w:rPr>
          <w:w w:val="100"/>
        </w:rPr>
        <w:t>日，</w:t>
      </w:r>
    </w:p>
    <w:p>
      <w:pPr>
        <w:pStyle w:val="BodyText"/>
        <w:spacing w:line="297" w:lineRule="auto" w:before="7"/>
        <w:ind w:right="200"/>
        <w:jc w:val="left"/>
      </w:pPr>
      <w:r>
        <w:rPr/>
        <w:t>审定本公司主体及“</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青港</w:t>
      </w:r>
      <w:r>
        <w:rPr>
          <w:spacing w:val="-53"/>
        </w:rPr>
        <w:t> </w:t>
      </w:r>
      <w:r>
        <w:rPr>
          <w:rFonts w:ascii="Times New Roman" w:hAnsi="Times New Roman" w:cs="Times New Roman" w:eastAsia="Times New Roman" w:hint="default"/>
        </w:rPr>
        <w:t>01</w:t>
      </w:r>
      <w:r>
        <w:rPr/>
        <w:t>”信用等级为</w:t>
      </w:r>
      <w:r>
        <w:rPr>
          <w:rFonts w:ascii="Times New Roman" w:hAnsi="Times New Roman" w:cs="Times New Roman" w:eastAsia="Times New Roman" w:hint="default"/>
        </w:rPr>
        <w:t>“AAA”</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日，审定本公司主体及“</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青</w:t>
      </w:r>
      <w:r>
        <w:rPr>
          <w:w w:val="100"/>
        </w:rPr>
        <w:t> </w:t>
      </w:r>
      <w:r>
        <w:rPr/>
        <w:t>港</w:t>
      </w:r>
      <w:r>
        <w:rPr>
          <w:spacing w:val="-46"/>
        </w:rPr>
        <w:t> </w:t>
      </w:r>
      <w:r>
        <w:rPr>
          <w:rFonts w:ascii="Times New Roman" w:hAnsi="Times New Roman" w:cs="Times New Roman" w:eastAsia="Times New Roman" w:hint="default"/>
          <w:spacing w:val="-4"/>
        </w:rPr>
        <w:t>02</w:t>
      </w:r>
      <w:r>
        <w:rPr>
          <w:spacing w:val="-4"/>
        </w:rPr>
        <w:t>”信用等级为</w:t>
      </w:r>
      <w:r>
        <w:rPr>
          <w:rFonts w:ascii="Times New Roman" w:hAnsi="Times New Roman" w:cs="Times New Roman" w:eastAsia="Times New Roman" w:hint="default"/>
          <w:spacing w:val="-4"/>
        </w:rPr>
        <w:t>“AAA”</w:t>
      </w:r>
      <w:r>
        <w:rPr>
          <w:spacing w:val="-4"/>
        </w:rPr>
        <w:t>；</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spacing w:val="-5"/>
        </w:rPr>
        <w:t>日，对本公司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spacing w:val="-3"/>
        </w:rPr>
        <w:t>年两期公司债进行跟踪评级，维持本</w:t>
      </w:r>
    </w:p>
    <w:p>
      <w:pPr>
        <w:pStyle w:val="BodyText"/>
        <w:spacing w:line="240" w:lineRule="auto" w:before="13"/>
        <w:ind w:right="0"/>
        <w:jc w:val="both"/>
      </w:pPr>
      <w:r>
        <w:rPr/>
        <w:t>公司主体及两期公司债信用等级</w:t>
      </w:r>
      <w:r>
        <w:rPr>
          <w:rFonts w:ascii="Times New Roman" w:hAnsi="Times New Roman" w:cs="Times New Roman" w:eastAsia="Times New Roman" w:hint="default"/>
        </w:rPr>
        <w:t>“AAA”</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3"/>
        </w:rPr>
        <w:t>日，对本公司</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年两期公司债进行跟踪</w:t>
      </w:r>
    </w:p>
    <w:p>
      <w:pPr>
        <w:pStyle w:val="BodyText"/>
        <w:spacing w:line="297" w:lineRule="auto" w:before="69"/>
        <w:ind w:right="211"/>
        <w:jc w:val="both"/>
        <w:rPr>
          <w:rFonts w:ascii="宋体" w:hAnsi="宋体" w:cs="宋体" w:eastAsia="宋体" w:hint="default"/>
        </w:rPr>
      </w:pPr>
      <w:r>
        <w:rPr/>
        <w:t>评级，维持本公司主体及两期公司债信用等级</w:t>
      </w:r>
      <w:r>
        <w:rPr>
          <w:rFonts w:ascii="Times New Roman" w:hAnsi="Times New Roman" w:cs="Times New Roman" w:eastAsia="Times New Roman" w:hint="default"/>
        </w:rPr>
        <w:t>“AAA”</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3"/>
        </w:rPr>
        <w:t>日，对本公司</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年两期公</w:t>
      </w:r>
      <w:r>
        <w:rPr>
          <w:w w:val="100"/>
        </w:rPr>
        <w:t> </w:t>
      </w:r>
      <w:r>
        <w:rPr>
          <w:spacing w:val="-2"/>
        </w:rPr>
        <w:t>司债进行跟踪评级，维持本公司主体及两期公司债信用等级</w:t>
      </w:r>
      <w:r>
        <w:rPr>
          <w:rFonts w:ascii="Times New Roman" w:hAnsi="Times New Roman" w:cs="Times New Roman" w:eastAsia="Times New Roman" w:hint="default"/>
          <w:spacing w:val="-2"/>
        </w:rPr>
        <w:t>“AAA“</w:t>
      </w:r>
      <w:r>
        <w:rPr>
          <w:spacing w:val="-2"/>
        </w:rPr>
        <w:t>。全部评级内容详见上海证券交</w:t>
      </w:r>
      <w:r>
        <w:rPr>
          <w:spacing w:val="-25"/>
        </w:rPr>
        <w:t> </w:t>
      </w:r>
      <w:r>
        <w:rPr>
          <w:spacing w:val="-25"/>
        </w:rPr>
      </w:r>
      <w:r>
        <w:rPr/>
        <w:t>易所网站（</w:t>
      </w:r>
      <w:hyperlink r:id="rId13">
        <w:r>
          <w:rPr>
            <w:rFonts w:ascii="Times New Roman" w:hAnsi="Times New Roman" w:cs="Times New Roman" w:eastAsia="Times New Roman" w:hint="default"/>
          </w:rPr>
          <w:t>www.sse.com.cn</w:t>
        </w:r>
      </w:hyperlink>
      <w:r>
        <w:rPr/>
        <w:t>）。</w:t>
      </w:r>
      <w:r>
        <w:rPr>
          <w:rFonts w:ascii="宋体" w:hAnsi="宋体" w:cs="宋体" w:eastAsia="宋体" w:hint="default"/>
        </w:rPr>
        <w:t> </w:t>
      </w:r>
    </w:p>
    <w:p>
      <w:pPr>
        <w:pStyle w:val="BodyText"/>
        <w:spacing w:line="211" w:lineRule="exact"/>
        <w:ind w:right="0"/>
        <w:jc w:val="both"/>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5"/>
        <w:spacing w:line="240" w:lineRule="auto" w:before="0"/>
        <w:ind w:right="0"/>
        <w:jc w:val="both"/>
        <w:rPr>
          <w:b w:val="0"/>
          <w:bCs w:val="0"/>
        </w:rPr>
      </w:pPr>
      <w:r>
        <w:rPr/>
        <w:t>五、报告期内公司债券增信机制、偿债计划及其他相关情况</w:t>
      </w:r>
      <w:r>
        <w:rPr>
          <w:b w:val="0"/>
          <w:bCs w:val="0"/>
        </w:rPr>
      </w:r>
    </w:p>
    <w:p>
      <w:pPr>
        <w:pStyle w:val="BodyText"/>
        <w:spacing w:line="240" w:lineRule="auto" w:before="58"/>
        <w:ind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638" w:right="0"/>
        <w:jc w:val="left"/>
      </w:pPr>
      <w:r>
        <w:rPr>
          <w:rFonts w:ascii="Times New Roman" w:hAnsi="Times New Roman" w:cs="Times New Roman" w:eastAsia="Times New Roman" w:hint="default"/>
        </w:rPr>
        <w:t>1.</w:t>
      </w:r>
      <w:r>
        <w:rPr/>
        <w:t>增信机制。报告期内，公司债券增信机制未发生变更，公司债券均无担保。</w:t>
      </w:r>
    </w:p>
    <w:p>
      <w:pPr>
        <w:pStyle w:val="BodyText"/>
        <w:spacing w:line="240" w:lineRule="auto" w:before="69"/>
        <w:ind w:left="638" w:right="0"/>
        <w:jc w:val="left"/>
        <w:rPr>
          <w:rFonts w:ascii="宋体" w:hAnsi="宋体" w:cs="宋体" w:eastAsia="宋体" w:hint="default"/>
        </w:rPr>
      </w:pPr>
      <w:r>
        <w:rPr>
          <w:rFonts w:ascii="Times New Roman" w:hAnsi="Times New Roman" w:cs="Times New Roman" w:eastAsia="Times New Roman" w:hint="default"/>
        </w:rPr>
        <w:t>2.</w:t>
      </w:r>
      <w:r>
        <w:rPr/>
        <w:t>偿债计划及偿债保障措施。报告期内，公司偿债计划及偿债保障措施未发生变更。</w:t>
      </w:r>
      <w:r>
        <w:rPr>
          <w:rFonts w:ascii="宋体" w:hAnsi="宋体" w:cs="宋体" w:eastAsia="宋体" w:hint="default"/>
        </w:rPr>
        <w:t> </w:t>
      </w:r>
    </w:p>
    <w:p>
      <w:pPr>
        <w:pStyle w:val="Heading5"/>
        <w:spacing w:line="290" w:lineRule="auto" w:before="0"/>
        <w:ind w:right="6000"/>
        <w:jc w:val="left"/>
        <w:rPr>
          <w:b w:val="0"/>
          <w:bCs w:val="0"/>
        </w:rPr>
      </w:pPr>
      <w:r>
        <w:rPr>
          <w:rFonts w:ascii="宋体" w:hAnsi="宋体" w:cs="宋体" w:eastAsia="宋体" w:hint="default"/>
          <w:b w:val="0"/>
          <w:bCs w:val="0"/>
          <w:w w:val="100"/>
        </w:rPr>
        <w:t> </w:t>
      </w:r>
      <w:r>
        <w:rPr>
          <w:w w:val="100"/>
        </w:rPr>
        <w:t>六、公司债券持有人会</w:t>
      </w:r>
      <w:r>
        <w:rPr>
          <w:spacing w:val="-3"/>
          <w:w w:val="100"/>
        </w:rPr>
        <w:t>议</w:t>
      </w:r>
      <w:r>
        <w:rPr>
          <w:w w:val="100"/>
        </w:rPr>
        <w:t>召</w:t>
      </w:r>
      <w:r>
        <w:rPr>
          <w:spacing w:val="-3"/>
          <w:w w:val="100"/>
        </w:rPr>
        <w:t>开</w:t>
      </w:r>
      <w:r>
        <w:rPr>
          <w:w w:val="100"/>
        </w:rPr>
        <w:t>情况</w:t>
      </w:r>
      <w:r>
        <w:rPr>
          <w:b w:val="0"/>
          <w:bCs w:val="0"/>
          <w:w w:val="100"/>
        </w:rPr>
      </w:r>
    </w:p>
    <w:p>
      <w:pPr>
        <w:pStyle w:val="BodyText"/>
        <w:spacing w:line="274" w:lineRule="exact" w:before="12"/>
        <w:ind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6000"/>
        <w:jc w:val="left"/>
        <w:rPr>
          <w:b w:val="0"/>
          <w:bCs w:val="0"/>
        </w:rPr>
      </w:pPr>
      <w:r>
        <w:rPr>
          <w:rFonts w:ascii="宋体" w:hAnsi="宋体" w:cs="宋体" w:eastAsia="宋体" w:hint="default"/>
          <w:b w:val="0"/>
          <w:bCs w:val="0"/>
          <w:w w:val="100"/>
        </w:rPr>
        <w:t> </w:t>
      </w:r>
      <w:r>
        <w:rPr>
          <w:w w:val="100"/>
        </w:rPr>
        <w:t>七、公司债券受托管理</w:t>
      </w:r>
      <w:r>
        <w:rPr>
          <w:spacing w:val="-3"/>
          <w:w w:val="100"/>
        </w:rPr>
        <w:t>人</w:t>
      </w:r>
      <w:r>
        <w:rPr>
          <w:w w:val="100"/>
        </w:rPr>
        <w:t>履</w:t>
      </w:r>
      <w:r>
        <w:rPr>
          <w:spacing w:val="-3"/>
          <w:w w:val="100"/>
        </w:rPr>
        <w:t>职</w:t>
      </w:r>
      <w:r>
        <w:rPr>
          <w:w w:val="100"/>
        </w:rPr>
        <w:t>情况</w:t>
      </w:r>
      <w:r>
        <w:rPr>
          <w:b w:val="0"/>
          <w:bCs w:val="0"/>
          <w:w w:val="100"/>
        </w:rPr>
      </w:r>
    </w:p>
    <w:p>
      <w:pPr>
        <w:pStyle w:val="BodyText"/>
        <w:spacing w:line="304" w:lineRule="auto" w:before="14"/>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公司债券存续期内，债券受托管理人严格按照《债券受托管理协议》中的约定，对公司资信状</w:t>
      </w:r>
    </w:p>
    <w:p>
      <w:pPr>
        <w:pStyle w:val="BodyText"/>
        <w:spacing w:line="314" w:lineRule="auto" w:before="28"/>
        <w:ind w:right="248"/>
        <w:jc w:val="both"/>
      </w:pPr>
      <w:r>
        <w:rPr>
          <w:spacing w:val="-2"/>
        </w:rPr>
        <w:t>况、募集资金管理运用情况、公司债券本息偿付情况等进行了持续跟踪，并督促公司履行公司债券</w:t>
      </w:r>
      <w:r>
        <w:rPr>
          <w:spacing w:val="-25"/>
        </w:rPr>
        <w:t> </w:t>
      </w:r>
      <w:r>
        <w:rPr>
          <w:spacing w:val="-25"/>
        </w:rPr>
      </w:r>
      <w:r>
        <w:rPr>
          <w:spacing w:val="-2"/>
        </w:rPr>
        <w:t>募集说明书中所约定义务，积极行使了债券受托管理人职责，维护债券持有人的合法权益。受托管</w:t>
      </w:r>
      <w:r>
        <w:rPr>
          <w:spacing w:val="-25"/>
        </w:rPr>
        <w:t> </w:t>
      </w:r>
      <w:r>
        <w:rPr>
          <w:spacing w:val="-25"/>
        </w:rPr>
      </w:r>
      <w:r>
        <w:rPr/>
        <w:t>理人已于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日披露了《青岛港国际股份有限公司</w:t>
      </w:r>
      <w:r>
        <w:rPr>
          <w:spacing w:val="-53"/>
        </w:rPr>
        <w:t> </w:t>
      </w:r>
      <w:r>
        <w:rPr>
          <w:rFonts w:ascii="Times New Roman" w:hAnsi="Times New Roman" w:cs="Times New Roman" w:eastAsia="Times New Roman" w:hint="default"/>
        </w:rPr>
        <w:t>2016 </w:t>
      </w:r>
      <w:r>
        <w:rPr/>
        <w:t>年公司债券受托管理事务报告</w:t>
      </w:r>
    </w:p>
    <w:p>
      <w:pPr>
        <w:pStyle w:val="BodyText"/>
        <w:spacing w:line="289" w:lineRule="exact"/>
        <w:ind w:right="0"/>
        <w:jc w:val="both"/>
        <w:rPr>
          <w:rFonts w:ascii="宋体" w:hAnsi="宋体" w:cs="宋体" w:eastAsia="宋体" w:hint="default"/>
        </w:rPr>
      </w:pPr>
      <w:r>
        <w:rPr>
          <w:spacing w:val="-1"/>
        </w:rPr>
        <w:t>（</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rFonts w:ascii="Times New Roman" w:hAnsi="Times New Roman" w:cs="Times New Roman" w:eastAsia="Times New Roman" w:hint="default"/>
          <w:spacing w:val="13"/>
        </w:rPr>
        <w:t> </w:t>
      </w:r>
      <w:r>
        <w:rPr>
          <w:spacing w:val="-2"/>
        </w:rPr>
        <w:t>年度）》，报告内容详见上海证券交易所网站（</w:t>
      </w:r>
      <w:hyperlink r:id="rId13">
        <w:r>
          <w:rPr>
            <w:rFonts w:ascii="Times New Roman" w:hAnsi="Times New Roman" w:cs="Times New Roman" w:eastAsia="Times New Roman" w:hint="default"/>
            <w:spacing w:val="-2"/>
          </w:rPr>
          <w:t>www.sse.com.cn</w:t>
        </w:r>
      </w:hyperlink>
      <w:r>
        <w:rPr>
          <w:spacing w:val="-2"/>
        </w:rPr>
        <w:t>）。</w:t>
      </w:r>
      <w:r>
        <w:rPr>
          <w:rFonts w:ascii="宋体" w:hAnsi="宋体" w:cs="宋体" w:eastAsia="宋体" w:hint="default"/>
        </w:rPr>
        <w:t> </w:t>
      </w: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74" w:top="1100" w:bottom="1160" w:left="1200" w:right="1200"/>
        </w:sectPr>
      </w:pPr>
    </w:p>
    <w:p>
      <w:pPr>
        <w:pStyle w:val="Heading5"/>
        <w:spacing w:line="240" w:lineRule="auto" w:before="36"/>
        <w:ind w:right="-14"/>
        <w:jc w:val="left"/>
        <w:rPr>
          <w:b w:val="0"/>
          <w:bCs w:val="0"/>
        </w:rPr>
      </w:pPr>
      <w:r>
        <w:rPr/>
        <w:t>八、截至报告期末公司近</w:t>
      </w:r>
      <w:r>
        <w:rPr>
          <w:spacing w:val="-54"/>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Heading3"/>
        <w:spacing w:line="240" w:lineRule="auto" w:before="37"/>
        <w:ind w:right="-1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5082" w:space="1677"/>
            <w:col w:w="275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34"/>
        <w:gridCol w:w="1277"/>
        <w:gridCol w:w="1274"/>
        <w:gridCol w:w="1985"/>
        <w:gridCol w:w="2269"/>
      </w:tblGrid>
      <w:tr>
        <w:trPr>
          <w:trHeight w:val="65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585" w:right="144" w:hanging="440"/>
              <w:jc w:val="left"/>
              <w:rPr>
                <w:rFonts w:ascii="宋体" w:hAnsi="宋体" w:cs="宋体" w:eastAsia="宋体" w:hint="default"/>
                <w:sz w:val="21"/>
                <w:szCs w:val="21"/>
              </w:rPr>
            </w:pPr>
            <w:r>
              <w:rPr>
                <w:rFonts w:ascii="宋体" w:hAnsi="宋体" w:cs="宋体" w:eastAsia="宋体" w:hint="default"/>
                <w:sz w:val="21"/>
                <w:szCs w:val="21"/>
              </w:rPr>
              <w:t>本期比上年同期增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9"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619,439.96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571,305.19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8.43</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28.37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center"/>
              <w:rPr>
                <w:rFonts w:ascii="宋体" w:hAnsi="宋体" w:cs="宋体" w:eastAsia="宋体" w:hint="default"/>
                <w:sz w:val="21"/>
                <w:szCs w:val="21"/>
              </w:rPr>
            </w:pPr>
            <w:r>
              <w:rPr>
                <w:rFonts w:ascii="宋体" w:hAnsi="宋体" w:cs="宋体" w:eastAsia="宋体" w:hint="default"/>
                <w:spacing w:val="16"/>
                <w:sz w:val="21"/>
                <w:szCs w:val="21"/>
              </w:rPr>
              <w:t>主要为已发行的公司</w:t>
            </w:r>
            <w:r>
              <w:rPr>
                <w:rFonts w:ascii="宋体" w:hAnsi="宋体" w:cs="宋体" w:eastAsia="宋体" w:hint="default"/>
                <w:spacing w:val="-86"/>
                <w:sz w:val="21"/>
                <w:szCs w:val="21"/>
              </w:rPr>
              <w:t> </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2234"/>
        <w:gridCol w:w="1277"/>
        <w:gridCol w:w="1274"/>
        <w:gridCol w:w="1985"/>
        <w:gridCol w:w="2269"/>
      </w:tblGrid>
      <w:tr>
        <w:trPr>
          <w:trHeight w:val="648"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585" w:right="144" w:hanging="440"/>
              <w:jc w:val="left"/>
              <w:rPr>
                <w:rFonts w:ascii="宋体" w:hAnsi="宋体" w:cs="宋体" w:eastAsia="宋体" w:hint="default"/>
                <w:sz w:val="21"/>
                <w:szCs w:val="21"/>
              </w:rPr>
            </w:pPr>
            <w:r>
              <w:rPr>
                <w:rFonts w:ascii="宋体" w:hAnsi="宋体" w:cs="宋体" w:eastAsia="宋体" w:hint="default"/>
                <w:sz w:val="21"/>
                <w:szCs w:val="21"/>
              </w:rPr>
              <w:t>本期比上年同期增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70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1610" w:hRule="exact"/>
        </w:trPr>
        <w:tc>
          <w:tcPr>
            <w:tcW w:w="2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80"/>
              <w:jc w:val="both"/>
              <w:rPr>
                <w:rFonts w:ascii="宋体" w:hAnsi="宋体" w:cs="宋体" w:eastAsia="宋体" w:hint="default"/>
                <w:sz w:val="21"/>
                <w:szCs w:val="21"/>
              </w:rPr>
            </w:pPr>
            <w:r>
              <w:rPr>
                <w:rFonts w:ascii="宋体" w:hAnsi="宋体" w:cs="宋体" w:eastAsia="宋体" w:hint="default"/>
                <w:spacing w:val="-6"/>
                <w:sz w:val="21"/>
                <w:szCs w:val="21"/>
              </w:rPr>
              <w:t>债券因回售期结束，由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一年内到期的非流动</w:t>
            </w:r>
            <w:r>
              <w:rPr>
                <w:rFonts w:ascii="宋体" w:hAnsi="宋体" w:cs="宋体" w:eastAsia="宋体" w:hint="default"/>
                <w:spacing w:val="-87"/>
                <w:sz w:val="21"/>
                <w:szCs w:val="21"/>
              </w:rPr>
              <w:t> </w:t>
            </w:r>
            <w:r>
              <w:rPr>
                <w:rFonts w:ascii="宋体" w:hAnsi="宋体" w:cs="宋体" w:eastAsia="宋体" w:hint="default"/>
                <w:spacing w:val="16"/>
                <w:sz w:val="21"/>
                <w:szCs w:val="21"/>
              </w:rPr>
              <w:t>负债重分类至应付债</w:t>
            </w:r>
            <w:r>
              <w:rPr>
                <w:rFonts w:ascii="宋体" w:hAnsi="宋体" w:cs="宋体" w:eastAsia="宋体" w:hint="default"/>
                <w:spacing w:val="-87"/>
                <w:sz w:val="21"/>
                <w:szCs w:val="21"/>
              </w:rPr>
              <w:t> </w:t>
            </w:r>
            <w:r>
              <w:rPr>
                <w:rFonts w:ascii="宋体" w:hAnsi="宋体" w:cs="宋体" w:eastAsia="宋体" w:hint="default"/>
                <w:spacing w:val="-6"/>
                <w:sz w:val="21"/>
                <w:szCs w:val="21"/>
              </w:rPr>
              <w:t>券，导致流动负债大幅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下降。</w:t>
            </w:r>
          </w:p>
        </w:tc>
      </w:tr>
      <w:tr>
        <w:trPr>
          <w:trHeight w:val="33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29.93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同上</w:t>
            </w:r>
          </w:p>
        </w:tc>
      </w:tr>
      <w:tr>
        <w:trPr>
          <w:trHeight w:val="329"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36.35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39.67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-8.37</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-8.55</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23.94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23.76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0.76</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18.48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z w:val="21"/>
              </w:rPr>
              <w:t>16.08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z w:val="21"/>
              </w:rPr>
              <w:t>14.93</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
              <w:ind w:left="103"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29"/>
                <w:sz w:val="21"/>
                <w:szCs w:val="21"/>
              </w:rPr>
              <w:t> </w:t>
            </w:r>
            <w:r>
              <w:rPr>
                <w:rFonts w:ascii="宋体" w:hAnsi="宋体" w:cs="宋体" w:eastAsia="宋体" w:hint="default"/>
                <w:spacing w:val="12"/>
                <w:sz w:val="21"/>
                <w:szCs w:val="21"/>
              </w:rPr>
              <w:t>利息保障倍</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九、公司其他债券和债务融资工具的付息兑付情况</w:t>
      </w:r>
      <w:r>
        <w:rPr>
          <w:b w:val="0"/>
          <w:bCs w:val="0"/>
        </w:rPr>
      </w:r>
    </w:p>
    <w:p>
      <w:pPr>
        <w:pStyle w:val="BodyText"/>
        <w:spacing w:line="273" w:lineRule="exact"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5900"/>
        <w:jc w:val="left"/>
        <w:rPr>
          <w:b w:val="0"/>
          <w:bCs w:val="0"/>
        </w:rPr>
      </w:pPr>
      <w:r>
        <w:rPr>
          <w:rFonts w:ascii="宋体" w:hAnsi="宋体" w:cs="宋体" w:eastAsia="宋体" w:hint="default"/>
          <w:b w:val="0"/>
          <w:bCs w:val="0"/>
          <w:w w:val="100"/>
        </w:rPr>
        <w:t> </w:t>
      </w:r>
      <w:r>
        <w:rPr>
          <w:w w:val="100"/>
        </w:rPr>
        <w:t>十、公司报告期内的银</w:t>
      </w:r>
      <w:r>
        <w:rPr>
          <w:spacing w:val="-3"/>
          <w:w w:val="100"/>
        </w:rPr>
        <w:t>行</w:t>
      </w:r>
      <w:r>
        <w:rPr>
          <w:w w:val="100"/>
        </w:rPr>
        <w:t>授</w:t>
      </w:r>
      <w:r>
        <w:rPr>
          <w:spacing w:val="-3"/>
          <w:w w:val="100"/>
        </w:rPr>
        <w:t>信</w:t>
      </w:r>
      <w:r>
        <w:rPr>
          <w:w w:val="100"/>
        </w:rPr>
        <w:t>情况</w:t>
      </w:r>
      <w:r>
        <w:rPr>
          <w:b w:val="0"/>
          <w:bCs w:val="0"/>
          <w:w w:val="100"/>
        </w:rPr>
      </w:r>
    </w:p>
    <w:p>
      <w:pPr>
        <w:pStyle w:val="BodyText"/>
        <w:spacing w:line="240" w:lineRule="auto" w:before="1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2" w:lineRule="auto" w:before="76"/>
        <w:ind w:right="109" w:firstLine="420"/>
        <w:jc w:val="both"/>
        <w:rPr>
          <w:rFonts w:ascii="宋体" w:hAnsi="宋体" w:cs="宋体" w:eastAsia="宋体" w:hint="default"/>
        </w:rPr>
      </w:pPr>
      <w:r>
        <w:rPr>
          <w:spacing w:val="-3"/>
        </w:rPr>
        <w:t>报告期内，本公司在各大银行等金融机构的资信情况良好，截至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6"/>
        </w:rPr>
        <w:t>日，公司合并</w:t>
      </w:r>
      <w:r>
        <w:rPr>
          <w:w w:val="100"/>
        </w:rPr>
        <w:t> </w:t>
      </w:r>
      <w:r>
        <w:rPr>
          <w:spacing w:val="-2"/>
        </w:rPr>
        <w:t>口径获得中国银行股份有限公司、中信银行股份有限公司、青岛银行股份有限公司、招商银行股份</w:t>
      </w:r>
      <w:r>
        <w:rPr>
          <w:spacing w:val="-25"/>
        </w:rPr>
        <w:t> </w:t>
      </w:r>
      <w:r>
        <w:rPr>
          <w:spacing w:val="-25"/>
        </w:rPr>
      </w:r>
      <w:r>
        <w:rPr/>
        <w:t>有限公司等金融机构给予的授信总额度合计为</w:t>
      </w:r>
      <w:r>
        <w:rPr>
          <w:spacing w:val="-54"/>
        </w:rPr>
        <w:t> </w:t>
      </w:r>
      <w:r>
        <w:rPr>
          <w:rFonts w:ascii="Times New Roman" w:hAnsi="Times New Roman" w:cs="Times New Roman" w:eastAsia="Times New Roman" w:hint="default"/>
        </w:rPr>
        <w:t>56.80</w:t>
      </w:r>
      <w:r>
        <w:rPr>
          <w:rFonts w:ascii="Times New Roman" w:hAnsi="Times New Roman" w:cs="Times New Roman" w:eastAsia="Times New Roman" w:hint="default"/>
          <w:spacing w:val="-1"/>
        </w:rPr>
        <w:t> </w:t>
      </w:r>
      <w:r>
        <w:rPr/>
        <w:t>亿元，其中已使用授信额度</w:t>
      </w:r>
      <w:r>
        <w:rPr>
          <w:spacing w:val="-54"/>
        </w:rPr>
        <w:t> </w:t>
      </w:r>
      <w:r>
        <w:rPr>
          <w:rFonts w:ascii="Times New Roman" w:hAnsi="Times New Roman" w:cs="Times New Roman" w:eastAsia="Times New Roman" w:hint="default"/>
        </w:rPr>
        <w:t>5.21</w:t>
      </w:r>
      <w:r>
        <w:rPr>
          <w:rFonts w:ascii="Times New Roman" w:hAnsi="Times New Roman" w:cs="Times New Roman" w:eastAsia="Times New Roman" w:hint="default"/>
          <w:spacing w:val="-3"/>
        </w:rPr>
        <w:t> </w:t>
      </w:r>
      <w:r>
        <w:rPr/>
        <w:t>亿元。报告期</w:t>
      </w:r>
      <w:r>
        <w:rPr>
          <w:w w:val="100"/>
        </w:rPr>
        <w:t> </w:t>
      </w:r>
      <w:r>
        <w:rPr/>
        <w:t>内，公司均能按时偿还到期银行借款及利息。</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t>十一、公司报告期内执行公司债券募集说明书相关约定或承诺的情况</w:t>
      </w:r>
      <w:r>
        <w:rPr>
          <w:b w:val="0"/>
          <w:bCs w:val="0"/>
        </w:rPr>
      </w:r>
    </w:p>
    <w:p>
      <w:pPr>
        <w:pStyle w:val="BodyText"/>
        <w:spacing w:line="304" w:lineRule="auto" w:before="58"/>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报告期内，公司严格按照公司债券募集说明书约定向债券持有人支付债券利息，不存在违反相</w:t>
      </w:r>
    </w:p>
    <w:p>
      <w:pPr>
        <w:pStyle w:val="BodyText"/>
        <w:spacing w:line="240" w:lineRule="auto" w:before="28"/>
        <w:ind w:right="0"/>
        <w:jc w:val="left"/>
        <w:rPr>
          <w:rFonts w:ascii="宋体" w:hAnsi="宋体" w:cs="宋体" w:eastAsia="宋体" w:hint="default"/>
        </w:rPr>
      </w:pPr>
      <w:r>
        <w:rPr/>
        <w:t>关约定及承诺的情况。</w:t>
      </w:r>
      <w:r>
        <w:rPr>
          <w:rFonts w:ascii="宋体" w:hAnsi="宋体" w:cs="宋体" w:eastAsia="宋体" w:hint="default"/>
        </w:rPr>
        <w:t> </w:t>
      </w:r>
    </w:p>
    <w:p>
      <w:pPr>
        <w:pStyle w:val="Heading3"/>
        <w:spacing w:line="240" w:lineRule="auto" w:before="2"/>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十二、公司发生的重大事项及对公司经营情况和偿债能力的影响</w:t>
      </w:r>
      <w:r>
        <w:rPr>
          <w:b w:val="0"/>
          <w:bCs w:val="0"/>
        </w:rPr>
      </w:r>
    </w:p>
    <w:p>
      <w:pPr>
        <w:pStyle w:val="BodyText"/>
        <w:spacing w:line="274" w:lineRule="exact"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974" w:top="1100" w:bottom="1160" w:left="1200" w:right="1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462" w:right="443"/>
        <w:jc w:val="center"/>
        <w:rPr>
          <w:b w:val="0"/>
          <w:bCs w:val="0"/>
        </w:rPr>
      </w:pPr>
      <w:bookmarkStart w:name="_TOC_250001" w:id="17"/>
      <w:r>
        <w:rPr/>
        <w:t>第十一节</w:t>
      </w:r>
      <w:r>
        <w:rPr>
          <w:spacing w:val="-7"/>
        </w:rPr>
        <w:t> </w:t>
      </w:r>
      <w:r>
        <w:rPr>
          <w:rFonts w:ascii="宋体" w:hAnsi="宋体" w:cs="宋体" w:eastAsia="宋体" w:hint="default"/>
          <w:spacing w:val="-7"/>
        </w:rPr>
      </w:r>
      <w:r>
        <w:rPr/>
        <w:t>财务报告</w:t>
      </w:r>
      <w:bookmarkEnd w:id="17"/>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footerReference w:type="default" r:id="rId48"/>
          <w:pgSz w:w="11910" w:h="16840"/>
          <w:pgMar w:footer="974" w:header="0" w:top="1100" w:bottom="1160" w:left="1280" w:right="1300"/>
        </w:sectPr>
      </w:pPr>
    </w:p>
    <w:p>
      <w:pPr>
        <w:pStyle w:val="Heading5"/>
        <w:spacing w:line="240" w:lineRule="auto" w:before="36"/>
        <w:ind w:left="138" w:right="0"/>
        <w:jc w:val="left"/>
        <w:rPr>
          <w:rFonts w:ascii="宋体" w:hAnsi="宋体" w:cs="宋体" w:eastAsia="宋体" w:hint="default"/>
          <w:b w:val="0"/>
          <w:bCs w:val="0"/>
        </w:rPr>
      </w:pPr>
      <w:r>
        <w:rPr/>
        <w:t>一、</w:t>
      </w:r>
      <w:r>
        <w:rPr>
          <w:spacing w:val="-102"/>
        </w:rPr>
        <w:t> </w:t>
      </w:r>
      <w:r>
        <w:rPr>
          <w:rFonts w:ascii="宋体" w:hAnsi="宋体" w:cs="宋体" w:eastAsia="宋体" w:hint="default"/>
          <w:spacing w:val="-102"/>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spacing w:line="240" w:lineRule="auto"/>
        <w:ind w:left="138" w:right="-20"/>
        <w:jc w:val="left"/>
        <w:rPr>
          <w:rFonts w:ascii="黑体" w:hAnsi="黑体" w:cs="黑体" w:eastAsia="黑体" w:hint="default"/>
        </w:rPr>
      </w:pPr>
      <w:r>
        <w:rPr>
          <w:rFonts w:ascii="黑体" w:hAnsi="黑体" w:cs="黑体" w:eastAsia="黑体" w:hint="default"/>
        </w:rPr>
        <w:t>审计报告</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2"/>
        <w:rPr>
          <w:rFonts w:ascii="黑体" w:hAnsi="黑体" w:cs="黑体" w:eastAsia="黑体" w:hint="default"/>
          <w:sz w:val="24"/>
          <w:szCs w:val="24"/>
        </w:rPr>
      </w:pPr>
    </w:p>
    <w:p>
      <w:pPr>
        <w:pStyle w:val="Heading3"/>
        <w:spacing w:line="323" w:lineRule="exact"/>
        <w:ind w:left="61" w:right="0"/>
        <w:jc w:val="lef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3" w:lineRule="exact"/>
        <w:ind w:left="2096" w:right="0"/>
        <w:jc w:val="left"/>
        <w:rPr>
          <w:rFonts w:ascii="Cambria" w:hAnsi="Cambria" w:cs="Cambria" w:eastAsia="Cambria" w:hint="default"/>
        </w:rPr>
      </w:pPr>
      <w:r>
        <w:rPr>
          <w:rFonts w:ascii="Cambria" w:hAnsi="Cambria" w:cs="Cambria" w:eastAsia="Cambria" w:hint="default"/>
        </w:rPr>
        <w:t>(</w:t>
      </w:r>
      <w:r>
        <w:rPr/>
        <w:t>第一页，共七页</w:t>
      </w:r>
      <w:r>
        <w:rPr>
          <w:rFonts w:ascii="Cambria" w:hAnsi="Cambria" w:cs="Cambria" w:eastAsia="Cambria" w:hint="default"/>
        </w:rPr>
        <w:t>)</w:t>
      </w:r>
    </w:p>
    <w:p>
      <w:pPr>
        <w:spacing w:after="0" w:line="323" w:lineRule="exact"/>
        <w:jc w:val="left"/>
        <w:rPr>
          <w:rFonts w:ascii="Cambria" w:hAnsi="Cambria" w:cs="Cambria" w:eastAsia="Cambria" w:hint="default"/>
        </w:rPr>
        <w:sectPr>
          <w:type w:val="continuous"/>
          <w:pgSz w:w="11910" w:h="16840"/>
          <w:pgMar w:top="1120" w:bottom="1160" w:left="1280" w:right="1300"/>
          <w:cols w:num="3" w:equalWidth="0">
            <w:col w:w="1925" w:space="2074"/>
            <w:col w:w="1099" w:space="40"/>
            <w:col w:w="4192"/>
          </w:cols>
        </w:sectPr>
      </w:pPr>
    </w:p>
    <w:p>
      <w:pPr>
        <w:spacing w:line="240" w:lineRule="auto" w:before="10"/>
        <w:rPr>
          <w:rFonts w:ascii="Cambria" w:hAnsi="Cambria" w:cs="Cambria" w:eastAsia="Cambria" w:hint="default"/>
          <w:sz w:val="19"/>
          <w:szCs w:val="19"/>
        </w:rPr>
      </w:pPr>
    </w:p>
    <w:p>
      <w:pPr>
        <w:spacing w:line="453" w:lineRule="auto" w:before="26"/>
        <w:ind w:left="126" w:right="5328" w:firstLine="12"/>
        <w:jc w:val="left"/>
        <w:rPr>
          <w:rFonts w:ascii="宋体" w:hAnsi="宋体" w:cs="宋体" w:eastAsia="宋体" w:hint="default"/>
          <w:sz w:val="24"/>
          <w:szCs w:val="24"/>
        </w:rPr>
      </w:pPr>
      <w:r>
        <w:rPr>
          <w:rFonts w:ascii="宋体" w:hAnsi="宋体" w:cs="宋体" w:eastAsia="宋体" w:hint="default"/>
          <w:sz w:val="24"/>
          <w:szCs w:val="24"/>
        </w:rPr>
        <w:t>青岛港国际股份有限公司全体股东： </w:t>
      </w:r>
      <w:r>
        <w:rPr>
          <w:rFonts w:ascii="宋体" w:hAnsi="宋体" w:cs="宋体" w:eastAsia="宋体" w:hint="default"/>
          <w:b/>
          <w:bCs/>
          <w:sz w:val="24"/>
          <w:szCs w:val="24"/>
        </w:rPr>
        <w:t>一、</w:t>
      </w:r>
      <w:r>
        <w:rPr>
          <w:rFonts w:ascii="宋体" w:hAnsi="宋体" w:cs="宋体" w:eastAsia="宋体" w:hint="default"/>
          <w:b/>
          <w:bCs/>
          <w:spacing w:val="-25"/>
          <w:sz w:val="24"/>
          <w:szCs w:val="24"/>
        </w:rPr>
        <w:t> </w:t>
      </w:r>
      <w:r>
        <w:rPr>
          <w:rFonts w:ascii="宋体" w:hAnsi="宋体" w:cs="宋体" w:eastAsia="宋体" w:hint="default"/>
          <w:b/>
          <w:bCs/>
          <w:spacing w:val="-25"/>
          <w:sz w:val="24"/>
          <w:szCs w:val="24"/>
        </w:rPr>
      </w:r>
      <w:r>
        <w:rPr>
          <w:rFonts w:ascii="宋体" w:hAnsi="宋体" w:cs="宋体" w:eastAsia="宋体" w:hint="default"/>
          <w:b/>
          <w:bCs/>
          <w:sz w:val="24"/>
          <w:szCs w:val="24"/>
        </w:rPr>
        <w:t>审计意见</w:t>
      </w:r>
      <w:r>
        <w:rPr>
          <w:rFonts w:ascii="宋体" w:hAnsi="宋体" w:cs="宋体" w:eastAsia="宋体" w:hint="default"/>
          <w:sz w:val="24"/>
          <w:szCs w:val="24"/>
        </w:rPr>
      </w:r>
    </w:p>
    <w:p>
      <w:pPr>
        <w:pStyle w:val="Heading3"/>
        <w:tabs>
          <w:tab w:pos="1401" w:val="left" w:leader="none"/>
        </w:tabs>
        <w:spacing w:line="261" w:lineRule="exact"/>
        <w:ind w:left="618" w:right="192"/>
        <w:jc w:val="left"/>
      </w:pPr>
      <w:r>
        <w:rPr>
          <w:rFonts w:ascii="Cambria" w:hAnsi="Cambria" w:cs="Cambria" w:eastAsia="Cambria" w:hint="default"/>
          <w:spacing w:val="-1"/>
        </w:rPr>
        <w:t>(</w:t>
      </w:r>
      <w:r>
        <w:rPr>
          <w:spacing w:val="-1"/>
        </w:rPr>
        <w:t>一</w:t>
      </w:r>
      <w:r>
        <w:rPr>
          <w:rFonts w:ascii="Cambria" w:hAnsi="Cambria" w:cs="Cambria" w:eastAsia="Cambria" w:hint="default"/>
          <w:spacing w:val="-1"/>
        </w:rPr>
        <w:t>)</w:t>
        <w:tab/>
      </w:r>
      <w:r>
        <w:rPr/>
        <w:t>我们审计的内容</w:t>
      </w:r>
    </w:p>
    <w:p>
      <w:pPr>
        <w:pStyle w:val="Heading3"/>
        <w:spacing w:line="223" w:lineRule="auto" w:before="9"/>
        <w:ind w:left="138" w:right="224" w:firstLine="566"/>
        <w:jc w:val="both"/>
      </w:pPr>
      <w:r>
        <w:rPr/>
        <w:t>我们审计了青岛港国际股份有限公司</w:t>
      </w:r>
      <w:r>
        <w:rPr>
          <w:rFonts w:ascii="Cambria" w:hAnsi="Cambria" w:cs="Cambria" w:eastAsia="Cambria" w:hint="default"/>
        </w:rPr>
        <w:t>(</w:t>
      </w:r>
      <w:r>
        <w:rPr/>
        <w:t>以下简称“青港国际”</w:t>
      </w:r>
      <w:r>
        <w:rPr>
          <w:rFonts w:ascii="Cambria" w:hAnsi="Cambria" w:cs="Cambria" w:eastAsia="Cambria" w:hint="default"/>
        </w:rPr>
        <w:t>)</w:t>
      </w:r>
      <w:r>
        <w:rPr/>
        <w:t>的财务报表，包括 </w:t>
      </w:r>
      <w:r>
        <w:rPr>
          <w:rFonts w:ascii="Cambria" w:hAnsi="Cambria" w:cs="Cambria" w:eastAsia="Cambria" w:hint="default"/>
        </w:rPr>
        <w:t>2019</w:t>
      </w:r>
      <w:r>
        <w:rPr>
          <w:rFonts w:ascii="Cambria" w:hAnsi="Cambria" w:cs="Cambria" w:eastAsia="Cambria" w:hint="default"/>
          <w:spacing w:val="12"/>
        </w:rPr>
        <w:t> </w:t>
      </w:r>
      <w:r>
        <w:rPr/>
        <w:t>年</w:t>
      </w:r>
      <w:r>
        <w:rPr>
          <w:spacing w:val="-52"/>
        </w:rPr>
        <w:t> </w:t>
      </w:r>
      <w:r>
        <w:rPr>
          <w:rFonts w:ascii="Cambria" w:hAnsi="Cambria" w:cs="Cambria" w:eastAsia="Cambria" w:hint="default"/>
        </w:rPr>
        <w:t>12</w:t>
      </w:r>
      <w:r>
        <w:rPr>
          <w:rFonts w:ascii="Cambria" w:hAnsi="Cambria" w:cs="Cambria" w:eastAsia="Cambria" w:hint="default"/>
          <w:spacing w:val="12"/>
        </w:rPr>
        <w:t> </w:t>
      </w:r>
      <w:r>
        <w:rPr/>
        <w:t>月</w:t>
      </w:r>
      <w:r>
        <w:rPr>
          <w:spacing w:val="-54"/>
        </w:rPr>
        <w:t> </w:t>
      </w:r>
      <w:r>
        <w:rPr>
          <w:rFonts w:ascii="Cambria" w:hAnsi="Cambria" w:cs="Cambria" w:eastAsia="Cambria" w:hint="default"/>
        </w:rPr>
        <w:t>31</w:t>
      </w:r>
      <w:r>
        <w:rPr>
          <w:rFonts w:ascii="Cambria" w:hAnsi="Cambria" w:cs="Cambria" w:eastAsia="Cambria" w:hint="default"/>
          <w:spacing w:val="12"/>
        </w:rPr>
        <w:t> </w:t>
      </w:r>
      <w:r>
        <w:rPr/>
        <w:t>日的合并及公司资产负债表，</w:t>
      </w:r>
      <w:r>
        <w:rPr>
          <w:rFonts w:ascii="Cambria" w:hAnsi="Cambria" w:cs="Cambria" w:eastAsia="Cambria" w:hint="default"/>
        </w:rPr>
        <w:t>2019</w:t>
      </w:r>
      <w:r>
        <w:rPr>
          <w:rFonts w:ascii="Cambria" w:hAnsi="Cambria" w:cs="Cambria" w:eastAsia="Cambria" w:hint="default"/>
          <w:spacing w:val="12"/>
        </w:rPr>
        <w:t> </w:t>
      </w:r>
      <w:r>
        <w:rPr/>
        <w:t>年度的合并及公司利润表、合并 及公司现金流量表、合并及公司股东权益变动表以及财务报表附注。</w:t>
      </w:r>
    </w:p>
    <w:p>
      <w:pPr>
        <w:spacing w:line="240" w:lineRule="auto" w:before="11"/>
        <w:rPr>
          <w:rFonts w:ascii="宋体" w:hAnsi="宋体" w:cs="宋体" w:eastAsia="宋体" w:hint="default"/>
          <w:sz w:val="23"/>
          <w:szCs w:val="23"/>
        </w:rPr>
      </w:pPr>
    </w:p>
    <w:p>
      <w:pPr>
        <w:pStyle w:val="Heading3"/>
        <w:tabs>
          <w:tab w:pos="1521" w:val="left" w:leader="none"/>
        </w:tabs>
        <w:spacing w:line="312" w:lineRule="exact"/>
        <w:ind w:left="705" w:right="228" w:hanging="87"/>
        <w:jc w:val="left"/>
      </w:pPr>
      <w:r>
        <w:rPr>
          <w:rFonts w:ascii="Cambria" w:hAnsi="Cambria" w:cs="Cambria" w:eastAsia="Cambria" w:hint="default"/>
          <w:spacing w:val="-1"/>
        </w:rPr>
        <w:t>(</w:t>
      </w:r>
      <w:r>
        <w:rPr>
          <w:spacing w:val="-1"/>
        </w:rPr>
        <w:t>二</w:t>
      </w:r>
      <w:r>
        <w:rPr>
          <w:rFonts w:ascii="Cambria" w:hAnsi="Cambria" w:cs="Cambria" w:eastAsia="Cambria" w:hint="default"/>
          <w:spacing w:val="-1"/>
        </w:rPr>
        <w:t>)</w:t>
        <w:tab/>
      </w:r>
      <w:r>
        <w:rPr/>
        <w:t>我们的意见 </w:t>
      </w:r>
      <w:r>
        <w:rPr>
          <w:spacing w:val="-1"/>
        </w:rPr>
        <w:t>我们认为，后附的财务报表在所有重大方面按照企业会计准则的规定编制，公允</w:t>
      </w:r>
    </w:p>
    <w:p>
      <w:pPr>
        <w:pStyle w:val="Heading3"/>
        <w:spacing w:line="310" w:lineRule="exact" w:before="1"/>
        <w:ind w:left="138" w:right="221"/>
        <w:jc w:val="left"/>
      </w:pPr>
      <w:r>
        <w:rPr/>
        <w:t>反映了青港国际</w:t>
      </w:r>
      <w:r>
        <w:rPr>
          <w:spacing w:val="-71"/>
        </w:rPr>
        <w:t> </w:t>
      </w:r>
      <w:r>
        <w:rPr>
          <w:rFonts w:ascii="Cambria" w:hAnsi="Cambria" w:cs="Cambria" w:eastAsia="Cambria" w:hint="default"/>
        </w:rPr>
        <w:t>2019</w:t>
      </w:r>
      <w:r>
        <w:rPr>
          <w:rFonts w:ascii="Cambria" w:hAnsi="Cambria" w:cs="Cambria" w:eastAsia="Cambria" w:hint="default"/>
          <w:spacing w:val="-2"/>
        </w:rPr>
        <w:t> </w:t>
      </w:r>
      <w:r>
        <w:rPr/>
        <w:t>年</w:t>
      </w:r>
      <w:r>
        <w:rPr>
          <w:spacing w:val="-70"/>
        </w:rPr>
        <w:t> </w:t>
      </w:r>
      <w:r>
        <w:rPr>
          <w:rFonts w:ascii="Cambria" w:hAnsi="Cambria" w:cs="Cambria" w:eastAsia="Cambria" w:hint="default"/>
        </w:rPr>
        <w:t>12</w:t>
      </w:r>
      <w:r>
        <w:rPr>
          <w:rFonts w:ascii="Cambria" w:hAnsi="Cambria" w:cs="Cambria" w:eastAsia="Cambria" w:hint="default"/>
          <w:spacing w:val="-5"/>
        </w:rPr>
        <w:t> </w:t>
      </w:r>
      <w:r>
        <w:rPr/>
        <w:t>月</w:t>
      </w:r>
      <w:r>
        <w:rPr>
          <w:spacing w:val="-71"/>
        </w:rPr>
        <w:t> </w:t>
      </w:r>
      <w:r>
        <w:rPr>
          <w:rFonts w:ascii="Cambria" w:hAnsi="Cambria" w:cs="Cambria" w:eastAsia="Cambria" w:hint="default"/>
        </w:rPr>
        <w:t>31</w:t>
      </w:r>
      <w:r>
        <w:rPr>
          <w:rFonts w:ascii="Cambria" w:hAnsi="Cambria" w:cs="Cambria" w:eastAsia="Cambria" w:hint="default"/>
          <w:spacing w:val="-5"/>
        </w:rPr>
        <w:t> </w:t>
      </w:r>
      <w:r>
        <w:rPr/>
        <w:t>日的合并及公司财务状况以及</w:t>
      </w:r>
      <w:r>
        <w:rPr>
          <w:spacing w:val="-70"/>
        </w:rPr>
        <w:t> </w:t>
      </w:r>
      <w:r>
        <w:rPr>
          <w:rFonts w:ascii="Cambria" w:hAnsi="Cambria" w:cs="Cambria" w:eastAsia="Cambria" w:hint="default"/>
        </w:rPr>
        <w:t>2019</w:t>
      </w:r>
      <w:r>
        <w:rPr>
          <w:rFonts w:ascii="Cambria" w:hAnsi="Cambria" w:cs="Cambria" w:eastAsia="Cambria" w:hint="default"/>
          <w:spacing w:val="-5"/>
        </w:rPr>
        <w:t> </w:t>
      </w:r>
      <w:r>
        <w:rPr/>
        <w:t>年度的合并及公 司经营成果和现金流量。</w:t>
      </w:r>
    </w:p>
    <w:p>
      <w:pPr>
        <w:spacing w:line="480" w:lineRule="atLeast" w:before="84"/>
        <w:ind w:left="705" w:right="219" w:hanging="579"/>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25"/>
          <w:sz w:val="24"/>
          <w:szCs w:val="24"/>
        </w:rPr>
        <w:t> </w:t>
      </w:r>
      <w:r>
        <w:rPr>
          <w:rFonts w:ascii="宋体" w:hAnsi="宋体" w:cs="宋体" w:eastAsia="宋体" w:hint="default"/>
          <w:b/>
          <w:bCs/>
          <w:spacing w:val="-25"/>
          <w:sz w:val="24"/>
          <w:szCs w:val="24"/>
        </w:rPr>
      </w:r>
      <w:r>
        <w:rPr>
          <w:rFonts w:ascii="宋体" w:hAnsi="宋体" w:cs="宋体" w:eastAsia="宋体" w:hint="default"/>
          <w:b/>
          <w:bCs/>
          <w:sz w:val="24"/>
          <w:szCs w:val="24"/>
        </w:rPr>
        <w:t>形成审计意见的基础</w:t>
      </w:r>
      <w:r>
        <w:rPr>
          <w:rFonts w:ascii="宋体" w:hAnsi="宋体" w:cs="宋体" w:eastAsia="宋体" w:hint="default"/>
          <w:b/>
          <w:bCs/>
          <w:w w:val="99"/>
          <w:sz w:val="24"/>
          <w:szCs w:val="24"/>
        </w:rPr>
        <w:t> </w:t>
      </w:r>
      <w:r>
        <w:rPr>
          <w:rFonts w:ascii="宋体" w:hAnsi="宋体" w:cs="宋体" w:eastAsia="宋体" w:hint="default"/>
          <w:spacing w:val="-3"/>
          <w:w w:val="99"/>
          <w:sz w:val="24"/>
          <w:szCs w:val="24"/>
        </w:rPr>
        <w:t>我们按照中国注册会计师审计准则的规定执行了审计工作。审计报告的</w:t>
      </w:r>
      <w:r>
        <w:rPr>
          <w:rFonts w:ascii="Cambria" w:hAnsi="Cambria" w:cs="Cambria" w:eastAsia="Cambria" w:hint="default"/>
          <w:spacing w:val="-3"/>
          <w:w w:val="99"/>
          <w:sz w:val="24"/>
          <w:szCs w:val="24"/>
        </w:rPr>
        <w:t>“</w:t>
      </w:r>
      <w:r>
        <w:rPr>
          <w:rFonts w:ascii="宋体" w:hAnsi="宋体" w:cs="宋体" w:eastAsia="宋体" w:hint="default"/>
          <w:spacing w:val="-3"/>
          <w:w w:val="99"/>
          <w:sz w:val="24"/>
          <w:szCs w:val="24"/>
        </w:rPr>
        <w:t>注册会计</w:t>
      </w:r>
    </w:p>
    <w:p>
      <w:pPr>
        <w:pStyle w:val="Heading3"/>
        <w:spacing w:line="310" w:lineRule="exact" w:before="10"/>
        <w:ind w:left="138" w:right="192"/>
        <w:jc w:val="left"/>
      </w:pPr>
      <w:r>
        <w:rPr>
          <w:spacing w:val="-1"/>
        </w:rPr>
        <w:t>师对财务报表审计的责任</w:t>
      </w:r>
      <w:r>
        <w:rPr>
          <w:rFonts w:ascii="Cambria" w:hAnsi="Cambria" w:cs="Cambria" w:eastAsia="Cambria" w:hint="default"/>
          <w:spacing w:val="-1"/>
        </w:rPr>
        <w:t>”</w:t>
      </w:r>
      <w:r>
        <w:rPr>
          <w:spacing w:val="-1"/>
        </w:rPr>
        <w:t>部分进一步阐述了我们在这些准则下的责任。我们相信，我</w:t>
      </w:r>
      <w:r>
        <w:rPr>
          <w:spacing w:val="-98"/>
        </w:rPr>
        <w:t> </w:t>
      </w:r>
      <w:r>
        <w:rPr>
          <w:spacing w:val="-98"/>
        </w:rPr>
      </w:r>
      <w:r>
        <w:rPr/>
        <w:t>们获取的审计证据是充分、适当的，为发表审计意见提供了基础。</w:t>
      </w:r>
    </w:p>
    <w:p>
      <w:pPr>
        <w:spacing w:line="240" w:lineRule="auto" w:before="6"/>
        <w:rPr>
          <w:rFonts w:ascii="宋体" w:hAnsi="宋体" w:cs="宋体" w:eastAsia="宋体" w:hint="default"/>
          <w:sz w:val="21"/>
          <w:szCs w:val="21"/>
        </w:rPr>
      </w:pPr>
    </w:p>
    <w:p>
      <w:pPr>
        <w:pStyle w:val="Heading3"/>
        <w:spacing w:line="312" w:lineRule="exact"/>
        <w:ind w:left="138" w:right="227" w:firstLine="566"/>
        <w:jc w:val="both"/>
      </w:pPr>
      <w:r>
        <w:rPr>
          <w:spacing w:val="-1"/>
        </w:rPr>
        <w:t>按照中国注册会计师职业道德守则，我们独立于青港国际，并履行了职业道德方</w:t>
      </w:r>
      <w:r>
        <w:rPr/>
        <w:t> 面的其他责任。</w:t>
      </w:r>
    </w:p>
    <w:p>
      <w:pPr>
        <w:spacing w:line="460" w:lineRule="atLeast" w:before="104"/>
        <w:ind w:left="705" w:right="0" w:hanging="579"/>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25"/>
          <w:sz w:val="24"/>
          <w:szCs w:val="24"/>
        </w:rPr>
        <w:t> </w:t>
      </w:r>
      <w:r>
        <w:rPr>
          <w:rFonts w:ascii="宋体" w:hAnsi="宋体" w:cs="宋体" w:eastAsia="宋体" w:hint="default"/>
          <w:b/>
          <w:bCs/>
          <w:spacing w:val="-25"/>
          <w:sz w:val="24"/>
          <w:szCs w:val="24"/>
        </w:rPr>
      </w:r>
      <w:r>
        <w:rPr>
          <w:rFonts w:ascii="宋体" w:hAnsi="宋体" w:cs="宋体" w:eastAsia="宋体" w:hint="default"/>
          <w:b/>
          <w:bCs/>
          <w:sz w:val="24"/>
          <w:szCs w:val="24"/>
        </w:rPr>
        <w:t>关键审计事项</w:t>
      </w:r>
      <w:r>
        <w:rPr>
          <w:rFonts w:ascii="宋体" w:hAnsi="宋体" w:cs="宋体" w:eastAsia="宋体" w:hint="default"/>
          <w:b/>
          <w:bCs/>
          <w:w w:val="99"/>
          <w:sz w:val="24"/>
          <w:szCs w:val="24"/>
        </w:rPr>
        <w:t> </w:t>
      </w:r>
      <w:r>
        <w:rPr>
          <w:rFonts w:ascii="宋体" w:hAnsi="宋体" w:cs="宋体" w:eastAsia="宋体" w:hint="default"/>
          <w:spacing w:val="2"/>
          <w:sz w:val="24"/>
          <w:szCs w:val="24"/>
        </w:rPr>
        <w:t>关键审计事项是我们根据职业判断，认为对本年财务报表审计最为重要的事项。</w:t>
      </w:r>
    </w:p>
    <w:p>
      <w:pPr>
        <w:pStyle w:val="Heading3"/>
        <w:spacing w:line="312" w:lineRule="exact" w:before="28"/>
        <w:ind w:left="138" w:right="192"/>
        <w:jc w:val="left"/>
      </w:pPr>
      <w:r>
        <w:rPr/>
        <w:t>这些事项的应对以对财务报表整体进行审计并形成审计意见为背景，我们不对这些事</w:t>
      </w:r>
      <w:r>
        <w:rPr>
          <w:spacing w:val="-53"/>
        </w:rPr>
        <w:t> </w:t>
      </w:r>
      <w:r>
        <w:rPr>
          <w:spacing w:val="-53"/>
        </w:rPr>
      </w:r>
      <w:r>
        <w:rPr/>
        <w:t>项单独发表意见。</w:t>
      </w:r>
    </w:p>
    <w:p>
      <w:pPr>
        <w:spacing w:line="240" w:lineRule="auto" w:before="2"/>
        <w:rPr>
          <w:rFonts w:ascii="宋体" w:hAnsi="宋体" w:cs="宋体" w:eastAsia="宋体" w:hint="default"/>
          <w:sz w:val="19"/>
          <w:szCs w:val="19"/>
        </w:rPr>
      </w:pPr>
    </w:p>
    <w:p>
      <w:pPr>
        <w:pStyle w:val="Heading3"/>
        <w:spacing w:line="312" w:lineRule="exact"/>
        <w:ind w:left="705" w:right="192"/>
        <w:jc w:val="left"/>
      </w:pPr>
      <w:r>
        <w:rPr/>
        <w:t>我们在审计中识别出的关键审计事项汇总如下：</w:t>
      </w:r>
    </w:p>
    <w:p>
      <w:pPr>
        <w:pStyle w:val="Heading3"/>
        <w:tabs>
          <w:tab w:pos="1818" w:val="left" w:leader="none"/>
        </w:tabs>
        <w:spacing w:line="331" w:lineRule="exact"/>
        <w:ind w:left="1029" w:right="192"/>
        <w:jc w:val="left"/>
      </w:pPr>
      <w:r>
        <w:rPr>
          <w:rFonts w:ascii="Cambria" w:hAnsi="Cambria" w:cs="Cambria" w:eastAsia="Cambria" w:hint="default"/>
          <w:spacing w:val="-1"/>
        </w:rPr>
        <w:t>(</w:t>
      </w:r>
      <w:r>
        <w:rPr>
          <w:spacing w:val="-1"/>
        </w:rPr>
        <w:t>一</w:t>
      </w:r>
      <w:r>
        <w:rPr>
          <w:rFonts w:ascii="Cambria" w:hAnsi="Cambria" w:cs="Cambria" w:eastAsia="Cambria" w:hint="default"/>
          <w:spacing w:val="-1"/>
        </w:rPr>
        <w:t>)</w:t>
        <w:tab/>
      </w:r>
      <w:r>
        <w:rPr/>
        <w:t>内退及统筹外福利义务计提</w:t>
      </w:r>
    </w:p>
    <w:p>
      <w:pPr>
        <w:pStyle w:val="Heading3"/>
        <w:tabs>
          <w:tab w:pos="1818" w:val="left" w:leader="none"/>
        </w:tabs>
        <w:spacing w:line="240" w:lineRule="auto" w:before="2"/>
        <w:ind w:left="1029" w:right="192"/>
        <w:jc w:val="left"/>
      </w:pPr>
      <w:r>
        <w:rPr>
          <w:rFonts w:ascii="Cambria" w:hAnsi="Cambria" w:cs="Cambria" w:eastAsia="Cambria" w:hint="default"/>
          <w:spacing w:val="-1"/>
        </w:rPr>
        <w:t>(</w:t>
      </w:r>
      <w:r>
        <w:rPr>
          <w:spacing w:val="-1"/>
        </w:rPr>
        <w:t>二</w:t>
      </w:r>
      <w:r>
        <w:rPr>
          <w:rFonts w:ascii="Cambria" w:hAnsi="Cambria" w:cs="Cambria" w:eastAsia="Cambria" w:hint="default"/>
          <w:spacing w:val="-1"/>
        </w:rPr>
        <w:t>)</w:t>
        <w:tab/>
      </w:r>
      <w:r>
        <w:rPr/>
        <w:t>应收账款坏账准备的估计</w:t>
      </w:r>
    </w:p>
    <w:p>
      <w:pPr>
        <w:spacing w:after="0" w:line="240" w:lineRule="auto"/>
        <w:jc w:val="left"/>
        <w:sectPr>
          <w:type w:val="continuous"/>
          <w:pgSz w:w="11910" w:h="16840"/>
          <w:pgMar w:top="1120" w:bottom="1160" w:left="1280" w:right="1300"/>
        </w:sectPr>
      </w:pPr>
    </w:p>
    <w:p>
      <w:pPr>
        <w:spacing w:line="240" w:lineRule="auto" w:before="0"/>
        <w:rPr>
          <w:rFonts w:ascii="宋体" w:hAnsi="宋体" w:cs="宋体" w:eastAsia="宋体" w:hint="default"/>
          <w:sz w:val="20"/>
          <w:szCs w:val="20"/>
        </w:rPr>
      </w:pPr>
    </w:p>
    <w:p>
      <w:pPr>
        <w:pStyle w:val="Heading3"/>
        <w:spacing w:line="322" w:lineRule="exact" w:before="168"/>
        <w:ind w:left="0" w:right="229"/>
        <w:jc w:val="righ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2" w:lineRule="exact"/>
        <w:ind w:left="0" w:right="226"/>
        <w:jc w:val="right"/>
        <w:rPr>
          <w:rFonts w:ascii="Cambria" w:hAnsi="Cambria" w:cs="Cambria" w:eastAsia="Cambria" w:hint="default"/>
        </w:rPr>
      </w:pPr>
      <w:r>
        <w:rPr>
          <w:rFonts w:ascii="Cambria" w:hAnsi="Cambria" w:cs="Cambria" w:eastAsia="Cambria" w:hint="default"/>
          <w:spacing w:val="-1"/>
        </w:rPr>
        <w:t>(</w:t>
      </w:r>
      <w:r>
        <w:rPr>
          <w:spacing w:val="-1"/>
        </w:rPr>
        <w:t>第二页，共七页</w:t>
      </w:r>
      <w:r>
        <w:rPr>
          <w:rFonts w:ascii="Cambria" w:hAnsi="Cambria" w:cs="Cambria" w:eastAsia="Cambria" w:hint="default"/>
          <w:spacing w:val="-1"/>
        </w:rPr>
        <w:t>)</w:t>
      </w:r>
    </w:p>
    <w:p>
      <w:pPr>
        <w:spacing w:line="240" w:lineRule="auto" w:before="10"/>
        <w:rPr>
          <w:rFonts w:ascii="Cambria" w:hAnsi="Cambria" w:cs="Cambria" w:eastAsia="Cambria" w:hint="default"/>
          <w:sz w:val="19"/>
          <w:szCs w:val="19"/>
        </w:rPr>
      </w:pPr>
    </w:p>
    <w:p>
      <w:pPr>
        <w:pStyle w:val="Heading2"/>
        <w:spacing w:line="240" w:lineRule="auto" w:before="26"/>
        <w:ind w:left="126" w:right="192"/>
        <w:jc w:val="left"/>
        <w:rPr>
          <w:rFonts w:ascii="Cambria" w:hAnsi="Cambria" w:cs="Cambria" w:eastAsia="Cambria" w:hint="default"/>
          <w:b w:val="0"/>
          <w:bCs w:val="0"/>
        </w:rPr>
      </w:pPr>
      <w:r>
        <w:rPr/>
        <w:t>三、</w:t>
      </w:r>
      <w:r>
        <w:rPr>
          <w:spacing w:val="115"/>
        </w:rPr>
        <w:t> </w:t>
      </w:r>
      <w:r>
        <w:rPr>
          <w:rFonts w:ascii="宋体" w:hAnsi="宋体" w:cs="宋体" w:eastAsia="宋体" w:hint="default"/>
          <w:spacing w:val="115"/>
        </w:rPr>
      </w:r>
      <w:r>
        <w:rPr/>
        <w:t>关键审计事项</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spacing w:line="240" w:lineRule="auto" w:before="4"/>
        <w:rPr>
          <w:rFonts w:ascii="Cambria" w:hAnsi="Cambria" w:cs="Cambria" w:eastAsia="Cambria" w:hint="default"/>
          <w:b/>
          <w:bCs/>
          <w:sz w:val="17"/>
          <w:szCs w:val="17"/>
        </w:rPr>
      </w:pPr>
    </w:p>
    <w:tbl>
      <w:tblPr>
        <w:tblW w:w="0" w:type="auto"/>
        <w:jc w:val="left"/>
        <w:tblInd w:w="275" w:type="dxa"/>
        <w:tblLayout w:type="fixed"/>
        <w:tblCellMar>
          <w:top w:w="0" w:type="dxa"/>
          <w:left w:w="0" w:type="dxa"/>
          <w:bottom w:w="0" w:type="dxa"/>
          <w:right w:w="0" w:type="dxa"/>
        </w:tblCellMar>
        <w:tblLook w:val="01E0"/>
      </w:tblPr>
      <w:tblGrid>
        <w:gridCol w:w="3961"/>
        <w:gridCol w:w="4830"/>
      </w:tblGrid>
      <w:tr>
        <w:trPr>
          <w:trHeight w:val="346"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3"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8015" w:hRule="exact"/>
        </w:trPr>
        <w:tc>
          <w:tcPr>
            <w:tcW w:w="3961" w:type="dxa"/>
            <w:tcBorders>
              <w:top w:val="single" w:sz="4" w:space="0" w:color="000000"/>
              <w:left w:val="single" w:sz="4" w:space="0" w:color="000000"/>
              <w:bottom w:val="single" w:sz="4" w:space="0" w:color="000000"/>
              <w:right w:val="single" w:sz="4" w:space="0" w:color="000000"/>
            </w:tcBorders>
          </w:tcPr>
          <w:p>
            <w:pPr>
              <w:pStyle w:val="TableParagraph"/>
              <w:tabs>
                <w:tab w:pos="1307" w:val="left" w:leader="none"/>
              </w:tabs>
              <w:spacing w:line="283" w:lineRule="exact"/>
              <w:ind w:left="583" w:right="0"/>
              <w:jc w:val="left"/>
              <w:rPr>
                <w:rFonts w:ascii="宋体" w:hAnsi="宋体" w:cs="宋体" w:eastAsia="宋体" w:hint="default"/>
                <w:sz w:val="24"/>
                <w:szCs w:val="24"/>
              </w:rPr>
            </w:pPr>
            <w:r>
              <w:rPr>
                <w:rFonts w:ascii="Cambria" w:hAnsi="Cambria" w:cs="Cambria" w:eastAsia="Cambria" w:hint="default"/>
                <w:spacing w:val="9"/>
                <w:w w:val="95"/>
                <w:sz w:val="24"/>
                <w:szCs w:val="24"/>
              </w:rPr>
              <w:t>(</w:t>
            </w:r>
            <w:r>
              <w:rPr>
                <w:rFonts w:ascii="宋体" w:hAnsi="宋体" w:cs="宋体" w:eastAsia="宋体" w:hint="default"/>
                <w:spacing w:val="9"/>
                <w:w w:val="95"/>
                <w:sz w:val="24"/>
                <w:szCs w:val="24"/>
              </w:rPr>
              <w:t>一</w:t>
            </w:r>
            <w:r>
              <w:rPr>
                <w:rFonts w:ascii="Cambria" w:hAnsi="Cambria" w:cs="Cambria" w:eastAsia="Cambria" w:hint="default"/>
                <w:spacing w:val="9"/>
                <w:w w:val="95"/>
                <w:sz w:val="24"/>
                <w:szCs w:val="24"/>
              </w:rPr>
              <w:t>)</w:t>
              <w:tab/>
            </w:r>
            <w:r>
              <w:rPr>
                <w:rFonts w:ascii="宋体" w:hAnsi="宋体" w:cs="宋体" w:eastAsia="宋体" w:hint="default"/>
                <w:spacing w:val="13"/>
                <w:sz w:val="24"/>
                <w:szCs w:val="24"/>
              </w:rPr>
              <w:t>内退及统筹外福利义务</w:t>
            </w:r>
          </w:p>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w:t>
            </w:r>
          </w:p>
          <w:p>
            <w:pPr>
              <w:pStyle w:val="TableParagraph"/>
              <w:spacing w:line="240" w:lineRule="auto" w:before="6"/>
              <w:ind w:right="0"/>
              <w:jc w:val="left"/>
              <w:rPr>
                <w:rFonts w:ascii="Cambria" w:hAnsi="Cambria" w:cs="Cambria" w:eastAsia="Cambria" w:hint="default"/>
                <w:b/>
                <w:bCs/>
                <w:sz w:val="24"/>
                <w:szCs w:val="24"/>
              </w:rPr>
            </w:pPr>
          </w:p>
          <w:p>
            <w:pPr>
              <w:pStyle w:val="TableParagraph"/>
              <w:spacing w:line="232" w:lineRule="auto"/>
              <w:ind w:left="103" w:right="5"/>
              <w:jc w:val="left"/>
              <w:rPr>
                <w:rFonts w:ascii="宋体" w:hAnsi="宋体" w:cs="宋体" w:eastAsia="宋体" w:hint="default"/>
                <w:sz w:val="24"/>
                <w:szCs w:val="24"/>
              </w:rPr>
            </w:pPr>
            <w:r>
              <w:rPr>
                <w:rFonts w:ascii="宋体" w:hAnsi="宋体" w:cs="宋体" w:eastAsia="宋体" w:hint="default"/>
                <w:spacing w:val="-7"/>
                <w:sz w:val="24"/>
                <w:szCs w:val="24"/>
              </w:rPr>
              <w:t>如财务报表附注二“主要会计政策和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8"/>
                <w:sz w:val="24"/>
                <w:szCs w:val="24"/>
              </w:rPr>
              <w:t>会计估计”</w:t>
            </w:r>
            <w:r>
              <w:rPr>
                <w:rFonts w:ascii="Cambria" w:hAnsi="Cambria" w:cs="Cambria" w:eastAsia="Cambria" w:hint="default"/>
                <w:spacing w:val="8"/>
                <w:sz w:val="24"/>
                <w:szCs w:val="24"/>
              </w:rPr>
              <w:t>(19)(b)(c)</w:t>
            </w:r>
            <w:r>
              <w:rPr>
                <w:rFonts w:ascii="Cambria" w:hAnsi="Cambria" w:cs="Cambria" w:eastAsia="Cambria" w:hint="default"/>
                <w:spacing w:val="-18"/>
                <w:sz w:val="24"/>
                <w:szCs w:val="24"/>
              </w:rPr>
              <w:t> </w:t>
            </w:r>
            <w:r>
              <w:rPr>
                <w:rFonts w:ascii="宋体" w:hAnsi="宋体" w:cs="宋体" w:eastAsia="宋体" w:hint="default"/>
                <w:sz w:val="24"/>
                <w:szCs w:val="24"/>
              </w:rPr>
              <w:t>、</w:t>
            </w:r>
            <w:r>
              <w:rPr>
                <w:rFonts w:ascii="Cambria" w:hAnsi="Cambria" w:cs="Cambria" w:eastAsia="Cambria" w:hint="default"/>
                <w:sz w:val="24"/>
                <w:szCs w:val="24"/>
              </w:rPr>
              <w:t>(30)(a)(ii)</w:t>
            </w:r>
            <w:r>
              <w:rPr>
                <w:rFonts w:ascii="Cambria" w:hAnsi="Cambria" w:cs="Cambria" w:eastAsia="Cambria" w:hint="default"/>
                <w:spacing w:val="-29"/>
                <w:sz w:val="24"/>
                <w:szCs w:val="24"/>
              </w:rPr>
              <w:t> </w:t>
            </w:r>
            <w:r>
              <w:rPr>
                <w:rFonts w:ascii="Cambria" w:hAnsi="Cambria" w:cs="Cambria" w:eastAsia="Cambria" w:hint="default"/>
                <w:spacing w:val="-29"/>
                <w:sz w:val="24"/>
                <w:szCs w:val="24"/>
              </w:rPr>
            </w:r>
            <w:r>
              <w:rPr>
                <w:rFonts w:ascii="宋体" w:hAnsi="宋体" w:cs="宋体" w:eastAsia="宋体" w:hint="default"/>
                <w:sz w:val="24"/>
                <w:szCs w:val="24"/>
              </w:rPr>
              <w:t>及附注四“合并财务报表项目附注” </w:t>
            </w:r>
            <w:r>
              <w:rPr>
                <w:rFonts w:ascii="Cambria" w:hAnsi="Cambria" w:cs="Cambria" w:eastAsia="Cambria" w:hint="default"/>
                <w:spacing w:val="-4"/>
                <w:sz w:val="24"/>
                <w:szCs w:val="24"/>
              </w:rPr>
              <w:t>(34)</w:t>
            </w:r>
            <w:r>
              <w:rPr>
                <w:rFonts w:ascii="宋体" w:hAnsi="宋体" w:cs="宋体" w:eastAsia="宋体" w:hint="default"/>
                <w:spacing w:val="-4"/>
                <w:sz w:val="24"/>
                <w:szCs w:val="24"/>
              </w:rPr>
              <w:t>所述，青港国际为接受内部退休</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7"/>
                <w:sz w:val="24"/>
                <w:szCs w:val="24"/>
              </w:rPr>
              <w:t>安排的职工提供内退福利，并为员工</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提供统筹外福利。于</w:t>
            </w:r>
            <w:r>
              <w:rPr>
                <w:rFonts w:ascii="宋体" w:hAnsi="宋体" w:cs="宋体" w:eastAsia="宋体" w:hint="default"/>
                <w:spacing w:val="-44"/>
                <w:sz w:val="24"/>
                <w:szCs w:val="24"/>
              </w:rPr>
              <w:t> </w:t>
            </w:r>
            <w:r>
              <w:rPr>
                <w:rFonts w:ascii="Cambria" w:hAnsi="Cambria" w:cs="Cambria" w:eastAsia="Cambria" w:hint="default"/>
                <w:sz w:val="24"/>
                <w:szCs w:val="24"/>
              </w:rPr>
              <w:t>2019</w:t>
            </w:r>
            <w:r>
              <w:rPr>
                <w:rFonts w:ascii="Cambria" w:hAnsi="Cambria" w:cs="Cambria" w:eastAsia="Cambria" w:hint="default"/>
                <w:spacing w:val="22"/>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Cambria" w:hAnsi="Cambria" w:cs="Cambria" w:eastAsia="Cambria" w:hint="default"/>
                <w:sz w:val="24"/>
                <w:szCs w:val="24"/>
              </w:rPr>
              <w:t>12</w:t>
            </w:r>
            <w:r>
              <w:rPr>
                <w:rFonts w:ascii="Cambria" w:hAnsi="Cambria" w:cs="Cambria" w:eastAsia="Cambria" w:hint="default"/>
                <w:spacing w:val="22"/>
                <w:sz w:val="24"/>
                <w:szCs w:val="24"/>
              </w:rPr>
              <w:t> </w:t>
            </w:r>
            <w:r>
              <w:rPr>
                <w:rFonts w:ascii="宋体" w:hAnsi="宋体" w:cs="宋体" w:eastAsia="宋体" w:hint="default"/>
                <w:sz w:val="24"/>
                <w:szCs w:val="24"/>
              </w:rPr>
              <w:t>月</w:t>
            </w:r>
          </w:p>
          <w:p>
            <w:pPr>
              <w:pStyle w:val="TableParagraph"/>
              <w:spacing w:line="303" w:lineRule="exact"/>
              <w:ind w:left="103" w:right="0"/>
              <w:jc w:val="left"/>
              <w:rPr>
                <w:rFonts w:ascii="宋体" w:hAnsi="宋体" w:cs="宋体" w:eastAsia="宋体" w:hint="default"/>
                <w:sz w:val="24"/>
                <w:szCs w:val="24"/>
              </w:rPr>
            </w:pPr>
            <w:r>
              <w:rPr>
                <w:rFonts w:ascii="Cambria" w:hAnsi="Cambria" w:cs="Cambria" w:eastAsia="Cambria" w:hint="default"/>
                <w:sz w:val="24"/>
                <w:szCs w:val="24"/>
              </w:rPr>
              <w:t>31 </w:t>
            </w:r>
            <w:r>
              <w:rPr>
                <w:rFonts w:ascii="Cambria" w:hAnsi="Cambria" w:cs="Cambria" w:eastAsia="Cambria" w:hint="default"/>
                <w:spacing w:val="11"/>
                <w:sz w:val="24"/>
                <w:szCs w:val="24"/>
              </w:rPr>
              <w:t> </w:t>
            </w:r>
            <w:r>
              <w:rPr>
                <w:rFonts w:ascii="宋体" w:hAnsi="宋体" w:cs="宋体" w:eastAsia="宋体" w:hint="default"/>
                <w:sz w:val="24"/>
                <w:szCs w:val="24"/>
              </w:rPr>
              <w:t>日，青港国际已计提的内退福利</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和统筹外福利相关负债为 </w:t>
            </w:r>
            <w:r>
              <w:rPr>
                <w:rFonts w:ascii="Cambria" w:hAnsi="Cambria" w:cs="Cambria" w:eastAsia="Cambria" w:hint="default"/>
                <w:sz w:val="24"/>
                <w:szCs w:val="24"/>
              </w:rPr>
              <w:t>6,342 </w:t>
            </w:r>
            <w:r>
              <w:rPr>
                <w:rFonts w:ascii="Cambria" w:hAnsi="Cambria" w:cs="Cambria" w:eastAsia="Cambria" w:hint="default"/>
                <w:spacing w:val="27"/>
                <w:sz w:val="24"/>
                <w:szCs w:val="24"/>
              </w:rPr>
              <w:t> </w:t>
            </w:r>
            <w:r>
              <w:rPr>
                <w:rFonts w:ascii="宋体" w:hAnsi="宋体" w:cs="宋体" w:eastAsia="宋体" w:hint="default"/>
                <w:sz w:val="24"/>
                <w:szCs w:val="24"/>
              </w:rPr>
              <w:t>万</w:t>
            </w: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元及</w:t>
            </w:r>
            <w:r>
              <w:rPr>
                <w:rFonts w:ascii="宋体" w:hAnsi="宋体" w:cs="宋体" w:eastAsia="宋体" w:hint="default"/>
                <w:spacing w:val="-63"/>
                <w:sz w:val="24"/>
                <w:szCs w:val="24"/>
              </w:rPr>
              <w:t> </w:t>
            </w:r>
            <w:r>
              <w:rPr>
                <w:rFonts w:ascii="Cambria" w:hAnsi="Cambria" w:cs="Cambria" w:eastAsia="Cambria" w:hint="default"/>
                <w:sz w:val="24"/>
                <w:szCs w:val="24"/>
              </w:rPr>
              <w:t>248,213</w:t>
            </w:r>
            <w:r>
              <w:rPr>
                <w:rFonts w:ascii="Cambria" w:hAnsi="Cambria" w:cs="Cambria" w:eastAsia="Cambria" w:hint="default"/>
                <w:spacing w:val="4"/>
                <w:sz w:val="24"/>
                <w:szCs w:val="24"/>
              </w:rPr>
              <w:t> </w:t>
            </w:r>
            <w:r>
              <w:rPr>
                <w:rFonts w:ascii="宋体" w:hAnsi="宋体" w:cs="宋体" w:eastAsia="宋体" w:hint="default"/>
                <w:sz w:val="24"/>
                <w:szCs w:val="24"/>
              </w:rPr>
              <w:t>万元。</w:t>
            </w:r>
          </w:p>
          <w:p>
            <w:pPr>
              <w:pStyle w:val="TableParagraph"/>
              <w:spacing w:line="240" w:lineRule="auto" w:before="4"/>
              <w:ind w:right="0"/>
              <w:jc w:val="left"/>
              <w:rPr>
                <w:rFonts w:ascii="Cambria" w:hAnsi="Cambria" w:cs="Cambria" w:eastAsia="Cambria" w:hint="default"/>
                <w:b/>
                <w:bCs/>
                <w:sz w:val="22"/>
                <w:szCs w:val="22"/>
              </w:rPr>
            </w:pPr>
          </w:p>
          <w:p>
            <w:pPr>
              <w:pStyle w:val="TableParagraph"/>
              <w:spacing w:line="237" w:lineRule="auto"/>
              <w:ind w:left="103" w:right="95"/>
              <w:jc w:val="both"/>
              <w:rPr>
                <w:rFonts w:ascii="宋体" w:hAnsi="宋体" w:cs="宋体" w:eastAsia="宋体" w:hint="default"/>
                <w:sz w:val="24"/>
                <w:szCs w:val="24"/>
              </w:rPr>
            </w:pPr>
            <w:r>
              <w:rPr>
                <w:rFonts w:ascii="宋体" w:hAnsi="宋体" w:cs="宋体" w:eastAsia="宋体" w:hint="default"/>
                <w:spacing w:val="8"/>
                <w:sz w:val="24"/>
                <w:szCs w:val="24"/>
              </w:rPr>
              <w:t>内退及统筹外福利的负债是在各种</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6"/>
                <w:sz w:val="24"/>
                <w:szCs w:val="24"/>
              </w:rPr>
              <w:t>假设条件的基础上进行精算确定。管</w:t>
            </w:r>
            <w:r>
              <w:rPr>
                <w:rFonts w:ascii="宋体" w:hAnsi="宋体" w:cs="宋体" w:eastAsia="宋体" w:hint="default"/>
                <w:sz w:val="24"/>
                <w:szCs w:val="24"/>
              </w:rPr>
              <w:t> </w:t>
            </w:r>
            <w:r>
              <w:rPr>
                <w:rFonts w:ascii="宋体" w:hAnsi="宋体" w:cs="宋体" w:eastAsia="宋体" w:hint="default"/>
                <w:spacing w:val="9"/>
                <w:sz w:val="24"/>
                <w:szCs w:val="24"/>
              </w:rPr>
              <w:t>理层聘请了第三方精算师对上述内</w:t>
            </w:r>
            <w:r>
              <w:rPr>
                <w:rFonts w:ascii="宋体" w:hAnsi="宋体" w:cs="宋体" w:eastAsia="宋体" w:hint="default"/>
                <w:sz w:val="24"/>
                <w:szCs w:val="24"/>
              </w:rPr>
              <w:t> </w:t>
            </w:r>
            <w:r>
              <w:rPr>
                <w:rFonts w:ascii="宋体" w:hAnsi="宋体" w:cs="宋体" w:eastAsia="宋体" w:hint="default"/>
                <w:spacing w:val="-6"/>
                <w:sz w:val="24"/>
                <w:szCs w:val="24"/>
              </w:rPr>
              <w:t>退及统筹外福利义务进行精算。精算</w:t>
            </w:r>
            <w:r>
              <w:rPr>
                <w:rFonts w:ascii="宋体" w:hAnsi="宋体" w:cs="宋体" w:eastAsia="宋体" w:hint="default"/>
                <w:sz w:val="24"/>
                <w:szCs w:val="24"/>
              </w:rPr>
              <w:t> </w:t>
            </w:r>
            <w:r>
              <w:rPr>
                <w:rFonts w:ascii="宋体" w:hAnsi="宋体" w:cs="宋体" w:eastAsia="宋体" w:hint="default"/>
                <w:spacing w:val="-7"/>
                <w:sz w:val="24"/>
                <w:szCs w:val="24"/>
              </w:rPr>
              <w:t>关键假设条件包括折现率、福利费用</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7"/>
                <w:sz w:val="24"/>
                <w:szCs w:val="24"/>
              </w:rPr>
              <w:t>的增长率以及死亡率等，假设条件的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9"/>
                <w:sz w:val="24"/>
                <w:szCs w:val="24"/>
              </w:rPr>
              <w:t>变化将对福利义务的计提产生重大</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7"/>
                <w:sz w:val="24"/>
                <w:szCs w:val="24"/>
              </w:rPr>
              <w:t>影响。该精算假设条件的选取涉及重</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要的判断和估计。</w:t>
            </w:r>
          </w:p>
          <w:p>
            <w:pPr>
              <w:pStyle w:val="TableParagraph"/>
              <w:spacing w:line="240" w:lineRule="auto" w:before="1"/>
              <w:ind w:right="0"/>
              <w:jc w:val="left"/>
              <w:rPr>
                <w:rFonts w:ascii="Cambria" w:hAnsi="Cambria" w:cs="Cambria" w:eastAsia="Cambria" w:hint="default"/>
                <w:b/>
                <w:bCs/>
                <w:sz w:val="24"/>
                <w:szCs w:val="24"/>
              </w:rPr>
            </w:pPr>
          </w:p>
          <w:p>
            <w:pPr>
              <w:pStyle w:val="TableParagraph"/>
              <w:spacing w:line="237" w:lineRule="auto"/>
              <w:ind w:left="103" w:right="5"/>
              <w:jc w:val="left"/>
              <w:rPr>
                <w:rFonts w:ascii="宋体" w:hAnsi="宋体" w:cs="宋体" w:eastAsia="宋体" w:hint="default"/>
                <w:sz w:val="24"/>
                <w:szCs w:val="24"/>
              </w:rPr>
            </w:pPr>
            <w:r>
              <w:rPr>
                <w:rFonts w:ascii="宋体" w:hAnsi="宋体" w:cs="宋体" w:eastAsia="宋体" w:hint="default"/>
                <w:spacing w:val="8"/>
                <w:sz w:val="24"/>
                <w:szCs w:val="24"/>
              </w:rPr>
              <w:t>由于内退及统筹外福利义务计提涉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及重要的判断和估计，且金额重大， 因此我们将其作为关键审计事项。</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2"/>
                <w:sz w:val="24"/>
                <w:szCs w:val="24"/>
              </w:rPr>
              <w:t>我们评估并测试了青港国际关于内退及统筹</w:t>
            </w:r>
            <w:r>
              <w:rPr>
                <w:rFonts w:ascii="宋体" w:hAnsi="宋体" w:cs="宋体" w:eastAsia="宋体" w:hint="default"/>
                <w:sz w:val="24"/>
                <w:szCs w:val="24"/>
              </w:rPr>
            </w:r>
          </w:p>
          <w:p>
            <w:pPr>
              <w:pStyle w:val="TableParagraph"/>
              <w:spacing w:line="313" w:lineRule="exact"/>
              <w:ind w:left="103" w:right="0"/>
              <w:jc w:val="both"/>
              <w:rPr>
                <w:rFonts w:ascii="宋体" w:hAnsi="宋体" w:cs="宋体" w:eastAsia="宋体" w:hint="default"/>
                <w:sz w:val="24"/>
                <w:szCs w:val="24"/>
              </w:rPr>
            </w:pPr>
            <w:r>
              <w:rPr>
                <w:rFonts w:ascii="宋体" w:hAnsi="宋体" w:cs="宋体" w:eastAsia="宋体" w:hint="default"/>
                <w:sz w:val="24"/>
                <w:szCs w:val="24"/>
              </w:rPr>
              <w:t>外福利义务计提的内部控制。</w:t>
            </w:r>
          </w:p>
          <w:p>
            <w:pPr>
              <w:pStyle w:val="TableParagraph"/>
              <w:spacing w:line="240" w:lineRule="auto" w:before="5"/>
              <w:ind w:right="0"/>
              <w:jc w:val="left"/>
              <w:rPr>
                <w:rFonts w:ascii="Cambria" w:hAnsi="Cambria" w:cs="Cambria" w:eastAsia="Cambria" w:hint="default"/>
                <w:b/>
                <w:bCs/>
                <w:sz w:val="26"/>
                <w:szCs w:val="26"/>
              </w:rPr>
            </w:pPr>
          </w:p>
          <w:p>
            <w:pPr>
              <w:pStyle w:val="TableParagraph"/>
              <w:spacing w:line="312" w:lineRule="exact"/>
              <w:ind w:left="103" w:right="104"/>
              <w:jc w:val="both"/>
              <w:rPr>
                <w:rFonts w:ascii="宋体" w:hAnsi="宋体" w:cs="宋体" w:eastAsia="宋体" w:hint="default"/>
                <w:sz w:val="24"/>
                <w:szCs w:val="24"/>
              </w:rPr>
            </w:pPr>
            <w:r>
              <w:rPr>
                <w:rFonts w:ascii="宋体" w:hAnsi="宋体" w:cs="宋体" w:eastAsia="宋体" w:hint="default"/>
                <w:spacing w:val="2"/>
                <w:sz w:val="24"/>
                <w:szCs w:val="24"/>
              </w:rPr>
              <w:t>我们对第三方精算师的胜任能力、专业素质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和客观性进行了评价。</w:t>
            </w:r>
          </w:p>
          <w:p>
            <w:pPr>
              <w:pStyle w:val="TableParagraph"/>
              <w:spacing w:line="240" w:lineRule="auto" w:before="5"/>
              <w:ind w:right="0"/>
              <w:jc w:val="left"/>
              <w:rPr>
                <w:rFonts w:ascii="Cambria" w:hAnsi="Cambria" w:cs="Cambria" w:eastAsia="Cambria" w:hint="default"/>
                <w:b/>
                <w:bCs/>
                <w:sz w:val="21"/>
                <w:szCs w:val="21"/>
              </w:rPr>
            </w:pPr>
          </w:p>
          <w:p>
            <w:pPr>
              <w:pStyle w:val="TableParagraph"/>
              <w:spacing w:line="237" w:lineRule="auto"/>
              <w:ind w:left="103" w:right="103"/>
              <w:jc w:val="both"/>
              <w:rPr>
                <w:rFonts w:ascii="宋体" w:hAnsi="宋体" w:cs="宋体" w:eastAsia="宋体" w:hint="default"/>
                <w:sz w:val="24"/>
                <w:szCs w:val="24"/>
              </w:rPr>
            </w:pPr>
            <w:r>
              <w:rPr>
                <w:rFonts w:ascii="宋体" w:hAnsi="宋体" w:cs="宋体" w:eastAsia="宋体" w:hint="default"/>
                <w:spacing w:val="2"/>
                <w:sz w:val="24"/>
                <w:szCs w:val="24"/>
              </w:rPr>
              <w:t>我们利用了内部的精算专家工作，协助我们</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对第三方精算师所使用的关键假设条件的合</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理性进行了评估；将所使用的折现率与资产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负债表日国债即期收益率进行比较；将死亡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率核对至中国人寿保险业经验生命表；将各</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类福利的增长率与公司的福利政策和历史信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息、国家统计局公布的历史物价指数或当地</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的社会平均工资增长率进行比较，并考虑这</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些假设条件在合理可能变动时的潜在影响，</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并通过独立计算对第三方精算师的结果进行</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复核。</w:t>
            </w:r>
          </w:p>
          <w:p>
            <w:pPr>
              <w:pStyle w:val="TableParagraph"/>
              <w:spacing w:line="240" w:lineRule="auto" w:before="1"/>
              <w:ind w:right="0"/>
              <w:jc w:val="left"/>
              <w:rPr>
                <w:rFonts w:ascii="Cambria" w:hAnsi="Cambria" w:cs="Cambria" w:eastAsia="Cambria" w:hint="default"/>
                <w:b/>
                <w:bCs/>
                <w:sz w:val="24"/>
                <w:szCs w:val="24"/>
              </w:rPr>
            </w:pPr>
          </w:p>
          <w:p>
            <w:pPr>
              <w:pStyle w:val="TableParagraph"/>
              <w:spacing w:line="237" w:lineRule="auto"/>
              <w:ind w:left="103" w:right="103"/>
              <w:jc w:val="both"/>
              <w:rPr>
                <w:rFonts w:ascii="宋体" w:hAnsi="宋体" w:cs="宋体" w:eastAsia="宋体" w:hint="default"/>
                <w:sz w:val="24"/>
                <w:szCs w:val="24"/>
              </w:rPr>
            </w:pPr>
            <w:r>
              <w:rPr>
                <w:rFonts w:ascii="宋体" w:hAnsi="宋体" w:cs="宋体" w:eastAsia="宋体" w:hint="default"/>
                <w:spacing w:val="2"/>
                <w:sz w:val="24"/>
                <w:szCs w:val="24"/>
              </w:rPr>
              <w:t>我们通过核对管理层记录及相关财务数据，</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对精算师所使用的福利计划内容、员工基本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信息及当期福利支付金额等基础数据进行了</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检查。</w:t>
            </w:r>
          </w:p>
          <w:p>
            <w:pPr>
              <w:pStyle w:val="TableParagraph"/>
              <w:spacing w:line="240" w:lineRule="auto" w:before="5"/>
              <w:ind w:right="0"/>
              <w:jc w:val="left"/>
              <w:rPr>
                <w:rFonts w:ascii="Cambria" w:hAnsi="Cambria" w:cs="Cambria" w:eastAsia="Cambria" w:hint="default"/>
                <w:b/>
                <w:bCs/>
                <w:sz w:val="26"/>
                <w:szCs w:val="26"/>
              </w:rPr>
            </w:pPr>
          </w:p>
          <w:p>
            <w:pPr>
              <w:pStyle w:val="TableParagraph"/>
              <w:spacing w:line="312" w:lineRule="exact"/>
              <w:ind w:left="103" w:right="105"/>
              <w:jc w:val="both"/>
              <w:rPr>
                <w:rFonts w:ascii="宋体" w:hAnsi="宋体" w:cs="宋体" w:eastAsia="宋体" w:hint="default"/>
                <w:sz w:val="24"/>
                <w:szCs w:val="24"/>
              </w:rPr>
            </w:pPr>
            <w:r>
              <w:rPr>
                <w:rFonts w:ascii="宋体" w:hAnsi="宋体" w:cs="宋体" w:eastAsia="宋体" w:hint="default"/>
                <w:spacing w:val="2"/>
                <w:sz w:val="24"/>
                <w:szCs w:val="24"/>
              </w:rPr>
              <w:t>我们发现管理层在计提内退及统筹外福利义</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务时关于假设条件的判断和估计在可接受的</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范围内。</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tabs>
          <w:tab w:pos="3019"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footerReference w:type="default" r:id="rId49"/>
          <w:pgSz w:w="11910" w:h="16840"/>
          <w:pgMar w:footer="974" w:header="0" w:top="1100" w:bottom="1160" w:left="1280" w:right="1300"/>
          <w:pgNumType w:start="81"/>
        </w:sectPr>
      </w:pPr>
    </w:p>
    <w:p>
      <w:pPr>
        <w:spacing w:line="240" w:lineRule="auto" w:before="0"/>
        <w:rPr>
          <w:rFonts w:ascii="宋体" w:hAnsi="宋体" w:cs="宋体" w:eastAsia="宋体" w:hint="default"/>
          <w:sz w:val="20"/>
          <w:szCs w:val="20"/>
        </w:rPr>
      </w:pPr>
    </w:p>
    <w:p>
      <w:pPr>
        <w:pStyle w:val="Heading3"/>
        <w:spacing w:line="322" w:lineRule="exact" w:before="168"/>
        <w:ind w:left="0" w:right="229"/>
        <w:jc w:val="righ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2" w:lineRule="exact"/>
        <w:ind w:left="0" w:right="226"/>
        <w:jc w:val="right"/>
        <w:rPr>
          <w:rFonts w:ascii="Cambria" w:hAnsi="Cambria" w:cs="Cambria" w:eastAsia="Cambria" w:hint="default"/>
        </w:rPr>
      </w:pPr>
      <w:r>
        <w:rPr>
          <w:rFonts w:ascii="Cambria" w:hAnsi="Cambria" w:cs="Cambria" w:eastAsia="Cambria" w:hint="default"/>
          <w:spacing w:val="-1"/>
        </w:rPr>
        <w:t>(</w:t>
      </w:r>
      <w:r>
        <w:rPr>
          <w:spacing w:val="-1"/>
        </w:rPr>
        <w:t>第三页，共七页</w:t>
      </w:r>
      <w:r>
        <w:rPr>
          <w:rFonts w:ascii="Cambria" w:hAnsi="Cambria" w:cs="Cambria" w:eastAsia="Cambria" w:hint="default"/>
          <w:spacing w:val="-1"/>
        </w:rPr>
        <w:t>)</w:t>
      </w:r>
    </w:p>
    <w:p>
      <w:pPr>
        <w:spacing w:line="240" w:lineRule="auto" w:before="10"/>
        <w:rPr>
          <w:rFonts w:ascii="Cambria" w:hAnsi="Cambria" w:cs="Cambria" w:eastAsia="Cambria" w:hint="default"/>
          <w:sz w:val="19"/>
          <w:szCs w:val="19"/>
        </w:rPr>
      </w:pPr>
    </w:p>
    <w:p>
      <w:pPr>
        <w:pStyle w:val="Heading2"/>
        <w:spacing w:line="240" w:lineRule="auto" w:before="26"/>
        <w:ind w:left="280" w:right="192"/>
        <w:jc w:val="left"/>
        <w:rPr>
          <w:rFonts w:ascii="Cambria" w:hAnsi="Cambria" w:cs="Cambria" w:eastAsia="Cambria" w:hint="default"/>
          <w:b w:val="0"/>
          <w:bCs w:val="0"/>
        </w:rPr>
      </w:pPr>
      <w:r>
        <w:rPr/>
        <w:t>三、</w:t>
      </w:r>
      <w:r>
        <w:rPr>
          <w:spacing w:val="93"/>
        </w:rPr>
        <w:t> </w:t>
      </w:r>
      <w:r>
        <w:rPr>
          <w:rFonts w:ascii="宋体" w:hAnsi="宋体" w:cs="宋体" w:eastAsia="宋体" w:hint="default"/>
          <w:spacing w:val="93"/>
        </w:rPr>
      </w:r>
      <w:r>
        <w:rPr/>
        <w:t>关键审计事项</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spacing w:line="240" w:lineRule="auto" w:before="8"/>
        <w:rPr>
          <w:rFonts w:ascii="Cambria" w:hAnsi="Cambria" w:cs="Cambria" w:eastAsia="Cambria" w:hint="default"/>
          <w:b/>
          <w:bCs/>
          <w:sz w:val="5"/>
          <w:szCs w:val="5"/>
        </w:rPr>
      </w:pPr>
    </w:p>
    <w:tbl>
      <w:tblPr>
        <w:tblW w:w="0" w:type="auto"/>
        <w:jc w:val="left"/>
        <w:tblInd w:w="275" w:type="dxa"/>
        <w:tblLayout w:type="fixed"/>
        <w:tblCellMar>
          <w:top w:w="0" w:type="dxa"/>
          <w:left w:w="0" w:type="dxa"/>
          <w:bottom w:w="0" w:type="dxa"/>
          <w:right w:w="0" w:type="dxa"/>
        </w:tblCellMar>
        <w:tblLook w:val="01E0"/>
      </w:tblPr>
      <w:tblGrid>
        <w:gridCol w:w="3920"/>
        <w:gridCol w:w="4983"/>
      </w:tblGrid>
      <w:tr>
        <w:trPr>
          <w:trHeight w:val="322"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6"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8607"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tabs>
                <w:tab w:pos="1293" w:val="left" w:leader="none"/>
              </w:tabs>
              <w:spacing w:line="283" w:lineRule="exact"/>
              <w:ind w:left="583" w:right="0"/>
              <w:jc w:val="left"/>
              <w:rPr>
                <w:rFonts w:ascii="宋体" w:hAnsi="宋体" w:cs="宋体" w:eastAsia="宋体" w:hint="default"/>
                <w:sz w:val="24"/>
                <w:szCs w:val="24"/>
              </w:rPr>
            </w:pPr>
            <w:r>
              <w:rPr>
                <w:rFonts w:ascii="Cambria" w:hAnsi="Cambria" w:cs="Cambria" w:eastAsia="Cambria" w:hint="default"/>
                <w:spacing w:val="7"/>
                <w:sz w:val="24"/>
                <w:szCs w:val="24"/>
              </w:rPr>
              <w:t>(</w:t>
            </w:r>
            <w:r>
              <w:rPr>
                <w:rFonts w:ascii="宋体" w:hAnsi="宋体" w:cs="宋体" w:eastAsia="宋体" w:hint="default"/>
                <w:spacing w:val="7"/>
                <w:sz w:val="24"/>
                <w:szCs w:val="24"/>
              </w:rPr>
              <w:t>二</w:t>
            </w:r>
            <w:r>
              <w:rPr>
                <w:rFonts w:ascii="Cambria" w:hAnsi="Cambria" w:cs="Cambria" w:eastAsia="Cambria" w:hint="default"/>
                <w:spacing w:val="7"/>
                <w:sz w:val="24"/>
                <w:szCs w:val="24"/>
              </w:rPr>
              <w:t>)</w:t>
              <w:tab/>
            </w:r>
            <w:r>
              <w:rPr>
                <w:rFonts w:ascii="宋体" w:hAnsi="宋体" w:cs="宋体" w:eastAsia="宋体" w:hint="default"/>
                <w:spacing w:val="10"/>
                <w:sz w:val="24"/>
                <w:szCs w:val="24"/>
              </w:rPr>
              <w:t>应收账款坏账准备的估</w:t>
            </w:r>
          </w:p>
          <w:p>
            <w:pPr>
              <w:pStyle w:val="TableParagraph"/>
              <w:spacing w:line="232" w:lineRule="auto"/>
              <w:ind w:left="103" w:right="75"/>
              <w:jc w:val="left"/>
              <w:rPr>
                <w:rFonts w:ascii="宋体" w:hAnsi="宋体" w:cs="宋体" w:eastAsia="宋体" w:hint="default"/>
                <w:sz w:val="24"/>
                <w:szCs w:val="24"/>
              </w:rPr>
            </w:pPr>
            <w:r>
              <w:rPr>
                <w:rFonts w:ascii="宋体" w:hAnsi="宋体" w:cs="宋体" w:eastAsia="宋体" w:hint="default"/>
                <w:sz w:val="24"/>
                <w:szCs w:val="24"/>
              </w:rPr>
              <w:t>计 </w:t>
            </w:r>
            <w:r>
              <w:rPr>
                <w:rFonts w:ascii="宋体" w:hAnsi="宋体" w:cs="宋体" w:eastAsia="宋体" w:hint="default"/>
                <w:spacing w:val="7"/>
                <w:sz w:val="24"/>
                <w:szCs w:val="24"/>
              </w:rPr>
              <w:t>如财务报表附注二“主要会计政策</w:t>
            </w:r>
            <w:r>
              <w:rPr>
                <w:rFonts w:ascii="宋体" w:hAnsi="宋体" w:cs="宋体" w:eastAsia="宋体" w:hint="default"/>
                <w:spacing w:val="7"/>
                <w:sz w:val="24"/>
                <w:szCs w:val="24"/>
              </w:rPr>
              <w:t> </w:t>
            </w:r>
            <w:r>
              <w:rPr>
                <w:rFonts w:ascii="宋体" w:hAnsi="宋体" w:cs="宋体" w:eastAsia="宋体" w:hint="default"/>
                <w:sz w:val="24"/>
                <w:szCs w:val="24"/>
              </w:rPr>
              <w:t>和会计估计”</w:t>
            </w:r>
            <w:r>
              <w:rPr>
                <w:rFonts w:ascii="Cambria" w:hAnsi="Cambria" w:cs="Cambria" w:eastAsia="Cambria" w:hint="default"/>
                <w:sz w:val="24"/>
                <w:szCs w:val="24"/>
              </w:rPr>
              <w:t>(9)</w:t>
            </w:r>
            <w:r>
              <w:rPr>
                <w:rFonts w:ascii="Cambria" w:hAnsi="Cambria" w:cs="Cambria" w:eastAsia="Cambria" w:hint="default"/>
                <w:spacing w:val="41"/>
                <w:sz w:val="24"/>
                <w:szCs w:val="24"/>
              </w:rPr>
              <w:t> </w:t>
            </w:r>
            <w:r>
              <w:rPr>
                <w:rFonts w:ascii="宋体" w:hAnsi="宋体" w:cs="宋体" w:eastAsia="宋体" w:hint="default"/>
                <w:sz w:val="24"/>
                <w:szCs w:val="24"/>
              </w:rPr>
              <w:t>、</w:t>
            </w:r>
            <w:r>
              <w:rPr>
                <w:rFonts w:ascii="Cambria" w:hAnsi="Cambria" w:cs="Cambria" w:eastAsia="Cambria" w:hint="default"/>
                <w:sz w:val="24"/>
                <w:szCs w:val="24"/>
              </w:rPr>
              <w:t>(30)(a)(iii)</w:t>
            </w:r>
            <w:r>
              <w:rPr>
                <w:rFonts w:ascii="宋体" w:hAnsi="宋体" w:cs="宋体" w:eastAsia="宋体" w:hint="default"/>
                <w:sz w:val="24"/>
                <w:szCs w:val="24"/>
              </w:rPr>
              <w:t>及附 </w:t>
            </w:r>
            <w:r>
              <w:rPr>
                <w:rFonts w:ascii="宋体" w:hAnsi="宋体" w:cs="宋体" w:eastAsia="宋体" w:hint="default"/>
                <w:spacing w:val="24"/>
                <w:sz w:val="24"/>
                <w:szCs w:val="24"/>
              </w:rPr>
              <w:t>注四“合并财务报表项目附注”</w:t>
            </w:r>
            <w:r>
              <w:rPr>
                <w:rFonts w:ascii="宋体" w:hAnsi="宋体" w:cs="宋体" w:eastAsia="宋体" w:hint="default"/>
                <w:spacing w:val="-94"/>
                <w:sz w:val="24"/>
                <w:szCs w:val="24"/>
              </w:rPr>
              <w:t> </w:t>
            </w:r>
            <w:r>
              <w:rPr>
                <w:rFonts w:ascii="Cambria" w:hAnsi="Cambria" w:cs="Cambria" w:eastAsia="Cambria" w:hint="default"/>
                <w:spacing w:val="-3"/>
                <w:sz w:val="24"/>
                <w:szCs w:val="24"/>
              </w:rPr>
              <w:t>(4)(d)</w:t>
            </w:r>
            <w:r>
              <w:rPr>
                <w:rFonts w:ascii="宋体" w:hAnsi="宋体" w:cs="宋体" w:eastAsia="宋体" w:hint="default"/>
                <w:spacing w:val="-3"/>
                <w:sz w:val="24"/>
                <w:szCs w:val="24"/>
              </w:rPr>
              <w:t>所述，管理层会定期对应收账</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4"/>
                <w:sz w:val="24"/>
                <w:szCs w:val="24"/>
              </w:rPr>
              <w:t>款坏账准备的合理性进行重新评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估。</w:t>
            </w:r>
          </w:p>
          <w:p>
            <w:pPr>
              <w:pStyle w:val="TableParagraph"/>
              <w:spacing w:line="240" w:lineRule="auto" w:before="10"/>
              <w:ind w:right="0"/>
              <w:jc w:val="left"/>
              <w:rPr>
                <w:rFonts w:ascii="Cambria" w:hAnsi="Cambria" w:cs="Cambria" w:eastAsia="Cambria" w:hint="default"/>
                <w:b/>
                <w:bCs/>
                <w:sz w:val="23"/>
                <w:szCs w:val="23"/>
              </w:rPr>
            </w:pPr>
          </w:p>
          <w:p>
            <w:pPr>
              <w:pStyle w:val="TableParagraph"/>
              <w:spacing w:line="322" w:lineRule="exact"/>
              <w:ind w:left="10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2"/>
                <w:sz w:val="24"/>
                <w:szCs w:val="24"/>
              </w:rPr>
              <w:t> </w:t>
            </w:r>
            <w:r>
              <w:rPr>
                <w:rFonts w:ascii="Cambria" w:hAnsi="Cambria" w:cs="Cambria" w:eastAsia="Cambria" w:hint="default"/>
                <w:sz w:val="24"/>
                <w:szCs w:val="24"/>
              </w:rPr>
              <w:t>2019</w:t>
            </w:r>
            <w:r>
              <w:rPr>
                <w:rFonts w:ascii="Cambria" w:hAnsi="Cambria" w:cs="Cambria" w:eastAsia="Cambria" w:hint="default"/>
                <w:spacing w:val="24"/>
                <w:sz w:val="24"/>
                <w:szCs w:val="24"/>
              </w:rPr>
              <w:t> </w:t>
            </w:r>
            <w:r>
              <w:rPr>
                <w:rFonts w:ascii="宋体" w:hAnsi="宋体" w:cs="宋体" w:eastAsia="宋体" w:hint="default"/>
                <w:sz w:val="24"/>
                <w:szCs w:val="24"/>
              </w:rPr>
              <w:t>年</w:t>
            </w:r>
            <w:r>
              <w:rPr>
                <w:rFonts w:ascii="宋体" w:hAnsi="宋体" w:cs="宋体" w:eastAsia="宋体" w:hint="default"/>
                <w:spacing w:val="-40"/>
                <w:sz w:val="24"/>
                <w:szCs w:val="24"/>
              </w:rPr>
              <w:t> </w:t>
            </w:r>
            <w:r>
              <w:rPr>
                <w:rFonts w:ascii="Cambria" w:hAnsi="Cambria" w:cs="Cambria" w:eastAsia="Cambria" w:hint="default"/>
                <w:sz w:val="24"/>
                <w:szCs w:val="24"/>
              </w:rPr>
              <w:t>12</w:t>
            </w:r>
            <w:r>
              <w:rPr>
                <w:rFonts w:ascii="Cambria" w:hAnsi="Cambria" w:cs="Cambria" w:eastAsia="Cambria" w:hint="default"/>
                <w:spacing w:val="27"/>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Cambria" w:hAnsi="Cambria" w:cs="Cambria" w:eastAsia="Cambria" w:hint="default"/>
                <w:sz w:val="24"/>
                <w:szCs w:val="24"/>
              </w:rPr>
              <w:t>31</w:t>
            </w:r>
            <w:r>
              <w:rPr>
                <w:rFonts w:ascii="Cambria" w:hAnsi="Cambria" w:cs="Cambria" w:eastAsia="Cambria" w:hint="default"/>
                <w:spacing w:val="27"/>
                <w:sz w:val="24"/>
                <w:szCs w:val="24"/>
              </w:rPr>
              <w:t> </w:t>
            </w:r>
            <w:r>
              <w:rPr>
                <w:rFonts w:ascii="宋体" w:hAnsi="宋体" w:cs="宋体" w:eastAsia="宋体" w:hint="default"/>
                <w:sz w:val="24"/>
                <w:szCs w:val="24"/>
              </w:rPr>
              <w:t>日，应收账款</w:t>
            </w:r>
          </w:p>
          <w:p>
            <w:pPr>
              <w:pStyle w:val="TableParagraph"/>
              <w:spacing w:line="311" w:lineRule="exact"/>
              <w:ind w:left="103" w:right="0"/>
              <w:jc w:val="left"/>
              <w:rPr>
                <w:rFonts w:ascii="宋体" w:hAnsi="宋体" w:cs="宋体" w:eastAsia="宋体" w:hint="default"/>
                <w:sz w:val="24"/>
                <w:szCs w:val="24"/>
              </w:rPr>
            </w:pPr>
            <w:r>
              <w:rPr>
                <w:rFonts w:ascii="宋体" w:hAnsi="宋体" w:cs="宋体" w:eastAsia="宋体" w:hint="default"/>
                <w:sz w:val="24"/>
                <w:szCs w:val="24"/>
              </w:rPr>
              <w:t>原值为 </w:t>
            </w:r>
            <w:r>
              <w:rPr>
                <w:rFonts w:ascii="Cambria" w:hAnsi="Cambria" w:cs="Cambria" w:eastAsia="Cambria" w:hint="default"/>
                <w:sz w:val="24"/>
                <w:szCs w:val="24"/>
              </w:rPr>
              <w:t>250,415</w:t>
            </w:r>
            <w:r>
              <w:rPr>
                <w:rFonts w:ascii="Cambria" w:hAnsi="Cambria" w:cs="Cambria" w:eastAsia="Cambria" w:hint="default"/>
                <w:spacing w:val="40"/>
                <w:sz w:val="24"/>
                <w:szCs w:val="24"/>
              </w:rPr>
              <w:t> </w:t>
            </w:r>
            <w:r>
              <w:rPr>
                <w:rFonts w:ascii="宋体" w:hAnsi="宋体" w:cs="宋体" w:eastAsia="宋体" w:hint="default"/>
                <w:sz w:val="24"/>
                <w:szCs w:val="24"/>
              </w:rPr>
              <w:t>万元，计提的坏账</w:t>
            </w:r>
          </w:p>
          <w:p>
            <w:pPr>
              <w:pStyle w:val="TableParagraph"/>
              <w:spacing w:line="323" w:lineRule="exact"/>
              <w:ind w:left="103" w:right="0"/>
              <w:jc w:val="left"/>
              <w:rPr>
                <w:rFonts w:ascii="宋体" w:hAnsi="宋体" w:cs="宋体" w:eastAsia="宋体" w:hint="default"/>
                <w:sz w:val="24"/>
                <w:szCs w:val="24"/>
              </w:rPr>
            </w:pPr>
            <w:r>
              <w:rPr>
                <w:rFonts w:ascii="宋体" w:hAnsi="宋体" w:cs="宋体" w:eastAsia="宋体" w:hint="default"/>
                <w:sz w:val="24"/>
                <w:szCs w:val="24"/>
              </w:rPr>
              <w:t>准备金额为</w:t>
            </w:r>
            <w:r>
              <w:rPr>
                <w:rFonts w:ascii="宋体" w:hAnsi="宋体" w:cs="宋体" w:eastAsia="宋体" w:hint="default"/>
                <w:spacing w:val="-62"/>
                <w:sz w:val="24"/>
                <w:szCs w:val="24"/>
              </w:rPr>
              <w:t> </w:t>
            </w:r>
            <w:r>
              <w:rPr>
                <w:rFonts w:ascii="Cambria" w:hAnsi="Cambria" w:cs="Cambria" w:eastAsia="Cambria" w:hint="default"/>
                <w:sz w:val="24"/>
                <w:szCs w:val="24"/>
              </w:rPr>
              <w:t>16,642</w:t>
            </w:r>
            <w:r>
              <w:rPr>
                <w:rFonts w:ascii="Cambria" w:hAnsi="Cambria" w:cs="Cambria" w:eastAsia="Cambria" w:hint="default"/>
                <w:spacing w:val="4"/>
                <w:sz w:val="24"/>
                <w:szCs w:val="24"/>
              </w:rPr>
              <w:t> </w:t>
            </w:r>
            <w:r>
              <w:rPr>
                <w:rFonts w:ascii="宋体" w:hAnsi="宋体" w:cs="宋体" w:eastAsia="宋体" w:hint="default"/>
                <w:sz w:val="24"/>
                <w:szCs w:val="24"/>
              </w:rPr>
              <w:t>万元。</w:t>
            </w:r>
          </w:p>
          <w:p>
            <w:pPr>
              <w:pStyle w:val="TableParagraph"/>
              <w:spacing w:line="240" w:lineRule="auto" w:before="4"/>
              <w:ind w:right="0"/>
              <w:jc w:val="left"/>
              <w:rPr>
                <w:rFonts w:ascii="Cambria" w:hAnsi="Cambria" w:cs="Cambria" w:eastAsia="Cambria" w:hint="default"/>
                <w:b/>
                <w:bCs/>
                <w:sz w:val="22"/>
                <w:szCs w:val="22"/>
              </w:rPr>
            </w:pPr>
          </w:p>
          <w:p>
            <w:pPr>
              <w:pStyle w:val="TableParagraph"/>
              <w:spacing w:line="237" w:lineRule="auto"/>
              <w:ind w:left="103" w:right="96"/>
              <w:jc w:val="both"/>
              <w:rPr>
                <w:rFonts w:ascii="宋体" w:hAnsi="宋体" w:cs="宋体" w:eastAsia="宋体" w:hint="default"/>
                <w:sz w:val="24"/>
                <w:szCs w:val="24"/>
              </w:rPr>
            </w:pPr>
            <w:r>
              <w:rPr>
                <w:rFonts w:ascii="宋体" w:hAnsi="宋体" w:cs="宋体" w:eastAsia="宋体" w:hint="default"/>
                <w:spacing w:val="7"/>
                <w:sz w:val="24"/>
                <w:szCs w:val="24"/>
              </w:rPr>
              <w:t>管理层通过违约风险敞口和整个存 续期预期信用损失率计算预期信用 损失。在确定预期信用损失率时， 管理层使用历史损失经验，并结合 当前状况和前瞻性信息对历史数据 进行调整得出前瞻性调整后的预期 信用损失率。在考虑历史信用损失 </w:t>
            </w:r>
            <w:r>
              <w:rPr>
                <w:rFonts w:ascii="宋体" w:hAnsi="宋体" w:cs="宋体" w:eastAsia="宋体" w:hint="default"/>
                <w:spacing w:val="6"/>
                <w:sz w:val="24"/>
                <w:szCs w:val="24"/>
              </w:rPr>
              <w:t>经验时，管理层综合考虑债务人的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7"/>
                <w:sz w:val="24"/>
                <w:szCs w:val="24"/>
              </w:rPr>
              <w:t>财务状况、历史回收情况及应收账</w:t>
            </w:r>
            <w:r>
              <w:rPr>
                <w:rFonts w:ascii="宋体" w:hAnsi="宋体" w:cs="宋体" w:eastAsia="宋体" w:hint="default"/>
                <w:spacing w:val="7"/>
                <w:sz w:val="24"/>
                <w:szCs w:val="24"/>
              </w:rPr>
              <w:t> 款的账龄等信息。在考虑前瞻性信 息时，管理层使用的指标包括经济 下滑的风险、预期失业率的增长、 </w:t>
            </w:r>
            <w:r>
              <w:rPr>
                <w:rFonts w:ascii="宋体" w:hAnsi="宋体" w:cs="宋体" w:eastAsia="宋体" w:hint="default"/>
                <w:sz w:val="24"/>
                <w:szCs w:val="24"/>
              </w:rPr>
              <w:t>外部市场环境等。</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10"/>
                <w:sz w:val="24"/>
                <w:szCs w:val="24"/>
              </w:rPr>
              <w:t>我们评估并测试了青港国际关于应收账款管</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理及预期信用损失计提相关的内部控制。</w:t>
            </w:r>
          </w:p>
          <w:p>
            <w:pPr>
              <w:pStyle w:val="TableParagraph"/>
              <w:spacing w:line="310" w:lineRule="exact" w:before="193"/>
              <w:ind w:left="100" w:right="108"/>
              <w:jc w:val="left"/>
              <w:rPr>
                <w:rFonts w:ascii="宋体" w:hAnsi="宋体" w:cs="宋体" w:eastAsia="宋体" w:hint="default"/>
                <w:sz w:val="24"/>
                <w:szCs w:val="24"/>
              </w:rPr>
            </w:pPr>
            <w:r>
              <w:rPr>
                <w:rFonts w:ascii="宋体" w:hAnsi="宋体" w:cs="宋体" w:eastAsia="宋体" w:hint="default"/>
                <w:spacing w:val="10"/>
                <w:sz w:val="24"/>
                <w:szCs w:val="24"/>
              </w:rPr>
              <w:t>我们对应收账款预期信用损失计量的合理性</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进行了评估。</w:t>
            </w:r>
          </w:p>
          <w:p>
            <w:pPr>
              <w:pStyle w:val="TableParagraph"/>
              <w:spacing w:line="240" w:lineRule="auto" w:before="4"/>
              <w:ind w:right="0"/>
              <w:jc w:val="left"/>
              <w:rPr>
                <w:rFonts w:ascii="Cambria" w:hAnsi="Cambria" w:cs="Cambria" w:eastAsia="Cambria" w:hint="default"/>
                <w:b/>
                <w:bCs/>
                <w:sz w:val="21"/>
                <w:szCs w:val="21"/>
              </w:rPr>
            </w:pPr>
          </w:p>
          <w:p>
            <w:pPr>
              <w:pStyle w:val="TableParagraph"/>
              <w:spacing w:line="254" w:lineRule="auto"/>
              <w:ind w:left="753" w:right="98" w:hanging="519"/>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8"/>
                <w:sz w:val="24"/>
                <w:szCs w:val="24"/>
              </w:rPr>
              <w:t></w:t>
            </w:r>
            <w:r>
              <w:rPr>
                <w:rFonts w:ascii="Times New Roman" w:hAnsi="Times New Roman" w:cs="Times New Roman" w:eastAsia="Times New Roman" w:hint="default"/>
                <w:spacing w:val="18"/>
                <w:sz w:val="24"/>
                <w:szCs w:val="24"/>
              </w:rPr>
            </w:r>
            <w:r>
              <w:rPr>
                <w:rFonts w:ascii="宋体" w:hAnsi="宋体" w:cs="宋体" w:eastAsia="宋体" w:hint="default"/>
                <w:sz w:val="24"/>
                <w:szCs w:val="24"/>
              </w:rPr>
              <w:t>我们采用抽样的方法对应收账款余额执</w:t>
            </w:r>
            <w:r>
              <w:rPr>
                <w:rFonts w:ascii="宋体" w:hAnsi="宋体" w:cs="宋体" w:eastAsia="宋体" w:hint="default"/>
                <w:spacing w:val="2"/>
                <w:w w:val="100"/>
                <w:sz w:val="24"/>
                <w:szCs w:val="24"/>
              </w:rPr>
              <w:t> </w:t>
            </w:r>
            <w:r>
              <w:rPr>
                <w:rFonts w:ascii="宋体" w:hAnsi="宋体" w:cs="宋体" w:eastAsia="宋体" w:hint="default"/>
                <w:sz w:val="24"/>
                <w:szCs w:val="24"/>
              </w:rPr>
              <w:t>行了函证程序，并将函证结果与青港国</w:t>
            </w:r>
            <w:r>
              <w:rPr>
                <w:rFonts w:ascii="宋体" w:hAnsi="宋体" w:cs="宋体" w:eastAsia="宋体" w:hint="default"/>
                <w:spacing w:val="2"/>
                <w:w w:val="100"/>
                <w:sz w:val="24"/>
                <w:szCs w:val="24"/>
              </w:rPr>
              <w:t> </w:t>
            </w:r>
            <w:r>
              <w:rPr>
                <w:rFonts w:ascii="宋体" w:hAnsi="宋体" w:cs="宋体" w:eastAsia="宋体" w:hint="default"/>
                <w:sz w:val="24"/>
                <w:szCs w:val="24"/>
              </w:rPr>
              <w:t>际记录的金额进行了核对；我们通过核</w:t>
            </w:r>
            <w:r>
              <w:rPr>
                <w:rFonts w:ascii="宋体" w:hAnsi="宋体" w:cs="宋体" w:eastAsia="宋体" w:hint="default"/>
                <w:spacing w:val="2"/>
                <w:w w:val="100"/>
                <w:sz w:val="24"/>
                <w:szCs w:val="24"/>
              </w:rPr>
              <w:t> </w:t>
            </w:r>
            <w:r>
              <w:rPr>
                <w:rFonts w:ascii="宋体" w:hAnsi="宋体" w:cs="宋体" w:eastAsia="宋体" w:hint="default"/>
                <w:sz w:val="24"/>
                <w:szCs w:val="24"/>
              </w:rPr>
              <w:t>对作业单据、发票等支持性记录文件抽</w:t>
            </w:r>
            <w:r>
              <w:rPr>
                <w:rFonts w:ascii="宋体" w:hAnsi="宋体" w:cs="宋体" w:eastAsia="宋体" w:hint="default"/>
                <w:spacing w:val="2"/>
                <w:w w:val="100"/>
                <w:sz w:val="24"/>
                <w:szCs w:val="24"/>
              </w:rPr>
              <w:t> </w:t>
            </w:r>
            <w:r>
              <w:rPr>
                <w:rFonts w:ascii="宋体" w:hAnsi="宋体" w:cs="宋体" w:eastAsia="宋体" w:hint="default"/>
                <w:sz w:val="24"/>
                <w:szCs w:val="24"/>
              </w:rPr>
              <w:t>样检查了应收账款账龄的准确性。</w:t>
            </w:r>
          </w:p>
          <w:p>
            <w:pPr>
              <w:pStyle w:val="TableParagraph"/>
              <w:spacing w:line="240" w:lineRule="auto"/>
              <w:ind w:right="0"/>
              <w:jc w:val="left"/>
              <w:rPr>
                <w:rFonts w:ascii="Cambria" w:hAnsi="Cambria" w:cs="Cambria" w:eastAsia="Cambria" w:hint="default"/>
                <w:b/>
                <w:bCs/>
                <w:sz w:val="24"/>
                <w:szCs w:val="24"/>
              </w:rPr>
            </w:pPr>
          </w:p>
          <w:p>
            <w:pPr>
              <w:pStyle w:val="TableParagraph"/>
              <w:spacing w:line="254" w:lineRule="auto" w:before="167"/>
              <w:ind w:left="753" w:right="98" w:hanging="519"/>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9"/>
                <w:sz w:val="24"/>
                <w:szCs w:val="24"/>
              </w:rPr>
              <w:t></w:t>
            </w:r>
            <w:r>
              <w:rPr>
                <w:rFonts w:ascii="Times New Roman" w:hAnsi="Times New Roman" w:cs="Times New Roman" w:eastAsia="Times New Roman" w:hint="default"/>
                <w:spacing w:val="19"/>
                <w:sz w:val="24"/>
                <w:szCs w:val="24"/>
              </w:rPr>
            </w:r>
            <w:r>
              <w:rPr>
                <w:rFonts w:ascii="宋体" w:hAnsi="宋体" w:cs="宋体" w:eastAsia="宋体" w:hint="default"/>
                <w:sz w:val="24"/>
                <w:szCs w:val="24"/>
              </w:rPr>
              <w:t>我们利用了内部专家的工作，协助我们</w:t>
            </w:r>
            <w:r>
              <w:rPr>
                <w:rFonts w:ascii="宋体" w:hAnsi="宋体" w:cs="宋体" w:eastAsia="宋体" w:hint="default"/>
                <w:spacing w:val="2"/>
                <w:w w:val="100"/>
                <w:sz w:val="24"/>
                <w:szCs w:val="24"/>
              </w:rPr>
              <w:t> </w:t>
            </w:r>
            <w:r>
              <w:rPr>
                <w:rFonts w:ascii="宋体" w:hAnsi="宋体" w:cs="宋体" w:eastAsia="宋体" w:hint="default"/>
                <w:sz w:val="24"/>
                <w:szCs w:val="24"/>
              </w:rPr>
              <w:t>对管理层应收账款预期信用损失计量方</w:t>
            </w:r>
            <w:r>
              <w:rPr>
                <w:rFonts w:ascii="宋体" w:hAnsi="宋体" w:cs="宋体" w:eastAsia="宋体" w:hint="default"/>
                <w:spacing w:val="2"/>
                <w:w w:val="100"/>
                <w:sz w:val="24"/>
                <w:szCs w:val="24"/>
              </w:rPr>
              <w:t> </w:t>
            </w:r>
            <w:r>
              <w:rPr>
                <w:rFonts w:ascii="宋体" w:hAnsi="宋体" w:cs="宋体" w:eastAsia="宋体" w:hint="default"/>
                <w:sz w:val="24"/>
                <w:szCs w:val="24"/>
              </w:rPr>
              <w:t>法和历史违约损失率、前瞻性调整系数</w:t>
            </w:r>
            <w:r>
              <w:rPr>
                <w:rFonts w:ascii="宋体" w:hAnsi="宋体" w:cs="宋体" w:eastAsia="宋体" w:hint="default"/>
                <w:w w:val="100"/>
                <w:sz w:val="24"/>
                <w:szCs w:val="24"/>
              </w:rPr>
              <w:t> </w:t>
            </w:r>
            <w:r>
              <w:rPr>
                <w:rFonts w:ascii="宋体" w:hAnsi="宋体" w:cs="宋体" w:eastAsia="宋体" w:hint="default"/>
                <w:sz w:val="24"/>
                <w:szCs w:val="24"/>
              </w:rPr>
              <w:t>等参数假设进行了评估。其中对前瞻性</w:t>
            </w:r>
            <w:r>
              <w:rPr>
                <w:rFonts w:ascii="宋体" w:hAnsi="宋体" w:cs="宋体" w:eastAsia="宋体" w:hint="default"/>
                <w:spacing w:val="2"/>
                <w:w w:val="100"/>
                <w:sz w:val="24"/>
                <w:szCs w:val="24"/>
              </w:rPr>
              <w:t> </w:t>
            </w:r>
            <w:r>
              <w:rPr>
                <w:rFonts w:ascii="宋体" w:hAnsi="宋体" w:cs="宋体" w:eastAsia="宋体" w:hint="default"/>
                <w:sz w:val="24"/>
                <w:szCs w:val="24"/>
              </w:rPr>
              <w:t>调整系数的评估考虑了当前宏观经济情</w:t>
            </w:r>
            <w:r>
              <w:rPr>
                <w:rFonts w:ascii="宋体" w:hAnsi="宋体" w:cs="宋体" w:eastAsia="宋体" w:hint="default"/>
                <w:spacing w:val="2"/>
                <w:w w:val="100"/>
                <w:sz w:val="24"/>
                <w:szCs w:val="24"/>
              </w:rPr>
              <w:t> </w:t>
            </w:r>
            <w:r>
              <w:rPr>
                <w:rFonts w:ascii="宋体" w:hAnsi="宋体" w:cs="宋体" w:eastAsia="宋体" w:hint="default"/>
                <w:spacing w:val="16"/>
                <w:sz w:val="24"/>
                <w:szCs w:val="24"/>
              </w:rPr>
              <w:t>况及其和历史信用损失数据之间的关</w:t>
            </w:r>
            <w:r>
              <w:rPr>
                <w:rFonts w:ascii="宋体" w:hAnsi="宋体" w:cs="宋体" w:eastAsia="宋体" w:hint="default"/>
                <w:w w:val="100"/>
                <w:sz w:val="24"/>
                <w:szCs w:val="24"/>
              </w:rPr>
              <w:t> </w:t>
            </w:r>
            <w:r>
              <w:rPr>
                <w:rFonts w:ascii="宋体" w:hAnsi="宋体" w:cs="宋体" w:eastAsia="宋体" w:hint="default"/>
                <w:sz w:val="24"/>
                <w:szCs w:val="24"/>
              </w:rPr>
              <w:t>系，以及对多场景权重的设置合理性等</w:t>
            </w:r>
            <w:r>
              <w:rPr>
                <w:rFonts w:ascii="宋体" w:hAnsi="宋体" w:cs="宋体" w:eastAsia="宋体" w:hint="default"/>
                <w:w w:val="100"/>
                <w:sz w:val="24"/>
                <w:szCs w:val="24"/>
              </w:rPr>
              <w:t> </w:t>
            </w:r>
            <w:r>
              <w:rPr>
                <w:rFonts w:ascii="宋体" w:hAnsi="宋体" w:cs="宋体" w:eastAsia="宋体" w:hint="default"/>
                <w:sz w:val="24"/>
                <w:szCs w:val="24"/>
              </w:rPr>
              <w:t>综合因素。在此基础上对预期信用损失</w:t>
            </w:r>
            <w:r>
              <w:rPr>
                <w:rFonts w:ascii="宋体" w:hAnsi="宋体" w:cs="宋体" w:eastAsia="宋体" w:hint="default"/>
                <w:spacing w:val="2"/>
                <w:w w:val="100"/>
                <w:sz w:val="24"/>
                <w:szCs w:val="24"/>
              </w:rPr>
              <w:t> </w:t>
            </w:r>
            <w:r>
              <w:rPr>
                <w:rFonts w:ascii="宋体" w:hAnsi="宋体" w:cs="宋体" w:eastAsia="宋体" w:hint="default"/>
                <w:sz w:val="24"/>
                <w:szCs w:val="24"/>
              </w:rPr>
              <w:t>进行了重新计算，以验证管理层计提预</w:t>
            </w:r>
            <w:r>
              <w:rPr>
                <w:rFonts w:ascii="宋体" w:hAnsi="宋体" w:cs="宋体" w:eastAsia="宋体" w:hint="default"/>
                <w:spacing w:val="2"/>
                <w:w w:val="100"/>
                <w:sz w:val="24"/>
                <w:szCs w:val="24"/>
              </w:rPr>
              <w:t> </w:t>
            </w:r>
            <w:r>
              <w:rPr>
                <w:rFonts w:ascii="宋体" w:hAnsi="宋体" w:cs="宋体" w:eastAsia="宋体" w:hint="default"/>
                <w:sz w:val="24"/>
                <w:szCs w:val="24"/>
              </w:rPr>
              <w:t>期信用损失的准确性。</w:t>
            </w:r>
          </w:p>
        </w:tc>
      </w:tr>
    </w:tbl>
    <w:p>
      <w:pPr>
        <w:spacing w:after="0" w:line="254" w:lineRule="auto"/>
        <w:jc w:val="both"/>
        <w:rPr>
          <w:rFonts w:ascii="宋体" w:hAnsi="宋体" w:cs="宋体" w:eastAsia="宋体" w:hint="default"/>
          <w:sz w:val="24"/>
          <w:szCs w:val="24"/>
        </w:rPr>
        <w:sectPr>
          <w:pgSz w:w="11910" w:h="16840"/>
          <w:pgMar w:header="0" w:footer="974" w:top="1100" w:bottom="1160" w:left="1280" w:right="1300"/>
        </w:sectPr>
      </w:pPr>
    </w:p>
    <w:p>
      <w:pPr>
        <w:spacing w:line="240" w:lineRule="auto" w:before="0"/>
        <w:rPr>
          <w:rFonts w:ascii="Cambria" w:hAnsi="Cambria" w:cs="Cambria" w:eastAsia="Cambria" w:hint="default"/>
          <w:b/>
          <w:bCs/>
          <w:sz w:val="20"/>
          <w:szCs w:val="20"/>
        </w:rPr>
      </w:pPr>
    </w:p>
    <w:p>
      <w:pPr>
        <w:pStyle w:val="Heading3"/>
        <w:spacing w:line="322" w:lineRule="exact" w:before="196"/>
        <w:ind w:left="0" w:right="229"/>
        <w:jc w:val="righ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2" w:lineRule="exact"/>
        <w:ind w:left="0" w:right="226"/>
        <w:jc w:val="right"/>
        <w:rPr>
          <w:rFonts w:ascii="Cambria" w:hAnsi="Cambria" w:cs="Cambria" w:eastAsia="Cambria" w:hint="default"/>
        </w:rPr>
      </w:pPr>
      <w:r>
        <w:rPr>
          <w:rFonts w:ascii="Cambria" w:hAnsi="Cambria" w:cs="Cambria" w:eastAsia="Cambria" w:hint="default"/>
          <w:spacing w:val="-1"/>
        </w:rPr>
        <w:t>(</w:t>
      </w:r>
      <w:r>
        <w:rPr>
          <w:spacing w:val="-1"/>
        </w:rPr>
        <w:t>第四页，共七页</w:t>
      </w:r>
      <w:r>
        <w:rPr>
          <w:rFonts w:ascii="Cambria" w:hAnsi="Cambria" w:cs="Cambria" w:eastAsia="Cambria" w:hint="default"/>
          <w:spacing w:val="-1"/>
        </w:rPr>
        <w:t>)</w:t>
      </w:r>
    </w:p>
    <w:p>
      <w:pPr>
        <w:spacing w:line="240" w:lineRule="auto" w:before="10"/>
        <w:rPr>
          <w:rFonts w:ascii="Cambria" w:hAnsi="Cambria" w:cs="Cambria" w:eastAsia="Cambria" w:hint="default"/>
          <w:sz w:val="19"/>
          <w:szCs w:val="19"/>
        </w:rPr>
      </w:pPr>
    </w:p>
    <w:p>
      <w:pPr>
        <w:pStyle w:val="Heading2"/>
        <w:spacing w:line="240" w:lineRule="auto" w:before="26"/>
        <w:ind w:left="256" w:right="192"/>
        <w:jc w:val="left"/>
        <w:rPr>
          <w:rFonts w:ascii="Cambria" w:hAnsi="Cambria" w:cs="Cambria" w:eastAsia="Cambria" w:hint="default"/>
          <w:b w:val="0"/>
          <w:bCs w:val="0"/>
        </w:rPr>
      </w:pPr>
      <w:r>
        <w:rPr/>
        <w:t>三、</w:t>
      </w:r>
      <w:r>
        <w:rPr>
          <w:spacing w:val="-2"/>
        </w:rPr>
        <w:t> </w:t>
      </w:r>
      <w:r>
        <w:rPr/>
        <w:t>关键审计事项</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spacing w:line="240" w:lineRule="auto" w:before="8"/>
        <w:rPr>
          <w:rFonts w:ascii="Cambria" w:hAnsi="Cambria" w:cs="Cambria" w:eastAsia="Cambria" w:hint="default"/>
          <w:b/>
          <w:bCs/>
          <w:sz w:val="13"/>
          <w:szCs w:val="13"/>
        </w:rPr>
      </w:pPr>
    </w:p>
    <w:tbl>
      <w:tblPr>
        <w:tblW w:w="0" w:type="auto"/>
        <w:jc w:val="left"/>
        <w:tblInd w:w="275" w:type="dxa"/>
        <w:tblLayout w:type="fixed"/>
        <w:tblCellMar>
          <w:top w:w="0" w:type="dxa"/>
          <w:left w:w="0" w:type="dxa"/>
          <w:bottom w:w="0" w:type="dxa"/>
          <w:right w:w="0" w:type="dxa"/>
        </w:tblCellMar>
        <w:tblLook w:val="01E0"/>
      </w:tblPr>
      <w:tblGrid>
        <w:gridCol w:w="4061"/>
        <w:gridCol w:w="4743"/>
      </w:tblGrid>
      <w:tr>
        <w:trPr>
          <w:trHeight w:val="319"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2"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4309"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tabs>
                <w:tab w:pos="1288" w:val="left" w:leader="none"/>
              </w:tabs>
              <w:spacing w:line="284" w:lineRule="exact"/>
              <w:ind w:left="616" w:right="0"/>
              <w:jc w:val="left"/>
              <w:rPr>
                <w:rFonts w:ascii="宋体" w:hAnsi="宋体" w:cs="宋体" w:eastAsia="宋体" w:hint="default"/>
                <w:sz w:val="24"/>
                <w:szCs w:val="24"/>
              </w:rPr>
            </w:pPr>
            <w:r>
              <w:rPr>
                <w:rFonts w:ascii="Cambria" w:hAnsi="Cambria" w:cs="Cambria" w:eastAsia="Cambria" w:hint="default"/>
                <w:sz w:val="24"/>
                <w:szCs w:val="24"/>
              </w:rPr>
              <w:t>(</w:t>
            </w:r>
            <w:r>
              <w:rPr>
                <w:rFonts w:ascii="宋体" w:hAnsi="宋体" w:cs="宋体" w:eastAsia="宋体" w:hint="default"/>
                <w:sz w:val="24"/>
                <w:szCs w:val="24"/>
              </w:rPr>
              <w:t>二</w:t>
            </w:r>
            <w:r>
              <w:rPr>
                <w:rFonts w:ascii="Cambria" w:hAnsi="Cambria" w:cs="Cambria" w:eastAsia="Cambria" w:hint="default"/>
                <w:sz w:val="24"/>
                <w:szCs w:val="24"/>
              </w:rPr>
              <w:t>)</w:t>
              <w:tab/>
            </w:r>
            <w:r>
              <w:rPr>
                <w:rFonts w:ascii="宋体" w:hAnsi="宋体" w:cs="宋体" w:eastAsia="宋体" w:hint="default"/>
                <w:sz w:val="24"/>
                <w:szCs w:val="24"/>
              </w:rPr>
              <w:t>应收账款坏账准备的估计</w:t>
            </w:r>
          </w:p>
          <w:p>
            <w:pPr>
              <w:pStyle w:val="TableParagraph"/>
              <w:spacing w:line="235" w:lineRule="auto"/>
              <w:ind w:left="103" w:right="103" w:firstLine="33"/>
              <w:jc w:val="left"/>
              <w:rPr>
                <w:rFonts w:ascii="宋体" w:hAnsi="宋体" w:cs="宋体" w:eastAsia="宋体" w:hint="default"/>
                <w:sz w:val="24"/>
                <w:szCs w:val="24"/>
              </w:rPr>
            </w:pPr>
            <w:r>
              <w:rPr>
                <w:rFonts w:ascii="Cambria" w:hAnsi="Cambria" w:cs="Cambria" w:eastAsia="Cambria" w:hint="default"/>
                <w:sz w:val="24"/>
                <w:szCs w:val="24"/>
              </w:rPr>
              <w:t>(</w:t>
            </w:r>
            <w:r>
              <w:rPr>
                <w:rFonts w:ascii="宋体" w:hAnsi="宋体" w:cs="宋体" w:eastAsia="宋体" w:hint="default"/>
                <w:sz w:val="24"/>
                <w:szCs w:val="24"/>
              </w:rPr>
              <w:t>续</w:t>
            </w:r>
            <w:r>
              <w:rPr>
                <w:rFonts w:ascii="Cambria" w:hAnsi="Cambria" w:cs="Cambria" w:eastAsia="Cambria" w:hint="default"/>
                <w:sz w:val="24"/>
                <w:szCs w:val="24"/>
              </w:rPr>
              <w:t>) </w:t>
            </w:r>
            <w:r>
              <w:rPr>
                <w:rFonts w:ascii="宋体" w:hAnsi="宋体" w:cs="宋体" w:eastAsia="宋体" w:hint="default"/>
                <w:sz w:val="24"/>
                <w:szCs w:val="24"/>
              </w:rPr>
              <w:t>考虑应收账款金额重大，且管理层在 计提应收账款坏账准备时作出了重大 估计和判断，因此我们将其作为关键 审计事项。</w:t>
            </w:r>
          </w:p>
        </w:tc>
        <w:tc>
          <w:tcPr>
            <w:tcW w:w="47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12"/>
                <w:sz w:val="24"/>
                <w:szCs w:val="24"/>
              </w:rPr>
              <w:t>我们执行程序检查了是否存在管理层对应</w:t>
            </w:r>
            <w:r>
              <w:rPr>
                <w:rFonts w:ascii="宋体" w:hAnsi="宋体" w:cs="宋体" w:eastAsia="宋体" w:hint="default"/>
                <w:sz w:val="24"/>
                <w:szCs w:val="24"/>
              </w:rPr>
            </w:r>
          </w:p>
          <w:p>
            <w:pPr>
              <w:pStyle w:val="TableParagraph"/>
              <w:spacing w:line="237" w:lineRule="auto"/>
              <w:ind w:left="103" w:right="67"/>
              <w:jc w:val="both"/>
              <w:rPr>
                <w:rFonts w:ascii="宋体" w:hAnsi="宋体" w:cs="宋体" w:eastAsia="宋体" w:hint="default"/>
                <w:sz w:val="24"/>
                <w:szCs w:val="24"/>
              </w:rPr>
            </w:pPr>
            <w:r>
              <w:rPr>
                <w:rFonts w:ascii="宋体" w:hAnsi="宋体" w:cs="宋体" w:eastAsia="宋体" w:hint="default"/>
                <w:spacing w:val="12"/>
                <w:sz w:val="24"/>
                <w:szCs w:val="24"/>
              </w:rPr>
              <w:t>收账款预期信用损失的估计与债务人财务 </w:t>
            </w:r>
            <w:r>
              <w:rPr>
                <w:rFonts w:ascii="宋体" w:hAnsi="宋体" w:cs="宋体" w:eastAsia="宋体" w:hint="default"/>
                <w:spacing w:val="-2"/>
                <w:sz w:val="24"/>
                <w:szCs w:val="24"/>
              </w:rPr>
              <w:t>及信用状况出现重大偏差的情况。包括抽样</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检查应收账款期后回收情况；对应收账款余</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额较大或延期支付的债务人，采用抽样的方</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法查询法院诉讼网站，了解有无存在公开的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影响其财务状况的重大诉讼或破产信息等。</w:t>
            </w:r>
          </w:p>
          <w:p>
            <w:pPr>
              <w:pStyle w:val="TableParagraph"/>
              <w:spacing w:line="240" w:lineRule="auto" w:before="1"/>
              <w:ind w:right="0"/>
              <w:jc w:val="left"/>
              <w:rPr>
                <w:rFonts w:ascii="Cambria" w:hAnsi="Cambria" w:cs="Cambria" w:eastAsia="Cambria" w:hint="default"/>
                <w:b/>
                <w:bCs/>
                <w:sz w:val="24"/>
                <w:szCs w:val="24"/>
              </w:rPr>
            </w:pPr>
          </w:p>
          <w:p>
            <w:pPr>
              <w:pStyle w:val="TableParagraph"/>
              <w:spacing w:line="237" w:lineRule="auto"/>
              <w:ind w:left="103" w:right="90"/>
              <w:jc w:val="both"/>
              <w:rPr>
                <w:rFonts w:ascii="宋体" w:hAnsi="宋体" w:cs="宋体" w:eastAsia="宋体" w:hint="default"/>
                <w:sz w:val="24"/>
                <w:szCs w:val="24"/>
              </w:rPr>
            </w:pPr>
            <w:r>
              <w:rPr>
                <w:rFonts w:ascii="宋体" w:hAnsi="宋体" w:cs="宋体" w:eastAsia="宋体" w:hint="default"/>
                <w:spacing w:val="12"/>
                <w:sz w:val="24"/>
                <w:szCs w:val="24"/>
              </w:rPr>
              <w:t>我们与国内的其他上市港口公司进行了应 </w:t>
            </w:r>
            <w:r>
              <w:rPr>
                <w:rFonts w:ascii="宋体" w:hAnsi="宋体" w:cs="宋体" w:eastAsia="宋体" w:hint="default"/>
                <w:spacing w:val="-2"/>
                <w:sz w:val="24"/>
                <w:szCs w:val="24"/>
              </w:rPr>
              <w:t>收账款坏账准备计提方法、计提比例及其他</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可获得的坏账准备信息的横向比较。</w:t>
            </w:r>
          </w:p>
          <w:p>
            <w:pPr>
              <w:pStyle w:val="TableParagraph"/>
              <w:spacing w:line="240" w:lineRule="auto" w:before="5"/>
              <w:ind w:right="0"/>
              <w:jc w:val="left"/>
              <w:rPr>
                <w:rFonts w:ascii="Cambria" w:hAnsi="Cambria" w:cs="Cambria" w:eastAsia="Cambria" w:hint="default"/>
                <w:b/>
                <w:bCs/>
                <w:sz w:val="26"/>
                <w:szCs w:val="26"/>
              </w:rPr>
            </w:pPr>
          </w:p>
          <w:p>
            <w:pPr>
              <w:pStyle w:val="TableParagraph"/>
              <w:spacing w:line="312" w:lineRule="exact"/>
              <w:ind w:left="103" w:right="101"/>
              <w:jc w:val="both"/>
              <w:rPr>
                <w:rFonts w:ascii="宋体" w:hAnsi="宋体" w:cs="宋体" w:eastAsia="宋体" w:hint="default"/>
                <w:sz w:val="24"/>
                <w:szCs w:val="24"/>
              </w:rPr>
            </w:pPr>
            <w:r>
              <w:rPr>
                <w:rFonts w:ascii="宋体" w:hAnsi="宋体" w:cs="宋体" w:eastAsia="宋体" w:hint="default"/>
                <w:spacing w:val="-2"/>
                <w:sz w:val="24"/>
                <w:szCs w:val="24"/>
              </w:rPr>
              <w:t>我们发现，相关证据能够支持管理层计提应</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收账款坏账准备的判断和估计。</w:t>
            </w:r>
          </w:p>
        </w:tc>
      </w:tr>
    </w:tbl>
    <w:p>
      <w:pPr>
        <w:spacing w:line="240" w:lineRule="auto" w:before="6"/>
        <w:rPr>
          <w:rFonts w:ascii="Cambria" w:hAnsi="Cambria" w:cs="Cambria" w:eastAsia="Cambria" w:hint="default"/>
          <w:b/>
          <w:bCs/>
          <w:sz w:val="18"/>
          <w:szCs w:val="18"/>
        </w:rPr>
      </w:pPr>
    </w:p>
    <w:p>
      <w:pPr>
        <w:pStyle w:val="Heading2"/>
        <w:spacing w:line="240" w:lineRule="auto" w:before="26"/>
        <w:ind w:left="126" w:right="192"/>
        <w:jc w:val="left"/>
        <w:rPr>
          <w:b w:val="0"/>
          <w:bCs w:val="0"/>
        </w:rPr>
      </w:pPr>
      <w:r>
        <w:rPr/>
        <w:t>四、</w:t>
      </w:r>
      <w:r>
        <w:rPr>
          <w:spacing w:val="-25"/>
        </w:rPr>
        <w:t> </w:t>
      </w:r>
      <w:r>
        <w:rPr>
          <w:rFonts w:ascii="宋体" w:hAnsi="宋体" w:cs="宋体" w:eastAsia="宋体" w:hint="default"/>
          <w:spacing w:val="-25"/>
        </w:rPr>
      </w:r>
      <w:r>
        <w:rPr/>
        <w:t>其他信息</w:t>
      </w:r>
      <w:r>
        <w:rPr>
          <w:b w:val="0"/>
          <w:bCs w:val="0"/>
        </w:rPr>
      </w:r>
    </w:p>
    <w:p>
      <w:pPr>
        <w:pStyle w:val="Heading3"/>
        <w:spacing w:line="312" w:lineRule="exact" w:before="182"/>
        <w:ind w:left="138" w:right="225" w:firstLine="480"/>
        <w:jc w:val="both"/>
      </w:pPr>
      <w:r>
        <w:rPr>
          <w:spacing w:val="-4"/>
        </w:rPr>
        <w:t>青港国际管理层对其他信息负责。其他信息包括青港国际</w:t>
      </w:r>
      <w:r>
        <w:rPr>
          <w:spacing w:val="-57"/>
        </w:rPr>
        <w:t> </w:t>
      </w:r>
      <w:r>
        <w:rPr>
          <w:rFonts w:ascii="Cambria" w:hAnsi="Cambria" w:cs="Cambria" w:eastAsia="Cambria" w:hint="default"/>
        </w:rPr>
        <w:t>2019</w:t>
      </w:r>
      <w:r>
        <w:rPr>
          <w:rFonts w:ascii="Cambria" w:hAnsi="Cambria" w:cs="Cambria" w:eastAsia="Cambria" w:hint="default"/>
          <w:spacing w:val="8"/>
        </w:rPr>
        <w:t> </w:t>
      </w:r>
      <w:r>
        <w:rPr/>
        <w:t>年年度报告中涵盖 的信息，但不包括财务报表和我们的审计报告。</w:t>
      </w:r>
    </w:p>
    <w:p>
      <w:pPr>
        <w:spacing w:line="240" w:lineRule="auto" w:before="6"/>
        <w:rPr>
          <w:rFonts w:ascii="宋体" w:hAnsi="宋体" w:cs="宋体" w:eastAsia="宋体" w:hint="default"/>
          <w:sz w:val="21"/>
          <w:szCs w:val="21"/>
        </w:rPr>
      </w:pPr>
    </w:p>
    <w:p>
      <w:pPr>
        <w:pStyle w:val="Heading3"/>
        <w:spacing w:line="312" w:lineRule="exact"/>
        <w:ind w:left="138" w:right="226" w:firstLine="480"/>
        <w:jc w:val="both"/>
      </w:pPr>
      <w:r>
        <w:rPr/>
        <w:t>我们对财务报表发表的审计意见不涵盖其他信息，我们也不对其他信息发表任何 形式的鉴证结论。</w:t>
      </w:r>
    </w:p>
    <w:p>
      <w:pPr>
        <w:spacing w:line="240" w:lineRule="auto" w:before="4"/>
        <w:rPr>
          <w:rFonts w:ascii="宋体" w:hAnsi="宋体" w:cs="宋体" w:eastAsia="宋体" w:hint="default"/>
          <w:sz w:val="21"/>
          <w:szCs w:val="21"/>
        </w:rPr>
      </w:pPr>
    </w:p>
    <w:p>
      <w:pPr>
        <w:pStyle w:val="Heading3"/>
        <w:spacing w:line="312" w:lineRule="exact"/>
        <w:ind w:left="138" w:right="223" w:firstLine="480"/>
        <w:jc w:val="both"/>
      </w:pPr>
      <w:r>
        <w:rPr/>
        <w:t>结合我们对财务报表的审计，我们的责任是阅读其他信息，在此过程中，考虑其 他信息是否与财务报表或我们在审计过程中了解到的情况存在重大不一致或者似乎存</w:t>
      </w:r>
      <w:r>
        <w:rPr>
          <w:spacing w:val="-53"/>
        </w:rPr>
        <w:t> </w:t>
      </w:r>
      <w:r>
        <w:rPr>
          <w:spacing w:val="-53"/>
        </w:rPr>
      </w:r>
      <w:r>
        <w:rPr/>
        <w:t>在重大错报。基于我们已经执行的工作，如果我们确定其他信息存在重大错报，我们</w:t>
      </w:r>
      <w:r>
        <w:rPr>
          <w:spacing w:val="-53"/>
        </w:rPr>
        <w:t> </w:t>
      </w:r>
      <w:r>
        <w:rPr>
          <w:spacing w:val="-53"/>
        </w:rPr>
      </w:r>
      <w:r>
        <w:rPr/>
        <w:t>应当报告该事实。在这方面，我们无任何事项需要报告。</w:t>
      </w:r>
    </w:p>
    <w:p>
      <w:pPr>
        <w:spacing w:after="0" w:line="312" w:lineRule="exact"/>
        <w:jc w:val="both"/>
        <w:sectPr>
          <w:pgSz w:w="11910" w:h="16840"/>
          <w:pgMar w:header="0" w:footer="974" w:top="1100" w:bottom="1160" w:left="1280" w:right="1300"/>
        </w:sectPr>
      </w:pPr>
    </w:p>
    <w:p>
      <w:pPr>
        <w:spacing w:line="240" w:lineRule="auto" w:before="0"/>
        <w:rPr>
          <w:rFonts w:ascii="宋体" w:hAnsi="宋体" w:cs="宋体" w:eastAsia="宋体" w:hint="default"/>
          <w:sz w:val="20"/>
          <w:szCs w:val="20"/>
        </w:rPr>
      </w:pPr>
    </w:p>
    <w:p>
      <w:pPr>
        <w:pStyle w:val="Heading3"/>
        <w:spacing w:line="322" w:lineRule="exact" w:before="168"/>
        <w:ind w:left="0" w:right="229"/>
        <w:jc w:val="righ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2" w:lineRule="exact"/>
        <w:ind w:left="0" w:right="226"/>
        <w:jc w:val="right"/>
        <w:rPr>
          <w:rFonts w:ascii="Cambria" w:hAnsi="Cambria" w:cs="Cambria" w:eastAsia="Cambria" w:hint="default"/>
        </w:rPr>
      </w:pPr>
      <w:r>
        <w:rPr>
          <w:rFonts w:ascii="Cambria" w:hAnsi="Cambria" w:cs="Cambria" w:eastAsia="Cambria" w:hint="default"/>
          <w:spacing w:val="-1"/>
        </w:rPr>
        <w:t>(</w:t>
      </w:r>
      <w:r>
        <w:rPr>
          <w:spacing w:val="-1"/>
        </w:rPr>
        <w:t>第五页，共七页</w:t>
      </w:r>
      <w:r>
        <w:rPr>
          <w:rFonts w:ascii="Cambria" w:hAnsi="Cambria" w:cs="Cambria" w:eastAsia="Cambria" w:hint="default"/>
          <w:spacing w:val="-1"/>
        </w:rPr>
        <w:t>)</w:t>
      </w:r>
    </w:p>
    <w:p>
      <w:pPr>
        <w:spacing w:line="470" w:lineRule="atLeast" w:before="103"/>
        <w:ind w:left="618" w:right="0" w:hanging="492"/>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25"/>
          <w:sz w:val="24"/>
          <w:szCs w:val="24"/>
        </w:rPr>
        <w:t> </w:t>
      </w:r>
      <w:r>
        <w:rPr>
          <w:rFonts w:ascii="宋体" w:hAnsi="宋体" w:cs="宋体" w:eastAsia="宋体" w:hint="default"/>
          <w:b/>
          <w:bCs/>
          <w:spacing w:val="-25"/>
          <w:sz w:val="24"/>
          <w:szCs w:val="24"/>
        </w:rPr>
      </w:r>
      <w:r>
        <w:rPr>
          <w:rFonts w:ascii="宋体" w:hAnsi="宋体" w:cs="宋体" w:eastAsia="宋体" w:hint="default"/>
          <w:b/>
          <w:bCs/>
          <w:sz w:val="24"/>
          <w:szCs w:val="24"/>
        </w:rPr>
        <w:t>管理层和审计委员会对财务报表的责任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青港国际管理层负责按照企业会计准则的规定编制财务报表，使其实现公允反映，</w:t>
      </w:r>
    </w:p>
    <w:p>
      <w:pPr>
        <w:pStyle w:val="Heading3"/>
        <w:spacing w:line="312" w:lineRule="exact" w:before="26"/>
        <w:ind w:left="138" w:right="223"/>
        <w:jc w:val="both"/>
      </w:pPr>
      <w:r>
        <w:rPr/>
        <w:t>并设计、执行和维护必要的内部控制，以使财务报表不存在由于舞弊或错误导致的重</w:t>
      </w:r>
      <w:r>
        <w:rPr>
          <w:spacing w:val="-53"/>
        </w:rPr>
        <w:t> </w:t>
      </w:r>
      <w:r>
        <w:rPr>
          <w:spacing w:val="-53"/>
        </w:rPr>
      </w:r>
      <w:r>
        <w:rPr/>
        <w:t>大错报。</w:t>
      </w:r>
    </w:p>
    <w:p>
      <w:pPr>
        <w:spacing w:line="240" w:lineRule="auto" w:before="13"/>
        <w:rPr>
          <w:rFonts w:ascii="宋体" w:hAnsi="宋体" w:cs="宋体" w:eastAsia="宋体" w:hint="default"/>
          <w:sz w:val="19"/>
          <w:szCs w:val="19"/>
        </w:rPr>
      </w:pPr>
    </w:p>
    <w:p>
      <w:pPr>
        <w:pStyle w:val="Heading3"/>
        <w:spacing w:line="230" w:lineRule="auto"/>
        <w:ind w:left="138" w:right="225" w:firstLine="480"/>
        <w:jc w:val="both"/>
      </w:pPr>
      <w:r>
        <w:rPr/>
        <w:t>在编制财务报表时，管理层负责评估青港国际的持续经营能力，披露与持续经营 </w:t>
      </w:r>
      <w:r>
        <w:rPr>
          <w:spacing w:val="-3"/>
        </w:rPr>
        <w:t>相关的事项</w:t>
      </w:r>
      <w:r>
        <w:rPr>
          <w:rFonts w:ascii="Cambria" w:hAnsi="Cambria" w:cs="Cambria" w:eastAsia="Cambria" w:hint="default"/>
          <w:spacing w:val="-3"/>
        </w:rPr>
        <w:t>(</w:t>
      </w:r>
      <w:r>
        <w:rPr>
          <w:spacing w:val="-3"/>
        </w:rPr>
        <w:t>如适用</w:t>
      </w:r>
      <w:r>
        <w:rPr>
          <w:rFonts w:ascii="Cambria" w:hAnsi="Cambria" w:cs="Cambria" w:eastAsia="Cambria" w:hint="default"/>
          <w:spacing w:val="-3"/>
        </w:rPr>
        <w:t>)</w:t>
      </w:r>
      <w:r>
        <w:rPr>
          <w:spacing w:val="-3"/>
        </w:rPr>
        <w:t>，并运用持续经营假设，除非管理层计划清算青港国际、终止运营</w:t>
      </w:r>
      <w:r>
        <w:rPr>
          <w:spacing w:val="-111"/>
        </w:rPr>
        <w:t> </w:t>
      </w:r>
      <w:r>
        <w:rPr>
          <w:spacing w:val="-111"/>
        </w:rPr>
      </w:r>
      <w:r>
        <w:rPr/>
        <w:t>或别无其他现实的选择。</w:t>
      </w:r>
    </w:p>
    <w:p>
      <w:pPr>
        <w:spacing w:line="240" w:lineRule="auto" w:before="6"/>
        <w:rPr>
          <w:rFonts w:ascii="宋体" w:hAnsi="宋体" w:cs="宋体" w:eastAsia="宋体" w:hint="default"/>
          <w:sz w:val="21"/>
          <w:szCs w:val="21"/>
        </w:rPr>
      </w:pPr>
    </w:p>
    <w:p>
      <w:pPr>
        <w:pStyle w:val="Heading3"/>
        <w:spacing w:line="240" w:lineRule="auto"/>
        <w:ind w:left="618" w:right="192"/>
        <w:jc w:val="left"/>
      </w:pPr>
      <w:r>
        <w:rPr/>
        <w:t>审计委员会负责监督青港国际的财务报告过程。</w:t>
      </w:r>
    </w:p>
    <w:p>
      <w:pPr>
        <w:spacing w:line="240" w:lineRule="auto" w:before="6"/>
        <w:rPr>
          <w:rFonts w:ascii="宋体" w:hAnsi="宋体" w:cs="宋体" w:eastAsia="宋体" w:hint="default"/>
          <w:sz w:val="19"/>
          <w:szCs w:val="19"/>
        </w:rPr>
      </w:pPr>
    </w:p>
    <w:p>
      <w:pPr>
        <w:spacing w:line="480" w:lineRule="atLeast" w:before="0"/>
        <w:ind w:left="618" w:right="192" w:hanging="492"/>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25"/>
          <w:sz w:val="24"/>
          <w:szCs w:val="24"/>
        </w:rPr>
        <w:t> </w:t>
      </w:r>
      <w:r>
        <w:rPr>
          <w:rFonts w:ascii="宋体" w:hAnsi="宋体" w:cs="宋体" w:eastAsia="宋体" w:hint="default"/>
          <w:b/>
          <w:bCs/>
          <w:spacing w:val="-25"/>
          <w:sz w:val="24"/>
          <w:szCs w:val="24"/>
        </w:rPr>
      </w:r>
      <w:r>
        <w:rPr>
          <w:rFonts w:ascii="宋体" w:hAnsi="宋体" w:cs="宋体" w:eastAsia="宋体" w:hint="default"/>
          <w:b/>
          <w:bCs/>
          <w:sz w:val="24"/>
          <w:szCs w:val="24"/>
        </w:rPr>
        <w:t>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w:t>
      </w:r>
    </w:p>
    <w:p>
      <w:pPr>
        <w:pStyle w:val="Heading3"/>
        <w:spacing w:line="244" w:lineRule="auto" w:before="7"/>
        <w:ind w:left="138" w:right="223"/>
        <w:jc w:val="both"/>
      </w:pPr>
      <w:r>
        <w:rPr/>
        <w:t>理保证，并出具包含审计意见的审计报告。合理保证是高水平的保证，但并不能保证</w:t>
      </w:r>
      <w:r>
        <w:rPr>
          <w:spacing w:val="-55"/>
        </w:rPr>
        <w:t> </w:t>
      </w:r>
      <w:r>
        <w:rPr>
          <w:spacing w:val="-55"/>
        </w:rPr>
      </w:r>
      <w:r>
        <w:rPr/>
        <w:t>按照审计准则执行的审计在某一重大错报存在时总能发现。错报可能由于舞弊或错误</w:t>
      </w:r>
      <w:r>
        <w:rPr>
          <w:spacing w:val="-54"/>
        </w:rPr>
        <w:t> </w:t>
      </w:r>
      <w:r>
        <w:rPr>
          <w:spacing w:val="-54"/>
        </w:rPr>
      </w:r>
      <w:r>
        <w:rPr/>
        <w:t>导致，如果合理预期错报单独或汇总起来可能影响财务报表使用者依据财务报表作出</w:t>
      </w:r>
      <w:r>
        <w:rPr>
          <w:spacing w:val="-53"/>
        </w:rPr>
        <w:t> </w:t>
      </w:r>
      <w:r>
        <w:rPr>
          <w:spacing w:val="-53"/>
        </w:rPr>
      </w:r>
      <w:r>
        <w:rPr/>
        <w:t>的经济决策，则通常认为错报是重大的。</w:t>
      </w:r>
    </w:p>
    <w:p>
      <w:pPr>
        <w:spacing w:line="240" w:lineRule="auto" w:before="6"/>
        <w:rPr>
          <w:rFonts w:ascii="宋体" w:hAnsi="宋体" w:cs="宋体" w:eastAsia="宋体" w:hint="default"/>
          <w:sz w:val="24"/>
          <w:szCs w:val="24"/>
        </w:rPr>
      </w:pPr>
    </w:p>
    <w:p>
      <w:pPr>
        <w:pStyle w:val="Heading3"/>
        <w:spacing w:line="244" w:lineRule="auto"/>
        <w:ind w:left="138" w:right="226" w:firstLine="480"/>
        <w:jc w:val="both"/>
      </w:pPr>
      <w:r>
        <w:rPr/>
        <w:t>在按照审计准则执行审计工作的过程中，我们运用职业判断，并保持职业怀疑。 同时，我们也执行以下工作：</w:t>
      </w:r>
    </w:p>
    <w:p>
      <w:pPr>
        <w:spacing w:line="240" w:lineRule="auto" w:before="5"/>
        <w:rPr>
          <w:rFonts w:ascii="宋体" w:hAnsi="宋体" w:cs="宋体" w:eastAsia="宋体" w:hint="default"/>
          <w:sz w:val="24"/>
          <w:szCs w:val="24"/>
        </w:rPr>
      </w:pPr>
    </w:p>
    <w:p>
      <w:pPr>
        <w:pStyle w:val="Heading3"/>
        <w:spacing w:line="240" w:lineRule="auto"/>
        <w:ind w:left="153" w:right="228" w:firstLine="465"/>
        <w:jc w:val="both"/>
      </w:pPr>
      <w:r>
        <w:rPr>
          <w:rFonts w:ascii="Cambria" w:hAnsi="Cambria" w:cs="Cambria" w:eastAsia="Cambria" w:hint="default"/>
          <w:spacing w:val="-1"/>
        </w:rPr>
        <w:t>(</w:t>
      </w:r>
      <w:r>
        <w:rPr>
          <w:spacing w:val="-1"/>
        </w:rPr>
        <w:t>一</w:t>
      </w:r>
      <w:r>
        <w:rPr>
          <w:rFonts w:ascii="Cambria" w:hAnsi="Cambria" w:cs="Cambria" w:eastAsia="Cambria" w:hint="default"/>
          <w:spacing w:val="-1"/>
        </w:rPr>
        <w:t>)</w:t>
      </w:r>
      <w:r>
        <w:rPr>
          <w:rFonts w:ascii="Cambria" w:hAnsi="Cambria" w:cs="Cambria" w:eastAsia="Cambria" w:hint="default"/>
          <w:spacing w:val="1"/>
        </w:rPr>
        <w:t> </w:t>
      </w:r>
      <w:r>
        <w:rPr>
          <w:spacing w:val="-4"/>
        </w:rPr>
        <w:t>识别和评估由于舞弊或错误导致的财务报表重大错报风险；设计和实施审计</w:t>
      </w:r>
      <w:r>
        <w:rPr/>
        <w:t> 程序以应对这些风险，并获取充分、适当的审计证据，作为发表审计意见的基础。由</w:t>
      </w:r>
      <w:r>
        <w:rPr>
          <w:spacing w:val="-69"/>
        </w:rPr>
        <w:t> </w:t>
      </w:r>
      <w:r>
        <w:rPr>
          <w:spacing w:val="-69"/>
        </w:rPr>
      </w:r>
      <w:r>
        <w:rPr/>
        <w:t>于舞弊可能涉及串通、伪造、故意遗漏、虚假陈述或凌驾于内部控制之上，未能发现</w:t>
      </w:r>
      <w:r>
        <w:rPr>
          <w:spacing w:val="-69"/>
        </w:rPr>
        <w:t> </w:t>
      </w:r>
      <w:r>
        <w:rPr>
          <w:spacing w:val="-69"/>
        </w:rPr>
      </w:r>
      <w:r>
        <w:rPr/>
        <w:t>由于舞弊导致的重大错报的风险高于未能发现由于错误导致的重大错报的风险。</w:t>
      </w:r>
    </w:p>
    <w:p>
      <w:pPr>
        <w:spacing w:line="240" w:lineRule="auto" w:before="13"/>
        <w:rPr>
          <w:rFonts w:ascii="宋体" w:hAnsi="宋体" w:cs="宋体" w:eastAsia="宋体" w:hint="default"/>
          <w:sz w:val="24"/>
          <w:szCs w:val="24"/>
        </w:rPr>
      </w:pPr>
    </w:p>
    <w:p>
      <w:pPr>
        <w:pStyle w:val="Heading3"/>
        <w:tabs>
          <w:tab w:pos="1281" w:val="left" w:leader="none"/>
        </w:tabs>
        <w:spacing w:line="240" w:lineRule="auto"/>
        <w:ind w:left="618" w:right="192"/>
        <w:jc w:val="left"/>
      </w:pPr>
      <w:r>
        <w:rPr>
          <w:rFonts w:ascii="Cambria" w:hAnsi="Cambria" w:cs="Cambria" w:eastAsia="Cambria" w:hint="default"/>
          <w:spacing w:val="-1"/>
        </w:rPr>
        <w:t>(</w:t>
      </w:r>
      <w:r>
        <w:rPr>
          <w:spacing w:val="-1"/>
        </w:rPr>
        <w:t>二</w:t>
      </w:r>
      <w:r>
        <w:rPr>
          <w:rFonts w:ascii="Cambria" w:hAnsi="Cambria" w:cs="Cambria" w:eastAsia="Cambria" w:hint="default"/>
          <w:spacing w:val="-1"/>
        </w:rPr>
        <w:t>)</w:t>
        <w:tab/>
      </w:r>
      <w:r>
        <w:rPr/>
        <w:t>了解与审计相关的内部控制，以设计恰当的审计程序。</w:t>
      </w:r>
    </w:p>
    <w:p>
      <w:pPr>
        <w:spacing w:line="240" w:lineRule="auto" w:before="6"/>
        <w:rPr>
          <w:rFonts w:ascii="宋体" w:hAnsi="宋体" w:cs="宋体" w:eastAsia="宋体" w:hint="default"/>
          <w:sz w:val="23"/>
          <w:szCs w:val="23"/>
        </w:rPr>
      </w:pPr>
    </w:p>
    <w:p>
      <w:pPr>
        <w:pStyle w:val="Heading3"/>
        <w:tabs>
          <w:tab w:pos="1281" w:val="left" w:leader="none"/>
        </w:tabs>
        <w:spacing w:line="240" w:lineRule="auto"/>
        <w:ind w:left="618" w:right="192"/>
        <w:jc w:val="left"/>
      </w:pPr>
      <w:r>
        <w:rPr>
          <w:rFonts w:ascii="Cambria" w:hAnsi="Cambria" w:cs="Cambria" w:eastAsia="Cambria" w:hint="default"/>
          <w:spacing w:val="-1"/>
        </w:rPr>
        <w:t>(</w:t>
      </w:r>
      <w:r>
        <w:rPr>
          <w:spacing w:val="-1"/>
        </w:rPr>
        <w:t>三</w:t>
      </w:r>
      <w:r>
        <w:rPr>
          <w:rFonts w:ascii="Cambria" w:hAnsi="Cambria" w:cs="Cambria" w:eastAsia="Cambria" w:hint="default"/>
          <w:spacing w:val="-1"/>
        </w:rPr>
        <w:t>)</w:t>
        <w:tab/>
      </w:r>
      <w:r>
        <w:rPr/>
        <w:t>评价管理层选用会计政策的恰当性和作出会计估计及相关披露的合理性。</w:t>
      </w:r>
    </w:p>
    <w:p>
      <w:pPr>
        <w:spacing w:after="0" w:line="240" w:lineRule="auto"/>
        <w:jc w:val="left"/>
        <w:sectPr>
          <w:pgSz w:w="11910" w:h="16840"/>
          <w:pgMar w:header="0" w:footer="974" w:top="1100" w:bottom="1160" w:left="1280" w:right="1300"/>
        </w:sectPr>
      </w:pPr>
    </w:p>
    <w:p>
      <w:pPr>
        <w:spacing w:line="240" w:lineRule="auto" w:before="0"/>
        <w:rPr>
          <w:rFonts w:ascii="宋体" w:hAnsi="宋体" w:cs="宋体" w:eastAsia="宋体" w:hint="default"/>
          <w:sz w:val="20"/>
          <w:szCs w:val="20"/>
        </w:rPr>
      </w:pPr>
    </w:p>
    <w:p>
      <w:pPr>
        <w:pStyle w:val="Heading3"/>
        <w:spacing w:line="322" w:lineRule="exact" w:before="168"/>
        <w:ind w:left="0" w:right="229"/>
        <w:jc w:val="righ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2" w:lineRule="exact"/>
        <w:ind w:left="0" w:right="226"/>
        <w:jc w:val="right"/>
        <w:rPr>
          <w:rFonts w:ascii="Cambria" w:hAnsi="Cambria" w:cs="Cambria" w:eastAsia="Cambria" w:hint="default"/>
        </w:rPr>
      </w:pPr>
      <w:r>
        <w:rPr>
          <w:rFonts w:ascii="Cambria" w:hAnsi="Cambria" w:cs="Cambria" w:eastAsia="Cambria" w:hint="default"/>
          <w:spacing w:val="-1"/>
        </w:rPr>
        <w:t>(</w:t>
      </w:r>
      <w:r>
        <w:rPr>
          <w:spacing w:val="-1"/>
        </w:rPr>
        <w:t>第六页，共七页</w:t>
      </w:r>
      <w:r>
        <w:rPr>
          <w:rFonts w:ascii="Cambria" w:hAnsi="Cambria" w:cs="Cambria" w:eastAsia="Cambria" w:hint="default"/>
          <w:spacing w:val="-1"/>
        </w:rPr>
        <w:t>)</w:t>
      </w:r>
    </w:p>
    <w:p>
      <w:pPr>
        <w:spacing w:line="240" w:lineRule="auto" w:before="0"/>
        <w:rPr>
          <w:rFonts w:ascii="Cambria" w:hAnsi="Cambria" w:cs="Cambria" w:eastAsia="Cambria" w:hint="default"/>
          <w:sz w:val="20"/>
          <w:szCs w:val="20"/>
        </w:rPr>
      </w:pPr>
    </w:p>
    <w:p>
      <w:pPr>
        <w:spacing w:line="240" w:lineRule="auto" w:before="4"/>
        <w:rPr>
          <w:rFonts w:ascii="Cambria" w:hAnsi="Cambria" w:cs="Cambria" w:eastAsia="Cambria" w:hint="default"/>
          <w:sz w:val="20"/>
          <w:szCs w:val="20"/>
        </w:rPr>
      </w:pPr>
    </w:p>
    <w:p>
      <w:pPr>
        <w:pStyle w:val="Heading2"/>
        <w:spacing w:line="240" w:lineRule="auto" w:before="26"/>
        <w:ind w:left="110" w:right="192"/>
        <w:jc w:val="left"/>
        <w:rPr>
          <w:rFonts w:ascii="Cambria" w:hAnsi="Cambria" w:cs="Cambria" w:eastAsia="Cambria" w:hint="default"/>
          <w:b w:val="0"/>
          <w:bCs w:val="0"/>
        </w:rPr>
      </w:pPr>
      <w:r>
        <w:rPr/>
        <w:t>六、 注册会计师对财务报表审计的责任</w:t>
      </w:r>
      <w:r>
        <w:rPr>
          <w:rFonts w:ascii="Cambria" w:hAnsi="Cambria" w:cs="Cambria" w:eastAsia="Cambria" w:hint="default"/>
        </w:rPr>
        <w:t>(</w:t>
      </w:r>
      <w:r>
        <w:rPr/>
        <w:t>续</w:t>
      </w:r>
      <w:r>
        <w:rPr>
          <w:rFonts w:ascii="Cambria" w:hAnsi="Cambria" w:cs="Cambria" w:eastAsia="Cambria" w:hint="default"/>
        </w:rPr>
        <w:t>)</w:t>
      </w:r>
      <w:r>
        <w:rPr>
          <w:rFonts w:ascii="Cambria" w:hAnsi="Cambria" w:cs="Cambria" w:eastAsia="Cambria" w:hint="default"/>
          <w:b w:val="0"/>
          <w:bCs w:val="0"/>
        </w:rPr>
      </w:r>
    </w:p>
    <w:p>
      <w:pPr>
        <w:spacing w:line="240" w:lineRule="auto" w:before="6"/>
        <w:rPr>
          <w:rFonts w:ascii="Cambria" w:hAnsi="Cambria" w:cs="Cambria" w:eastAsia="Cambria" w:hint="default"/>
          <w:b/>
          <w:bCs/>
          <w:sz w:val="23"/>
          <w:szCs w:val="23"/>
        </w:rPr>
      </w:pPr>
    </w:p>
    <w:p>
      <w:pPr>
        <w:pStyle w:val="Heading3"/>
        <w:tabs>
          <w:tab w:pos="1237" w:val="left" w:leader="none"/>
        </w:tabs>
        <w:spacing w:line="242" w:lineRule="auto"/>
        <w:ind w:left="138" w:right="107" w:firstLine="436"/>
        <w:jc w:val="left"/>
      </w:pPr>
      <w:r>
        <w:rPr>
          <w:rFonts w:ascii="Cambria" w:hAnsi="Cambria" w:cs="Cambria" w:eastAsia="Cambria" w:hint="default"/>
          <w:spacing w:val="-1"/>
        </w:rPr>
        <w:t>(</w:t>
      </w:r>
      <w:r>
        <w:rPr>
          <w:spacing w:val="-1"/>
        </w:rPr>
        <w:t>四</w:t>
      </w:r>
      <w:r>
        <w:rPr>
          <w:rFonts w:ascii="Cambria" w:hAnsi="Cambria" w:cs="Cambria" w:eastAsia="Cambria" w:hint="default"/>
          <w:spacing w:val="-1"/>
        </w:rPr>
        <w:t>)</w:t>
        <w:tab/>
      </w:r>
      <w:r>
        <w:rPr>
          <w:spacing w:val="-6"/>
        </w:rPr>
        <w:t>对管理层使用持续经营假设的恰当性得出结论。同时，根据获取的审计证据，</w:t>
      </w:r>
      <w:r>
        <w:rPr/>
        <w:t> 就可能导致对青港国际持续经营能力产生重大疑虑的事项或情况是否存在重大不确定</w:t>
      </w:r>
      <w:r>
        <w:rPr>
          <w:spacing w:val="-53"/>
        </w:rPr>
        <w:t> </w:t>
      </w:r>
      <w:r>
        <w:rPr>
          <w:spacing w:val="-53"/>
        </w:rPr>
      </w:r>
      <w:r>
        <w:rPr/>
        <w:t>性得出结论。如果我们得出结论认为存在重大不确定性，审计准则要求我们在审计报</w:t>
      </w:r>
      <w:r>
        <w:rPr>
          <w:spacing w:val="-55"/>
        </w:rPr>
        <w:t> </w:t>
      </w:r>
      <w:r>
        <w:rPr>
          <w:spacing w:val="-55"/>
        </w:rPr>
      </w:r>
      <w:r>
        <w:rPr/>
        <w:t>告中提请报表使用者注意财务报表中的相关披露；如果披露不充分，我们应当发表非</w:t>
      </w:r>
      <w:r>
        <w:rPr>
          <w:spacing w:val="-53"/>
        </w:rPr>
        <w:t> </w:t>
      </w:r>
      <w:r>
        <w:rPr>
          <w:spacing w:val="-53"/>
        </w:rPr>
      </w:r>
      <w:r>
        <w:rPr/>
        <w:t>无保留意见。我们的结论基于截至审计报告日可获得的信息。然而，未来的事项或情</w:t>
      </w:r>
      <w:r>
        <w:rPr>
          <w:spacing w:val="-53"/>
        </w:rPr>
        <w:t> </w:t>
      </w:r>
      <w:r>
        <w:rPr>
          <w:spacing w:val="-53"/>
        </w:rPr>
      </w:r>
      <w:r>
        <w:rPr/>
        <w:t>况可能导致青港国际不能持续经营。</w:t>
      </w:r>
    </w:p>
    <w:p>
      <w:pPr>
        <w:spacing w:line="240" w:lineRule="auto" w:before="9"/>
        <w:rPr>
          <w:rFonts w:ascii="宋体" w:hAnsi="宋体" w:cs="宋体" w:eastAsia="宋体" w:hint="default"/>
          <w:sz w:val="26"/>
          <w:szCs w:val="26"/>
        </w:rPr>
      </w:pPr>
    </w:p>
    <w:p>
      <w:pPr>
        <w:pStyle w:val="Heading3"/>
        <w:spacing w:line="320" w:lineRule="exact"/>
        <w:ind w:left="138" w:right="230" w:firstLine="501"/>
        <w:jc w:val="both"/>
      </w:pPr>
      <w:r>
        <w:rPr>
          <w:rFonts w:ascii="Cambria" w:hAnsi="Cambria" w:cs="Cambria" w:eastAsia="Cambria" w:hint="default"/>
        </w:rPr>
        <w:t>(</w:t>
      </w:r>
      <w:r>
        <w:rPr/>
        <w:t>五</w:t>
      </w:r>
      <w:r>
        <w:rPr>
          <w:rFonts w:ascii="Cambria" w:hAnsi="Cambria" w:cs="Cambria" w:eastAsia="Cambria" w:hint="default"/>
        </w:rPr>
        <w:t>) </w:t>
      </w:r>
      <w:r>
        <w:rPr>
          <w:spacing w:val="-3"/>
        </w:rPr>
        <w:t>评价财务报表的总体列报</w:t>
      </w:r>
      <w:r>
        <w:rPr>
          <w:rFonts w:ascii="Cambria" w:hAnsi="Cambria" w:cs="Cambria" w:eastAsia="Cambria" w:hint="default"/>
          <w:spacing w:val="-3"/>
        </w:rPr>
        <w:t>(</w:t>
      </w:r>
      <w:r>
        <w:rPr>
          <w:spacing w:val="-3"/>
        </w:rPr>
        <w:t>包括披露</w:t>
      </w:r>
      <w:r>
        <w:rPr>
          <w:rFonts w:ascii="Cambria" w:hAnsi="Cambria" w:cs="Cambria" w:eastAsia="Cambria" w:hint="default"/>
          <w:spacing w:val="-3"/>
        </w:rPr>
        <w:t>)</w:t>
      </w:r>
      <w:r>
        <w:rPr>
          <w:spacing w:val="-3"/>
        </w:rPr>
        <w:t>、结构和内容，并评价财务报表是否公</w:t>
      </w:r>
      <w:r>
        <w:rPr/>
        <w:t> 允反映相关交易和事项。</w:t>
      </w:r>
    </w:p>
    <w:p>
      <w:pPr>
        <w:spacing w:line="240" w:lineRule="auto" w:before="8"/>
        <w:rPr>
          <w:rFonts w:ascii="宋体" w:hAnsi="宋体" w:cs="宋体" w:eastAsia="宋体" w:hint="default"/>
          <w:sz w:val="20"/>
          <w:szCs w:val="20"/>
        </w:rPr>
      </w:pPr>
    </w:p>
    <w:p>
      <w:pPr>
        <w:pStyle w:val="Heading3"/>
        <w:spacing w:line="312" w:lineRule="exact"/>
        <w:ind w:left="138" w:right="223" w:firstLine="480"/>
        <w:jc w:val="both"/>
      </w:pPr>
      <w:r>
        <w:rPr>
          <w:rFonts w:ascii="Cambria" w:hAnsi="Cambria" w:cs="Cambria" w:eastAsia="Cambria" w:hint="default"/>
        </w:rPr>
        <w:t>(</w:t>
      </w:r>
      <w:r>
        <w:rPr/>
        <w:t>六</w:t>
      </w:r>
      <w:r>
        <w:rPr>
          <w:rFonts w:ascii="Cambria" w:hAnsi="Cambria" w:cs="Cambria" w:eastAsia="Cambria" w:hint="default"/>
        </w:rPr>
        <w:t>)</w:t>
      </w:r>
      <w:r>
        <w:rPr>
          <w:rFonts w:ascii="Cambria" w:hAnsi="Cambria" w:cs="Cambria" w:eastAsia="Cambria" w:hint="default"/>
          <w:spacing w:val="50"/>
        </w:rPr>
        <w:t> </w:t>
      </w:r>
      <w:r>
        <w:rPr>
          <w:spacing w:val="-4"/>
        </w:rPr>
        <w:t>就青港国际中实体或业务活动的财务信息获取充分、适当的审计证据，以对</w:t>
      </w:r>
      <w:r>
        <w:rPr/>
        <w:t> 合并财务报表发表审计意见。我们负责指导、监督和执行集团审计，并对审计意见承</w:t>
      </w:r>
      <w:r>
        <w:rPr>
          <w:spacing w:val="-53"/>
        </w:rPr>
        <w:t> </w:t>
      </w:r>
      <w:r>
        <w:rPr>
          <w:spacing w:val="-53"/>
        </w:rPr>
      </w:r>
      <w:r>
        <w:rPr/>
        <w:t>担全部责任。</w:t>
      </w:r>
    </w:p>
    <w:p>
      <w:pPr>
        <w:spacing w:line="240" w:lineRule="auto" w:before="8"/>
        <w:rPr>
          <w:rFonts w:ascii="宋体" w:hAnsi="宋体" w:cs="宋体" w:eastAsia="宋体" w:hint="default"/>
          <w:sz w:val="21"/>
          <w:szCs w:val="21"/>
        </w:rPr>
      </w:pPr>
    </w:p>
    <w:p>
      <w:pPr>
        <w:pStyle w:val="Heading3"/>
        <w:spacing w:line="310" w:lineRule="exact"/>
        <w:ind w:left="138" w:right="0" w:firstLine="480"/>
        <w:jc w:val="left"/>
      </w:pPr>
      <w:r>
        <w:rPr>
          <w:spacing w:val="-2"/>
        </w:rPr>
        <w:t>我们与审计委员会就计划的审计范围、时间安排和重大审计发现等事项进行沟通，</w:t>
      </w:r>
      <w:r>
        <w:rPr/>
        <w:t> 包括沟通我们在审计中识别出的值得关注的内部控制缺陷。</w:t>
      </w:r>
    </w:p>
    <w:p>
      <w:pPr>
        <w:spacing w:line="240" w:lineRule="auto" w:before="7"/>
        <w:rPr>
          <w:rFonts w:ascii="宋体" w:hAnsi="宋体" w:cs="宋体" w:eastAsia="宋体" w:hint="default"/>
          <w:sz w:val="21"/>
          <w:szCs w:val="21"/>
        </w:rPr>
      </w:pPr>
    </w:p>
    <w:p>
      <w:pPr>
        <w:pStyle w:val="Heading3"/>
        <w:spacing w:line="312" w:lineRule="exact"/>
        <w:ind w:left="138" w:right="224" w:firstLine="480"/>
        <w:jc w:val="both"/>
      </w:pPr>
      <w:r>
        <w:rPr/>
        <w:t>我们还就已遵守与独立性相关的职业道德要求向审计委员会提供声明，并与审计 委员会沟通可能被合理认为影响我们独立性的所有关系和其他事项，以及相关的防范</w:t>
      </w:r>
      <w:r>
        <w:rPr>
          <w:spacing w:val="-55"/>
        </w:rPr>
        <w:t> </w:t>
      </w:r>
      <w:r>
        <w:rPr>
          <w:spacing w:val="-55"/>
        </w:rPr>
      </w:r>
      <w:r>
        <w:rPr/>
        <w:t>措施</w:t>
      </w:r>
      <w:r>
        <w:rPr>
          <w:rFonts w:ascii="Cambria" w:hAnsi="Cambria" w:cs="Cambria" w:eastAsia="Cambria" w:hint="default"/>
        </w:rPr>
        <w:t>(</w:t>
      </w:r>
      <w:r>
        <w:rPr/>
        <w:t>如适用</w:t>
      </w:r>
      <w:r>
        <w:rPr>
          <w:rFonts w:ascii="Cambria" w:hAnsi="Cambria" w:cs="Cambria" w:eastAsia="Cambria" w:hint="default"/>
        </w:rPr>
        <w:t>)</w:t>
      </w:r>
      <w:r>
        <w:rPr/>
        <w:t>。</w:t>
      </w:r>
    </w:p>
    <w:p>
      <w:pPr>
        <w:spacing w:after="0" w:line="312" w:lineRule="exact"/>
        <w:jc w:val="both"/>
        <w:sectPr>
          <w:pgSz w:w="11910" w:h="16840"/>
          <w:pgMar w:header="0" w:footer="974" w:top="1100" w:bottom="1160" w:left="1280" w:right="1300"/>
        </w:sectPr>
      </w:pPr>
    </w:p>
    <w:p>
      <w:pPr>
        <w:spacing w:line="240" w:lineRule="auto" w:before="0"/>
        <w:rPr>
          <w:rFonts w:ascii="宋体" w:hAnsi="宋体" w:cs="宋体" w:eastAsia="宋体" w:hint="default"/>
          <w:sz w:val="20"/>
          <w:szCs w:val="20"/>
        </w:rPr>
      </w:pPr>
    </w:p>
    <w:p>
      <w:pPr>
        <w:pStyle w:val="Heading3"/>
        <w:spacing w:line="322" w:lineRule="exact" w:before="168"/>
        <w:ind w:left="5359" w:right="0"/>
        <w:jc w:val="left"/>
      </w:pPr>
      <w:r>
        <w:rPr/>
        <w:t>普华永道中天审字</w:t>
      </w:r>
      <w:r>
        <w:rPr>
          <w:rFonts w:ascii="Cambria" w:hAnsi="Cambria" w:cs="Cambria" w:eastAsia="Cambria" w:hint="default"/>
        </w:rPr>
        <w:t>(2020)</w:t>
      </w:r>
      <w:r>
        <w:rPr/>
        <w:t>第</w:t>
      </w:r>
      <w:r>
        <w:rPr>
          <w:spacing w:val="-63"/>
        </w:rPr>
        <w:t> </w:t>
      </w:r>
      <w:r>
        <w:rPr>
          <w:rFonts w:ascii="Cambria" w:hAnsi="Cambria" w:cs="Cambria" w:eastAsia="Cambria" w:hint="default"/>
        </w:rPr>
        <w:t>10102</w:t>
      </w:r>
      <w:r>
        <w:rPr>
          <w:rFonts w:ascii="Cambria" w:hAnsi="Cambria" w:cs="Cambria" w:eastAsia="Cambria" w:hint="default"/>
          <w:spacing w:val="3"/>
        </w:rPr>
        <w:t> </w:t>
      </w:r>
      <w:r>
        <w:rPr/>
        <w:t>号</w:t>
      </w:r>
    </w:p>
    <w:p>
      <w:pPr>
        <w:pStyle w:val="Heading3"/>
        <w:spacing w:line="322" w:lineRule="exact"/>
        <w:ind w:left="778" w:right="0" w:firstLine="6615"/>
        <w:jc w:val="left"/>
        <w:rPr>
          <w:rFonts w:ascii="Cambria" w:hAnsi="Cambria" w:cs="Cambria" w:eastAsia="Cambria" w:hint="default"/>
        </w:rPr>
      </w:pPr>
      <w:r>
        <w:rPr>
          <w:rFonts w:ascii="Cambria" w:hAnsi="Cambria" w:cs="Cambria" w:eastAsia="Cambria" w:hint="default"/>
        </w:rPr>
        <w:t>(</w:t>
      </w:r>
      <w:r>
        <w:rPr/>
        <w:t>第七页，共七页</w:t>
      </w:r>
      <w:r>
        <w:rPr>
          <w:rFonts w:ascii="Cambria" w:hAnsi="Cambria" w:cs="Cambria" w:eastAsia="Cambria" w:hint="default"/>
        </w:rPr>
        <w:t>)</w:t>
      </w:r>
    </w:p>
    <w:p>
      <w:pPr>
        <w:spacing w:line="240" w:lineRule="auto" w:before="0"/>
        <w:rPr>
          <w:rFonts w:ascii="Cambria" w:hAnsi="Cambria" w:cs="Cambria" w:eastAsia="Cambria" w:hint="default"/>
          <w:sz w:val="24"/>
          <w:szCs w:val="24"/>
        </w:rPr>
      </w:pPr>
    </w:p>
    <w:p>
      <w:pPr>
        <w:spacing w:line="240" w:lineRule="auto" w:before="10"/>
        <w:rPr>
          <w:rFonts w:ascii="Cambria" w:hAnsi="Cambria" w:cs="Cambria" w:eastAsia="Cambria" w:hint="default"/>
          <w:sz w:val="18"/>
          <w:szCs w:val="18"/>
        </w:rPr>
      </w:pPr>
    </w:p>
    <w:p>
      <w:pPr>
        <w:pStyle w:val="Heading3"/>
        <w:spacing w:line="237" w:lineRule="auto"/>
        <w:ind w:left="298" w:right="223" w:firstLine="480"/>
        <w:jc w:val="both"/>
      </w:pPr>
      <w:r>
        <w:rPr/>
        <w:t>从与审计委员会沟通过的事项中，我们确定哪些事项对本期财务报表审计最为重 要，因而构成关键审计事项。我们在审计报告中描述这些事项，除非法律法规禁止公</w:t>
      </w:r>
      <w:r>
        <w:rPr>
          <w:spacing w:val="-53"/>
        </w:rPr>
        <w:t> </w:t>
      </w:r>
      <w:r>
        <w:rPr>
          <w:spacing w:val="-53"/>
        </w:rPr>
      </w:r>
      <w:r>
        <w:rPr/>
        <w:t>开披露这些事项，或在极少数情形下，如果合理预期在审计报告中沟通某事项造成的</w:t>
      </w:r>
      <w:r>
        <w:rPr>
          <w:spacing w:val="-53"/>
        </w:rPr>
        <w:t> </w:t>
      </w:r>
      <w:r>
        <w:rPr>
          <w:spacing w:val="-53"/>
        </w:rPr>
      </w:r>
      <w:r>
        <w:rPr/>
        <w:t>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3674"/>
        <w:gridCol w:w="1811"/>
        <w:gridCol w:w="2744"/>
      </w:tblGrid>
      <w:tr>
        <w:trPr>
          <w:trHeight w:val="1958" w:hRule="exact"/>
        </w:trPr>
        <w:tc>
          <w:tcPr>
            <w:tcW w:w="367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普华永道中天</w:t>
            </w:r>
          </w:p>
          <w:p>
            <w:pPr>
              <w:pStyle w:val="TableParagraph"/>
              <w:spacing w:line="333" w:lineRule="exact"/>
              <w:ind w:left="200" w:right="0"/>
              <w:jc w:val="left"/>
              <w:rPr>
                <w:rFonts w:ascii="Cambria" w:hAnsi="Cambria" w:cs="Cambria" w:eastAsia="Cambria" w:hint="default"/>
                <w:sz w:val="24"/>
                <w:szCs w:val="24"/>
              </w:rPr>
            </w:pPr>
            <w:r>
              <w:rPr>
                <w:rFonts w:ascii="宋体" w:hAnsi="宋体" w:cs="宋体" w:eastAsia="宋体" w:hint="default"/>
                <w:sz w:val="24"/>
                <w:szCs w:val="24"/>
              </w:rPr>
              <w:t>会计师事务所</w:t>
            </w:r>
            <w:r>
              <w:rPr>
                <w:rFonts w:ascii="Cambria" w:hAnsi="Cambria" w:cs="Cambria" w:eastAsia="Cambria" w:hint="default"/>
                <w:sz w:val="24"/>
                <w:szCs w:val="24"/>
              </w:rPr>
              <w:t>(</w:t>
            </w:r>
            <w:r>
              <w:rPr>
                <w:rFonts w:ascii="宋体" w:hAnsi="宋体" w:cs="宋体" w:eastAsia="宋体" w:hint="default"/>
                <w:sz w:val="24"/>
                <w:szCs w:val="24"/>
              </w:rPr>
              <w:t>特殊普通合伙</w:t>
            </w:r>
            <w:r>
              <w:rPr>
                <w:rFonts w:ascii="Cambria" w:hAnsi="Cambria" w:cs="Cambria" w:eastAsia="Cambria" w:hint="default"/>
                <w:sz w:val="24"/>
                <w:szCs w:val="24"/>
              </w:rPr>
              <w:t>)</w:t>
            </w:r>
          </w:p>
          <w:p>
            <w:pPr>
              <w:pStyle w:val="TableParagraph"/>
              <w:spacing w:line="240" w:lineRule="auto" w:before="11"/>
              <w:ind w:right="0"/>
              <w:jc w:val="left"/>
              <w:rPr>
                <w:rFonts w:ascii="宋体" w:hAnsi="宋体" w:cs="宋体" w:eastAsia="宋体" w:hint="default"/>
                <w:sz w:val="19"/>
                <w:szCs w:val="19"/>
              </w:rPr>
            </w:pPr>
          </w:p>
          <w:p>
            <w:pPr>
              <w:pStyle w:val="TableParagraph"/>
              <w:spacing w:line="322" w:lineRule="exact"/>
              <w:ind w:left="2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Cambria" w:hAnsi="Cambria" w:cs="Cambria" w:eastAsia="Cambria" w:hint="default"/>
                <w:sz w:val="24"/>
                <w:szCs w:val="24"/>
              </w:rPr>
              <w:t>•</w:t>
            </w:r>
            <w:r>
              <w:rPr>
                <w:rFonts w:ascii="宋体" w:hAnsi="宋体" w:cs="宋体" w:eastAsia="宋体" w:hint="default"/>
                <w:sz w:val="24"/>
                <w:szCs w:val="24"/>
              </w:rPr>
              <w:t>上海市</w:t>
            </w:r>
          </w:p>
          <w:p>
            <w:pPr>
              <w:pStyle w:val="TableParagraph"/>
              <w:spacing w:line="322" w:lineRule="exact"/>
              <w:ind w:left="200" w:right="0"/>
              <w:jc w:val="left"/>
              <w:rPr>
                <w:rFonts w:ascii="宋体" w:hAnsi="宋体" w:cs="宋体" w:eastAsia="宋体" w:hint="default"/>
                <w:sz w:val="24"/>
                <w:szCs w:val="24"/>
              </w:rPr>
            </w:pPr>
            <w:r>
              <w:rPr>
                <w:rFonts w:ascii="Cambria" w:hAnsi="Cambria" w:cs="Cambria" w:eastAsia="Cambria" w:hint="default"/>
                <w:sz w:val="24"/>
                <w:szCs w:val="24"/>
              </w:rPr>
              <w:t>2020</w:t>
            </w:r>
            <w:r>
              <w:rPr>
                <w:rFonts w:ascii="Cambria" w:hAnsi="Cambria" w:cs="Cambria" w:eastAsia="Cambria"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Cambria" w:hAnsi="Cambria" w:cs="Cambria" w:eastAsia="Cambria" w:hint="default"/>
                <w:sz w:val="24"/>
                <w:szCs w:val="24"/>
              </w:rPr>
              <w:t>3</w:t>
            </w:r>
            <w:r>
              <w:rPr>
                <w:rFonts w:ascii="Cambria" w:hAnsi="Cambria" w:cs="Cambria" w:eastAsia="Cambria"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Cambria" w:hAnsi="Cambria" w:cs="Cambria" w:eastAsia="Cambria" w:hint="default"/>
                <w:sz w:val="24"/>
                <w:szCs w:val="24"/>
              </w:rPr>
              <w:t>26</w:t>
            </w:r>
            <w:r>
              <w:rPr>
                <w:rFonts w:ascii="Cambria" w:hAnsi="Cambria" w:cs="Cambria" w:eastAsia="Cambria" w:hint="default"/>
                <w:spacing w:val="6"/>
                <w:sz w:val="24"/>
                <w:szCs w:val="24"/>
              </w:rPr>
              <w:t> </w:t>
            </w:r>
            <w:r>
              <w:rPr>
                <w:rFonts w:ascii="宋体" w:hAnsi="宋体" w:cs="宋体" w:eastAsia="宋体" w:hint="default"/>
                <w:sz w:val="24"/>
                <w:szCs w:val="24"/>
              </w:rPr>
              <w:t>日</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exact"/>
              <w:ind w:left="410" w:right="0"/>
              <w:jc w:val="left"/>
              <w:rPr>
                <w:rFonts w:ascii="宋体" w:hAnsi="宋体" w:cs="宋体" w:eastAsia="宋体" w:hint="default"/>
                <w:sz w:val="24"/>
                <w:szCs w:val="24"/>
              </w:rPr>
            </w:pPr>
            <w:r>
              <w:rPr>
                <w:rFonts w:ascii="宋体" w:hAnsi="宋体" w:cs="宋体" w:eastAsia="宋体" w:hint="default"/>
                <w:sz w:val="24"/>
                <w:szCs w:val="24"/>
              </w:rPr>
              <w:t>注册会计师</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2"/>
              <w:ind w:left="410" w:right="0"/>
              <w:jc w:val="left"/>
              <w:rPr>
                <w:rFonts w:ascii="宋体" w:hAnsi="宋体" w:cs="宋体" w:eastAsia="宋体" w:hint="default"/>
                <w:sz w:val="24"/>
                <w:szCs w:val="24"/>
              </w:rPr>
            </w:pPr>
            <w:r>
              <w:rPr>
                <w:rFonts w:ascii="宋体" w:hAnsi="宋体" w:cs="宋体" w:eastAsia="宋体" w:hint="default"/>
                <w:sz w:val="24"/>
                <w:szCs w:val="24"/>
              </w:rPr>
              <w:t>注册会计师</w:t>
            </w:r>
          </w:p>
        </w:tc>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0" w:lineRule="exact"/>
              <w:ind w:left="193" w:right="0"/>
              <w:jc w:val="left"/>
              <w:rPr>
                <w:rFonts w:ascii="宋体" w:hAnsi="宋体" w:cs="宋体" w:eastAsia="宋体" w:hint="default"/>
                <w:sz w:val="2"/>
                <w:szCs w:val="2"/>
              </w:rPr>
            </w:pPr>
            <w:r>
              <w:rPr>
                <w:rFonts w:ascii="宋体" w:hAnsi="宋体" w:cs="宋体" w:eastAsia="宋体" w:hint="default"/>
                <w:sz w:val="2"/>
                <w:szCs w:val="2"/>
              </w:rPr>
              <w:pict>
                <v:group style="width:62.85pt;height:.7pt;mso-position-horizontal-relative:char;mso-position-vertical-relative:line" coordorigin="0,0" coordsize="1257,14">
                  <v:group style="position:absolute;left:7;top:7;width:1244;height:2" coordorigin="7,7" coordsize="1244,2">
                    <v:shape style="position:absolute;left:7;top:7;width:1244;height:2" coordorigin="7,7" coordsize="1244,0" path="m7,7l1250,7e" filled="false" stroked="true" strokeweight=".679688pt" strokecolor="#000000">
                      <v:path arrowok="t"/>
                    </v:shape>
                  </v:group>
                </v:group>
              </w:pict>
            </w:r>
            <w:r>
              <w:rPr>
                <w:rFonts w:ascii="宋体" w:hAnsi="宋体" w:cs="宋体" w:eastAsia="宋体" w:hint="default"/>
                <w:sz w:val="2"/>
                <w:szCs w:val="2"/>
              </w:rPr>
            </w:r>
          </w:p>
          <w:p>
            <w:pPr>
              <w:pStyle w:val="TableParagraph"/>
              <w:tabs>
                <w:tab w:pos="800" w:val="left" w:leader="none"/>
              </w:tabs>
              <w:spacing w:line="240" w:lineRule="auto"/>
              <w:ind w:left="200" w:right="0"/>
              <w:jc w:val="left"/>
              <w:rPr>
                <w:rFonts w:ascii="Cambria" w:hAnsi="Cambria" w:cs="Cambria" w:eastAsia="Cambria" w:hint="default"/>
                <w:sz w:val="24"/>
                <w:szCs w:val="24"/>
              </w:rPr>
            </w:pPr>
            <w:r>
              <w:rPr>
                <w:rFonts w:ascii="宋体" w:hAnsi="宋体" w:cs="宋体" w:eastAsia="宋体" w:hint="default"/>
                <w:sz w:val="24"/>
                <w:szCs w:val="24"/>
              </w:rPr>
              <w:t>贾</w:t>
              <w:tab/>
              <w:t>娜</w:t>
            </w:r>
            <w:r>
              <w:rPr>
                <w:rFonts w:ascii="宋体" w:hAnsi="宋体" w:cs="宋体" w:eastAsia="宋体" w:hint="default"/>
                <w:spacing w:val="-1"/>
                <w:sz w:val="24"/>
                <w:szCs w:val="24"/>
              </w:rPr>
              <w:t> </w:t>
            </w:r>
            <w:r>
              <w:rPr>
                <w:rFonts w:ascii="Cambria" w:hAnsi="Cambria" w:cs="Cambria" w:eastAsia="Cambria" w:hint="default"/>
                <w:sz w:val="24"/>
                <w:szCs w:val="24"/>
              </w:rPr>
              <w:t>(</w:t>
            </w:r>
            <w:r>
              <w:rPr>
                <w:rFonts w:ascii="宋体" w:hAnsi="宋体" w:cs="宋体" w:eastAsia="宋体" w:hint="default"/>
                <w:sz w:val="24"/>
                <w:szCs w:val="24"/>
              </w:rPr>
              <w:t>项目合伙人</w:t>
            </w:r>
            <w:r>
              <w:rPr>
                <w:rFonts w:ascii="Cambria" w:hAnsi="Cambria" w:cs="Cambria" w:eastAsia="Cambria" w:hint="default"/>
                <w:sz w:val="24"/>
                <w:szCs w:val="24"/>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93" w:right="0"/>
              <w:jc w:val="left"/>
              <w:rPr>
                <w:rFonts w:ascii="宋体" w:hAnsi="宋体" w:cs="宋体" w:eastAsia="宋体" w:hint="default"/>
                <w:sz w:val="2"/>
                <w:szCs w:val="2"/>
              </w:rPr>
            </w:pPr>
            <w:r>
              <w:rPr>
                <w:rFonts w:ascii="宋体" w:hAnsi="宋体" w:cs="宋体" w:eastAsia="宋体" w:hint="default"/>
                <w:sz w:val="2"/>
                <w:szCs w:val="2"/>
              </w:rPr>
              <w:pict>
                <v:group style="width:62.85pt;height:.7pt;mso-position-horizontal-relative:char;mso-position-vertical-relative:line" coordorigin="0,0" coordsize="1257,14">
                  <v:group style="position:absolute;left:7;top:7;width:1244;height:2" coordorigin="7,7" coordsize="1244,2">
                    <v:shape style="position:absolute;left:7;top:7;width:1244;height:2" coordorigin="7,7" coordsize="1244,0" path="m7,7l1250,7e" filled="false" stroked="true" strokeweight=".679688pt" strokecolor="#000000">
                      <v:path arrowok="t"/>
                    </v:shape>
                  </v:group>
                </v:group>
              </w:pict>
            </w:r>
            <w:r>
              <w:rPr>
                <w:rFonts w:ascii="宋体" w:hAnsi="宋体" w:cs="宋体" w:eastAsia="宋体" w:hint="default"/>
                <w:sz w:val="2"/>
                <w:szCs w:val="2"/>
              </w:rPr>
            </w: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李丽丽</w:t>
            </w:r>
          </w:p>
        </w:tc>
      </w:tr>
    </w:tbl>
    <w:p>
      <w:pPr>
        <w:pStyle w:val="BodyText"/>
        <w:spacing w:line="274" w:lineRule="exact" w:before="1"/>
        <w:ind w:left="298" w:right="0"/>
        <w:jc w:val="left"/>
        <w:rPr>
          <w:rFonts w:ascii="宋体" w:hAnsi="宋体" w:cs="宋体" w:eastAsia="宋体" w:hint="default"/>
        </w:rPr>
      </w:pPr>
      <w:r>
        <w:rPr>
          <w:rFonts w:ascii="宋体"/>
          <w:w w:val="100"/>
        </w:rPr>
        <w:t> </w:t>
      </w:r>
    </w:p>
    <w:p>
      <w:pPr>
        <w:pStyle w:val="BodyText"/>
        <w:spacing w:line="272" w:lineRule="exact"/>
        <w:ind w:left="298" w:right="0"/>
        <w:jc w:val="left"/>
        <w:rPr>
          <w:rFonts w:ascii="宋体" w:hAnsi="宋体" w:cs="宋体" w:eastAsia="宋体" w:hint="default"/>
        </w:rPr>
      </w:pPr>
      <w:r>
        <w:rPr>
          <w:rFonts w:ascii="宋体"/>
          <w:w w:val="100"/>
        </w:rPr>
        <w:t> </w:t>
      </w:r>
    </w:p>
    <w:p>
      <w:pPr>
        <w:pStyle w:val="BodyText"/>
        <w:tabs>
          <w:tab w:pos="3179" w:val="left" w:leader="none"/>
        </w:tabs>
        <w:spacing w:line="273" w:lineRule="exact"/>
        <w:ind w:left="29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0" w:footer="974" w:top="1100" w:bottom="1160" w:left="112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00" w:bottom="1160" w:left="1200" w:right="1180"/>
        </w:sectPr>
      </w:pPr>
    </w:p>
    <w:p>
      <w:pPr>
        <w:pStyle w:val="Heading5"/>
        <w:spacing w:line="240" w:lineRule="auto" w:before="175"/>
        <w:ind w:right="0"/>
        <w:jc w:val="left"/>
        <w:rPr>
          <w:rFonts w:ascii="宋体" w:hAnsi="宋体" w:cs="宋体" w:eastAsia="宋体" w:hint="default"/>
          <w:b w:val="0"/>
          <w:bCs w:val="0"/>
        </w:rPr>
      </w:pPr>
      <w:r>
        <w:rPr/>
        <w:t>二、</w:t>
      </w:r>
      <w:r>
        <w:rPr>
          <w:spacing w:val="-101"/>
        </w:rPr>
        <w:t> </w:t>
      </w:r>
      <w:r>
        <w:rPr>
          <w:rFonts w:ascii="宋体" w:hAnsi="宋体" w:cs="宋体" w:eastAsia="宋体" w:hint="default"/>
          <w:spacing w:val="-101"/>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BodyText"/>
        <w:spacing w:line="240" w:lineRule="auto"/>
        <w:ind w:right="0"/>
        <w:jc w:val="left"/>
        <w:rPr>
          <w:rFonts w:ascii="宋体" w:hAnsi="宋体" w:cs="宋体" w:eastAsia="宋体" w:hint="default"/>
        </w:rPr>
      </w:pPr>
      <w:r>
        <w:rPr/>
        <w:t>编制单位</w:t>
      </w:r>
      <w:r>
        <w:rPr>
          <w:rFonts w:ascii="宋体" w:hAnsi="宋体" w:cs="宋体" w:eastAsia="宋体" w:hint="default"/>
        </w:rPr>
        <w:t>:</w:t>
      </w:r>
      <w:r>
        <w:rPr/>
        <w:t>青岛港国际股份有限公司</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83" w:lineRule="auto" w:before="186"/>
        <w:ind w:left="144" w:right="0"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3"/>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3" w:equalWidth="0">
            <w:col w:w="3580" w:space="40"/>
            <w:col w:w="2246" w:space="1105"/>
            <w:col w:w="255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05"/>
        <w:gridCol w:w="1104"/>
        <w:gridCol w:w="2139"/>
        <w:gridCol w:w="2139"/>
      </w:tblGrid>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
              <w:jc w:val="right"/>
              <w:rPr>
                <w:rFonts w:ascii="宋体" w:hAnsi="宋体" w:cs="宋体" w:eastAsia="宋体" w:hint="default"/>
                <w:sz w:val="21"/>
                <w:szCs w:val="21"/>
              </w:rPr>
            </w:pPr>
            <w:r>
              <w:rPr>
                <w:rFonts w:ascii="宋体"/>
                <w:w w:val="100"/>
                <w:sz w:val="21"/>
              </w:rPr>
              <w:t> </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816" w:right="0"/>
              <w:jc w:val="left"/>
              <w:rPr>
                <w:rFonts w:ascii="Times New Roman" w:hAnsi="Times New Roman" w:cs="Times New Roman" w:eastAsia="Times New Roman" w:hint="default"/>
                <w:sz w:val="21"/>
                <w:szCs w:val="21"/>
              </w:rPr>
            </w:pPr>
            <w:r>
              <w:rPr>
                <w:rFonts w:ascii="Times New Roman"/>
                <w:sz w:val="21"/>
              </w:rPr>
              <w:t>6,846,399,847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8,077,972,498</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972" w:right="0"/>
              <w:jc w:val="left"/>
              <w:rPr>
                <w:rFonts w:ascii="Times New Roman" w:hAnsi="Times New Roman" w:cs="Times New Roman" w:eastAsia="Times New Roman" w:hint="default"/>
                <w:sz w:val="21"/>
                <w:szCs w:val="21"/>
              </w:rPr>
            </w:pPr>
            <w:r>
              <w:rPr>
                <w:rFonts w:ascii="Times New Roman"/>
                <w:sz w:val="21"/>
              </w:rPr>
              <w:t>952,673,153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875,000,000</w:t>
            </w:r>
          </w:p>
        </w:tc>
      </w:tr>
      <w:tr>
        <w:trPr>
          <w:trHeight w:val="577"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77" w:right="0"/>
              <w:jc w:val="left"/>
              <w:rPr>
                <w:rFonts w:ascii="Times New Roman" w:hAnsi="Times New Roman" w:cs="Times New Roman" w:eastAsia="Times New Roman" w:hint="default"/>
                <w:sz w:val="21"/>
                <w:szCs w:val="21"/>
              </w:rPr>
            </w:pPr>
            <w:r>
              <w:rPr>
                <w:rFonts w:ascii="Times New Roman"/>
                <w:sz w:val="21"/>
              </w:rPr>
              <w:t>89,208,129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65,198,592</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816" w:right="0"/>
              <w:jc w:val="left"/>
              <w:rPr>
                <w:rFonts w:ascii="Times New Roman" w:hAnsi="Times New Roman" w:cs="Times New Roman" w:eastAsia="Times New Roman" w:hint="default"/>
                <w:sz w:val="21"/>
                <w:szCs w:val="21"/>
              </w:rPr>
            </w:pPr>
            <w:r>
              <w:rPr>
                <w:rFonts w:ascii="Times New Roman"/>
                <w:sz w:val="21"/>
              </w:rPr>
              <w:t>2,337,733,076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2,068,535,326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972" w:right="0"/>
              <w:jc w:val="left"/>
              <w:rPr>
                <w:rFonts w:ascii="Times New Roman" w:hAnsi="Times New Roman" w:cs="Times New Roman" w:eastAsia="Times New Roman" w:hint="default"/>
                <w:sz w:val="21"/>
                <w:szCs w:val="21"/>
              </w:rPr>
            </w:pPr>
            <w:r>
              <w:rPr>
                <w:rFonts w:ascii="Times New Roman"/>
                <w:sz w:val="21"/>
              </w:rPr>
              <w:t>705,149,454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670,396,485</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77" w:right="0"/>
              <w:jc w:val="left"/>
              <w:rPr>
                <w:rFonts w:ascii="Times New Roman" w:hAnsi="Times New Roman" w:cs="Times New Roman" w:eastAsia="Times New Roman" w:hint="default"/>
                <w:sz w:val="21"/>
                <w:szCs w:val="21"/>
              </w:rPr>
            </w:pPr>
            <w:r>
              <w:rPr>
                <w:rFonts w:ascii="Times New Roman"/>
                <w:sz w:val="21"/>
              </w:rPr>
              <w:t>65,477,940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81,694,054</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816" w:right="0"/>
              <w:jc w:val="left"/>
              <w:rPr>
                <w:rFonts w:ascii="Times New Roman" w:hAnsi="Times New Roman" w:cs="Times New Roman" w:eastAsia="Times New Roman" w:hint="default"/>
                <w:sz w:val="21"/>
                <w:szCs w:val="21"/>
              </w:rPr>
            </w:pPr>
            <w:r>
              <w:rPr>
                <w:rFonts w:ascii="Times New Roman"/>
                <w:sz w:val="21"/>
              </w:rPr>
              <w:t>1,825,685,161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1,782,762,150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77" w:right="0"/>
              <w:jc w:val="left"/>
              <w:rPr>
                <w:rFonts w:ascii="Times New Roman" w:hAnsi="Times New Roman" w:cs="Times New Roman" w:eastAsia="Times New Roman" w:hint="default"/>
                <w:sz w:val="21"/>
                <w:szCs w:val="21"/>
              </w:rPr>
            </w:pPr>
            <w:r>
              <w:rPr>
                <w:rFonts w:ascii="Times New Roman"/>
                <w:sz w:val="21"/>
              </w:rPr>
              <w:t>42,728,648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33,998,967</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972" w:right="0"/>
              <w:jc w:val="left"/>
              <w:rPr>
                <w:rFonts w:ascii="Times New Roman" w:hAnsi="Times New Roman" w:cs="Times New Roman" w:eastAsia="Times New Roman" w:hint="default"/>
                <w:sz w:val="21"/>
                <w:szCs w:val="21"/>
              </w:rPr>
            </w:pPr>
            <w:r>
              <w:rPr>
                <w:rFonts w:ascii="Times New Roman"/>
                <w:sz w:val="21"/>
              </w:rPr>
              <w:t>208,760,886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174,723,066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972" w:right="0"/>
              <w:jc w:val="left"/>
              <w:rPr>
                <w:rFonts w:ascii="Times New Roman" w:hAnsi="Times New Roman" w:cs="Times New Roman" w:eastAsia="Times New Roman" w:hint="default"/>
                <w:sz w:val="21"/>
                <w:szCs w:val="21"/>
              </w:rPr>
            </w:pPr>
            <w:r>
              <w:rPr>
                <w:rFonts w:ascii="Times New Roman"/>
                <w:sz w:val="21"/>
              </w:rPr>
              <w:t>194,622,693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280,972,522</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972" w:right="0"/>
              <w:jc w:val="left"/>
              <w:rPr>
                <w:rFonts w:ascii="Times New Roman" w:hAnsi="Times New Roman" w:cs="Times New Roman" w:eastAsia="Times New Roman" w:hint="default"/>
                <w:sz w:val="21"/>
                <w:szCs w:val="21"/>
              </w:rPr>
            </w:pPr>
            <w:r>
              <w:rPr>
                <w:rFonts w:ascii="Times New Roman"/>
                <w:sz w:val="21"/>
              </w:rPr>
              <w:t>445,754,126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385,744,736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816" w:right="0"/>
              <w:jc w:val="left"/>
              <w:rPr>
                <w:rFonts w:ascii="Times New Roman" w:hAnsi="Times New Roman" w:cs="Times New Roman" w:eastAsia="Times New Roman" w:hint="default"/>
                <w:sz w:val="21"/>
                <w:szCs w:val="21"/>
              </w:rPr>
            </w:pPr>
            <w:r>
              <w:rPr>
                <w:rFonts w:ascii="Times New Roman"/>
                <w:sz w:val="21"/>
              </w:rPr>
              <w:t>6,214,206,368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3,903,247,154</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10" w:right="0"/>
              <w:jc w:val="left"/>
              <w:rPr>
                <w:rFonts w:ascii="Times New Roman" w:hAnsi="Times New Roman" w:cs="Times New Roman" w:eastAsia="Times New Roman" w:hint="default"/>
                <w:sz w:val="21"/>
                <w:szCs w:val="21"/>
              </w:rPr>
            </w:pPr>
            <w:r>
              <w:rPr>
                <w:rFonts w:ascii="Times New Roman"/>
                <w:sz w:val="21"/>
              </w:rPr>
              <w:t>19,885,670,833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18,366,246,583</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
              <w:jc w:val="right"/>
              <w:rPr>
                <w:rFonts w:ascii="宋体" w:hAnsi="宋体" w:cs="宋体" w:eastAsia="宋体" w:hint="default"/>
                <w:sz w:val="21"/>
                <w:szCs w:val="21"/>
              </w:rPr>
            </w:pPr>
            <w:r>
              <w:rPr>
                <w:rFonts w:ascii="宋体"/>
                <w:w w:val="100"/>
                <w:sz w:val="21"/>
              </w:rPr>
              <w:t> </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816" w:right="0"/>
              <w:jc w:val="left"/>
              <w:rPr>
                <w:rFonts w:ascii="Times New Roman" w:hAnsi="Times New Roman" w:cs="Times New Roman" w:eastAsia="Times New Roman" w:hint="default"/>
                <w:sz w:val="21"/>
                <w:szCs w:val="21"/>
              </w:rPr>
            </w:pPr>
            <w:r>
              <w:rPr>
                <w:rFonts w:ascii="Times New Roman"/>
                <w:sz w:val="21"/>
              </w:rPr>
              <w:t>1,528,631,526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1,606,080,481</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816" w:right="0"/>
              <w:jc w:val="left"/>
              <w:rPr>
                <w:rFonts w:ascii="Times New Roman" w:hAnsi="Times New Roman" w:cs="Times New Roman" w:eastAsia="Times New Roman" w:hint="default"/>
                <w:sz w:val="21"/>
                <w:szCs w:val="21"/>
              </w:rPr>
            </w:pPr>
            <w:r>
              <w:rPr>
                <w:rFonts w:ascii="Times New Roman"/>
                <w:sz w:val="21"/>
              </w:rPr>
              <w:t>9,139,130,196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8,825,256,813</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972" w:right="0"/>
              <w:jc w:val="left"/>
              <w:rPr>
                <w:rFonts w:ascii="Times New Roman" w:hAnsi="Times New Roman" w:cs="Times New Roman" w:eastAsia="Times New Roman" w:hint="default"/>
                <w:sz w:val="21"/>
                <w:szCs w:val="21"/>
              </w:rPr>
            </w:pPr>
            <w:r>
              <w:rPr>
                <w:rFonts w:ascii="Times New Roman"/>
                <w:sz w:val="21"/>
              </w:rPr>
              <w:t>538,096,854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268,580,567</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972" w:right="0"/>
              <w:jc w:val="left"/>
              <w:rPr>
                <w:rFonts w:ascii="Times New Roman" w:hAnsi="Times New Roman" w:cs="Times New Roman" w:eastAsia="Times New Roman" w:hint="default"/>
                <w:sz w:val="21"/>
                <w:szCs w:val="21"/>
              </w:rPr>
            </w:pPr>
            <w:r>
              <w:rPr>
                <w:rFonts w:ascii="Times New Roman"/>
                <w:sz w:val="21"/>
              </w:rPr>
              <w:t>177,094,885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188,836,576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710" w:right="0"/>
              <w:jc w:val="left"/>
              <w:rPr>
                <w:rFonts w:ascii="Times New Roman" w:hAnsi="Times New Roman" w:cs="Times New Roman" w:eastAsia="Times New Roman" w:hint="default"/>
                <w:sz w:val="21"/>
                <w:szCs w:val="21"/>
              </w:rPr>
            </w:pPr>
            <w:r>
              <w:rPr>
                <w:rFonts w:ascii="Times New Roman"/>
                <w:sz w:val="21"/>
              </w:rPr>
              <w:t>14,341,335,334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14,040,859,577</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816" w:right="0"/>
              <w:jc w:val="left"/>
              <w:rPr>
                <w:rFonts w:ascii="Times New Roman" w:hAnsi="Times New Roman" w:cs="Times New Roman" w:eastAsia="Times New Roman" w:hint="default"/>
                <w:sz w:val="21"/>
                <w:szCs w:val="21"/>
              </w:rPr>
            </w:pPr>
            <w:r>
              <w:rPr>
                <w:rFonts w:ascii="Times New Roman"/>
                <w:sz w:val="21"/>
              </w:rPr>
              <w:t>2,510,614,143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2,097,812,840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905"/>
        <w:gridCol w:w="1104"/>
        <w:gridCol w:w="2139"/>
        <w:gridCol w:w="2139"/>
      </w:tblGrid>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3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541,354,681</w:t>
            </w: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2,568,407,616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2,069,854,074</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20,686,493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25,373,323</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28,601,553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26,894,955</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906,362,986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908,858,376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599,314,295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341,128,768</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32,899,630,562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30,399,536,350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52,785,301,395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48,765,782,933</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128,596,572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166,712,204</w:t>
            </w:r>
          </w:p>
        </w:tc>
      </w:tr>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before="3"/>
              <w:ind w:left="100" w:right="211"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益的金融负债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1,164,769,783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957,024,876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1,411,666,083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1,581,607,319</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22,251,659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209,454,071</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245,532,722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134,964,090</w:t>
            </w: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308,496,016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251,347,940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248,863,830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209,314,607</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7,200,531,814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5,954,949,541</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w w:val="100"/>
                <w:sz w:val="21"/>
              </w:rPr>
              <w:t>-</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81,730,280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312,469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1,976,706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235,633,528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3,595,928,706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spacing w:val="-1"/>
                <w:sz w:val="21"/>
              </w:rPr>
              <w:t>10,966,342,007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Times New Roman" w:hAnsi="Times New Roman" w:cs="Times New Roman" w:eastAsia="Times New Roman" w:hint="default"/>
                <w:sz w:val="21"/>
                <w:szCs w:val="21"/>
              </w:rPr>
            </w:pPr>
            <w:r>
              <w:rPr>
                <w:rFonts w:ascii="Times New Roman"/>
                <w:spacing w:val="-1"/>
                <w:sz w:val="21"/>
              </w:rPr>
              <w:t>13,061,303,354</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203"/>
              <w:jc w:val="right"/>
              <w:rPr>
                <w:rFonts w:ascii="宋体" w:hAnsi="宋体" w:cs="宋体" w:eastAsia="宋体" w:hint="default"/>
                <w:sz w:val="21"/>
                <w:szCs w:val="21"/>
              </w:rPr>
            </w:pPr>
            <w:r>
              <w:rPr>
                <w:rFonts w:ascii="宋体"/>
                <w:w w:val="100"/>
                <w:sz w:val="21"/>
              </w:rPr>
              <w:t> </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132,882,988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160,792,988</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2,116,900,000</w:t>
            </w: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378,301,316</w:t>
            </w: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43,095,019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530,779,311</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2,419,020,000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2,497,630,000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0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3905"/>
        <w:gridCol w:w="1104"/>
        <w:gridCol w:w="2139"/>
        <w:gridCol w:w="2139"/>
      </w:tblGrid>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33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7,053,463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5,718,045</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213,850,289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205,830,431</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22,295,437</w:t>
            </w: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2,888,198,834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2,884,204,561</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8,221,597,346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6,284,955,336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19,187,939,353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19,346,258,690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6,491,100,000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6,036,724,000</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12,326,352,961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10,777,968,793</w:t>
            </w: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182,668,672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133,694,188</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3,914,265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3,399,949</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1,278,378,901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986,974,314</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380,586,794</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298,283,806</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53"/>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9,694,379,282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8,742,614,209</w:t>
            </w:r>
          </w:p>
        </w:tc>
      </w:tr>
      <w:tr>
        <w:trPr>
          <w:trHeight w:val="57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归属于母公司所有者权益（或股东权</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30,357,380,875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26,979,659,259</w:t>
            </w:r>
          </w:p>
        </w:tc>
      </w:tr>
      <w:tr>
        <w:trPr>
          <w:trHeight w:val="295"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3,239,981,167</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2,439,864,984</w:t>
            </w:r>
          </w:p>
        </w:tc>
      </w:tr>
      <w:tr>
        <w:trPr>
          <w:trHeight w:val="293"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33,597,362,042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29,419,524,243</w:t>
            </w:r>
          </w:p>
        </w:tc>
      </w:tr>
      <w:tr>
        <w:trPr>
          <w:trHeight w:val="576" w:hRule="exact"/>
        </w:trPr>
        <w:tc>
          <w:tcPr>
            <w:tcW w:w="39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731" w:right="0"/>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负债和所有者权益（或股东权益）</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104" w:type="dxa"/>
            <w:tcBorders>
              <w:top w:val="single" w:sz="6" w:space="0" w:color="000000"/>
              <w:left w:val="single" w:sz="6"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52,785,301,395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96"/>
              <w:jc w:val="right"/>
              <w:rPr>
                <w:rFonts w:ascii="Times New Roman" w:hAnsi="Times New Roman" w:cs="Times New Roman" w:eastAsia="Times New Roman" w:hint="default"/>
                <w:sz w:val="21"/>
                <w:szCs w:val="21"/>
              </w:rPr>
            </w:pPr>
            <w:r>
              <w:rPr>
                <w:rFonts w:ascii="Times New Roman"/>
                <w:spacing w:val="-1"/>
                <w:sz w:val="21"/>
              </w:rPr>
              <w:t>48,765,782,933</w:t>
            </w:r>
          </w:p>
        </w:tc>
      </w:tr>
    </w:tbl>
    <w:p>
      <w:pPr>
        <w:pStyle w:val="BodyText"/>
        <w:spacing w:line="237" w:lineRule="exact"/>
        <w:ind w:right="0"/>
        <w:jc w:val="left"/>
        <w:rPr>
          <w:rFonts w:ascii="宋体" w:hAnsi="宋体" w:cs="宋体" w:eastAsia="宋体" w:hint="default"/>
        </w:rPr>
      </w:pPr>
      <w:r>
        <w:rPr>
          <w:rFonts w:ascii="宋体"/>
          <w:w w:val="100"/>
        </w:rPr>
        <w:t> </w:t>
      </w:r>
    </w:p>
    <w:p>
      <w:pPr>
        <w:pStyle w:val="Heading3"/>
        <w:spacing w:line="310" w:lineRule="exact"/>
        <w:ind w:right="0"/>
        <w:jc w:val="left"/>
        <w:rPr>
          <w:rFonts w:ascii="宋体" w:hAnsi="宋体" w:cs="宋体" w:eastAsia="宋体" w:hint="default"/>
        </w:rPr>
      </w:pPr>
      <w:r>
        <w:rPr/>
        <w:t>法定代表人：李奉利  </w:t>
      </w:r>
      <w:r>
        <w:rPr>
          <w:rFonts w:ascii="宋体" w:hAnsi="宋体" w:cs="宋体" w:eastAsia="宋体" w:hint="default"/>
        </w:rPr>
      </w:r>
      <w:r>
        <w:rPr/>
        <w:t>主管会计工作负责人：樊西为</w:t>
      </w:r>
      <w:r>
        <w:rPr>
          <w:spacing w:val="119"/>
        </w:rPr>
        <w:t> </w:t>
      </w:r>
      <w:r>
        <w:rPr>
          <w:rFonts w:ascii="宋体" w:hAnsi="宋体" w:cs="宋体" w:eastAsia="宋体" w:hint="default"/>
          <w:spacing w:val="119"/>
        </w:rPr>
      </w:r>
      <w:r>
        <w:rPr/>
        <w:t>会计机构负责人：刘永霞</w:t>
      </w:r>
      <w:r>
        <w:rPr>
          <w:rFonts w:ascii="宋体" w:hAnsi="宋体" w:cs="宋体" w:eastAsia="宋体" w:hint="default"/>
          <w:color w:val="008000"/>
        </w:rPr>
        <w:t> </w:t>
      </w:r>
      <w:r>
        <w:rPr>
          <w:rFonts w:ascii="宋体" w:hAnsi="宋体" w:cs="宋体" w:eastAsia="宋体" w:hint="default"/>
        </w:rPr>
      </w:r>
    </w:p>
    <w:p>
      <w:pPr>
        <w:pStyle w:val="BodyText"/>
        <w:spacing w:line="274" w:lineRule="exact" w:before="1"/>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974" w:top="1100" w:bottom="1160" w:left="12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编制单位</w:t>
      </w:r>
      <w:r>
        <w:rPr>
          <w:rFonts w:ascii="宋体" w:hAnsi="宋体" w:cs="宋体" w:eastAsia="宋体" w:hint="default"/>
        </w:rPr>
        <w:t>:</w:t>
      </w:r>
      <w:r>
        <w:rPr/>
        <w:t>青岛港国际股份有限公司</w:t>
      </w:r>
      <w:r>
        <w:rPr>
          <w:rFonts w:ascii="宋体" w:hAnsi="宋体" w:cs="宋体" w:eastAsia="宋体" w:hint="default"/>
        </w:rPr>
        <w:t> </w:t>
      </w:r>
    </w:p>
    <w:p>
      <w:pPr>
        <w:pStyle w:val="Heading2"/>
        <w:spacing w:line="240" w:lineRule="auto" w:before="50"/>
        <w:ind w:left="171" w:right="-19"/>
        <w:jc w:val="left"/>
        <w:rPr>
          <w:b w:val="0"/>
          <w:bCs w:val="0"/>
        </w:rPr>
      </w:pPr>
      <w:r>
        <w:rPr>
          <w:b w:val="0"/>
          <w:bCs w:val="0"/>
        </w:rPr>
        <w:br w:type="column"/>
      </w:r>
      <w:r>
        <w:rPr/>
        <w:t>母公司资产负债表</w:t>
      </w:r>
      <w:r>
        <w:rPr>
          <w:b w:val="0"/>
          <w:bCs w:val="0"/>
        </w:rPr>
      </w:r>
    </w:p>
    <w:p>
      <w:pPr>
        <w:pStyle w:val="Heading3"/>
        <w:spacing w:line="240" w:lineRule="auto" w:before="58"/>
        <w:ind w:left="144" w:right="-19"/>
        <w:jc w:val="lef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3" w:equalWidth="0">
            <w:col w:w="3580" w:space="40"/>
            <w:col w:w="2126" w:space="1225"/>
            <w:col w:w="255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05"/>
        <w:gridCol w:w="818"/>
        <w:gridCol w:w="2132"/>
        <w:gridCol w:w="2132"/>
      </w:tblGrid>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8,265,088,114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8,444,554,600</w:t>
            </w: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before="3"/>
              <w:ind w:left="100" w:right="30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18,667,204</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574"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p>
          <w:p>
            <w:pPr>
              <w:pStyle w:val="TableParagraph"/>
              <w:spacing w:line="240" w:lineRule="auto" w:before="55"/>
              <w:ind w:left="100" w:right="0"/>
              <w:jc w:val="left"/>
              <w:rPr>
                <w:rFonts w:ascii="Times New Roman" w:hAnsi="Times New Roman" w:cs="Times New Roman" w:eastAsia="Times New Roman" w:hint="default"/>
                <w:sz w:val="21"/>
                <w:szCs w:val="21"/>
              </w:rPr>
            </w:pPr>
            <w:r>
              <w:rPr>
                <w:rFonts w:ascii="Times New Roman"/>
                <w:w w:val="100"/>
                <w:sz w:val="21"/>
              </w:rPr>
              <w:t>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996,445,768</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726,398,006</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451,458,292</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357,958,050</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25,263,063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9,103,345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 w:right="0"/>
              <w:jc w:val="center"/>
              <w:rPr>
                <w:rFonts w:ascii="宋体" w:hAnsi="宋体" w:cs="宋体" w:eastAsia="宋体" w:hint="default"/>
                <w:sz w:val="21"/>
                <w:szCs w:val="21"/>
              </w:rPr>
            </w:pPr>
            <w:r>
              <w:rPr>
                <w:rFonts w:ascii="宋体" w:hAnsi="宋体" w:cs="宋体" w:eastAsia="宋体" w:hint="default"/>
                <w:sz w:val="21"/>
                <w:szCs w:val="21"/>
              </w:rPr>
              <w:t>十七、</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581,863,915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126,080,867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4205"/>
        <w:gridCol w:w="818"/>
        <w:gridCol w:w="2132"/>
        <w:gridCol w:w="2132"/>
      </w:tblGrid>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Times New Roman" w:hAnsi="Times New Roman" w:cs="Times New Roman" w:eastAsia="Times New Roman" w:hint="default"/>
                <w:sz w:val="21"/>
                <w:szCs w:val="21"/>
              </w:rPr>
            </w:pPr>
            <w:r>
              <w:rPr>
                <w:rFonts w:ascii="Times New Roman"/>
                <w:w w:val="100"/>
                <w:sz w:val="21"/>
              </w:rPr>
              <w:t>2</w:t>
            </w: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32,346,874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8,041,075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80,568,215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98,846,642</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93,879,526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124,030,811</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624,635,554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921,632,329</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36,686,394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19,905,966</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11,174,556,045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10,828,510,616</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1,858,000,000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1,901,808,894</w:t>
            </w:r>
          </w:p>
        </w:tc>
      </w:tr>
      <w:tr>
        <w:trPr>
          <w:trHeight w:val="57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p>
          <w:p>
            <w:pPr>
              <w:pStyle w:val="TableParagraph"/>
              <w:spacing w:line="240" w:lineRule="auto" w:before="53"/>
              <w:ind w:left="100" w:right="0"/>
              <w:jc w:val="left"/>
              <w:rPr>
                <w:rFonts w:ascii="Times New Roman" w:hAnsi="Times New Roman" w:cs="Times New Roman" w:eastAsia="Times New Roman" w:hint="default"/>
                <w:sz w:val="21"/>
                <w:szCs w:val="21"/>
              </w:rPr>
            </w:pPr>
            <w:r>
              <w:rPr>
                <w:rFonts w:ascii="Times New Roman"/>
                <w:w w:val="100"/>
                <w:sz w:val="21"/>
              </w:rPr>
              <w:t>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13,991,521,234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13,353,136,972</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71,421,487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71,421,487</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1,489,093,569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1,343,775,935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7,826,781,172</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8,125,917,130</w:t>
            </w: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1,333,853,492</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1,216,355,400</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126,126,432</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2,073,151,241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2,160,102,681</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3,916,088</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7,047,125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37,658,479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37,483,036</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261,044,621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164,722,808</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29,072,567,815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28,381,771,468</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40,247,123,860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39,210,282,084</w:t>
            </w: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358,239,543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159,000,000</w:t>
            </w:r>
          </w:p>
        </w:tc>
      </w:tr>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before="3"/>
              <w:ind w:left="100" w:right="30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245,580,933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207,039,615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467,119,764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578,764,979</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15,467,645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205,757,187</w:t>
            </w: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135,665,425</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62,705,460</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240,552,578</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192,317,443</w:t>
            </w:r>
          </w:p>
        </w:tc>
      </w:tr>
      <w:tr>
        <w:trPr>
          <w:trHeight w:val="298"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56,343,229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63,650,616</w:t>
            </w:r>
          </w:p>
        </w:tc>
      </w:tr>
    </w:tbl>
    <w:p>
      <w:pPr>
        <w:spacing w:after="0" w:line="240" w:lineRule="auto"/>
        <w:jc w:val="right"/>
        <w:rPr>
          <w:rFonts w:ascii="Times New Roman" w:hAnsi="Times New Roman" w:cs="Times New Roman" w:eastAsia="Times New Roman" w:hint="default"/>
          <w:sz w:val="21"/>
          <w:szCs w:val="21"/>
        </w:rPr>
        <w:sectPr>
          <w:footerReference w:type="default" r:id="rId50"/>
          <w:pgSz w:w="11910" w:h="16840"/>
          <w:pgMar w:footer="974" w:header="0" w:top="110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4205"/>
        <w:gridCol w:w="818"/>
        <w:gridCol w:w="2132"/>
        <w:gridCol w:w="2132"/>
      </w:tblGrid>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433,282,327</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543,085,697</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100"/>
                <w:sz w:val="21"/>
              </w:rPr>
              <w:t>-</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69,056,398</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312,469</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83,169,099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3,525,843,957</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2,035,420,543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5,538,164,954</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204"/>
              <w:jc w:val="righ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2,116,900,000</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80,955,456</w:t>
            </w: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43,095,019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136,212,372</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2,081,760,000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2,162,150,000</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7,053,463</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5,718,045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140,389,104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136,336,251</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2,888,115,299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2,884,200,855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7,358,268,341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5,324,617,523</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9,393,688,884</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10,862,782,477</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98" w:right="0"/>
              <w:jc w:val="left"/>
              <w:rPr>
                <w:rFonts w:ascii="宋体" w:hAnsi="宋体" w:cs="宋体" w:eastAsia="宋体" w:hint="default"/>
                <w:sz w:val="21"/>
                <w:szCs w:val="21"/>
              </w:rPr>
            </w:pPr>
            <w:r>
              <w:rPr>
                <w:rFonts w:ascii="宋体"/>
                <w:w w:val="100"/>
                <w:sz w:val="21"/>
              </w:rPr>
              <w:t> </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00" w:right="0"/>
              <w:jc w:val="left"/>
              <w:rPr>
                <w:rFonts w:ascii="宋体" w:hAnsi="宋体" w:cs="宋体" w:eastAsia="宋体" w:hint="default"/>
                <w:sz w:val="21"/>
                <w:szCs w:val="21"/>
              </w:rPr>
            </w:pPr>
            <w:r>
              <w:rPr>
                <w:rFonts w:ascii="宋体"/>
                <w:w w:val="100"/>
                <w:sz w:val="21"/>
              </w:rPr>
              <w:t> </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6,491,100,000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6,036,724,000</w:t>
            </w:r>
          </w:p>
        </w:tc>
      </w:tr>
      <w:tr>
        <w:trPr>
          <w:trHeight w:val="29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3"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16,255,150,636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14,706,766,468</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191,510,000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137,710,000</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1,278,378,901</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986,974,314</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6,637,295,439</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6,479,324,825</w:t>
            </w:r>
          </w:p>
        </w:tc>
      </w:tr>
      <w:tr>
        <w:trPr>
          <w:trHeight w:val="295"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30,853,434,976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28,347,499,607</w:t>
            </w:r>
          </w:p>
        </w:tc>
      </w:tr>
      <w:tr>
        <w:trPr>
          <w:trHeight w:val="576" w:hRule="exact"/>
        </w:trPr>
        <w:tc>
          <w:tcPr>
            <w:tcW w:w="420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w:t>
            </w:r>
          </w:p>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818"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40,247,123,860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6"/>
              <w:jc w:val="right"/>
              <w:rPr>
                <w:rFonts w:ascii="Times New Roman" w:hAnsi="Times New Roman" w:cs="Times New Roman" w:eastAsia="Times New Roman" w:hint="default"/>
                <w:sz w:val="21"/>
                <w:szCs w:val="21"/>
              </w:rPr>
            </w:pPr>
            <w:r>
              <w:rPr>
                <w:rFonts w:ascii="Times New Roman"/>
                <w:spacing w:val="-1"/>
                <w:sz w:val="21"/>
              </w:rPr>
              <w:t>39,210,282,084</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sz w:val="24"/>
          <w:szCs w:val="24"/>
        </w:rPr>
      </w:pPr>
      <w:r>
        <w:rPr/>
        <w:t>法定代表人：李奉利       </w:t>
      </w:r>
      <w:r>
        <w:rPr>
          <w:rFonts w:ascii="宋体" w:hAnsi="宋体" w:cs="宋体" w:eastAsia="宋体" w:hint="default"/>
        </w:rPr>
      </w:r>
      <w:r>
        <w:rPr/>
        <w:t>主管会计工作负责人：樊西为    </w:t>
      </w:r>
      <w:r>
        <w:rPr>
          <w:spacing w:val="94"/>
        </w:rPr>
        <w:t> </w:t>
      </w:r>
      <w:r>
        <w:rPr>
          <w:rFonts w:ascii="宋体" w:hAnsi="宋体" w:cs="宋体" w:eastAsia="宋体" w:hint="default"/>
          <w:spacing w:val="94"/>
        </w:rPr>
      </w:r>
      <w:r>
        <w:rPr/>
        <w:t>会计机构负责人：刘永霞</w:t>
      </w:r>
      <w:r>
        <w:rPr>
          <w:rFonts w:ascii="宋体" w:hAnsi="宋体" w:cs="宋体" w:eastAsia="宋体" w:hint="default"/>
          <w:sz w:val="24"/>
          <w:szCs w:val="24"/>
        </w:rPr>
        <w:t> </w:t>
      </w:r>
    </w:p>
    <w:p>
      <w:pPr>
        <w:pStyle w:val="BodyText"/>
        <w:spacing w:line="269" w:lineRule="exact"/>
        <w:ind w:right="0"/>
        <w:jc w:val="left"/>
        <w:rPr>
          <w:rFonts w:ascii="宋体" w:hAnsi="宋体" w:cs="宋体" w:eastAsia="宋体" w:hint="default"/>
        </w:rPr>
      </w:pPr>
      <w:r>
        <w:rPr>
          <w:rFonts w:ascii="宋体"/>
          <w:w w:val="100"/>
        </w:rPr>
        <w:t> </w:t>
      </w:r>
    </w:p>
    <w:p>
      <w:pPr>
        <w:pStyle w:val="Heading3"/>
        <w:spacing w:line="309" w:lineRule="exact"/>
        <w:ind w:right="0"/>
        <w:jc w:val="left"/>
        <w:rPr>
          <w:rFonts w:ascii="宋体" w:hAnsi="宋体" w:cs="宋体" w:eastAsia="宋体" w:hint="default"/>
        </w:rPr>
      </w:pPr>
      <w:r>
        <w:rPr>
          <w:rFonts w:ascii="宋体"/>
          <w:color w:val="FF0000"/>
        </w:rPr>
        <w:t> </w:t>
      </w:r>
      <w:r>
        <w:rPr>
          <w:rFonts w:ascii="宋体"/>
        </w:rPr>
      </w:r>
    </w:p>
    <w:p>
      <w:pPr>
        <w:spacing w:after="0" w:line="309" w:lineRule="exact"/>
        <w:jc w:val="left"/>
        <w:rPr>
          <w:rFonts w:ascii="宋体" w:hAnsi="宋体" w:cs="宋体" w:eastAsia="宋体" w:hint="default"/>
        </w:rPr>
        <w:sectPr>
          <w:footerReference w:type="default" r:id="rId51"/>
          <w:pgSz w:w="11910" w:h="16840"/>
          <w:pgMar w:footer="974" w:header="0" w:top="1100" w:bottom="1160" w:left="1200" w:right="1180"/>
          <w:pgNumType w:start="91"/>
        </w:sectPr>
      </w:pPr>
    </w:p>
    <w:p>
      <w:pPr>
        <w:pStyle w:val="Heading2"/>
        <w:spacing w:line="277" w:lineRule="exact"/>
        <w:ind w:right="267"/>
        <w:jc w:val="right"/>
        <w:rPr>
          <w:b w:val="0"/>
          <w:bCs w:val="0"/>
        </w:rPr>
      </w:pPr>
      <w:r>
        <w:rPr>
          <w:w w:val="95"/>
        </w:rPr>
        <w:t>合并利润表</w:t>
      </w:r>
      <w:r>
        <w:rPr>
          <w:b w:val="0"/>
          <w:bCs w:val="0"/>
        </w:rPr>
      </w:r>
    </w:p>
    <w:p>
      <w:pPr>
        <w:pStyle w:val="Heading3"/>
        <w:spacing w:line="314" w:lineRule="exact"/>
        <w:ind w:left="0" w:right="0"/>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1"/>
          <w:szCs w:val="21"/>
        </w:rPr>
      </w:pPr>
    </w:p>
    <w:p>
      <w:pPr>
        <w:pStyle w:val="BodyText"/>
        <w:tabs>
          <w:tab w:pos="2518" w:val="left" w:leader="none"/>
        </w:tabs>
        <w:spacing w:line="240" w:lineRule="auto"/>
        <w:ind w:left="16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200" w:right="1180"/>
          <w:cols w:num="2" w:equalWidth="0">
            <w:col w:w="5625" w:space="40"/>
            <w:col w:w="3865"/>
          </w:cols>
        </w:sectPr>
      </w:pPr>
    </w:p>
    <w:tbl>
      <w:tblPr>
        <w:tblW w:w="0" w:type="auto"/>
        <w:jc w:val="left"/>
        <w:tblInd w:w="106" w:type="dxa"/>
        <w:tblLayout w:type="fixed"/>
        <w:tblCellMar>
          <w:top w:w="0" w:type="dxa"/>
          <w:left w:w="0" w:type="dxa"/>
          <w:bottom w:w="0" w:type="dxa"/>
          <w:right w:w="0" w:type="dxa"/>
        </w:tblCellMar>
        <w:tblLook w:val="01E0"/>
      </w:tblPr>
      <w:tblGrid>
        <w:gridCol w:w="4786"/>
        <w:gridCol w:w="1083"/>
        <w:gridCol w:w="1709"/>
        <w:gridCol w:w="1709"/>
      </w:tblGrid>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2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12,164,080,973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11,741,480,164</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12,164,080,973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11,741,480,164</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4786"/>
        <w:gridCol w:w="1083"/>
        <w:gridCol w:w="1709"/>
        <w:gridCol w:w="1709"/>
      </w:tblGrid>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2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8,653,246,494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8,595,698,691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8,178,690,909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8,115,501,991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108,501,298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117,696,655</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36,990,125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21,041,094</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503,215,842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481,562,940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33,764,127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39,728,196</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w:t>
            </w:r>
            <w:r>
              <w:rPr>
                <w:rFonts w:ascii="Times New Roman"/>
                <w:spacing w:val="3"/>
                <w:sz w:val="21"/>
              </w:rPr>
              <w:t> </w:t>
            </w:r>
            <w:r>
              <w:rPr>
                <w:rFonts w:ascii="Times New Roman"/>
                <w:sz w:val="21"/>
              </w:rPr>
              <w:t>207,915,807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w:t>
            </w:r>
            <w:r>
              <w:rPr>
                <w:rFonts w:ascii="Times New Roman"/>
                <w:spacing w:val="3"/>
                <w:sz w:val="21"/>
              </w:rPr>
              <w:t> </w:t>
            </w:r>
            <w:r>
              <w:rPr>
                <w:rFonts w:ascii="Times New Roman"/>
                <w:sz w:val="21"/>
              </w:rPr>
              <w:t>179,832,185</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222,507,080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203,665,028</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502,162,922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423,674,785</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122,080,426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34,166,601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1,492,273,337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1,455,440,858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4"/>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1,381,207,816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1,287,921,477</w:t>
            </w: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78"/>
              <w:jc w:val="right"/>
              <w:rPr>
                <w:rFonts w:ascii="宋体" w:hAnsi="宋体" w:cs="宋体" w:eastAsia="宋体" w:hint="default"/>
                <w:sz w:val="21"/>
                <w:szCs w:val="21"/>
              </w:rPr>
            </w:pPr>
            <w:r>
              <w:rPr>
                <w:rFonts w:ascii="宋体" w:hAnsi="宋体" w:cs="宋体" w:eastAsia="宋体" w:hint="default"/>
                <w:spacing w:val="-2"/>
                <w:sz w:val="21"/>
                <w:szCs w:val="21"/>
              </w:rPr>
              <w:t>公允价值变动收益（损失以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8,996,486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5,014,902</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-19,714,764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43,063,759</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-4,686,830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3,453,170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40,545,867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5,113,236,304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4,724,013,460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31,883,637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43,074,891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18,314,524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10,597,986</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5,126,805,417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4,756,490,365</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994,203,437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912,964,017</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4,132,601,980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3,843,526,348</w:t>
            </w:r>
          </w:p>
        </w:tc>
      </w:tr>
      <w:tr>
        <w:trPr>
          <w:trHeight w:val="291"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4,132,601,980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3,843,526,348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归属于母公司股东的净利润（净亏损以</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3,790,143,318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3,593,485,631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342,458,662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250,040,717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35"/>
              <w:jc w:val="righ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47,373,831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-145,620,731</w:t>
            </w: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（一）归属母公司所有者的其他综合收益的税后</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48,974,484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-150,171,312</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．不能重分类进损益的其他综合收益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51,274,802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-162,847,800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0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4786"/>
        <w:gridCol w:w="1083"/>
        <w:gridCol w:w="1709"/>
        <w:gridCol w:w="1709"/>
      </w:tblGrid>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0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51,274,802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-162,847,800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．将重分类进损益的其他综合收益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-2,300,318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12,676,488</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-2,300,318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12,676,488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）金融资产重分类计入其他综合收益的金额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）持有至到期投资重分类为可供出售金融资</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）现金流量套期储备（现金流量套期损益的</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3"/>
              <w:ind w:left="103" w:right="96" w:firstLine="211"/>
              <w:jc w:val="left"/>
              <w:rPr>
                <w:rFonts w:ascii="宋体" w:hAnsi="宋体" w:cs="宋体" w:eastAsia="宋体" w:hint="default"/>
                <w:sz w:val="21"/>
                <w:szCs w:val="21"/>
              </w:rPr>
            </w:pPr>
            <w:r>
              <w:rPr>
                <w:rFonts w:ascii="宋体" w:hAnsi="宋体" w:cs="宋体" w:eastAsia="宋体" w:hint="default"/>
                <w:spacing w:val="-4"/>
                <w:sz w:val="21"/>
                <w:szCs w:val="21"/>
              </w:rPr>
              <w:t>（二）归属于少数股东的其他综合收益的税后净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-1,600,653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4,550,581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4,179,975,811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3,697,905,617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3,839,117,802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3,443,314,319</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340,858,009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254,591,298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0.60</w:t>
            </w: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08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0.60</w:t>
            </w:r>
          </w:p>
        </w:tc>
      </w:tr>
    </w:tbl>
    <w:p>
      <w:pPr>
        <w:spacing w:line="240" w:lineRule="auto" w:before="4"/>
        <w:rPr>
          <w:rFonts w:ascii="Times New Roman" w:hAnsi="Times New Roman" w:cs="Times New Roman" w:eastAsia="Times New Roman" w:hint="default"/>
          <w:sz w:val="19"/>
          <w:szCs w:val="19"/>
        </w:rPr>
      </w:pPr>
    </w:p>
    <w:p>
      <w:pPr>
        <w:pStyle w:val="BodyText"/>
        <w:tabs>
          <w:tab w:pos="2844" w:val="left" w:leader="none"/>
          <w:tab w:pos="6416" w:val="left" w:leader="none"/>
        </w:tabs>
        <w:spacing w:line="267" w:lineRule="exact" w:before="36"/>
        <w:ind w:right="0"/>
        <w:jc w:val="left"/>
      </w:pPr>
      <w:r>
        <w:rPr>
          <w:spacing w:val="-2"/>
        </w:rPr>
        <w:t>法定代表人：李奉利</w:t>
        <w:tab/>
        <w:t>主管会计工作负责人：樊西为</w:t>
        <w:tab/>
        <w:t>会计机构负责人：刘永霞</w:t>
      </w:r>
    </w:p>
    <w:p>
      <w:pPr>
        <w:pStyle w:val="Heading3"/>
        <w:spacing w:line="307" w:lineRule="exact"/>
        <w:ind w:right="0"/>
        <w:jc w:val="left"/>
        <w:rPr>
          <w:rFonts w:ascii="宋体" w:hAnsi="宋体" w:cs="宋体" w:eastAsia="宋体" w:hint="default"/>
        </w:rPr>
      </w:pPr>
      <w:r>
        <w:rPr>
          <w:rFonts w:ascii="宋体"/>
          <w:color w:val="FF0000"/>
        </w:rPr>
        <w:t> </w:t>
      </w:r>
      <w:r>
        <w:rPr>
          <w:rFonts w:ascii="宋体"/>
        </w:rPr>
      </w:r>
    </w:p>
    <w:p>
      <w:pPr>
        <w:spacing w:after="0" w:line="307" w:lineRule="exact"/>
        <w:jc w:val="left"/>
        <w:rPr>
          <w:rFonts w:ascii="宋体" w:hAnsi="宋体" w:cs="宋体" w:eastAsia="宋体" w:hint="default"/>
        </w:rPr>
        <w:sectPr>
          <w:pgSz w:w="11910" w:h="16840"/>
          <w:pgMar w:header="0" w:footer="974" w:top="1100" w:bottom="1160" w:left="1200" w:right="1180"/>
        </w:sectPr>
      </w:pPr>
    </w:p>
    <w:p>
      <w:pPr>
        <w:pStyle w:val="Heading2"/>
        <w:spacing w:line="279" w:lineRule="exact"/>
        <w:ind w:right="147"/>
        <w:jc w:val="right"/>
        <w:rPr>
          <w:b w:val="0"/>
          <w:bCs w:val="0"/>
        </w:rPr>
      </w:pPr>
      <w:r>
        <w:rPr>
          <w:w w:val="95"/>
        </w:rPr>
        <w:t>母公司利润表</w:t>
      </w:r>
      <w:r>
        <w:rPr>
          <w:b w:val="0"/>
          <w:bCs w:val="0"/>
        </w:rPr>
      </w:r>
    </w:p>
    <w:p>
      <w:pPr>
        <w:pStyle w:val="Heading3"/>
        <w:spacing w:line="316" w:lineRule="exact"/>
        <w:ind w:left="0" w:right="0"/>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2"/>
          <w:szCs w:val="22"/>
        </w:rPr>
      </w:pPr>
    </w:p>
    <w:p>
      <w:pPr>
        <w:pStyle w:val="BodyText"/>
        <w:tabs>
          <w:tab w:pos="2518" w:val="left" w:leader="none"/>
        </w:tabs>
        <w:spacing w:line="240" w:lineRule="auto"/>
        <w:ind w:left="16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160" w:left="1200" w:right="1180"/>
          <w:cols w:num="2" w:equalWidth="0">
            <w:col w:w="5625" w:space="40"/>
            <w:col w:w="3865"/>
          </w:cols>
        </w:sectPr>
      </w:pPr>
    </w:p>
    <w:tbl>
      <w:tblPr>
        <w:tblW w:w="0" w:type="auto"/>
        <w:jc w:val="left"/>
        <w:tblInd w:w="106" w:type="dxa"/>
        <w:tblLayout w:type="fixed"/>
        <w:tblCellMar>
          <w:top w:w="0" w:type="dxa"/>
          <w:left w:w="0" w:type="dxa"/>
          <w:bottom w:w="0" w:type="dxa"/>
          <w:right w:w="0" w:type="dxa"/>
        </w:tblCellMar>
        <w:tblLook w:val="01E0"/>
      </w:tblPr>
      <w:tblGrid>
        <w:gridCol w:w="4786"/>
        <w:gridCol w:w="1294"/>
        <w:gridCol w:w="1603"/>
        <w:gridCol w:w="1604"/>
      </w:tblGrid>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3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4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3"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44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十七、</w:t>
            </w:r>
            <w:r>
              <w:rPr>
                <w:rFonts w:ascii="Times New Roman" w:hAnsi="Times New Roman" w:cs="Times New Roman" w:eastAsia="Times New Roman" w:hint="default"/>
                <w:spacing w:val="-1"/>
                <w:sz w:val="21"/>
                <w:szCs w:val="21"/>
              </w:rPr>
              <w:t>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5,779,037,865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5,760,752,943</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44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十七、</w:t>
            </w:r>
            <w:r>
              <w:rPr>
                <w:rFonts w:ascii="Times New Roman" w:hAnsi="Times New Roman" w:cs="Times New Roman" w:eastAsia="Times New Roman" w:hint="default"/>
                <w:spacing w:val="-1"/>
                <w:sz w:val="21"/>
                <w:szCs w:val="21"/>
              </w:rPr>
              <w:t>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4,144,229,248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4,165,218,318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84,016,892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84,690,382</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24,546,853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19,414,467</w:t>
            </w: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305,549,526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286,064,407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15,183,607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14,968,090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-92,502,171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64,664,467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109,582,613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118,480,906</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269,494,788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98,940,769</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21,700,400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4,558,092</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44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十七、</w:t>
            </w:r>
            <w:r>
              <w:rPr>
                <w:rFonts w:ascii="Times New Roman" w:hAnsi="Times New Roman" w:cs="Times New Roman" w:eastAsia="Times New Roman" w:hint="default"/>
                <w:spacing w:val="-1"/>
                <w:sz w:val="21"/>
                <w:szCs w:val="21"/>
              </w:rPr>
              <w:t>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1,980,625,599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2,272,720,278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1,377,429,564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1,283,001,281</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786"/>
        <w:gridCol w:w="1294"/>
        <w:gridCol w:w="1603"/>
        <w:gridCol w:w="1604"/>
      </w:tblGrid>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4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-11,015,887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67,291,469</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3,861,014</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5,236,044</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3"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3,293,185,036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3,475,538,695</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24,091,715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39,338,264</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12,699,352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9,690,978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3"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3,304,577,399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3,505,185,981</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390,531,528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375,345,943</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3"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2,914,045,871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3,129,840,038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（一）持续经营净利润（净亏损以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2,914,045,871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3,129,840,038</w:t>
            </w:r>
          </w:p>
        </w:tc>
      </w:tr>
      <w:tr>
        <w:trPr>
          <w:trHeight w:val="28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（二）终止经营净利润（净亏损以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53,800,000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-133,110,000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53,800,000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-133,110,000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53,800,000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-133,110,000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金融资产重分类计入其他综合收益的金额</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1"/>
              <w:ind w:left="103" w:right="98"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持有至到期投资重分类为可供出售金融资产</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现金流量套期储备（现金流量套期损益的有</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3"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2,967,845,871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2,996,730,038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6"/>
          <w:szCs w:val="16"/>
        </w:rPr>
      </w:pPr>
    </w:p>
    <w:p>
      <w:pPr>
        <w:pStyle w:val="BodyText"/>
        <w:tabs>
          <w:tab w:pos="2739" w:val="left" w:leader="none"/>
          <w:tab w:pos="5994" w:val="left" w:leader="none"/>
        </w:tabs>
        <w:spacing w:line="269" w:lineRule="exact" w:before="36"/>
        <w:ind w:right="0"/>
        <w:jc w:val="left"/>
      </w:pPr>
      <w:r>
        <w:rPr>
          <w:spacing w:val="-2"/>
        </w:rPr>
        <w:t>法定代表人：李奉利</w:t>
        <w:tab/>
        <w:t>主管会计工作负责人：樊西为</w:t>
        <w:tab/>
        <w:t>会计机构负责人：刘永霞</w:t>
      </w:r>
    </w:p>
    <w:p>
      <w:pPr>
        <w:pStyle w:val="Heading3"/>
        <w:spacing w:line="307" w:lineRule="exact"/>
        <w:ind w:right="0"/>
        <w:jc w:val="left"/>
        <w:rPr>
          <w:rFonts w:ascii="宋体" w:hAnsi="宋体" w:cs="宋体" w:eastAsia="宋体" w:hint="default"/>
        </w:rPr>
      </w:pPr>
      <w:r>
        <w:rPr>
          <w:rFonts w:ascii="宋体"/>
          <w:color w:val="FF0000"/>
        </w:rPr>
        <w:t> </w:t>
      </w:r>
      <w:r>
        <w:rPr>
          <w:rFonts w:ascii="宋体"/>
        </w:rPr>
      </w:r>
    </w:p>
    <w:p>
      <w:pPr>
        <w:pStyle w:val="Heading3"/>
        <w:spacing w:line="313" w:lineRule="exact"/>
        <w:ind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pgSz w:w="11910" w:h="16840"/>
          <w:pgMar w:header="0" w:footer="974" w:top="1100" w:bottom="1160" w:left="1200" w:right="1180"/>
        </w:sectPr>
      </w:pPr>
    </w:p>
    <w:p>
      <w:pPr>
        <w:pStyle w:val="Heading2"/>
        <w:spacing w:line="276" w:lineRule="exact"/>
        <w:ind w:right="25"/>
        <w:jc w:val="right"/>
        <w:rPr>
          <w:b w:val="0"/>
          <w:bCs w:val="0"/>
        </w:rPr>
      </w:pPr>
      <w:r>
        <w:rPr>
          <w:w w:val="95"/>
        </w:rPr>
        <w:t>合并现金流量表</w:t>
      </w:r>
      <w:r>
        <w:rPr>
          <w:b w:val="0"/>
          <w:bCs w:val="0"/>
        </w:rPr>
      </w:r>
    </w:p>
    <w:p>
      <w:pPr>
        <w:pStyle w:val="Heading3"/>
        <w:spacing w:line="316" w:lineRule="exact"/>
        <w:ind w:left="0" w:right="0"/>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3"/>
          <w:szCs w:val="23"/>
        </w:rPr>
      </w:pPr>
    </w:p>
    <w:p>
      <w:pPr>
        <w:pStyle w:val="BodyText"/>
        <w:tabs>
          <w:tab w:pos="2365" w:val="left" w:leader="none"/>
        </w:tabs>
        <w:spacing w:line="240" w:lineRule="auto"/>
        <w:ind w:left="1313" w:right="0"/>
        <w:jc w:val="left"/>
      </w:pPr>
      <w:r>
        <w:rPr>
          <w:spacing w:val="-1"/>
        </w:rPr>
        <w:t>单位：元</w:t>
        <w:tab/>
        <w:t>币种：人民币</w:t>
      </w:r>
    </w:p>
    <w:p>
      <w:pPr>
        <w:spacing w:after="0" w:line="240" w:lineRule="auto"/>
        <w:jc w:val="left"/>
        <w:sectPr>
          <w:type w:val="continuous"/>
          <w:pgSz w:w="11910" w:h="16840"/>
          <w:pgMar w:top="1120" w:bottom="1160" w:left="1200" w:right="1180"/>
          <w:cols w:num="2" w:equalWidth="0">
            <w:col w:w="5625" w:space="40"/>
            <w:col w:w="3865"/>
          </w:cols>
        </w:sectPr>
      </w:pPr>
    </w:p>
    <w:p>
      <w:pPr>
        <w:spacing w:line="240" w:lineRule="auto" w:before="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786"/>
        <w:gridCol w:w="977"/>
        <w:gridCol w:w="1814"/>
        <w:gridCol w:w="1709"/>
      </w:tblGrid>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88" w:right="0"/>
              <w:jc w:val="left"/>
              <w:rPr>
                <w:rFonts w:ascii="Times New Roman" w:hAnsi="Times New Roman" w:cs="Times New Roman" w:eastAsia="Times New Roman" w:hint="default"/>
                <w:sz w:val="21"/>
                <w:szCs w:val="21"/>
              </w:rPr>
            </w:pPr>
            <w:r>
              <w:rPr>
                <w:rFonts w:ascii="Times New Roman"/>
                <w:sz w:val="21"/>
              </w:rPr>
              <w:t>11,824,872,811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Times New Roman" w:hAnsi="Times New Roman" w:cs="Times New Roman" w:eastAsia="Times New Roman" w:hint="default"/>
                <w:sz w:val="21"/>
                <w:szCs w:val="21"/>
              </w:rPr>
            </w:pPr>
            <w:r>
              <w:rPr>
                <w:rFonts w:ascii="Times New Roman"/>
                <w:sz w:val="21"/>
              </w:rPr>
              <w:t>10,811,393,842</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4786"/>
        <w:gridCol w:w="977"/>
        <w:gridCol w:w="1814"/>
        <w:gridCol w:w="1709"/>
      </w:tblGrid>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538,911,285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347,633,961</w:t>
            </w: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12,363,784,096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pacing w:val="-1"/>
                <w:sz w:val="21"/>
              </w:rPr>
              <w:t>11,159,027,803</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5,786,216,440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5,162,532,643</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2,197,240,477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2,010,625,247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1,254,140,485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1,304,420,971</w:t>
            </w: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160,196,924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390,444,728</w:t>
            </w: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9,397,794,326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8,868,023,589</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2,965,989,770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2,291,004,214</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35,949,559,465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12,841,958,668</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1,753,786,173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1,676,369,248</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3"/>
              <w:ind w:left="103" w:right="96" w:firstLine="211"/>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13,962,768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380,905,473</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65"/>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4,773,847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69"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3,570,480,022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6,485,958,858</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41,292,562,275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21,385,192,247</w:t>
            </w:r>
          </w:p>
        </w:tc>
      </w:tr>
      <w:tr>
        <w:trPr>
          <w:trHeight w:val="57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购建固定资产、无形资产和其他长期资产支付的</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2,324,441,106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2,952,122,093</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37,948,844,063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15,242,501,732</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65"/>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23,035,440</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2,995,342,203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4,107,108,822</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43,268,627,372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22,324,768,087</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-1,976,065,097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-939,575,840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2,521,650,805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765,350,000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465"/>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542,721,037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765,350,000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0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4786"/>
        <w:gridCol w:w="977"/>
        <w:gridCol w:w="1814"/>
        <w:gridCol w:w="1709"/>
      </w:tblGrid>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7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1,502,511,804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2,520,030,529</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835,735,174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4,859,897,783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3,285,380,529</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2,955,450,283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2,406,853,770</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2,731,749,365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296,388,169</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68,459,957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85,197,324</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194,681,721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4,336,210,264</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5,881,881,369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7,039,452,203</w:t>
            </w:r>
          </w:p>
        </w:tc>
      </w:tr>
      <w:tr>
        <w:trPr>
          <w:trHeight w:val="29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-1,021,983,586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-3,754,071,674</w:t>
            </w:r>
          </w:p>
        </w:tc>
      </w:tr>
      <w:tr>
        <w:trPr>
          <w:trHeight w:val="29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16,026,344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53,982,448</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79</w:t>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-16,032,569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-2,348,660,852</w:t>
            </w:r>
          </w:p>
        </w:tc>
      </w:tr>
      <w:tr>
        <w:trPr>
          <w:trHeight w:val="28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7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4,014,278,650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6,362,939,502</w:t>
            </w:r>
          </w:p>
        </w:tc>
      </w:tr>
      <w:tr>
        <w:trPr>
          <w:trHeight w:val="571"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79</w:t>
            </w:r>
          </w:p>
          <w:p>
            <w:pPr>
              <w:pStyle w:val="TableParagraph"/>
              <w:spacing w:line="28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3,998,246,081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4,014,278,650</w:t>
            </w:r>
          </w:p>
        </w:tc>
      </w:tr>
    </w:tbl>
    <w:p>
      <w:pPr>
        <w:spacing w:line="240" w:lineRule="auto" w:before="4"/>
        <w:rPr>
          <w:rFonts w:ascii="Times New Roman" w:hAnsi="Times New Roman" w:cs="Times New Roman" w:eastAsia="Times New Roman" w:hint="default"/>
          <w:sz w:val="19"/>
          <w:szCs w:val="19"/>
        </w:rPr>
      </w:pPr>
    </w:p>
    <w:p>
      <w:pPr>
        <w:pStyle w:val="BodyText"/>
        <w:tabs>
          <w:tab w:pos="2321" w:val="left" w:leader="none"/>
          <w:tab w:pos="5264" w:val="left" w:leader="none"/>
        </w:tabs>
        <w:spacing w:line="267" w:lineRule="exact" w:before="36"/>
        <w:ind w:right="0"/>
        <w:jc w:val="left"/>
      </w:pPr>
      <w:r>
        <w:rPr>
          <w:spacing w:val="-2"/>
        </w:rPr>
        <w:t>法定代表人：李奉利</w:t>
        <w:tab/>
        <w:t>主管会计工作负责人：樊西为</w:t>
        <w:tab/>
        <w:t>会计机构负责人：刘永霞</w:t>
      </w:r>
    </w:p>
    <w:p>
      <w:pPr>
        <w:pStyle w:val="Heading3"/>
        <w:spacing w:line="307" w:lineRule="exact"/>
        <w:ind w:right="0"/>
        <w:jc w:val="left"/>
        <w:rPr>
          <w:rFonts w:ascii="宋体" w:hAnsi="宋体" w:cs="宋体" w:eastAsia="宋体" w:hint="default"/>
        </w:rPr>
      </w:pPr>
      <w:r>
        <w:rPr>
          <w:rFonts w:ascii="宋体"/>
        </w:rPr>
        <w:t> </w:t>
      </w:r>
    </w:p>
    <w:p>
      <w:pPr>
        <w:spacing w:after="0" w:line="307" w:lineRule="exact"/>
        <w:jc w:val="left"/>
        <w:rPr>
          <w:rFonts w:ascii="宋体" w:hAnsi="宋体" w:cs="宋体" w:eastAsia="宋体" w:hint="default"/>
        </w:rPr>
        <w:sectPr>
          <w:pgSz w:w="11910" w:h="16840"/>
          <w:pgMar w:header="0" w:footer="974" w:top="1100" w:bottom="1160" w:left="1200" w:right="1180"/>
        </w:sectPr>
      </w:pPr>
    </w:p>
    <w:p>
      <w:pPr>
        <w:spacing w:line="312" w:lineRule="exact" w:before="28"/>
        <w:ind w:left="3790" w:right="0" w:hanging="3"/>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母</w:t>
      </w:r>
      <w:r>
        <w:rPr>
          <w:rFonts w:ascii="宋体" w:hAnsi="宋体" w:cs="宋体" w:eastAsia="宋体" w:hint="default"/>
          <w:b/>
          <w:bCs/>
          <w:w w:val="99"/>
          <w:sz w:val="24"/>
          <w:szCs w:val="24"/>
        </w:rPr>
        <w:t>公</w:t>
      </w:r>
      <w:r>
        <w:rPr>
          <w:rFonts w:ascii="宋体" w:hAnsi="宋体" w:cs="宋体" w:eastAsia="宋体" w:hint="default"/>
          <w:b/>
          <w:bCs/>
          <w:spacing w:val="2"/>
          <w:w w:val="99"/>
          <w:sz w:val="24"/>
          <w:szCs w:val="24"/>
        </w:rPr>
        <w:t>司</w:t>
      </w:r>
      <w:r>
        <w:rPr>
          <w:rFonts w:ascii="宋体" w:hAnsi="宋体" w:cs="宋体" w:eastAsia="宋体" w:hint="default"/>
          <w:b/>
          <w:bCs/>
          <w:w w:val="99"/>
          <w:sz w:val="24"/>
          <w:szCs w:val="24"/>
        </w:rPr>
        <w:t>现金</w:t>
      </w:r>
      <w:r>
        <w:rPr>
          <w:rFonts w:ascii="宋体" w:hAnsi="宋体" w:cs="宋体" w:eastAsia="宋体" w:hint="default"/>
          <w:b/>
          <w:bCs/>
          <w:spacing w:val="2"/>
          <w:w w:val="99"/>
          <w:sz w:val="24"/>
          <w:szCs w:val="24"/>
        </w:rPr>
        <w:t>流</w:t>
      </w:r>
      <w:r>
        <w:rPr>
          <w:rFonts w:ascii="宋体" w:hAnsi="宋体" w:cs="宋体" w:eastAsia="宋体" w:hint="default"/>
          <w:b/>
          <w:bCs/>
          <w:w w:val="99"/>
          <w:sz w:val="24"/>
          <w:szCs w:val="24"/>
        </w:rPr>
        <w:t>量表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3"/>
        <w:ind w:left="1311"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5839" w:space="40"/>
            <w:col w:w="365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28"/>
        <w:gridCol w:w="852"/>
        <w:gridCol w:w="1798"/>
        <w:gridCol w:w="1709"/>
      </w:tblGrid>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3,931,822,253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3,816,807,202</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405,313,326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517,409,021</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4,337,135,579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4,334,216,223</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1,406,218,413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1,142,179,222</w:t>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1,367,721,696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1,436,918,252</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607,621,447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559,785,399</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69,826,293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69,694,626</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3,451,387,849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3,208,577,499</w:t>
            </w:r>
          </w:p>
        </w:tc>
      </w:tr>
      <w:tr>
        <w:trPr>
          <w:trHeight w:val="29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885,747,730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1,125,638,724</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23,307,008,679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5,929,746,413</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1,996,741,870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2,097,074,557</w:t>
            </w:r>
          </w:p>
        </w:tc>
      </w:tr>
      <w:tr>
        <w:trPr>
          <w:trHeight w:val="57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6,477,527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230,437,683</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13,174,044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1,143,018,634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3,542,100,000</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26,466,420,754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11,799,358,653</w:t>
            </w:r>
          </w:p>
        </w:tc>
      </w:tr>
      <w:tr>
        <w:trPr>
          <w:trHeight w:val="57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788,556,076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972,906,278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928"/>
        <w:gridCol w:w="852"/>
        <w:gridCol w:w="1798"/>
        <w:gridCol w:w="1709"/>
      </w:tblGrid>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23,612,528,239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7,195,061,594</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1,132,999,999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1,982,100,000</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25,534,084,314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10,150,067,872</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932,336,440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1,649,290,781</w:t>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1,978,929,768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357,800,000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171,000,000</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2,336,729,768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171,000,000</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1,542,100,000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327,000,000</w:t>
            </w:r>
          </w:p>
        </w:tc>
      </w:tr>
      <w:tr>
        <w:trPr>
          <w:trHeight w:val="28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2,582,503,723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116,502,619</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30,054,568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11,105,813</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4,154,658,291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454,608,432</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-1,817,928,523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-283,608,432</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10,131,815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42,110,177</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10,287,462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2,533,431,250</w:t>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6,819,212,991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4,285,781,741</w:t>
            </w:r>
          </w:p>
        </w:tc>
      </w:tr>
      <w:tr>
        <w:trPr>
          <w:trHeight w:val="29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6,829,500,453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pacing w:val="-1"/>
                <w:sz w:val="21"/>
              </w:rPr>
              <w:t>6,819,212,991</w:t>
            </w:r>
          </w:p>
        </w:tc>
      </w:tr>
    </w:tbl>
    <w:p>
      <w:pPr>
        <w:pStyle w:val="BodyText"/>
        <w:spacing w:line="240" w:lineRule="auto" w:before="11"/>
        <w:ind w:right="0"/>
        <w:jc w:val="left"/>
        <w:rPr>
          <w:rFonts w:ascii="宋体" w:hAnsi="宋体" w:cs="宋体" w:eastAsia="宋体" w:hint="default"/>
        </w:rPr>
      </w:pPr>
      <w:r>
        <w:rPr>
          <w:rFonts w:ascii="宋体"/>
          <w:w w:val="100"/>
        </w:rPr>
        <w:t> </w:t>
      </w:r>
    </w:p>
    <w:p>
      <w:pPr>
        <w:pStyle w:val="Heading3"/>
        <w:spacing w:line="308" w:lineRule="exact" w:before="11"/>
        <w:ind w:right="0"/>
        <w:jc w:val="left"/>
        <w:rPr>
          <w:rFonts w:ascii="宋体" w:hAnsi="宋体" w:cs="宋体" w:eastAsia="宋体" w:hint="default"/>
        </w:rPr>
      </w:pPr>
      <w:r>
        <w:rPr/>
        <w:t>法定代表人：李奉利  </w:t>
      </w:r>
      <w:r>
        <w:rPr>
          <w:rFonts w:ascii="宋体" w:hAnsi="宋体" w:cs="宋体" w:eastAsia="宋体" w:hint="default"/>
        </w:rPr>
      </w:r>
      <w:r>
        <w:rPr/>
        <w:t>主管会计工作负责人：樊西为</w:t>
      </w:r>
      <w:r>
        <w:rPr>
          <w:spacing w:val="119"/>
        </w:rPr>
        <w:t> </w:t>
      </w:r>
      <w:r>
        <w:rPr>
          <w:rFonts w:ascii="宋体" w:hAnsi="宋体" w:cs="宋体" w:eastAsia="宋体" w:hint="default"/>
          <w:spacing w:val="119"/>
        </w:rPr>
      </w:r>
      <w:r>
        <w:rPr/>
        <w:t>会计机构负责人：刘永霞</w:t>
      </w:r>
      <w:r>
        <w:rPr>
          <w:rFonts w:ascii="宋体" w:hAnsi="宋体" w:cs="宋体" w:eastAsia="宋体" w:hint="default"/>
          <w:b/>
          <w:bCs/>
          <w:color w:val="FF0000"/>
          <w:w w:val="99"/>
        </w:rPr>
        <w:t> </w:t>
      </w:r>
      <w:r>
        <w:rPr>
          <w:rFonts w:ascii="宋体" w:hAnsi="宋体" w:cs="宋体" w:eastAsia="宋体" w:hint="default"/>
        </w:rPr>
      </w:r>
    </w:p>
    <w:p>
      <w:pPr>
        <w:pStyle w:val="Heading2"/>
        <w:spacing w:line="307" w:lineRule="exact"/>
        <w:ind w:left="218"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0" w:footer="974" w:top="110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2"/>
          <w:footerReference w:type="default" r:id="rId53"/>
          <w:pgSz w:w="16840" w:h="11910" w:orient="landscape"/>
          <w:pgMar w:header="882" w:footer="975" w:top="1120" w:bottom="1160" w:left="600" w:right="300"/>
          <w:pgNumType w:start="98"/>
        </w:sectPr>
      </w:pPr>
    </w:p>
    <w:p>
      <w:pPr>
        <w:spacing w:line="237" w:lineRule="auto" w:before="164"/>
        <w:ind w:left="6603" w:right="0" w:hanging="1"/>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合</w:t>
      </w:r>
      <w:r>
        <w:rPr>
          <w:rFonts w:ascii="宋体" w:hAnsi="宋体" w:cs="宋体" w:eastAsia="宋体" w:hint="default"/>
          <w:b/>
          <w:bCs/>
          <w:w w:val="99"/>
          <w:sz w:val="24"/>
          <w:szCs w:val="24"/>
        </w:rPr>
        <w:t>并</w:t>
      </w:r>
      <w:r>
        <w:rPr>
          <w:rFonts w:ascii="宋体" w:hAnsi="宋体" w:cs="宋体" w:eastAsia="宋体" w:hint="default"/>
          <w:b/>
          <w:bCs/>
          <w:spacing w:val="2"/>
          <w:w w:val="99"/>
          <w:sz w:val="24"/>
          <w:szCs w:val="24"/>
        </w:rPr>
        <w:t>所</w:t>
      </w:r>
      <w:r>
        <w:rPr>
          <w:rFonts w:ascii="宋体" w:hAnsi="宋体" w:cs="宋体" w:eastAsia="宋体" w:hint="default"/>
          <w:b/>
          <w:bCs/>
          <w:w w:val="99"/>
          <w:sz w:val="24"/>
          <w:szCs w:val="24"/>
        </w:rPr>
        <w:t>有者</w:t>
      </w:r>
      <w:r>
        <w:rPr>
          <w:rFonts w:ascii="宋体" w:hAnsi="宋体" w:cs="宋体" w:eastAsia="宋体" w:hint="default"/>
          <w:b/>
          <w:bCs/>
          <w:spacing w:val="2"/>
          <w:w w:val="99"/>
          <w:sz w:val="24"/>
          <w:szCs w:val="24"/>
        </w:rPr>
        <w:t>权</w:t>
      </w:r>
      <w:r>
        <w:rPr>
          <w:rFonts w:ascii="宋体" w:hAnsi="宋体" w:cs="宋体" w:eastAsia="宋体" w:hint="default"/>
          <w:b/>
          <w:bCs/>
          <w:w w:val="99"/>
          <w:sz w:val="24"/>
          <w:szCs w:val="24"/>
        </w:rPr>
        <w:t>益</w:t>
      </w:r>
      <w:r>
        <w:rPr>
          <w:rFonts w:ascii="宋体" w:hAnsi="宋体" w:cs="宋体" w:eastAsia="宋体" w:hint="default"/>
          <w:b/>
          <w:bCs/>
          <w:spacing w:val="2"/>
          <w:w w:val="99"/>
          <w:sz w:val="24"/>
          <w:szCs w:val="24"/>
        </w:rPr>
        <w:t>变</w:t>
      </w:r>
      <w:r>
        <w:rPr>
          <w:rFonts w:ascii="宋体" w:hAnsi="宋体" w:cs="宋体" w:eastAsia="宋体" w:hint="default"/>
          <w:b/>
          <w:bCs/>
          <w:w w:val="99"/>
          <w:sz w:val="24"/>
          <w:szCs w:val="24"/>
        </w:rPr>
        <w:t>动</w:t>
      </w:r>
      <w:r>
        <w:rPr>
          <w:rFonts w:ascii="宋体" w:hAnsi="宋体" w:cs="宋体" w:eastAsia="宋体" w:hint="default"/>
          <w:b/>
          <w:bCs/>
          <w:spacing w:val="1"/>
          <w:w w:val="99"/>
          <w:sz w:val="24"/>
          <w:szCs w:val="24"/>
        </w:rPr>
        <w:t>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z w:val="24"/>
          <w:szCs w:val="24"/>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3548"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600" w:right="300"/>
          <w:cols w:num="2" w:equalWidth="0">
            <w:col w:w="9134" w:space="40"/>
            <w:col w:w="6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3"/>
        <w:gridCol w:w="1313"/>
        <w:gridCol w:w="410"/>
        <w:gridCol w:w="386"/>
        <w:gridCol w:w="293"/>
        <w:gridCol w:w="1321"/>
        <w:gridCol w:w="547"/>
        <w:gridCol w:w="1195"/>
        <w:gridCol w:w="991"/>
        <w:gridCol w:w="1234"/>
        <w:gridCol w:w="1087"/>
        <w:gridCol w:w="1229"/>
        <w:gridCol w:w="377"/>
        <w:gridCol w:w="1332"/>
        <w:gridCol w:w="1219"/>
        <w:gridCol w:w="1390"/>
      </w:tblGrid>
      <w:tr>
        <w:trPr>
          <w:trHeight w:val="250" w:hRule="exact"/>
        </w:trPr>
        <w:tc>
          <w:tcPr>
            <w:tcW w:w="13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32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59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552" w:hRule="exact"/>
        </w:trPr>
        <w:tc>
          <w:tcPr>
            <w:tcW w:w="1383" w:type="dxa"/>
            <w:vMerge/>
            <w:tcBorders>
              <w:left w:val="single" w:sz="4" w:space="0" w:color="000000"/>
              <w:right w:val="single" w:sz="4" w:space="0" w:color="000000"/>
            </w:tcBorders>
          </w:tcPr>
          <w:p>
            <w:pPr/>
          </w:p>
        </w:tc>
        <w:tc>
          <w:tcPr>
            <w:tcW w:w="1171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513" w:right="155"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508" w:right="23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490" w:hRule="exact"/>
        </w:trPr>
        <w:tc>
          <w:tcPr>
            <w:tcW w:w="1383" w:type="dxa"/>
            <w:vMerge/>
            <w:tcBorders>
              <w:left w:val="single" w:sz="4" w:space="0" w:color="000000"/>
              <w:right w:val="single" w:sz="4" w:space="0" w:color="000000"/>
            </w:tcBorders>
          </w:tcPr>
          <w:p>
            <w:pP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4"/>
              <w:ind w:left="3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0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工具</w:t>
            </w:r>
          </w:p>
        </w:tc>
        <w:tc>
          <w:tcPr>
            <w:tcW w:w="13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7" w:type="dxa"/>
            <w:vMerge w:val="restart"/>
            <w:tcBorders>
              <w:top w:val="single" w:sz="4" w:space="0" w:color="000000"/>
              <w:left w:val="single" w:sz="4" w:space="0" w:color="000000"/>
              <w:right w:val="single" w:sz="4" w:space="0" w:color="000000"/>
            </w:tcBorders>
          </w:tcPr>
          <w:p>
            <w:pPr>
              <w:pStyle w:val="TableParagraph"/>
              <w:spacing w:line="244" w:lineRule="auto" w:before="102"/>
              <w:ind w:left="177" w:right="74" w:hanging="77"/>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412" w:right="23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357" w:right="17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1"/>
              <w:ind w:left="103" w:right="82"/>
              <w:jc w:val="left"/>
              <w:rPr>
                <w:rFonts w:ascii="宋体" w:hAnsi="宋体" w:cs="宋体" w:eastAsia="宋体" w:hint="default"/>
                <w:sz w:val="18"/>
                <w:szCs w:val="18"/>
              </w:rPr>
            </w:pPr>
            <w:r>
              <w:rPr>
                <w:rFonts w:ascii="宋体" w:hAnsi="宋体" w:cs="宋体" w:eastAsia="宋体" w:hint="default"/>
                <w:sz w:val="18"/>
                <w:szCs w:val="18"/>
              </w:rPr>
              <w:t>其 他</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19" w:type="dxa"/>
            <w:vMerge/>
            <w:tcBorders>
              <w:left w:val="single" w:sz="4" w:space="0" w:color="000000"/>
              <w:right w:val="single" w:sz="4" w:space="0" w:color="000000"/>
            </w:tcBorders>
          </w:tcPr>
          <w:p>
            <w:pPr/>
          </w:p>
        </w:tc>
        <w:tc>
          <w:tcPr>
            <w:tcW w:w="1390" w:type="dxa"/>
            <w:vMerge/>
            <w:tcBorders>
              <w:left w:val="single" w:sz="4" w:space="0" w:color="000000"/>
              <w:right w:val="single" w:sz="4" w:space="0" w:color="000000"/>
            </w:tcBorders>
          </w:tcPr>
          <w:p>
            <w:pPr/>
          </w:p>
        </w:tc>
      </w:tr>
      <w:tr>
        <w:trPr>
          <w:trHeight w:val="730" w:hRule="exact"/>
        </w:trPr>
        <w:tc>
          <w:tcPr>
            <w:tcW w:w="1383"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4" w:lineRule="auto" w:before="4"/>
              <w:ind w:left="107" w:right="110"/>
              <w:jc w:val="left"/>
              <w:rPr>
                <w:rFonts w:ascii="宋体" w:hAnsi="宋体" w:cs="宋体" w:eastAsia="宋体" w:hint="default"/>
                <w:sz w:val="18"/>
                <w:szCs w:val="18"/>
              </w:rPr>
            </w:pPr>
            <w:r>
              <w:rPr>
                <w:rFonts w:ascii="宋体" w:hAnsi="宋体" w:cs="宋体" w:eastAsia="宋体" w:hint="default"/>
                <w:sz w:val="18"/>
                <w:szCs w:val="18"/>
              </w:rPr>
              <w:t>先 股</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4"/>
              <w:ind w:left="103" w:right="91"/>
              <w:jc w:val="left"/>
              <w:rPr>
                <w:rFonts w:ascii="宋体" w:hAnsi="宋体" w:cs="宋体" w:eastAsia="宋体" w:hint="default"/>
                <w:sz w:val="18"/>
                <w:szCs w:val="18"/>
              </w:rPr>
            </w:pPr>
            <w:r>
              <w:rPr>
                <w:rFonts w:ascii="宋体" w:hAnsi="宋体" w:cs="宋体" w:eastAsia="宋体" w:hint="default"/>
                <w:sz w:val="18"/>
                <w:szCs w:val="18"/>
              </w:rPr>
              <w:t>续 债</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321"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377"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5"/>
              <w:jc w:val="right"/>
              <w:rPr>
                <w:rFonts w:ascii="Times New Roman" w:hAnsi="Times New Roman" w:cs="Times New Roman" w:eastAsia="Times New Roman" w:hint="default"/>
                <w:sz w:val="18"/>
                <w:szCs w:val="18"/>
              </w:rPr>
            </w:pPr>
            <w:r>
              <w:rPr>
                <w:rFonts w:ascii="Times New Roman"/>
                <w:spacing w:val="-4"/>
                <w:sz w:val="18"/>
              </w:rPr>
              <w:t>6,036,724,000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5"/>
                <w:sz w:val="18"/>
              </w:rPr>
              <w:t>10,777,968,793</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133,694,188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3,399,949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986,974,314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298,283,806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8,742,614,209</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5"/>
                <w:sz w:val="18"/>
              </w:rPr>
              <w:t>26,979,659,259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8" w:right="0"/>
              <w:jc w:val="center"/>
              <w:rPr>
                <w:rFonts w:ascii="Times New Roman" w:hAnsi="Times New Roman" w:cs="Times New Roman" w:eastAsia="Times New Roman" w:hint="default"/>
                <w:sz w:val="18"/>
                <w:szCs w:val="18"/>
              </w:rPr>
            </w:pPr>
            <w:r>
              <w:rPr>
                <w:rFonts w:ascii="Times New Roman"/>
                <w:spacing w:val="-4"/>
                <w:sz w:val="18"/>
              </w:rPr>
              <w:t>2,439,864,984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5"/>
                <w:sz w:val="18"/>
              </w:rPr>
              <w:t>29,419,524,243</w:t>
            </w:r>
          </w:p>
        </w:tc>
      </w:tr>
      <w:tr>
        <w:trPr>
          <w:trHeight w:val="47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0"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center"/>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5"/>
              <w:jc w:val="right"/>
              <w:rPr>
                <w:rFonts w:ascii="Times New Roman" w:hAnsi="Times New Roman" w:cs="Times New Roman" w:eastAsia="Times New Roman" w:hint="default"/>
                <w:sz w:val="18"/>
                <w:szCs w:val="18"/>
              </w:rPr>
            </w:pPr>
            <w:r>
              <w:rPr>
                <w:rFonts w:ascii="Times New Roman"/>
                <w:spacing w:val="-4"/>
                <w:sz w:val="18"/>
              </w:rPr>
              <w:t>6,036,724,000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5"/>
                <w:sz w:val="18"/>
              </w:rPr>
              <w:t>10,777,968,793</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133,694,188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3,399,949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986,974,314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298,283,806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8,742,614,209</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5"/>
                <w:sz w:val="18"/>
              </w:rPr>
              <w:t>26,979,659,259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8" w:right="0"/>
              <w:jc w:val="center"/>
              <w:rPr>
                <w:rFonts w:ascii="Times New Roman" w:hAnsi="Times New Roman" w:cs="Times New Roman" w:eastAsia="Times New Roman" w:hint="default"/>
                <w:sz w:val="18"/>
                <w:szCs w:val="18"/>
              </w:rPr>
            </w:pPr>
            <w:r>
              <w:rPr>
                <w:rFonts w:ascii="Times New Roman"/>
                <w:spacing w:val="-4"/>
                <w:sz w:val="18"/>
              </w:rPr>
              <w:t>2,439,864,984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5"/>
                <w:sz w:val="18"/>
              </w:rPr>
              <w:t>29,419,524,243</w:t>
            </w:r>
          </w:p>
        </w:tc>
      </w:tr>
      <w:tr>
        <w:trPr>
          <w:trHeight w:val="94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32" w:lineRule="auto" w:before="5"/>
              <w:ind w:left="100" w:right="190"/>
              <w:jc w:val="both"/>
              <w:rPr>
                <w:rFonts w:ascii="宋体" w:hAnsi="宋体" w:cs="宋体" w:eastAsia="宋体" w:hint="default"/>
                <w:sz w:val="18"/>
                <w:szCs w:val="18"/>
              </w:rPr>
            </w:pPr>
            <w:r>
              <w:rPr>
                <w:rFonts w:ascii="宋体" w:hAnsi="宋体" w:cs="宋体" w:eastAsia="宋体" w:hint="default"/>
                <w:sz w:val="18"/>
                <w:szCs w:val="18"/>
              </w:rPr>
              <w:t>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5"/>
              <w:jc w:val="right"/>
              <w:rPr>
                <w:rFonts w:ascii="Times New Roman" w:hAnsi="Times New Roman" w:cs="Times New Roman" w:eastAsia="Times New Roman" w:hint="default"/>
                <w:sz w:val="18"/>
                <w:szCs w:val="18"/>
              </w:rPr>
            </w:pPr>
            <w:r>
              <w:rPr>
                <w:rFonts w:ascii="Times New Roman"/>
                <w:spacing w:val="-4"/>
                <w:sz w:val="18"/>
              </w:rPr>
              <w:t>454,376,000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6"/>
              <w:jc w:val="right"/>
              <w:rPr>
                <w:rFonts w:ascii="Times New Roman" w:hAnsi="Times New Roman" w:cs="Times New Roman" w:eastAsia="Times New Roman" w:hint="default"/>
                <w:sz w:val="18"/>
                <w:szCs w:val="18"/>
              </w:rPr>
            </w:pPr>
            <w:r>
              <w:rPr>
                <w:rFonts w:ascii="Times New Roman"/>
                <w:spacing w:val="-4"/>
                <w:sz w:val="18"/>
              </w:rPr>
              <w:t>1,548,384,168</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3"/>
              <w:jc w:val="right"/>
              <w:rPr>
                <w:rFonts w:ascii="Times New Roman" w:hAnsi="Times New Roman" w:cs="Times New Roman" w:eastAsia="Times New Roman" w:hint="default"/>
                <w:sz w:val="18"/>
                <w:szCs w:val="18"/>
              </w:rPr>
            </w:pPr>
            <w:r>
              <w:rPr>
                <w:rFonts w:ascii="Times New Roman"/>
                <w:spacing w:val="-4"/>
                <w:sz w:val="18"/>
              </w:rPr>
              <w:t>48,974,484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3"/>
              <w:jc w:val="right"/>
              <w:rPr>
                <w:rFonts w:ascii="Times New Roman" w:hAnsi="Times New Roman" w:cs="Times New Roman" w:eastAsia="Times New Roman" w:hint="default"/>
                <w:sz w:val="18"/>
                <w:szCs w:val="18"/>
              </w:rPr>
            </w:pPr>
            <w:r>
              <w:rPr>
                <w:rFonts w:ascii="Times New Roman"/>
                <w:spacing w:val="-4"/>
                <w:sz w:val="18"/>
              </w:rPr>
              <w:t>514,316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3"/>
              <w:jc w:val="right"/>
              <w:rPr>
                <w:rFonts w:ascii="Times New Roman" w:hAnsi="Times New Roman" w:cs="Times New Roman" w:eastAsia="Times New Roman" w:hint="default"/>
                <w:sz w:val="18"/>
                <w:szCs w:val="18"/>
              </w:rPr>
            </w:pPr>
            <w:r>
              <w:rPr>
                <w:rFonts w:ascii="Times New Roman"/>
                <w:spacing w:val="-4"/>
                <w:sz w:val="18"/>
              </w:rPr>
              <w:t>291,404,587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3"/>
              <w:jc w:val="right"/>
              <w:rPr>
                <w:rFonts w:ascii="Times New Roman" w:hAnsi="Times New Roman" w:cs="Times New Roman" w:eastAsia="Times New Roman" w:hint="default"/>
                <w:sz w:val="18"/>
                <w:szCs w:val="18"/>
              </w:rPr>
            </w:pPr>
            <w:r>
              <w:rPr>
                <w:rFonts w:ascii="Times New Roman"/>
                <w:spacing w:val="-4"/>
                <w:sz w:val="18"/>
              </w:rPr>
              <w:t>82,302,988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3"/>
              <w:jc w:val="right"/>
              <w:rPr>
                <w:rFonts w:ascii="Times New Roman" w:hAnsi="Times New Roman" w:cs="Times New Roman" w:eastAsia="Times New Roman" w:hint="default"/>
                <w:sz w:val="18"/>
                <w:szCs w:val="18"/>
              </w:rPr>
            </w:pPr>
            <w:r>
              <w:rPr>
                <w:rFonts w:ascii="Times New Roman"/>
                <w:spacing w:val="-4"/>
                <w:sz w:val="18"/>
              </w:rPr>
              <w:t>951,765,073</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3"/>
              <w:jc w:val="right"/>
              <w:rPr>
                <w:rFonts w:ascii="Times New Roman" w:hAnsi="Times New Roman" w:cs="Times New Roman" w:eastAsia="Times New Roman" w:hint="default"/>
                <w:sz w:val="18"/>
                <w:szCs w:val="18"/>
              </w:rPr>
            </w:pPr>
            <w:r>
              <w:rPr>
                <w:rFonts w:ascii="Times New Roman"/>
                <w:spacing w:val="-4"/>
                <w:sz w:val="18"/>
              </w:rPr>
              <w:t>3,377,721,616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95" w:right="0"/>
              <w:jc w:val="center"/>
              <w:rPr>
                <w:rFonts w:ascii="Times New Roman" w:hAnsi="Times New Roman" w:cs="Times New Roman" w:eastAsia="Times New Roman" w:hint="default"/>
                <w:sz w:val="18"/>
                <w:szCs w:val="18"/>
              </w:rPr>
            </w:pPr>
            <w:r>
              <w:rPr>
                <w:rFonts w:ascii="Times New Roman"/>
                <w:spacing w:val="-4"/>
                <w:sz w:val="18"/>
              </w:rPr>
              <w:t>800,116,183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6"/>
              <w:jc w:val="right"/>
              <w:rPr>
                <w:rFonts w:ascii="Times New Roman" w:hAnsi="Times New Roman" w:cs="Times New Roman" w:eastAsia="Times New Roman" w:hint="default"/>
                <w:sz w:val="18"/>
                <w:szCs w:val="18"/>
              </w:rPr>
            </w:pPr>
            <w:r>
              <w:rPr>
                <w:rFonts w:ascii="Times New Roman"/>
                <w:spacing w:val="-4"/>
                <w:sz w:val="18"/>
              </w:rPr>
              <w:t>4,177,837,799</w:t>
            </w: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48,974,484</w:t>
            </w: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3,790,143,318</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3,839,117,802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5" w:right="0"/>
              <w:jc w:val="center"/>
              <w:rPr>
                <w:rFonts w:ascii="Times New Roman" w:hAnsi="Times New Roman" w:cs="Times New Roman" w:eastAsia="Times New Roman" w:hint="default"/>
                <w:sz w:val="18"/>
                <w:szCs w:val="18"/>
              </w:rPr>
            </w:pPr>
            <w:r>
              <w:rPr>
                <w:rFonts w:ascii="Times New Roman"/>
                <w:spacing w:val="-4"/>
                <w:sz w:val="18"/>
              </w:rPr>
              <w:t>340,858,009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4"/>
                <w:sz w:val="18"/>
              </w:rPr>
              <w:t>4,179,975,811</w:t>
            </w:r>
          </w:p>
        </w:tc>
      </w:tr>
      <w:tr>
        <w:trPr>
          <w:trHeight w:val="71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w:t>
            </w:r>
          </w:p>
          <w:p>
            <w:pPr>
              <w:pStyle w:val="TableParagraph"/>
              <w:spacing w:line="232" w:lineRule="exact" w:before="23"/>
              <w:ind w:left="100" w:right="190"/>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pacing w:val="-4"/>
                <w:sz w:val="18"/>
              </w:rPr>
              <w:t>454,376,000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pacing w:val="-4"/>
                <w:sz w:val="18"/>
              </w:rPr>
              <w:t>1,539,799,344</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spacing w:val="-4"/>
                <w:sz w:val="18"/>
              </w:rPr>
              <w:t>1,994,175,344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pacing w:val="-4"/>
                <w:sz w:val="18"/>
              </w:rPr>
              <w:t>527,475,461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pacing w:val="-4"/>
                <w:sz w:val="18"/>
              </w:rPr>
              <w:t>2,521,650,805</w:t>
            </w:r>
          </w:p>
        </w:tc>
      </w:tr>
      <w:tr>
        <w:trPr>
          <w:trHeight w:val="47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5"/>
              <w:jc w:val="right"/>
              <w:rPr>
                <w:rFonts w:ascii="Times New Roman" w:hAnsi="Times New Roman" w:cs="Times New Roman" w:eastAsia="Times New Roman" w:hint="default"/>
                <w:sz w:val="18"/>
                <w:szCs w:val="18"/>
              </w:rPr>
            </w:pPr>
            <w:r>
              <w:rPr>
                <w:rFonts w:ascii="Times New Roman"/>
                <w:spacing w:val="-4"/>
                <w:sz w:val="18"/>
              </w:rPr>
              <w:t>454,376,000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4"/>
                <w:sz w:val="18"/>
              </w:rPr>
              <w:t>1,539,799,344</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1,994,175,344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5" w:right="0"/>
              <w:jc w:val="center"/>
              <w:rPr>
                <w:rFonts w:ascii="Times New Roman" w:hAnsi="Times New Roman" w:cs="Times New Roman" w:eastAsia="Times New Roman" w:hint="default"/>
                <w:sz w:val="18"/>
                <w:szCs w:val="18"/>
              </w:rPr>
            </w:pPr>
            <w:r>
              <w:rPr>
                <w:rFonts w:ascii="Times New Roman"/>
                <w:spacing w:val="-4"/>
                <w:sz w:val="18"/>
              </w:rPr>
              <w:t>527,475,461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4"/>
                <w:sz w:val="18"/>
              </w:rPr>
              <w:t>2,521,650,805</w:t>
            </w:r>
          </w:p>
        </w:tc>
      </w:tr>
      <w:tr>
        <w:trPr>
          <w:trHeight w:val="24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600" w:right="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383"/>
        <w:gridCol w:w="1313"/>
        <w:gridCol w:w="410"/>
        <w:gridCol w:w="386"/>
        <w:gridCol w:w="293"/>
        <w:gridCol w:w="1321"/>
        <w:gridCol w:w="547"/>
        <w:gridCol w:w="1195"/>
        <w:gridCol w:w="991"/>
        <w:gridCol w:w="1234"/>
        <w:gridCol w:w="1087"/>
        <w:gridCol w:w="1229"/>
        <w:gridCol w:w="377"/>
        <w:gridCol w:w="1332"/>
        <w:gridCol w:w="1219"/>
        <w:gridCol w:w="1390"/>
      </w:tblGrid>
      <w:tr>
        <w:trPr>
          <w:trHeight w:val="47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p>
            <w:pPr>
              <w:pStyle w:val="TableParagraph"/>
              <w:spacing w:line="232" w:lineRule="exact" w:before="16"/>
              <w:ind w:left="100" w:right="190"/>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291,404,587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82,302,988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-2,838,378,245</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-2,464,670,670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-68,459,957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4"/>
                <w:sz w:val="18"/>
              </w:rPr>
              <w:t>-2,533,130,627</w:t>
            </w: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3"/>
              <w:jc w:val="right"/>
              <w:rPr>
                <w:rFonts w:ascii="Times New Roman" w:hAnsi="Times New Roman" w:cs="Times New Roman" w:eastAsia="Times New Roman" w:hint="default"/>
                <w:sz w:val="18"/>
                <w:szCs w:val="18"/>
              </w:rPr>
            </w:pPr>
            <w:r>
              <w:rPr>
                <w:rFonts w:ascii="Times New Roman"/>
                <w:spacing w:val="-4"/>
                <w:sz w:val="18"/>
              </w:rPr>
              <w:t>291,404,587</w:t>
            </w: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73"/>
              <w:jc w:val="right"/>
              <w:rPr>
                <w:rFonts w:ascii="Times New Roman" w:hAnsi="Times New Roman" w:cs="Times New Roman" w:eastAsia="Times New Roman" w:hint="default"/>
                <w:sz w:val="18"/>
                <w:szCs w:val="18"/>
              </w:rPr>
            </w:pPr>
            <w:r>
              <w:rPr>
                <w:rFonts w:ascii="Times New Roman"/>
                <w:spacing w:val="-4"/>
                <w:sz w:val="18"/>
              </w:rPr>
              <w:t>-291,404,587</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82,302,988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-82,302,988</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36" w:lineRule="exact" w:before="13"/>
              <w:ind w:left="100" w:right="190"/>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spacing w:val="-4"/>
                <w:sz w:val="18"/>
              </w:rPr>
              <w:t>-2,464,670,670</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spacing w:val="-4"/>
                <w:sz w:val="18"/>
              </w:rPr>
              <w:t>-2,464,670,670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Times New Roman" w:hAnsi="Times New Roman" w:cs="Times New Roman" w:eastAsia="Times New Roman" w:hint="default"/>
                <w:sz w:val="18"/>
                <w:szCs w:val="18"/>
              </w:rPr>
            </w:pPr>
            <w:r>
              <w:rPr>
                <w:rFonts w:ascii="Times New Roman"/>
                <w:spacing w:val="-4"/>
                <w:sz w:val="18"/>
              </w:rPr>
              <w:t>-68,459,957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pacing w:val="-4"/>
                <w:sz w:val="18"/>
              </w:rPr>
              <w:t>-2,533,130,627</w:t>
            </w:r>
          </w:p>
        </w:tc>
      </w:tr>
      <w:tr>
        <w:trPr>
          <w:trHeight w:val="24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p>
            <w:pPr>
              <w:pStyle w:val="TableParagraph"/>
              <w:spacing w:line="240" w:lineRule="auto"/>
              <w:ind w:left="100" w:right="190"/>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p>
            <w:pPr>
              <w:pStyle w:val="TableParagraph"/>
              <w:spacing w:line="236" w:lineRule="exact" w:before="13"/>
              <w:ind w:left="100" w:right="190"/>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p>
            <w:pPr>
              <w:pStyle w:val="TableParagraph"/>
              <w:spacing w:line="232" w:lineRule="exact" w:before="16"/>
              <w:ind w:left="100" w:right="190"/>
              <w:jc w:val="left"/>
              <w:rPr>
                <w:rFonts w:ascii="宋体" w:hAnsi="宋体" w:cs="宋体" w:eastAsia="宋体" w:hint="default"/>
                <w:sz w:val="18"/>
                <w:szCs w:val="18"/>
              </w:rPr>
            </w:pPr>
            <w:r>
              <w:rPr>
                <w:rFonts w:ascii="宋体" w:hAnsi="宋体" w:cs="宋体" w:eastAsia="宋体" w:hint="default"/>
                <w:sz w:val="18"/>
                <w:szCs w:val="18"/>
              </w:rPr>
              <w:t>划变动额结转 留存收益</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p>
            <w:pPr>
              <w:pStyle w:val="TableParagraph"/>
              <w:spacing w:line="234" w:lineRule="exact" w:before="15"/>
              <w:ind w:left="100" w:right="190"/>
              <w:jc w:val="left"/>
              <w:rPr>
                <w:rFonts w:ascii="宋体" w:hAnsi="宋体" w:cs="宋体" w:eastAsia="宋体" w:hint="default"/>
                <w:sz w:val="18"/>
                <w:szCs w:val="18"/>
              </w:rPr>
            </w:pPr>
            <w:r>
              <w:rPr>
                <w:rFonts w:ascii="宋体" w:hAnsi="宋体" w:cs="宋体" w:eastAsia="宋体" w:hint="default"/>
                <w:sz w:val="18"/>
                <w:szCs w:val="18"/>
              </w:rPr>
              <w:t>益结转留存收 益</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7"/>
              <w:jc w:val="right"/>
              <w:rPr>
                <w:rFonts w:ascii="Times New Roman" w:hAnsi="Times New Roman" w:cs="Times New Roman" w:eastAsia="Times New Roman" w:hint="default"/>
                <w:sz w:val="18"/>
                <w:szCs w:val="18"/>
              </w:rPr>
            </w:pPr>
            <w:r>
              <w:rPr>
                <w:rFonts w:ascii="Times New Roman"/>
                <w:spacing w:val="-4"/>
                <w:sz w:val="18"/>
              </w:rPr>
              <w:t>514316</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514,316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4"/>
                <w:sz w:val="18"/>
              </w:rPr>
              <w:t>242,670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5"/>
              <w:jc w:val="right"/>
              <w:rPr>
                <w:rFonts w:ascii="Times New Roman" w:hAnsi="Times New Roman" w:cs="Times New Roman" w:eastAsia="Times New Roman" w:hint="default"/>
                <w:sz w:val="18"/>
                <w:szCs w:val="18"/>
              </w:rPr>
            </w:pPr>
            <w:r>
              <w:rPr>
                <w:rFonts w:ascii="Times New Roman"/>
                <w:spacing w:val="-4"/>
                <w:sz w:val="18"/>
              </w:rPr>
              <w:t>756,986</w:t>
            </w:r>
          </w:p>
        </w:tc>
      </w:tr>
      <w:tr>
        <w:trPr>
          <w:trHeight w:val="24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3"/>
              <w:jc w:val="right"/>
              <w:rPr>
                <w:rFonts w:ascii="Times New Roman" w:hAnsi="Times New Roman" w:cs="Times New Roman" w:eastAsia="Times New Roman" w:hint="default"/>
                <w:sz w:val="18"/>
                <w:szCs w:val="18"/>
              </w:rPr>
            </w:pPr>
            <w:r>
              <w:rPr>
                <w:rFonts w:ascii="Times New Roman"/>
                <w:spacing w:val="-4"/>
                <w:sz w:val="18"/>
              </w:rPr>
              <w:t>52,697,332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3"/>
              <w:jc w:val="right"/>
              <w:rPr>
                <w:rFonts w:ascii="Times New Roman" w:hAnsi="Times New Roman" w:cs="Times New Roman" w:eastAsia="Times New Roman" w:hint="default"/>
                <w:sz w:val="18"/>
                <w:szCs w:val="18"/>
              </w:rPr>
            </w:pPr>
            <w:r>
              <w:rPr>
                <w:rFonts w:ascii="Times New Roman"/>
                <w:spacing w:val="-4"/>
                <w:sz w:val="18"/>
              </w:rPr>
              <w:t>52,697,332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3"/>
              <w:jc w:val="right"/>
              <w:rPr>
                <w:rFonts w:ascii="Times New Roman" w:hAnsi="Times New Roman" w:cs="Times New Roman" w:eastAsia="Times New Roman" w:hint="default"/>
                <w:sz w:val="18"/>
                <w:szCs w:val="18"/>
              </w:rPr>
            </w:pPr>
            <w:r>
              <w:rPr>
                <w:rFonts w:ascii="Times New Roman"/>
                <w:spacing w:val="-4"/>
                <w:sz w:val="18"/>
              </w:rPr>
              <w:t>9,151,196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6"/>
              <w:jc w:val="right"/>
              <w:rPr>
                <w:rFonts w:ascii="Times New Roman" w:hAnsi="Times New Roman" w:cs="Times New Roman" w:eastAsia="Times New Roman" w:hint="default"/>
                <w:sz w:val="18"/>
                <w:szCs w:val="18"/>
              </w:rPr>
            </w:pPr>
            <w:r>
              <w:rPr>
                <w:rFonts w:ascii="Times New Roman"/>
                <w:spacing w:val="-4"/>
                <w:sz w:val="18"/>
              </w:rPr>
              <w:t>61,848,528</w:t>
            </w:r>
          </w:p>
        </w:tc>
      </w:tr>
      <w:tr>
        <w:trPr>
          <w:trHeight w:val="24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3"/>
              <w:jc w:val="right"/>
              <w:rPr>
                <w:rFonts w:ascii="Times New Roman" w:hAnsi="Times New Roman" w:cs="Times New Roman" w:eastAsia="Times New Roman" w:hint="default"/>
                <w:sz w:val="18"/>
                <w:szCs w:val="18"/>
              </w:rPr>
            </w:pPr>
            <w:r>
              <w:rPr>
                <w:rFonts w:ascii="Times New Roman"/>
                <w:spacing w:val="-4"/>
                <w:sz w:val="18"/>
              </w:rPr>
              <w:t>52,183,016</w:t>
            </w: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3"/>
              <w:jc w:val="right"/>
              <w:rPr>
                <w:rFonts w:ascii="Times New Roman" w:hAnsi="Times New Roman" w:cs="Times New Roman" w:eastAsia="Times New Roman" w:hint="default"/>
                <w:sz w:val="18"/>
                <w:szCs w:val="18"/>
              </w:rPr>
            </w:pPr>
            <w:r>
              <w:rPr>
                <w:rFonts w:ascii="Times New Roman"/>
                <w:spacing w:val="-4"/>
                <w:sz w:val="18"/>
              </w:rPr>
              <w:t>52,183,016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3"/>
              <w:jc w:val="right"/>
              <w:rPr>
                <w:rFonts w:ascii="Times New Roman" w:hAnsi="Times New Roman" w:cs="Times New Roman" w:eastAsia="Times New Roman" w:hint="default"/>
                <w:sz w:val="18"/>
                <w:szCs w:val="18"/>
              </w:rPr>
            </w:pPr>
            <w:r>
              <w:rPr>
                <w:rFonts w:ascii="Times New Roman"/>
                <w:spacing w:val="-4"/>
                <w:sz w:val="18"/>
              </w:rPr>
              <w:t>8,908,526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76"/>
              <w:jc w:val="right"/>
              <w:rPr>
                <w:rFonts w:ascii="Times New Roman" w:hAnsi="Times New Roman" w:cs="Times New Roman" w:eastAsia="Times New Roman" w:hint="default"/>
                <w:sz w:val="18"/>
                <w:szCs w:val="18"/>
              </w:rPr>
            </w:pPr>
            <w:r>
              <w:rPr>
                <w:rFonts w:ascii="Times New Roman"/>
                <w:spacing w:val="-4"/>
                <w:sz w:val="18"/>
              </w:rPr>
              <w:t>61,091,542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975" w:top="1120" w:bottom="1160" w:left="600" w:right="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383"/>
        <w:gridCol w:w="1313"/>
        <w:gridCol w:w="410"/>
        <w:gridCol w:w="386"/>
        <w:gridCol w:w="293"/>
        <w:gridCol w:w="1321"/>
        <w:gridCol w:w="547"/>
        <w:gridCol w:w="1195"/>
        <w:gridCol w:w="991"/>
        <w:gridCol w:w="1234"/>
        <w:gridCol w:w="1087"/>
        <w:gridCol w:w="1229"/>
        <w:gridCol w:w="377"/>
        <w:gridCol w:w="1332"/>
        <w:gridCol w:w="1219"/>
        <w:gridCol w:w="1390"/>
      </w:tblGrid>
      <w:tr>
        <w:trPr>
          <w:trHeight w:val="24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3"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6"/>
              <w:jc w:val="right"/>
              <w:rPr>
                <w:rFonts w:ascii="Times New Roman" w:hAnsi="Times New Roman" w:cs="Times New Roman" w:eastAsia="Times New Roman" w:hint="default"/>
                <w:sz w:val="18"/>
                <w:szCs w:val="18"/>
              </w:rPr>
            </w:pPr>
            <w:r>
              <w:rPr>
                <w:rFonts w:ascii="Times New Roman"/>
                <w:spacing w:val="-4"/>
                <w:sz w:val="18"/>
              </w:rPr>
              <w:t>8,584,824</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3"/>
              <w:jc w:val="right"/>
              <w:rPr>
                <w:rFonts w:ascii="Times New Roman" w:hAnsi="Times New Roman" w:cs="Times New Roman" w:eastAsia="Times New Roman" w:hint="default"/>
                <w:sz w:val="18"/>
                <w:szCs w:val="18"/>
              </w:rPr>
            </w:pPr>
            <w:r>
              <w:rPr>
                <w:rFonts w:ascii="Times New Roman"/>
                <w:spacing w:val="-4"/>
                <w:sz w:val="18"/>
              </w:rPr>
              <w:t>8,584,824</w:t>
            </w:r>
          </w:p>
        </w:tc>
        <w:tc>
          <w:tcPr>
            <w:tcW w:w="121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76"/>
              <w:jc w:val="right"/>
              <w:rPr>
                <w:rFonts w:ascii="Times New Roman" w:hAnsi="Times New Roman" w:cs="Times New Roman" w:eastAsia="Times New Roman" w:hint="default"/>
                <w:sz w:val="18"/>
                <w:szCs w:val="18"/>
              </w:rPr>
            </w:pPr>
            <w:r>
              <w:rPr>
                <w:rFonts w:ascii="Times New Roman"/>
                <w:spacing w:val="-4"/>
                <w:sz w:val="18"/>
              </w:rPr>
              <w:t>8,584,824</w:t>
            </w:r>
          </w:p>
        </w:tc>
      </w:tr>
      <w:tr>
        <w:trPr>
          <w:trHeight w:val="47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5" w:right="0"/>
              <w:jc w:val="left"/>
              <w:rPr>
                <w:rFonts w:ascii="Times New Roman" w:hAnsi="Times New Roman" w:cs="Times New Roman" w:eastAsia="Times New Roman" w:hint="default"/>
                <w:sz w:val="18"/>
                <w:szCs w:val="18"/>
              </w:rPr>
            </w:pPr>
            <w:r>
              <w:rPr>
                <w:rFonts w:ascii="Times New Roman"/>
                <w:spacing w:val="-4"/>
                <w:sz w:val="18"/>
              </w:rPr>
              <w:t>6,491,100,000</w:t>
            </w:r>
          </w:p>
        </w:tc>
        <w:tc>
          <w:tcPr>
            <w:tcW w:w="410"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5"/>
                <w:sz w:val="18"/>
              </w:rPr>
              <w:t>12,326,352,961</w:t>
            </w:r>
          </w:p>
        </w:tc>
        <w:tc>
          <w:tcPr>
            <w:tcW w:w="54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7" w:right="0"/>
              <w:jc w:val="left"/>
              <w:rPr>
                <w:rFonts w:ascii="Times New Roman" w:hAnsi="Times New Roman" w:cs="Times New Roman" w:eastAsia="Times New Roman" w:hint="default"/>
                <w:sz w:val="18"/>
                <w:szCs w:val="18"/>
              </w:rPr>
            </w:pPr>
            <w:r>
              <w:rPr>
                <w:rFonts w:ascii="Times New Roman"/>
                <w:spacing w:val="-4"/>
                <w:sz w:val="18"/>
              </w:rPr>
              <w:t>182,668,672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5" w:right="0"/>
              <w:jc w:val="left"/>
              <w:rPr>
                <w:rFonts w:ascii="Times New Roman" w:hAnsi="Times New Roman" w:cs="Times New Roman" w:eastAsia="Times New Roman" w:hint="default"/>
                <w:sz w:val="18"/>
                <w:szCs w:val="18"/>
              </w:rPr>
            </w:pPr>
            <w:r>
              <w:rPr>
                <w:rFonts w:ascii="Times New Roman"/>
                <w:spacing w:val="-4"/>
                <w:sz w:val="18"/>
              </w:rPr>
              <w:t>3,914,265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8" w:right="0"/>
              <w:jc w:val="left"/>
              <w:rPr>
                <w:rFonts w:ascii="Times New Roman" w:hAnsi="Times New Roman" w:cs="Times New Roman" w:eastAsia="Times New Roman" w:hint="default"/>
                <w:sz w:val="18"/>
                <w:szCs w:val="18"/>
              </w:rPr>
            </w:pPr>
            <w:r>
              <w:rPr>
                <w:rFonts w:ascii="Times New Roman"/>
                <w:spacing w:val="-4"/>
                <w:sz w:val="18"/>
              </w:rPr>
              <w:t>1,278,378,901</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39" w:right="0"/>
              <w:jc w:val="left"/>
              <w:rPr>
                <w:rFonts w:ascii="Times New Roman" w:hAnsi="Times New Roman" w:cs="Times New Roman" w:eastAsia="Times New Roman" w:hint="default"/>
                <w:sz w:val="18"/>
                <w:szCs w:val="18"/>
              </w:rPr>
            </w:pPr>
            <w:r>
              <w:rPr>
                <w:rFonts w:ascii="Times New Roman"/>
                <w:spacing w:val="-4"/>
                <w:sz w:val="18"/>
              </w:rPr>
              <w:t>380,586,794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3" w:right="0"/>
              <w:jc w:val="left"/>
              <w:rPr>
                <w:rFonts w:ascii="Times New Roman" w:hAnsi="Times New Roman" w:cs="Times New Roman" w:eastAsia="Times New Roman" w:hint="default"/>
                <w:sz w:val="18"/>
                <w:szCs w:val="18"/>
              </w:rPr>
            </w:pPr>
            <w:r>
              <w:rPr>
                <w:rFonts w:ascii="Times New Roman"/>
                <w:spacing w:val="-4"/>
                <w:sz w:val="18"/>
              </w:rPr>
              <w:t>9,694,379,282</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3"/>
              <w:jc w:val="right"/>
              <w:rPr>
                <w:rFonts w:ascii="Times New Roman" w:hAnsi="Times New Roman" w:cs="Times New Roman" w:eastAsia="Times New Roman" w:hint="default"/>
                <w:sz w:val="18"/>
                <w:szCs w:val="18"/>
              </w:rPr>
            </w:pPr>
            <w:r>
              <w:rPr>
                <w:rFonts w:ascii="Times New Roman"/>
                <w:spacing w:val="-5"/>
                <w:sz w:val="18"/>
              </w:rPr>
              <w:t>30,357,380,875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4" w:right="0"/>
              <w:jc w:val="left"/>
              <w:rPr>
                <w:rFonts w:ascii="Times New Roman" w:hAnsi="Times New Roman" w:cs="Times New Roman" w:eastAsia="Times New Roman" w:hint="default"/>
                <w:sz w:val="18"/>
                <w:szCs w:val="18"/>
              </w:rPr>
            </w:pPr>
            <w:r>
              <w:rPr>
                <w:rFonts w:ascii="Times New Roman"/>
                <w:spacing w:val="-4"/>
                <w:sz w:val="18"/>
              </w:rPr>
              <w:t>3,239,981,167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76"/>
              <w:jc w:val="right"/>
              <w:rPr>
                <w:rFonts w:ascii="Times New Roman" w:hAnsi="Times New Roman" w:cs="Times New Roman" w:eastAsia="Times New Roman" w:hint="default"/>
                <w:sz w:val="18"/>
                <w:szCs w:val="18"/>
              </w:rPr>
            </w:pPr>
            <w:r>
              <w:rPr>
                <w:rFonts w:ascii="Times New Roman"/>
                <w:spacing w:val="-5"/>
                <w:sz w:val="18"/>
              </w:rPr>
              <w:t>33,597,362,042</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808"/>
        <w:gridCol w:w="1169"/>
        <w:gridCol w:w="398"/>
        <w:gridCol w:w="298"/>
        <w:gridCol w:w="350"/>
        <w:gridCol w:w="1306"/>
        <w:gridCol w:w="566"/>
        <w:gridCol w:w="1085"/>
        <w:gridCol w:w="994"/>
        <w:gridCol w:w="994"/>
        <w:gridCol w:w="994"/>
        <w:gridCol w:w="1452"/>
        <w:gridCol w:w="358"/>
        <w:gridCol w:w="1303"/>
        <w:gridCol w:w="1229"/>
        <w:gridCol w:w="1306"/>
      </w:tblGrid>
      <w:tr>
        <w:trPr>
          <w:trHeight w:val="250"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80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58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80" w:hRule="exact"/>
        </w:trPr>
        <w:tc>
          <w:tcPr>
            <w:tcW w:w="1808" w:type="dxa"/>
            <w:vMerge/>
            <w:tcBorders>
              <w:left w:val="single" w:sz="4" w:space="0" w:color="000000"/>
              <w:right w:val="single" w:sz="4" w:space="0" w:color="000000"/>
            </w:tcBorders>
          </w:tcPr>
          <w:p>
            <w:pPr/>
          </w:p>
        </w:tc>
        <w:tc>
          <w:tcPr>
            <w:tcW w:w="1126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2" w:lineRule="exact"/>
              <w:ind w:left="338" w:right="33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32" w:lineRule="exact"/>
              <w:ind w:left="376" w:right="288"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90" w:hRule="exact"/>
        </w:trPr>
        <w:tc>
          <w:tcPr>
            <w:tcW w:w="1808" w:type="dxa"/>
            <w:vMerge/>
            <w:tcBorders>
              <w:left w:val="single" w:sz="4" w:space="0" w:color="000000"/>
              <w:right w:val="single" w:sz="4" w:space="0" w:color="000000"/>
            </w:tcBorders>
          </w:tcPr>
          <w:p>
            <w:pP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4"/>
              <w:ind w:left="24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0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92"/>
              <w:ind w:left="184" w:right="95"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0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57" w:right="17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311" w:right="131"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4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50"/>
              <w:ind w:left="103" w:right="63"/>
              <w:jc w:val="left"/>
              <w:rPr>
                <w:rFonts w:ascii="宋体" w:hAnsi="宋体" w:cs="宋体" w:eastAsia="宋体" w:hint="default"/>
                <w:sz w:val="18"/>
                <w:szCs w:val="18"/>
              </w:rPr>
            </w:pPr>
            <w:r>
              <w:rPr>
                <w:rFonts w:ascii="宋体" w:hAnsi="宋体" w:cs="宋体" w:eastAsia="宋体" w:hint="default"/>
                <w:sz w:val="18"/>
                <w:szCs w:val="18"/>
              </w:rPr>
              <w:t>其 他</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29" w:type="dxa"/>
            <w:vMerge/>
            <w:tcBorders>
              <w:left w:val="single" w:sz="4" w:space="0" w:color="000000"/>
              <w:right w:val="single" w:sz="4" w:space="0" w:color="000000"/>
            </w:tcBorders>
          </w:tcPr>
          <w:p>
            <w:pPr/>
          </w:p>
        </w:tc>
        <w:tc>
          <w:tcPr>
            <w:tcW w:w="1306" w:type="dxa"/>
            <w:vMerge/>
            <w:tcBorders>
              <w:left w:val="single" w:sz="4" w:space="0" w:color="000000"/>
              <w:right w:val="single" w:sz="4" w:space="0" w:color="000000"/>
            </w:tcBorders>
          </w:tcPr>
          <w:p>
            <w:pPr/>
          </w:p>
        </w:tc>
      </w:tr>
      <w:tr>
        <w:trPr>
          <w:trHeight w:val="710" w:hRule="exact"/>
        </w:trPr>
        <w:tc>
          <w:tcPr>
            <w:tcW w:w="1808"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先 股</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03" w:right="2"/>
              <w:jc w:val="left"/>
              <w:rPr>
                <w:rFonts w:ascii="宋体" w:hAnsi="宋体" w:cs="宋体" w:eastAsia="宋体" w:hint="default"/>
                <w:sz w:val="18"/>
                <w:szCs w:val="18"/>
              </w:rPr>
            </w:pPr>
            <w:r>
              <w:rPr>
                <w:rFonts w:ascii="宋体" w:hAnsi="宋体" w:cs="宋体" w:eastAsia="宋体" w:hint="default"/>
                <w:sz w:val="18"/>
                <w:szCs w:val="18"/>
              </w:rPr>
              <w:t>续 债</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55"/>
              <w:jc w:val="left"/>
              <w:rPr>
                <w:rFonts w:ascii="宋体" w:hAnsi="宋体" w:cs="宋体" w:eastAsia="宋体" w:hint="default"/>
                <w:sz w:val="18"/>
                <w:szCs w:val="18"/>
              </w:rPr>
            </w:pPr>
            <w:r>
              <w:rPr>
                <w:rFonts w:ascii="宋体" w:hAnsi="宋体" w:cs="宋体" w:eastAsia="宋体" w:hint="default"/>
                <w:sz w:val="18"/>
                <w:szCs w:val="18"/>
              </w:rPr>
              <w:t>其 他</w:t>
            </w:r>
          </w:p>
        </w:tc>
        <w:tc>
          <w:tcPr>
            <w:tcW w:w="130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08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358" w:type="dxa"/>
            <w:vMerge/>
            <w:tcBorders>
              <w:left w:val="single" w:sz="4" w:space="0" w:color="000000"/>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一、上年期末</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6,036,724,000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10,770,800,519</w:t>
            </w: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283,865,500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11,946,732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673,990,310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226,359,871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5,534,036,517</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23,537,723,449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1,507,993,619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25,045,717,068</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二、本年期初</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6,036,724,000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10,770,800,519</w:t>
            </w: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283,865,500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11,946,732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673,990,310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226,359,871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5,534,036,517</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168" w:right="0"/>
              <w:jc w:val="left"/>
              <w:rPr>
                <w:rFonts w:ascii="Times New Roman" w:hAnsi="Times New Roman" w:cs="Times New Roman" w:eastAsia="Times New Roman" w:hint="default"/>
                <w:sz w:val="15"/>
                <w:szCs w:val="15"/>
              </w:rPr>
            </w:pPr>
            <w:r>
              <w:rPr>
                <w:rFonts w:ascii="Times New Roman"/>
                <w:w w:val="100"/>
                <w:sz w:val="15"/>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23,537,723,449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1,507,993,619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25,045,717,068</w:t>
            </w:r>
          </w:p>
        </w:tc>
      </w:tr>
      <w:tr>
        <w:trPr>
          <w:trHeight w:val="71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三、本期增减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变动金额（减少以</w:t>
            </w: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2"/>
              <w:jc w:val="right"/>
              <w:rPr>
                <w:rFonts w:ascii="Times New Roman" w:hAnsi="Times New Roman" w:cs="Times New Roman" w:eastAsia="Times New Roman" w:hint="default"/>
                <w:sz w:val="15"/>
                <w:szCs w:val="15"/>
              </w:rPr>
            </w:pPr>
            <w:r>
              <w:rPr>
                <w:rFonts w:ascii="Times New Roman"/>
                <w:spacing w:val="-1"/>
                <w:sz w:val="15"/>
              </w:rPr>
              <w:t>7,168,274</w:t>
            </w: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98"/>
              <w:jc w:val="right"/>
              <w:rPr>
                <w:rFonts w:ascii="Times New Roman" w:hAnsi="Times New Roman" w:cs="Times New Roman" w:eastAsia="Times New Roman" w:hint="default"/>
                <w:sz w:val="15"/>
                <w:szCs w:val="15"/>
              </w:rPr>
            </w:pPr>
            <w:r>
              <w:rPr>
                <w:rFonts w:ascii="Times New Roman"/>
                <w:spacing w:val="-1"/>
                <w:sz w:val="15"/>
              </w:rPr>
              <w:t>-150,171,312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spacing w:val="-1"/>
                <w:sz w:val="15"/>
              </w:rPr>
              <w:t>-8,546,783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left="27" w:right="0"/>
              <w:jc w:val="center"/>
              <w:rPr>
                <w:rFonts w:ascii="Times New Roman" w:hAnsi="Times New Roman" w:cs="Times New Roman" w:eastAsia="Times New Roman" w:hint="default"/>
                <w:sz w:val="15"/>
                <w:szCs w:val="15"/>
              </w:rPr>
            </w:pPr>
            <w:r>
              <w:rPr>
                <w:rFonts w:ascii="Times New Roman"/>
                <w:sz w:val="15"/>
              </w:rPr>
              <w:t>312,984,004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spacing w:val="-1"/>
                <w:sz w:val="15"/>
              </w:rPr>
              <w:t>71,923,935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spacing w:val="-1"/>
                <w:sz w:val="15"/>
              </w:rPr>
              <w:t>3,208,577,692</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spacing w:val="-1"/>
                <w:sz w:val="15"/>
              </w:rPr>
              <w:t>3,441,935,810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0"/>
              <w:jc w:val="right"/>
              <w:rPr>
                <w:rFonts w:ascii="Times New Roman" w:hAnsi="Times New Roman" w:cs="Times New Roman" w:eastAsia="Times New Roman" w:hint="default"/>
                <w:sz w:val="15"/>
                <w:szCs w:val="15"/>
              </w:rPr>
            </w:pPr>
            <w:r>
              <w:rPr>
                <w:rFonts w:ascii="Times New Roman"/>
                <w:spacing w:val="-1"/>
                <w:sz w:val="15"/>
              </w:rPr>
              <w:t>931,871,365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7"/>
              <w:ind w:right="103"/>
              <w:jc w:val="right"/>
              <w:rPr>
                <w:rFonts w:ascii="Times New Roman" w:hAnsi="Times New Roman" w:cs="Times New Roman" w:eastAsia="Times New Roman" w:hint="default"/>
                <w:sz w:val="15"/>
                <w:szCs w:val="15"/>
              </w:rPr>
            </w:pPr>
            <w:r>
              <w:rPr>
                <w:rFonts w:ascii="Times New Roman"/>
                <w:spacing w:val="-1"/>
                <w:sz w:val="15"/>
              </w:rPr>
              <w:t>4,373,807,175</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（一）综合收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-150,171,312</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3,593,485,631</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3,443,314,319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254,591,298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3,697,905,617</w:t>
            </w:r>
          </w:p>
        </w:tc>
      </w:tr>
      <w:tr>
        <w:trPr>
          <w:trHeight w:val="47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（二）所有者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投入和减少资本</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765,350,000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765,350,000</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．所有者投入</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的普通股</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具持有者投入资本</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入所有者权益的金</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6840" w:h="11910" w:orient="landscape"/>
          <w:pgMar w:footer="975" w:header="882" w:top="1120" w:bottom="1160" w:left="600" w:right="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808"/>
        <w:gridCol w:w="1169"/>
        <w:gridCol w:w="398"/>
        <w:gridCol w:w="298"/>
        <w:gridCol w:w="350"/>
        <w:gridCol w:w="1306"/>
        <w:gridCol w:w="566"/>
        <w:gridCol w:w="1085"/>
        <w:gridCol w:w="994"/>
        <w:gridCol w:w="994"/>
        <w:gridCol w:w="994"/>
        <w:gridCol w:w="1452"/>
        <w:gridCol w:w="358"/>
        <w:gridCol w:w="1303"/>
        <w:gridCol w:w="1229"/>
        <w:gridCol w:w="1306"/>
      </w:tblGrid>
      <w:tr>
        <w:trPr>
          <w:trHeight w:val="24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（三）利润分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312,984,004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71,923,935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-384,907,939</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-87,174,030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-87,174,030</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．提取盈余公</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312,984,004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-312,984,004</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．提取一般风</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71,923,935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-71,923,935</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（或股东）的分配</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-87,174,030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-87,174,030</w:t>
            </w:r>
          </w:p>
        </w:tc>
      </w:tr>
      <w:tr>
        <w:trPr>
          <w:trHeight w:val="2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（四）所有者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增资本（或股本）</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增资本（或股本）</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．盈余公积弥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p>
            <w:pPr>
              <w:pStyle w:val="TableParagraph"/>
              <w:spacing w:line="232" w:lineRule="exact" w:before="16"/>
              <w:ind w:left="100" w:right="255"/>
              <w:jc w:val="left"/>
              <w:rPr>
                <w:rFonts w:ascii="宋体" w:hAnsi="宋体" w:cs="宋体" w:eastAsia="宋体" w:hint="default"/>
                <w:sz w:val="18"/>
                <w:szCs w:val="18"/>
              </w:rPr>
            </w:pPr>
            <w:r>
              <w:rPr>
                <w:rFonts w:ascii="宋体" w:hAnsi="宋体" w:cs="宋体" w:eastAsia="宋体" w:hint="default"/>
                <w:sz w:val="18"/>
                <w:szCs w:val="18"/>
              </w:rPr>
              <w:t>划变动额结转留存 收益</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益结转留存收益</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（五）专项储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-8,546,783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-8,546,783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-895,903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-9,442,686</w:t>
            </w:r>
          </w:p>
        </w:tc>
      </w:tr>
      <w:tr>
        <w:trPr>
          <w:trHeight w:val="2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2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48,329,695</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48,329,695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4,533,371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52,863,066</w:t>
            </w:r>
          </w:p>
        </w:tc>
      </w:tr>
      <w:tr>
        <w:trPr>
          <w:trHeight w:val="242"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2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56,876,478</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56,876,478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5,429,274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62,305,752</w:t>
            </w:r>
          </w:p>
        </w:tc>
      </w:tr>
      <w:tr>
        <w:trPr>
          <w:trHeight w:val="245"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6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5"/>
                <w:szCs w:val="15"/>
              </w:rPr>
            </w:pPr>
            <w:r>
              <w:rPr>
                <w:rFonts w:ascii="Times New Roman"/>
                <w:spacing w:val="-1"/>
                <w:sz w:val="15"/>
              </w:rPr>
              <w:t>7,168,274</w:t>
            </w: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5"/>
                <w:szCs w:val="15"/>
              </w:rPr>
            </w:pPr>
            <w:r>
              <w:rPr>
                <w:rFonts w:ascii="Times New Roman"/>
                <w:spacing w:val="-1"/>
                <w:sz w:val="15"/>
              </w:rPr>
              <w:t>7,168,274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5"/>
                <w:szCs w:val="15"/>
              </w:rPr>
            </w:pPr>
            <w:r>
              <w:rPr>
                <w:rFonts w:ascii="Times New Roman"/>
                <w:spacing w:val="-1"/>
                <w:sz w:val="15"/>
              </w:rPr>
              <w:t>7,168,274</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0"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6,036,724,000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10,777,968,793</w:t>
            </w:r>
          </w:p>
        </w:tc>
        <w:tc>
          <w:tcPr>
            <w:tcW w:w="56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133,694,188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3,399,949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986,974,314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298,283,806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8,742,614,209</w:t>
            </w:r>
          </w:p>
        </w:tc>
        <w:tc>
          <w:tcPr>
            <w:tcW w:w="358"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26,979,659,259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2,439,864,984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29,419,524,243</w:t>
            </w:r>
          </w:p>
        </w:tc>
      </w:tr>
    </w:tbl>
    <w:p>
      <w:pPr>
        <w:pStyle w:val="BodyText"/>
        <w:spacing w:line="237" w:lineRule="exact"/>
        <w:ind w:left="818" w:right="0"/>
        <w:jc w:val="left"/>
        <w:rPr>
          <w:rFonts w:ascii="宋体" w:hAnsi="宋体" w:cs="宋体" w:eastAsia="宋体" w:hint="default"/>
        </w:rPr>
      </w:pPr>
      <w:r>
        <w:rPr>
          <w:rFonts w:ascii="宋体"/>
          <w:w w:val="100"/>
        </w:rPr>
        <w:t> </w:t>
      </w:r>
    </w:p>
    <w:p>
      <w:pPr>
        <w:pStyle w:val="Heading3"/>
        <w:tabs>
          <w:tab w:pos="4899" w:val="left" w:leader="none"/>
          <w:tab w:pos="9579" w:val="left" w:leader="none"/>
        </w:tabs>
        <w:spacing w:line="310" w:lineRule="exact"/>
        <w:ind w:left="818" w:right="0"/>
        <w:jc w:val="left"/>
      </w:pPr>
      <w:r>
        <w:rPr/>
        <w:t>法定代表人：李奉利</w:t>
        <w:tab/>
        <w:t>主管会计工作负责人：樊西为</w:t>
        <w:tab/>
        <w:t>会计机构负责人：刘永霞</w:t>
      </w:r>
    </w:p>
    <w:p>
      <w:pPr>
        <w:spacing w:after="0" w:line="310" w:lineRule="exact"/>
        <w:jc w:val="left"/>
        <w:sectPr>
          <w:footerReference w:type="default" r:id="rId55"/>
          <w:pgSz w:w="16840" w:h="11910" w:orient="landscape"/>
          <w:pgMar w:footer="975" w:header="882" w:top="1120" w:bottom="1160" w:left="600" w:right="400"/>
          <w:pgNumType w:start="101"/>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975" w:top="1120" w:bottom="1160" w:left="1160" w:right="1040"/>
        </w:sectPr>
      </w:pPr>
    </w:p>
    <w:p>
      <w:pPr>
        <w:pStyle w:val="Heading2"/>
        <w:spacing w:line="312" w:lineRule="exact" w:before="161"/>
        <w:ind w:right="0"/>
        <w:jc w:val="right"/>
        <w:rPr>
          <w:b w:val="0"/>
          <w:bCs w:val="0"/>
        </w:rPr>
      </w:pPr>
      <w:r>
        <w:rPr>
          <w:w w:val="95"/>
        </w:rPr>
        <w:t>母公司所有者权益变动表</w:t>
      </w:r>
      <w:r>
        <w:rPr>
          <w:b w:val="0"/>
          <w:bCs w:val="0"/>
        </w:rPr>
      </w:r>
    </w:p>
    <w:p>
      <w:pPr>
        <w:pStyle w:val="Heading3"/>
        <w:spacing w:line="330" w:lineRule="exact"/>
        <w:ind w:left="0" w:right="452"/>
        <w:jc w:val="right"/>
      </w:pP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6"/>
          <w:szCs w:val="16"/>
        </w:rPr>
      </w:pPr>
    </w:p>
    <w:p>
      <w:pPr>
        <w:pStyle w:val="BodyText"/>
        <w:tabs>
          <w:tab w:pos="4543" w:val="left" w:leader="none"/>
        </w:tabs>
        <w:spacing w:line="240" w:lineRule="auto"/>
        <w:ind w:left="3643"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160" w:left="1160" w:right="1040"/>
          <w:cols w:num="2" w:equalWidth="0">
            <w:col w:w="8573" w:space="40"/>
            <w:col w:w="6027"/>
          </w:cols>
        </w:sectPr>
      </w:pPr>
    </w:p>
    <w:tbl>
      <w:tblPr>
        <w:tblW w:w="0" w:type="auto"/>
        <w:jc w:val="left"/>
        <w:tblInd w:w="111" w:type="dxa"/>
        <w:tblLayout w:type="fixed"/>
        <w:tblCellMar>
          <w:top w:w="0" w:type="dxa"/>
          <w:left w:w="0" w:type="dxa"/>
          <w:bottom w:w="0" w:type="dxa"/>
          <w:right w:w="0" w:type="dxa"/>
        </w:tblCellMar>
        <w:tblLook w:val="01E0"/>
      </w:tblPr>
      <w:tblGrid>
        <w:gridCol w:w="2451"/>
        <w:gridCol w:w="1430"/>
        <w:gridCol w:w="356"/>
        <w:gridCol w:w="425"/>
        <w:gridCol w:w="425"/>
        <w:gridCol w:w="1522"/>
        <w:gridCol w:w="1066"/>
        <w:gridCol w:w="1258"/>
        <w:gridCol w:w="1034"/>
        <w:gridCol w:w="1433"/>
        <w:gridCol w:w="1490"/>
        <w:gridCol w:w="1522"/>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78" w:hRule="exact"/>
        </w:trPr>
        <w:tc>
          <w:tcPr>
            <w:tcW w:w="2451" w:type="dxa"/>
            <w:vMerge/>
            <w:tcBorders>
              <w:left w:val="single" w:sz="4" w:space="0" w:color="000000"/>
              <w:right w:val="single" w:sz="4" w:space="0" w:color="000000"/>
            </w:tcBorders>
          </w:tcPr>
          <w:p>
            <w:pP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34" w:lineRule="exact"/>
              <w:ind w:left="34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8" w:lineRule="exact"/>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30" w:right="17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56" w:right="47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84" w:right="395"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1" w:hRule="exact"/>
        </w:trPr>
        <w:tc>
          <w:tcPr>
            <w:tcW w:w="2451"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03" w:right="60"/>
              <w:jc w:val="left"/>
              <w:rPr>
                <w:rFonts w:ascii="宋体" w:hAnsi="宋体" w:cs="宋体" w:eastAsia="宋体" w:hint="default"/>
                <w:sz w:val="18"/>
                <w:szCs w:val="18"/>
              </w:rPr>
            </w:pPr>
            <w:r>
              <w:rPr>
                <w:rFonts w:ascii="宋体" w:hAnsi="宋体" w:cs="宋体" w:eastAsia="宋体" w:hint="default"/>
                <w:sz w:val="18"/>
                <w:szCs w:val="18"/>
              </w:rPr>
              <w:t>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7" w:right="115"/>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522"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6,036,724,000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14,706,766,468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137,710,000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986,974,314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6,479,324,825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28,347,499,607</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6,036,724,000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14,706,766,468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137,710,000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986,974,314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6,479,324,825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28,347,499,607</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454,376,000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1,548,384,168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53,800,000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291,404,587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157,970,614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2,505,935,369</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53,800,000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2,914,045,871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2,967,845,871</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454,376,000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1,539,799,344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1,994,175,344</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454,376,000</w:t>
            </w: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1,539,799,344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1,994,175,344</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291,404,587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-2,756,075,257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-2,464,670,670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291,404,587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-291,404,587</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-2,464,670,670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-2,464,670,670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160" w:right="10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2451"/>
        <w:gridCol w:w="1430"/>
        <w:gridCol w:w="356"/>
        <w:gridCol w:w="425"/>
        <w:gridCol w:w="425"/>
        <w:gridCol w:w="1522"/>
        <w:gridCol w:w="1066"/>
        <w:gridCol w:w="1258"/>
        <w:gridCol w:w="1034"/>
        <w:gridCol w:w="1433"/>
        <w:gridCol w:w="1490"/>
        <w:gridCol w:w="1522"/>
      </w:tblGrid>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．其他综合收益结转留存收</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33,281,668</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33,281,668</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33,281,668</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33,281,668</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30"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8,584,824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8,584,824</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0" w:right="0"/>
              <w:jc w:val="left"/>
              <w:rPr>
                <w:rFonts w:ascii="Times New Roman" w:hAnsi="Times New Roman" w:cs="Times New Roman" w:eastAsia="Times New Roman" w:hint="default"/>
                <w:sz w:val="18"/>
                <w:szCs w:val="18"/>
              </w:rPr>
            </w:pPr>
            <w:r>
              <w:rPr>
                <w:rFonts w:ascii="Times New Roman"/>
                <w:sz w:val="18"/>
              </w:rPr>
              <w:t>6,491,100,000</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Times New Roman" w:hAnsi="Times New Roman" w:cs="Times New Roman" w:eastAsia="Times New Roman" w:hint="default"/>
                <w:sz w:val="18"/>
                <w:szCs w:val="18"/>
              </w:rPr>
            </w:pPr>
            <w:r>
              <w:rPr>
                <w:rFonts w:ascii="Times New Roman"/>
                <w:sz w:val="18"/>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16,255,150,636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z w:val="18"/>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Times New Roman" w:hAnsi="Times New Roman" w:cs="Times New Roman" w:eastAsia="Times New Roman" w:hint="default"/>
                <w:sz w:val="18"/>
                <w:szCs w:val="18"/>
              </w:rPr>
            </w:pPr>
            <w:r>
              <w:rPr>
                <w:rFonts w:ascii="Times New Roman"/>
                <w:sz w:val="18"/>
              </w:rPr>
              <w:t>191,510,000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18"/>
                <w:szCs w:val="18"/>
              </w:rPr>
            </w:pPr>
            <w:r>
              <w:rPr>
                <w:rFonts w:ascii="Times New Roman"/>
                <w:sz w:val="18"/>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Times New Roman" w:hAnsi="Times New Roman" w:cs="Times New Roman" w:eastAsia="Times New Roman" w:hint="default"/>
                <w:sz w:val="18"/>
                <w:szCs w:val="18"/>
              </w:rPr>
            </w:pPr>
            <w:r>
              <w:rPr>
                <w:rFonts w:ascii="Times New Roman"/>
                <w:sz w:val="18"/>
              </w:rPr>
              <w:t>1,278,378,901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Times New Roman" w:hAnsi="Times New Roman" w:cs="Times New Roman" w:eastAsia="Times New Roman" w:hint="default"/>
                <w:sz w:val="18"/>
                <w:szCs w:val="18"/>
              </w:rPr>
            </w:pPr>
            <w:r>
              <w:rPr>
                <w:rFonts w:ascii="Times New Roman"/>
                <w:sz w:val="18"/>
              </w:rPr>
              <w:t>6,637,295,439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30,853,434,976</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251" w:type="dxa"/>
        <w:tblLayout w:type="fixed"/>
        <w:tblCellMar>
          <w:top w:w="0" w:type="dxa"/>
          <w:left w:w="0" w:type="dxa"/>
          <w:bottom w:w="0" w:type="dxa"/>
          <w:right w:w="0" w:type="dxa"/>
        </w:tblCellMar>
        <w:tblLook w:val="01E0"/>
      </w:tblPr>
      <w:tblGrid>
        <w:gridCol w:w="2396"/>
        <w:gridCol w:w="1549"/>
        <w:gridCol w:w="403"/>
        <w:gridCol w:w="425"/>
        <w:gridCol w:w="427"/>
        <w:gridCol w:w="1507"/>
        <w:gridCol w:w="1066"/>
        <w:gridCol w:w="1476"/>
        <w:gridCol w:w="1272"/>
        <w:gridCol w:w="1256"/>
        <w:gridCol w:w="1505"/>
        <w:gridCol w:w="1522"/>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40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80" w:hRule="exact"/>
        </w:trPr>
        <w:tc>
          <w:tcPr>
            <w:tcW w:w="2396" w:type="dxa"/>
            <w:vMerge/>
            <w:tcBorders>
              <w:left w:val="single" w:sz="6" w:space="0" w:color="000000"/>
              <w:right w:val="single" w:sz="6" w:space="0" w:color="000000"/>
            </w:tcBorders>
          </w:tcPr>
          <w:p>
            <w:pPr/>
          </w:p>
        </w:tc>
        <w:tc>
          <w:tcPr>
            <w:tcW w:w="1549"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405" w:right="32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255" w:type="dxa"/>
            <w:gridSpan w:val="3"/>
            <w:tcBorders>
              <w:top w:val="single" w:sz="6" w:space="0" w:color="000000"/>
              <w:left w:val="single" w:sz="4" w:space="0" w:color="000000"/>
              <w:bottom w:val="single" w:sz="4"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50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pacing w:val="-11"/>
                <w:sz w:val="18"/>
                <w:szCs w:val="18"/>
              </w:rPr>
              <w:t> </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547" w:right="282" w:hanging="180"/>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z w:val="18"/>
                <w:szCs w:val="18"/>
              </w:rPr>
              <w:t> </w:t>
            </w:r>
            <w:r>
              <w:rPr>
                <w:rFonts w:ascii="宋体" w:hAnsi="宋体" w:cs="宋体" w:eastAsia="宋体" w:hint="default"/>
                <w:sz w:val="18"/>
                <w:szCs w:val="18"/>
              </w:rPr>
              <w:t>收益</w:t>
            </w:r>
            <w:r>
              <w:rPr>
                <w:rFonts w:ascii="宋体" w:hAnsi="宋体" w:cs="宋体" w:eastAsia="宋体" w:hint="default"/>
                <w:sz w:val="18"/>
                <w:szCs w:val="18"/>
              </w:rPr>
              <w:t> </w:t>
            </w:r>
          </w:p>
        </w:tc>
        <w:tc>
          <w:tcPr>
            <w:tcW w:w="12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2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563" w:right="383"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z w:val="18"/>
                <w:szCs w:val="18"/>
              </w:rPr>
              <w:t> </w:t>
            </w:r>
            <w:r>
              <w:rPr>
                <w:rFonts w:ascii="宋体" w:hAnsi="宋体" w:cs="宋体" w:eastAsia="宋体" w:hint="default"/>
                <w:sz w:val="18"/>
                <w:szCs w:val="18"/>
              </w:rPr>
              <w:t>利润</w:t>
            </w:r>
            <w:r>
              <w:rPr>
                <w:rFonts w:ascii="宋体" w:hAnsi="宋体" w:cs="宋体" w:eastAsia="宋体" w:hint="default"/>
                <w:sz w:val="18"/>
                <w:szCs w:val="18"/>
              </w:rPr>
              <w:t> </w:t>
            </w:r>
          </w:p>
        </w:tc>
        <w:tc>
          <w:tcPr>
            <w:tcW w:w="15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393" w:right="301" w:firstLine="88"/>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 </w:t>
            </w:r>
            <w:r>
              <w:rPr>
                <w:rFonts w:ascii="宋体" w:hAnsi="宋体" w:cs="宋体" w:eastAsia="宋体" w:hint="default"/>
                <w:sz w:val="18"/>
                <w:szCs w:val="18"/>
              </w:rPr>
              <w:t>权益合计</w:t>
            </w:r>
            <w:r>
              <w:rPr>
                <w:rFonts w:ascii="宋体" w:hAnsi="宋体" w:cs="宋体" w:eastAsia="宋体" w:hint="default"/>
                <w:sz w:val="18"/>
                <w:szCs w:val="18"/>
              </w:rPr>
              <w:t> </w:t>
            </w:r>
          </w:p>
        </w:tc>
      </w:tr>
      <w:tr>
        <w:trPr>
          <w:trHeight w:val="718" w:hRule="exact"/>
        </w:trPr>
        <w:tc>
          <w:tcPr>
            <w:tcW w:w="2396" w:type="dxa"/>
            <w:vMerge/>
            <w:tcBorders>
              <w:left w:val="single" w:sz="6" w:space="0" w:color="000000"/>
              <w:bottom w:val="single" w:sz="6" w:space="0" w:color="000000"/>
              <w:right w:val="single" w:sz="6" w:space="0" w:color="000000"/>
            </w:tcBorders>
          </w:tcPr>
          <w:p>
            <w:pPr/>
          </w:p>
        </w:tc>
        <w:tc>
          <w:tcPr>
            <w:tcW w:w="1549" w:type="dxa"/>
            <w:vMerge/>
            <w:tcBorders>
              <w:left w:val="single" w:sz="6" w:space="0" w:color="000000"/>
              <w:bottom w:val="single" w:sz="6" w:space="0" w:color="000000"/>
              <w:right w:val="single" w:sz="4" w:space="0" w:color="000000"/>
            </w:tcBorders>
          </w:tcPr>
          <w:p>
            <w:pPr/>
          </w:p>
        </w:tc>
        <w:tc>
          <w:tcPr>
            <w:tcW w:w="403"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05"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05" w:right="17"/>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17"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7" w:right="25"/>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9"/>
              <w:ind w:left="117"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507" w:type="dxa"/>
            <w:vMerge/>
            <w:tcBorders>
              <w:left w:val="single" w:sz="6" w:space="0" w:color="000000"/>
              <w:bottom w:val="single" w:sz="6" w:space="0" w:color="000000"/>
              <w:right w:val="single" w:sz="6" w:space="0" w:color="000000"/>
            </w:tcBorders>
          </w:tcPr>
          <w:p>
            <w:pPr/>
          </w:p>
        </w:tc>
        <w:tc>
          <w:tcPr>
            <w:tcW w:w="1066" w:type="dxa"/>
            <w:vMerge/>
            <w:tcBorders>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256" w:type="dxa"/>
            <w:vMerge/>
            <w:tcBorders>
              <w:left w:val="single" w:sz="6" w:space="0" w:color="000000"/>
              <w:bottom w:val="single" w:sz="6" w:space="0" w:color="000000"/>
              <w:right w:val="single" w:sz="6" w:space="0" w:color="000000"/>
            </w:tcBorders>
          </w:tcPr>
          <w:p>
            <w:pPr/>
          </w:p>
        </w:tc>
        <w:tc>
          <w:tcPr>
            <w:tcW w:w="1505"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6,036,724,000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14,699,598,194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270,820,000</w:t>
            </w: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7,977,788</w:t>
            </w: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673,990,310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3,662,468,791</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25,351,579,083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6,036,724,000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14,699,598,194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270,820,000</w:t>
            </w: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7,977,788</w:t>
            </w: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673,990,310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3,662,468,791</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25,351,579,083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7,168,274</w:t>
            </w: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-133,110,000</w:t>
            </w: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-7,977,788</w:t>
            </w: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312,984,004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2,816,856,034</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2,995,920,524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-133,110,000</w:t>
            </w: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3,129,840,038</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2,996,730,038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312,984,004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-312,984,004</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312,984,004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-312,984,004</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6840" w:h="11910" w:orient="landscape"/>
          <w:pgMar w:header="882" w:footer="975" w:top="1120" w:bottom="1160" w:left="1160" w:right="5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31" w:type="dxa"/>
        <w:tblLayout w:type="fixed"/>
        <w:tblCellMar>
          <w:top w:w="0" w:type="dxa"/>
          <w:left w:w="0" w:type="dxa"/>
          <w:bottom w:w="0" w:type="dxa"/>
          <w:right w:w="0" w:type="dxa"/>
        </w:tblCellMar>
        <w:tblLook w:val="01E0"/>
      </w:tblPr>
      <w:tblGrid>
        <w:gridCol w:w="2396"/>
        <w:gridCol w:w="1549"/>
        <w:gridCol w:w="403"/>
        <w:gridCol w:w="425"/>
        <w:gridCol w:w="427"/>
        <w:gridCol w:w="1507"/>
        <w:gridCol w:w="1066"/>
        <w:gridCol w:w="1476"/>
        <w:gridCol w:w="1272"/>
        <w:gridCol w:w="1256"/>
        <w:gridCol w:w="1505"/>
        <w:gridCol w:w="1522"/>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40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482" w:hRule="exact"/>
        </w:trPr>
        <w:tc>
          <w:tcPr>
            <w:tcW w:w="2396" w:type="dxa"/>
            <w:vMerge/>
            <w:tcBorders>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255" w:type="dxa"/>
            <w:gridSpan w:val="3"/>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86"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pacing w:val="-11"/>
                <w:sz w:val="18"/>
                <w:szCs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z w:val="18"/>
                <w:szCs w:val="18"/>
              </w:rPr>
              <w:t> </w:t>
            </w: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6"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z w:val="18"/>
                <w:szCs w:val="18"/>
              </w:rPr>
              <w:t> </w:t>
            </w: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z w:val="18"/>
                <w:szCs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93" w:right="0" w:firstLine="88"/>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 </w:t>
            </w: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权益合计</w:t>
            </w:r>
            <w:r>
              <w:rPr>
                <w:rFonts w:ascii="宋体" w:hAnsi="宋体" w:cs="宋体" w:eastAsia="宋体" w:hint="default"/>
                <w:sz w:val="18"/>
                <w:szCs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-7,977,788</w:t>
            </w: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-7,977,788</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32,257,850</w:t>
            </w: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32,257,850 </w:t>
            </w: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40,235,638</w:t>
            </w: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40,235,638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7,168,274</w:t>
            </w:r>
            <w:r>
              <w:rPr>
                <w:rFonts w:ascii="宋体"/>
                <w:sz w:val="18"/>
              </w:rPr>
              <w:t>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7,168,274</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54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6,036,724,000 </w:t>
            </w:r>
          </w:p>
        </w:tc>
        <w:tc>
          <w:tcPr>
            <w:tcW w:w="403"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14,706,766,468 </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137,710,000</w:t>
            </w:r>
            <w:r>
              <w:rPr>
                <w:rFonts w:ascii="宋体"/>
                <w:sz w:val="18"/>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986,974,314 </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6,479,324,825</w:t>
            </w:r>
            <w:r>
              <w:rPr>
                <w:rFonts w:ascii="宋体"/>
                <w:sz w:val="18"/>
              </w:rPr>
              <w:t> </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28,347,499,607 </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tabs>
          <w:tab w:pos="4130" w:val="left" w:leader="none"/>
          <w:tab w:pos="8854" w:val="left" w:leader="none"/>
        </w:tabs>
        <w:spacing w:line="269" w:lineRule="exact"/>
        <w:ind w:left="138" w:right="0"/>
        <w:jc w:val="left"/>
      </w:pPr>
      <w:r>
        <w:rPr>
          <w:spacing w:val="-1"/>
        </w:rPr>
        <w:t>法定代表人：李奉利</w:t>
        <w:tab/>
      </w:r>
      <w:r>
        <w:rPr>
          <w:spacing w:val="-2"/>
        </w:rPr>
        <w:t>主管会计工作负责人：樊西为</w:t>
        <w:tab/>
        <w:t>会计机构负责人：刘永霞</w:t>
      </w:r>
    </w:p>
    <w:p>
      <w:pPr>
        <w:pStyle w:val="Heading3"/>
        <w:spacing w:line="310" w:lineRule="exact"/>
        <w:ind w:left="138" w:right="0"/>
        <w:jc w:val="left"/>
        <w:rPr>
          <w:rFonts w:ascii="宋体" w:hAnsi="宋体" w:cs="宋体" w:eastAsia="宋体" w:hint="default"/>
        </w:rPr>
      </w:pPr>
      <w:r>
        <w:rPr>
          <w:rFonts w:ascii="宋体"/>
          <w:color w:val="FF0000"/>
        </w:rPr>
        <w:t> </w:t>
      </w:r>
      <w:r>
        <w:rPr>
          <w:rFonts w:ascii="宋体"/>
        </w:rPr>
      </w:r>
    </w:p>
    <w:p>
      <w:pPr>
        <w:spacing w:after="0" w:line="310" w:lineRule="exact"/>
        <w:jc w:val="left"/>
        <w:rPr>
          <w:rFonts w:ascii="宋体" w:hAnsi="宋体" w:cs="宋体" w:eastAsia="宋体" w:hint="default"/>
        </w:rPr>
        <w:sectPr>
          <w:pgSz w:w="16840" w:h="11910" w:orient="landscape"/>
          <w:pgMar w:header="882" w:footer="975" w:top="1120" w:bottom="1160" w:left="1280" w:right="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5"/>
        <w:tabs>
          <w:tab w:pos="558" w:val="left" w:leader="none"/>
        </w:tabs>
        <w:spacing w:line="290" w:lineRule="auto" w:before="36"/>
        <w:ind w:left="138" w:right="7390"/>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Heading3"/>
        <w:spacing w:line="240" w:lineRule="auto" w:before="8"/>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97" w:lineRule="auto" w:before="78"/>
        <w:ind w:left="138" w:right="109" w:firstLine="480"/>
        <w:jc w:val="both"/>
        <w:rPr>
          <w:rFonts w:ascii="Times New Roman" w:hAnsi="Times New Roman" w:cs="Times New Roman" w:eastAsia="Times New Roman" w:hint="default"/>
        </w:rPr>
      </w:pPr>
      <w:r>
        <w:rPr>
          <w:spacing w:val="-2"/>
        </w:rPr>
        <w:t>青岛港国际股份有限公司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是由青岛港</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青岛港集团</w:t>
      </w:r>
      <w:r>
        <w:rPr>
          <w:rFonts w:ascii="Times New Roman" w:hAnsi="Times New Roman" w:cs="Times New Roman" w:eastAsia="Times New Roman" w:hint="default"/>
          <w:spacing w:val="-2"/>
        </w:rPr>
        <w:t>”)</w:t>
      </w:r>
      <w:r>
        <w:rPr>
          <w:spacing w:val="-2"/>
        </w:rPr>
        <w:t>作为主</w:t>
      </w:r>
      <w:r>
        <w:rPr>
          <w:w w:val="100"/>
        </w:rPr>
        <w:t> </w:t>
      </w:r>
      <w:r>
        <w:rPr>
          <w:spacing w:val="-2"/>
        </w:rPr>
        <w:t>发起人，并联合码来仓储</w:t>
      </w:r>
      <w:r>
        <w:rPr>
          <w:rFonts w:ascii="Times New Roman" w:hAnsi="Times New Roman" w:cs="Times New Roman" w:eastAsia="Times New Roman" w:hint="default"/>
          <w:spacing w:val="-2"/>
        </w:rPr>
        <w:t>(</w:t>
      </w:r>
      <w:r>
        <w:rPr>
          <w:spacing w:val="-2"/>
        </w:rPr>
        <w:t>深圳</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码来仓储</w:t>
      </w:r>
      <w:r>
        <w:rPr>
          <w:rFonts w:ascii="Times New Roman" w:hAnsi="Times New Roman" w:cs="Times New Roman" w:eastAsia="Times New Roman" w:hint="default"/>
          <w:spacing w:val="-2"/>
        </w:rPr>
        <w:t>”)</w:t>
      </w:r>
      <w:r>
        <w:rPr>
          <w:spacing w:val="-2"/>
        </w:rPr>
        <w:t>、青岛远洋运输有限公司</w:t>
      </w:r>
      <w:r>
        <w:rPr>
          <w:rFonts w:ascii="Times New Roman" w:hAnsi="Times New Roman" w:cs="Times New Roman" w:eastAsia="Times New Roman" w:hint="default"/>
          <w:spacing w:val="-2"/>
        </w:rPr>
        <w:t>(“</w:t>
      </w:r>
      <w:r>
        <w:rPr>
          <w:spacing w:val="-2"/>
        </w:rPr>
        <w:t>青岛远洋</w:t>
      </w:r>
      <w:r>
        <w:rPr>
          <w:rFonts w:ascii="Times New Roman" w:hAnsi="Times New Roman" w:cs="Times New Roman" w:eastAsia="Times New Roman" w:hint="default"/>
          <w:spacing w:val="-2"/>
        </w:rPr>
        <w:t>”)(</w:t>
      </w:r>
      <w:r>
        <w:rPr>
          <w:spacing w:val="-2"/>
        </w:rPr>
        <w:t>现更名</w:t>
      </w:r>
      <w:r>
        <w:rPr>
          <w:spacing w:val="-16"/>
        </w:rPr>
        <w:t> </w:t>
      </w:r>
      <w:r>
        <w:rPr>
          <w:spacing w:val="-2"/>
        </w:rPr>
        <w:t>为中远海运</w:t>
      </w:r>
      <w:r>
        <w:rPr>
          <w:rFonts w:ascii="Times New Roman" w:hAnsi="Times New Roman" w:cs="Times New Roman" w:eastAsia="Times New Roman" w:hint="default"/>
          <w:spacing w:val="-2"/>
        </w:rPr>
        <w:t>(</w:t>
      </w:r>
      <w:r>
        <w:rPr>
          <w:spacing w:val="-2"/>
        </w:rPr>
        <w:t>青岛</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、中海码头发展有限公司</w:t>
      </w:r>
      <w:r>
        <w:rPr>
          <w:rFonts w:ascii="Times New Roman" w:hAnsi="Times New Roman" w:cs="Times New Roman" w:eastAsia="Times New Roman" w:hint="default"/>
          <w:spacing w:val="-2"/>
        </w:rPr>
        <w:t>(“</w:t>
      </w:r>
      <w:r>
        <w:rPr>
          <w:spacing w:val="-2"/>
        </w:rPr>
        <w:t>中海码头</w:t>
      </w:r>
      <w:r>
        <w:rPr>
          <w:rFonts w:ascii="Times New Roman" w:hAnsi="Times New Roman" w:cs="Times New Roman" w:eastAsia="Times New Roman" w:hint="default"/>
          <w:spacing w:val="-2"/>
        </w:rPr>
        <w:t>”)</w:t>
      </w:r>
      <w:r>
        <w:rPr>
          <w:spacing w:val="-2"/>
        </w:rPr>
        <w:t>、光大控股</w:t>
      </w:r>
      <w:r>
        <w:rPr>
          <w:rFonts w:ascii="Times New Roman" w:hAnsi="Times New Roman" w:cs="Times New Roman" w:eastAsia="Times New Roman" w:hint="default"/>
          <w:spacing w:val="-2"/>
        </w:rPr>
        <w:t>(</w:t>
      </w:r>
      <w:r>
        <w:rPr>
          <w:spacing w:val="-2"/>
        </w:rPr>
        <w:t>青岛</w:t>
      </w:r>
      <w:r>
        <w:rPr>
          <w:rFonts w:ascii="Times New Roman" w:hAnsi="Times New Roman" w:cs="Times New Roman" w:eastAsia="Times New Roman" w:hint="default"/>
          <w:spacing w:val="-2"/>
        </w:rPr>
        <w:t>)</w:t>
      </w:r>
      <w:r>
        <w:rPr>
          <w:spacing w:val="-2"/>
        </w:rPr>
        <w:t>融资租赁有限公</w:t>
      </w:r>
      <w:r>
        <w:rPr>
          <w:spacing w:val="-27"/>
        </w:rPr>
        <w:t> </w:t>
      </w:r>
      <w:r>
        <w:rPr>
          <w:spacing w:val="-27"/>
        </w:rPr>
      </w:r>
      <w:r>
        <w:rPr>
          <w:spacing w:val="-5"/>
        </w:rPr>
        <w:t>司</w:t>
      </w:r>
      <w:r>
        <w:rPr>
          <w:rFonts w:ascii="Times New Roman" w:hAnsi="Times New Roman" w:cs="Times New Roman" w:eastAsia="Times New Roman" w:hint="default"/>
          <w:spacing w:val="-5"/>
        </w:rPr>
        <w:t>(“</w:t>
      </w:r>
      <w:r>
        <w:rPr>
          <w:spacing w:val="-5"/>
        </w:rPr>
        <w:t>光控青岛</w:t>
      </w:r>
      <w:r>
        <w:rPr>
          <w:rFonts w:ascii="Times New Roman" w:hAnsi="Times New Roman" w:cs="Times New Roman" w:eastAsia="Times New Roman" w:hint="default"/>
          <w:spacing w:val="-5"/>
        </w:rPr>
        <w:t>”)</w:t>
      </w:r>
      <w:r>
        <w:rPr>
          <w:spacing w:val="-5"/>
        </w:rPr>
        <w:t>、青岛国际投资有限公司</w:t>
      </w:r>
      <w:r>
        <w:rPr>
          <w:rFonts w:ascii="Times New Roman" w:hAnsi="Times New Roman" w:cs="Times New Roman" w:eastAsia="Times New Roman" w:hint="default"/>
          <w:spacing w:val="-5"/>
        </w:rPr>
        <w:t>(“</w:t>
      </w:r>
      <w:r>
        <w:rPr>
          <w:spacing w:val="-5"/>
        </w:rPr>
        <w:t>青岛国投</w:t>
      </w:r>
      <w:r>
        <w:rPr>
          <w:rFonts w:ascii="Times New Roman" w:hAnsi="Times New Roman" w:cs="Times New Roman" w:eastAsia="Times New Roman" w:hint="default"/>
          <w:spacing w:val="-5"/>
        </w:rPr>
        <w:t>”)(</w:t>
      </w:r>
      <w:r>
        <w:rPr>
          <w:spacing w:val="-5"/>
        </w:rPr>
        <w:t>以下合称</w:t>
      </w:r>
      <w:r>
        <w:rPr>
          <w:rFonts w:ascii="Times New Roman" w:hAnsi="Times New Roman" w:cs="Times New Roman" w:eastAsia="Times New Roman" w:hint="default"/>
          <w:spacing w:val="-5"/>
        </w:rPr>
        <w:t>“</w:t>
      </w:r>
      <w:r>
        <w:rPr>
          <w:spacing w:val="-5"/>
        </w:rPr>
        <w:t>其他发起人</w:t>
      </w:r>
      <w:r>
        <w:rPr>
          <w:rFonts w:ascii="Times New Roman" w:hAnsi="Times New Roman" w:cs="Times New Roman" w:eastAsia="Times New Roman" w:hint="default"/>
          <w:spacing w:val="-5"/>
        </w:rPr>
        <w:t>”)</w:t>
      </w:r>
      <w:r>
        <w:rPr>
          <w:spacing w:val="-5"/>
        </w:rPr>
        <w:t>共同发起设立，于</w:t>
      </w:r>
      <w:r>
        <w:rPr>
          <w:spacing w:val="25"/>
        </w:rPr>
        <w:t> </w:t>
      </w:r>
      <w:r>
        <w:rPr>
          <w:rFonts w:ascii="Times New Roman" w:hAnsi="Times New Roman" w:cs="Times New Roman" w:eastAsia="Times New Roman" w:hint="default"/>
        </w:rPr>
        <w:t>2013</w:t>
      </w:r>
    </w:p>
    <w:p>
      <w:pPr>
        <w:pStyle w:val="BodyText"/>
        <w:spacing w:line="240" w:lineRule="auto" w:before="13"/>
        <w:ind w:left="138" w:right="0"/>
        <w:jc w:val="left"/>
      </w:pP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spacing w:val="-4"/>
        </w:rPr>
        <w:t>日</w:t>
      </w:r>
      <w:r>
        <w:rPr>
          <w:rFonts w:ascii="Times New Roman" w:hAnsi="Times New Roman" w:cs="Times New Roman" w:eastAsia="Times New Roman" w:hint="default"/>
          <w:spacing w:val="-4"/>
        </w:rPr>
        <w:t>(“</w:t>
      </w:r>
      <w:r>
        <w:rPr>
          <w:spacing w:val="-4"/>
        </w:rPr>
        <w:t>公司成立日</w:t>
      </w:r>
      <w:r>
        <w:rPr>
          <w:rFonts w:ascii="Times New Roman" w:hAnsi="Times New Roman" w:cs="Times New Roman" w:eastAsia="Times New Roman" w:hint="default"/>
          <w:spacing w:val="-4"/>
        </w:rPr>
        <w:t>”)</w:t>
      </w:r>
      <w:r>
        <w:rPr>
          <w:spacing w:val="-4"/>
        </w:rPr>
        <w:t>在中华人民共和国山东省青岛市注册成立的股份有限公司，现注册地址</w:t>
      </w:r>
    </w:p>
    <w:p>
      <w:pPr>
        <w:pStyle w:val="BodyText"/>
        <w:spacing w:line="297" w:lineRule="auto" w:before="69"/>
        <w:ind w:left="558" w:right="105" w:hanging="420"/>
        <w:jc w:val="left"/>
      </w:pPr>
      <w:r>
        <w:rPr/>
        <w:t>为青岛市黄岛区经八路</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号，总部地址为中华人民共和国山东省青岛市。</w:t>
      </w:r>
      <w:r>
        <w:rPr>
          <w:w w:val="100"/>
        </w:rPr>
        <w:t> </w:t>
      </w:r>
      <w:r>
        <w:rPr>
          <w:spacing w:val="-5"/>
          <w:w w:val="100"/>
        </w:rPr>
        <w:t>根据《青岛市政府国资委关于青岛港</w:t>
      </w:r>
      <w:r>
        <w:rPr>
          <w:rFonts w:ascii="Times New Roman" w:hAnsi="Times New Roman" w:cs="Times New Roman" w:eastAsia="Times New Roman" w:hint="default"/>
          <w:spacing w:val="-5"/>
          <w:w w:val="100"/>
        </w:rPr>
        <w:t>(</w:t>
      </w:r>
      <w:r>
        <w:rPr>
          <w:spacing w:val="-5"/>
          <w:w w:val="100"/>
        </w:rPr>
        <w:t>集团</w:t>
      </w:r>
      <w:r>
        <w:rPr>
          <w:rFonts w:ascii="Times New Roman" w:hAnsi="Times New Roman" w:cs="Times New Roman" w:eastAsia="Times New Roman" w:hint="default"/>
          <w:spacing w:val="-5"/>
          <w:w w:val="100"/>
        </w:rPr>
        <w:t>)</w:t>
      </w:r>
      <w:r>
        <w:rPr>
          <w:spacing w:val="-5"/>
          <w:w w:val="100"/>
        </w:rPr>
        <w:t>有限公司发起设立股份公司并</w:t>
      </w:r>
      <w:r>
        <w:rPr>
          <w:spacing w:val="-67"/>
          <w:w w:val="100"/>
        </w:rPr>
        <w:t> </w:t>
      </w:r>
      <w:r>
        <w:rPr>
          <w:rFonts w:ascii="Times New Roman" w:hAnsi="Times New Roman" w:cs="Times New Roman" w:eastAsia="Times New Roman" w:hint="default"/>
          <w:w w:val="100"/>
        </w:rPr>
        <w:t>H</w:t>
      </w:r>
      <w:r>
        <w:rPr>
          <w:rFonts w:ascii="Times New Roman" w:hAnsi="Times New Roman" w:cs="Times New Roman" w:eastAsia="Times New Roman" w:hint="default"/>
          <w:spacing w:val="-16"/>
          <w:w w:val="100"/>
        </w:rPr>
        <w:t> </w:t>
      </w:r>
      <w:r>
        <w:rPr>
          <w:spacing w:val="-1"/>
          <w:w w:val="100"/>
        </w:rPr>
        <w:t>股上市方案的批复》</w:t>
      </w:r>
    </w:p>
    <w:p>
      <w:pPr>
        <w:pStyle w:val="BodyText"/>
        <w:spacing w:line="297" w:lineRule="auto" w:before="14"/>
        <w:ind w:left="138" w:right="181"/>
        <w:jc w:val="left"/>
      </w:pPr>
      <w:r>
        <w:rPr>
          <w:rFonts w:ascii="Times New Roman" w:hAnsi="Times New Roman" w:cs="Times New Roman" w:eastAsia="Times New Roman" w:hint="default"/>
        </w:rPr>
        <w:t>(</w:t>
      </w:r>
      <w:r>
        <w:rPr/>
        <w:t>青国资规</w:t>
      </w:r>
      <w:r>
        <w:rPr>
          <w:rFonts w:ascii="Times New Roman" w:hAnsi="Times New Roman" w:cs="Times New Roman" w:eastAsia="Times New Roman" w:hint="default"/>
        </w:rPr>
        <w:t>[2013]29</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及重组方案，青岛港集团重组设立股份有限公司。本公司设立时总股本为</w:t>
      </w:r>
      <w:r>
        <w:rPr>
          <w:w w:val="100"/>
        </w:rPr>
        <w:t> </w:t>
      </w:r>
      <w:r>
        <w:rPr>
          <w:rFonts w:ascii="Times New Roman" w:hAnsi="Times New Roman" w:cs="Times New Roman" w:eastAsia="Times New Roman" w:hint="default"/>
        </w:rPr>
        <w:t>400,000</w:t>
      </w:r>
      <w:r>
        <w:rPr>
          <w:rFonts w:ascii="Times New Roman" w:hAnsi="Times New Roman" w:cs="Times New Roman" w:eastAsia="Times New Roman" w:hint="default"/>
          <w:spacing w:val="-2"/>
        </w:rPr>
        <w:t> </w:t>
      </w:r>
      <w:r>
        <w:rPr/>
        <w:t>万股，每股面值人民币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元，各发起人认缴的出资总额及折合股本的情况列示如下</w:t>
      </w:r>
      <w:r>
        <w:rPr>
          <w:rFonts w:ascii="Times New Roman" w:hAnsi="Times New Roman" w:cs="Times New Roman" w:eastAsia="Times New Roman" w:hint="default"/>
        </w:rPr>
        <w:t>(</w:t>
      </w:r>
      <w:r>
        <w:rPr/>
        <w:t>单位：</w:t>
      </w:r>
      <w:r>
        <w:rPr>
          <w:w w:val="100"/>
        </w:rPr>
        <w:t> </w:t>
      </w:r>
      <w:r>
        <w:rPr/>
        <w:t>万元</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1687"/>
        <w:gridCol w:w="2039"/>
        <w:gridCol w:w="1390"/>
        <w:gridCol w:w="1290"/>
        <w:gridCol w:w="1240"/>
        <w:gridCol w:w="1183"/>
      </w:tblGrid>
      <w:tr>
        <w:trPr>
          <w:trHeight w:val="305"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11" w:lineRule="exact"/>
              <w:ind w:left="406" w:right="0"/>
              <w:jc w:val="left"/>
              <w:rPr>
                <w:rFonts w:ascii="宋体" w:hAnsi="宋体" w:cs="宋体" w:eastAsia="宋体" w:hint="default"/>
                <w:sz w:val="21"/>
                <w:szCs w:val="21"/>
              </w:rPr>
            </w:pPr>
            <w:r>
              <w:rPr>
                <w:rFonts w:ascii="宋体" w:hAnsi="宋体" w:cs="宋体" w:eastAsia="宋体" w:hint="default"/>
                <w:sz w:val="21"/>
                <w:szCs w:val="21"/>
              </w:rPr>
              <w:t>发起人名称</w:t>
            </w:r>
          </w:p>
        </w:tc>
        <w:tc>
          <w:tcPr>
            <w:tcW w:w="2039" w:type="dxa"/>
            <w:tcBorders>
              <w:top w:val="nil" w:sz="6" w:space="0" w:color="auto"/>
              <w:left w:val="nil" w:sz="6" w:space="0" w:color="auto"/>
              <w:bottom w:val="nil" w:sz="6" w:space="0" w:color="auto"/>
              <w:right w:val="nil" w:sz="6" w:space="0" w:color="auto"/>
            </w:tcBorders>
          </w:tcPr>
          <w:p>
            <w:pPr>
              <w:pStyle w:val="TableParagraph"/>
              <w:spacing w:line="211" w:lineRule="exact"/>
              <w:ind w:left="658" w:right="0"/>
              <w:jc w:val="left"/>
              <w:rPr>
                <w:rFonts w:ascii="宋体" w:hAnsi="宋体" w:cs="宋体" w:eastAsia="宋体" w:hint="default"/>
                <w:sz w:val="21"/>
                <w:szCs w:val="21"/>
              </w:rPr>
            </w:pPr>
            <w:r>
              <w:rPr>
                <w:rFonts w:ascii="宋体" w:hAnsi="宋体" w:cs="宋体" w:eastAsia="宋体" w:hint="default"/>
                <w:sz w:val="21"/>
                <w:szCs w:val="21"/>
              </w:rPr>
              <w:t>出资方式</w:t>
            </w:r>
          </w:p>
        </w:tc>
        <w:tc>
          <w:tcPr>
            <w:tcW w:w="1390" w:type="dxa"/>
            <w:tcBorders>
              <w:top w:val="nil" w:sz="6" w:space="0" w:color="auto"/>
              <w:left w:val="nil" w:sz="6" w:space="0" w:color="auto"/>
              <w:bottom w:val="nil" w:sz="6" w:space="0" w:color="auto"/>
              <w:right w:val="nil" w:sz="6" w:space="0" w:color="auto"/>
            </w:tcBorders>
          </w:tcPr>
          <w:p>
            <w:pPr>
              <w:pStyle w:val="TableParagraph"/>
              <w:spacing w:line="245" w:lineRule="exact"/>
              <w:ind w:right="226"/>
              <w:jc w:val="right"/>
              <w:rPr>
                <w:rFonts w:ascii="宋体" w:hAnsi="宋体" w:cs="宋体" w:eastAsia="宋体" w:hint="default"/>
                <w:sz w:val="21"/>
                <w:szCs w:val="21"/>
              </w:rPr>
            </w:pPr>
            <w:r>
              <w:rPr>
                <w:rFonts w:ascii="宋体" w:hAnsi="宋体" w:cs="宋体" w:eastAsia="宋体" w:hint="default"/>
                <w:sz w:val="21"/>
                <w:szCs w:val="21"/>
              </w:rPr>
              <w:t>出资额</w:t>
            </w:r>
          </w:p>
        </w:tc>
        <w:tc>
          <w:tcPr>
            <w:tcW w:w="1290" w:type="dxa"/>
            <w:tcBorders>
              <w:top w:val="nil" w:sz="6" w:space="0" w:color="auto"/>
              <w:left w:val="nil" w:sz="6" w:space="0" w:color="auto"/>
              <w:bottom w:val="nil" w:sz="6" w:space="0" w:color="auto"/>
              <w:right w:val="nil" w:sz="6" w:space="0" w:color="auto"/>
            </w:tcBorders>
          </w:tcPr>
          <w:p>
            <w:pPr>
              <w:pStyle w:val="TableParagraph"/>
              <w:spacing w:line="211" w:lineRule="exact"/>
              <w:ind w:left="172" w:right="0"/>
              <w:jc w:val="left"/>
              <w:rPr>
                <w:rFonts w:ascii="宋体" w:hAnsi="宋体" w:cs="宋体" w:eastAsia="宋体" w:hint="default"/>
                <w:sz w:val="21"/>
                <w:szCs w:val="21"/>
              </w:rPr>
            </w:pPr>
            <w:r>
              <w:rPr>
                <w:rFonts w:ascii="宋体" w:hAnsi="宋体" w:cs="宋体" w:eastAsia="宋体" w:hint="default"/>
                <w:sz w:val="21"/>
                <w:szCs w:val="21"/>
              </w:rPr>
              <w:t>折合股本</w:t>
            </w:r>
          </w:p>
        </w:tc>
        <w:tc>
          <w:tcPr>
            <w:tcW w:w="1240" w:type="dxa"/>
            <w:tcBorders>
              <w:top w:val="nil" w:sz="6" w:space="0" w:color="auto"/>
              <w:left w:val="nil" w:sz="6" w:space="0" w:color="auto"/>
              <w:bottom w:val="nil" w:sz="6" w:space="0" w:color="auto"/>
              <w:right w:val="nil" w:sz="6" w:space="0" w:color="auto"/>
            </w:tcBorders>
          </w:tcPr>
          <w:p>
            <w:pPr>
              <w:pStyle w:val="TableParagraph"/>
              <w:spacing w:line="211" w:lineRule="exact"/>
              <w:ind w:left="1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83" w:type="dxa"/>
            <w:tcBorders>
              <w:top w:val="nil" w:sz="6" w:space="0" w:color="auto"/>
              <w:left w:val="nil" w:sz="6" w:space="0" w:color="auto"/>
              <w:bottom w:val="nil" w:sz="6" w:space="0" w:color="auto"/>
              <w:right w:val="nil" w:sz="6" w:space="0" w:color="auto"/>
            </w:tcBorders>
          </w:tcPr>
          <w:p>
            <w:pPr>
              <w:pStyle w:val="TableParagraph"/>
              <w:spacing w:line="21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r>
      <w:tr>
        <w:trPr>
          <w:trHeight w:val="350"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039" w:type="dxa"/>
            <w:tcBorders>
              <w:top w:val="nil" w:sz="6" w:space="0" w:color="auto"/>
              <w:left w:val="nil" w:sz="6" w:space="0" w:color="auto"/>
              <w:bottom w:val="nil" w:sz="6" w:space="0" w:color="auto"/>
              <w:right w:val="nil" w:sz="6" w:space="0" w:color="auto"/>
            </w:tcBorders>
          </w:tcPr>
          <w:p>
            <w:pPr>
              <w:pStyle w:val="TableParagraph"/>
              <w:spacing w:line="271" w:lineRule="exact"/>
              <w:ind w:left="226" w:right="0"/>
              <w:jc w:val="left"/>
              <w:rPr>
                <w:rFonts w:ascii="宋体" w:hAnsi="宋体" w:cs="宋体" w:eastAsia="宋体" w:hint="default"/>
                <w:sz w:val="21"/>
                <w:szCs w:val="21"/>
              </w:rPr>
            </w:pPr>
            <w:r>
              <w:rPr>
                <w:rFonts w:ascii="宋体" w:hAnsi="宋体" w:cs="宋体" w:eastAsia="宋体" w:hint="default"/>
                <w:sz w:val="21"/>
                <w:szCs w:val="21"/>
              </w:rPr>
              <w:t>注入资产及负债</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0"/>
              <w:jc w:val="right"/>
              <w:rPr>
                <w:rFonts w:ascii="Times New Roman" w:hAnsi="Times New Roman" w:cs="Times New Roman" w:eastAsia="Times New Roman" w:hint="default"/>
                <w:sz w:val="21"/>
                <w:szCs w:val="21"/>
              </w:rPr>
            </w:pPr>
            <w:r>
              <w:rPr>
                <w:rFonts w:ascii="Times New Roman"/>
                <w:spacing w:val="-1"/>
                <w:sz w:val="21"/>
              </w:rPr>
              <w:t>1,065,228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0"/>
              <w:jc w:val="right"/>
              <w:rPr>
                <w:rFonts w:ascii="Times New Roman" w:hAnsi="Times New Roman" w:cs="Times New Roman" w:eastAsia="Times New Roman" w:hint="default"/>
                <w:sz w:val="21"/>
                <w:szCs w:val="21"/>
              </w:rPr>
            </w:pPr>
            <w:r>
              <w:rPr>
                <w:rFonts w:ascii="Times New Roman"/>
                <w:spacing w:val="-1"/>
                <w:sz w:val="21"/>
              </w:rPr>
              <w:t>360,000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8"/>
              <w:jc w:val="right"/>
              <w:rPr>
                <w:rFonts w:ascii="Times New Roman" w:hAnsi="Times New Roman" w:cs="Times New Roman" w:eastAsia="Times New Roman" w:hint="default"/>
                <w:sz w:val="21"/>
                <w:szCs w:val="21"/>
              </w:rPr>
            </w:pPr>
            <w:r>
              <w:rPr>
                <w:rFonts w:ascii="Times New Roman"/>
                <w:spacing w:val="-1"/>
                <w:sz w:val="21"/>
              </w:rPr>
              <w:t>705,228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90.0%</w:t>
            </w:r>
          </w:p>
        </w:tc>
      </w:tr>
      <w:tr>
        <w:trPr>
          <w:trHeight w:val="364"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21"/>
                <w:szCs w:val="21"/>
              </w:rPr>
            </w:pPr>
            <w:r>
              <w:rPr>
                <w:rFonts w:ascii="宋体" w:hAnsi="宋体" w:cs="宋体" w:eastAsia="宋体" w:hint="default"/>
                <w:sz w:val="21"/>
                <w:szCs w:val="21"/>
              </w:rPr>
              <w:t>码来仓储</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Times New Roman" w:hAnsi="Times New Roman" w:cs="Times New Roman" w:eastAsia="Times New Roman" w:hint="default"/>
                <w:sz w:val="21"/>
                <w:szCs w:val="21"/>
              </w:rPr>
            </w:pPr>
            <w:r>
              <w:rPr>
                <w:rFonts w:ascii="Times New Roman"/>
                <w:sz w:val="21"/>
              </w:rPr>
              <w:t>33,141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0"/>
              <w:jc w:val="right"/>
              <w:rPr>
                <w:rFonts w:ascii="Times New Roman" w:hAnsi="Times New Roman" w:cs="Times New Roman" w:eastAsia="Times New Roman" w:hint="default"/>
                <w:sz w:val="21"/>
                <w:szCs w:val="21"/>
              </w:rPr>
            </w:pPr>
            <w:r>
              <w:rPr>
                <w:rFonts w:ascii="Times New Roman"/>
                <w:sz w:val="21"/>
              </w:rPr>
              <w:t>11,200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8"/>
              <w:jc w:val="right"/>
              <w:rPr>
                <w:rFonts w:ascii="Times New Roman" w:hAnsi="Times New Roman" w:cs="Times New Roman" w:eastAsia="Times New Roman" w:hint="default"/>
                <w:sz w:val="21"/>
                <w:szCs w:val="21"/>
              </w:rPr>
            </w:pPr>
            <w:r>
              <w:rPr>
                <w:rFonts w:ascii="Times New Roman"/>
                <w:sz w:val="21"/>
              </w:rPr>
              <w:t>21,941</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2.8%</w:t>
            </w:r>
          </w:p>
        </w:tc>
      </w:tr>
      <w:tr>
        <w:trPr>
          <w:trHeight w:val="367"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0" w:right="0"/>
              <w:jc w:val="left"/>
              <w:rPr>
                <w:rFonts w:ascii="宋体" w:hAnsi="宋体" w:cs="宋体" w:eastAsia="宋体" w:hint="default"/>
                <w:sz w:val="21"/>
                <w:szCs w:val="21"/>
              </w:rPr>
            </w:pPr>
            <w:r>
              <w:rPr>
                <w:rFonts w:ascii="宋体" w:hAnsi="宋体" w:cs="宋体" w:eastAsia="宋体" w:hint="default"/>
                <w:sz w:val="21"/>
                <w:szCs w:val="21"/>
              </w:rPr>
              <w:t>青岛远洋</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Times New Roman" w:hAnsi="Times New Roman" w:cs="Times New Roman" w:eastAsia="Times New Roman" w:hint="default"/>
                <w:sz w:val="21"/>
                <w:szCs w:val="21"/>
              </w:rPr>
            </w:pPr>
            <w:r>
              <w:rPr>
                <w:rFonts w:ascii="Times New Roman"/>
                <w:sz w:val="21"/>
              </w:rPr>
              <w:t>28,406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0"/>
              <w:jc w:val="right"/>
              <w:rPr>
                <w:rFonts w:ascii="Times New Roman" w:hAnsi="Times New Roman" w:cs="Times New Roman" w:eastAsia="Times New Roman" w:hint="default"/>
                <w:sz w:val="21"/>
                <w:szCs w:val="21"/>
              </w:rPr>
            </w:pPr>
            <w:r>
              <w:rPr>
                <w:rFonts w:ascii="Times New Roman"/>
                <w:sz w:val="21"/>
              </w:rPr>
              <w:t>9,600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8"/>
              <w:jc w:val="right"/>
              <w:rPr>
                <w:rFonts w:ascii="Times New Roman" w:hAnsi="Times New Roman" w:cs="Times New Roman" w:eastAsia="Times New Roman" w:hint="default"/>
                <w:sz w:val="21"/>
                <w:szCs w:val="21"/>
              </w:rPr>
            </w:pPr>
            <w:r>
              <w:rPr>
                <w:rFonts w:ascii="Times New Roman"/>
                <w:sz w:val="21"/>
              </w:rPr>
              <w:t>18,806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sz w:val="21"/>
              </w:rPr>
              <w:t>2.4%</w:t>
            </w:r>
          </w:p>
        </w:tc>
      </w:tr>
      <w:tr>
        <w:trPr>
          <w:trHeight w:val="370"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0" w:right="0"/>
              <w:jc w:val="left"/>
              <w:rPr>
                <w:rFonts w:ascii="宋体" w:hAnsi="宋体" w:cs="宋体" w:eastAsia="宋体" w:hint="default"/>
                <w:sz w:val="21"/>
                <w:szCs w:val="21"/>
              </w:rPr>
            </w:pPr>
            <w:r>
              <w:rPr>
                <w:rFonts w:ascii="宋体" w:hAnsi="宋体" w:cs="宋体" w:eastAsia="宋体" w:hint="default"/>
                <w:sz w:val="21"/>
                <w:szCs w:val="21"/>
              </w:rPr>
              <w:t>中海码头</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1"/>
              <w:jc w:val="right"/>
              <w:rPr>
                <w:rFonts w:ascii="Times New Roman" w:hAnsi="Times New Roman" w:cs="Times New Roman" w:eastAsia="Times New Roman" w:hint="default"/>
                <w:sz w:val="21"/>
                <w:szCs w:val="21"/>
              </w:rPr>
            </w:pPr>
            <w:r>
              <w:rPr>
                <w:rFonts w:ascii="Times New Roman"/>
                <w:sz w:val="21"/>
              </w:rPr>
              <w:t>28,406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0"/>
              <w:jc w:val="right"/>
              <w:rPr>
                <w:rFonts w:ascii="Times New Roman" w:hAnsi="Times New Roman" w:cs="Times New Roman" w:eastAsia="Times New Roman" w:hint="default"/>
                <w:sz w:val="21"/>
                <w:szCs w:val="21"/>
              </w:rPr>
            </w:pPr>
            <w:r>
              <w:rPr>
                <w:rFonts w:ascii="Times New Roman"/>
                <w:sz w:val="21"/>
              </w:rPr>
              <w:t>9,600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8"/>
              <w:jc w:val="right"/>
              <w:rPr>
                <w:rFonts w:ascii="Times New Roman" w:hAnsi="Times New Roman" w:cs="Times New Roman" w:eastAsia="Times New Roman" w:hint="default"/>
                <w:sz w:val="21"/>
                <w:szCs w:val="21"/>
              </w:rPr>
            </w:pPr>
            <w:r>
              <w:rPr>
                <w:rFonts w:ascii="Times New Roman"/>
                <w:sz w:val="21"/>
              </w:rPr>
              <w:t>18,806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sz w:val="21"/>
              </w:rPr>
              <w:t>2.4%</w:t>
            </w:r>
          </w:p>
        </w:tc>
      </w:tr>
      <w:tr>
        <w:trPr>
          <w:trHeight w:val="366"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0" w:right="0"/>
              <w:jc w:val="left"/>
              <w:rPr>
                <w:rFonts w:ascii="宋体" w:hAnsi="宋体" w:cs="宋体" w:eastAsia="宋体" w:hint="default"/>
                <w:sz w:val="21"/>
                <w:szCs w:val="21"/>
              </w:rPr>
            </w:pPr>
            <w:r>
              <w:rPr>
                <w:rFonts w:ascii="宋体" w:hAnsi="宋体" w:cs="宋体" w:eastAsia="宋体" w:hint="default"/>
                <w:sz w:val="21"/>
                <w:szCs w:val="21"/>
              </w:rPr>
              <w:t>光控青岛</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Times New Roman" w:hAnsi="Times New Roman" w:cs="Times New Roman" w:eastAsia="Times New Roman" w:hint="default"/>
                <w:sz w:val="21"/>
                <w:szCs w:val="21"/>
              </w:rPr>
            </w:pPr>
            <w:r>
              <w:rPr>
                <w:rFonts w:ascii="Times New Roman"/>
                <w:sz w:val="21"/>
              </w:rPr>
              <w:t>14,203</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0"/>
              <w:jc w:val="right"/>
              <w:rPr>
                <w:rFonts w:ascii="Times New Roman" w:hAnsi="Times New Roman" w:cs="Times New Roman" w:eastAsia="Times New Roman" w:hint="default"/>
                <w:sz w:val="21"/>
                <w:szCs w:val="21"/>
              </w:rPr>
            </w:pPr>
            <w:r>
              <w:rPr>
                <w:rFonts w:ascii="Times New Roman"/>
                <w:sz w:val="21"/>
              </w:rPr>
              <w:t>4,800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8"/>
              <w:jc w:val="right"/>
              <w:rPr>
                <w:rFonts w:ascii="Times New Roman" w:hAnsi="Times New Roman" w:cs="Times New Roman" w:eastAsia="Times New Roman" w:hint="default"/>
                <w:sz w:val="21"/>
                <w:szCs w:val="21"/>
              </w:rPr>
            </w:pPr>
            <w:r>
              <w:rPr>
                <w:rFonts w:ascii="Times New Roman"/>
                <w:sz w:val="21"/>
              </w:rPr>
              <w:t>9,403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sz w:val="21"/>
              </w:rPr>
              <w:t>1.2%</w:t>
            </w:r>
          </w:p>
        </w:tc>
      </w:tr>
      <w:tr>
        <w:trPr>
          <w:trHeight w:val="367"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21"/>
                <w:szCs w:val="21"/>
              </w:rPr>
            </w:pPr>
            <w:r>
              <w:rPr>
                <w:rFonts w:ascii="宋体" w:hAnsi="宋体" w:cs="宋体" w:eastAsia="宋体" w:hint="default"/>
                <w:sz w:val="21"/>
                <w:szCs w:val="21"/>
              </w:rPr>
              <w:t>青岛国投</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1"/>
              <w:jc w:val="right"/>
              <w:rPr>
                <w:rFonts w:ascii="Times New Roman" w:hAnsi="Times New Roman" w:cs="Times New Roman" w:eastAsia="Times New Roman" w:hint="default"/>
                <w:sz w:val="21"/>
                <w:szCs w:val="21"/>
              </w:rPr>
            </w:pPr>
            <w:r>
              <w:rPr>
                <w:rFonts w:ascii="Times New Roman"/>
                <w:sz w:val="21"/>
              </w:rPr>
              <w:t>14,203</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0"/>
              <w:jc w:val="right"/>
              <w:rPr>
                <w:rFonts w:ascii="Times New Roman" w:hAnsi="Times New Roman" w:cs="Times New Roman" w:eastAsia="Times New Roman" w:hint="default"/>
                <w:sz w:val="21"/>
                <w:szCs w:val="21"/>
              </w:rPr>
            </w:pPr>
            <w:r>
              <w:rPr>
                <w:rFonts w:ascii="Times New Roman"/>
                <w:sz w:val="21"/>
              </w:rPr>
              <w:t>4,800</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78"/>
              <w:jc w:val="right"/>
              <w:rPr>
                <w:rFonts w:ascii="Times New Roman" w:hAnsi="Times New Roman" w:cs="Times New Roman" w:eastAsia="Times New Roman" w:hint="default"/>
                <w:sz w:val="21"/>
                <w:szCs w:val="21"/>
              </w:rPr>
            </w:pPr>
            <w:r>
              <w:rPr>
                <w:rFonts w:ascii="Times New Roman"/>
                <w:sz w:val="21"/>
              </w:rPr>
              <w:t>9,403</w:t>
            </w: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1.2%</w:t>
            </w:r>
          </w:p>
        </w:tc>
      </w:tr>
      <w:tr>
        <w:trPr>
          <w:trHeight w:val="396"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9"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70"/>
              <w:jc w:val="right"/>
              <w:rPr>
                <w:rFonts w:ascii="Times New Roman" w:hAnsi="Times New Roman" w:cs="Times New Roman" w:eastAsia="Times New Roman" w:hint="default"/>
                <w:sz w:val="21"/>
                <w:szCs w:val="21"/>
              </w:rPr>
            </w:pPr>
            <w:r>
              <w:rPr>
                <w:rFonts w:ascii="Times New Roman"/>
                <w:spacing w:val="-1"/>
                <w:sz w:val="21"/>
              </w:rPr>
              <w:t>1,183,587</w:t>
            </w:r>
          </w:p>
        </w:tc>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40"/>
              <w:jc w:val="right"/>
              <w:rPr>
                <w:rFonts w:ascii="Times New Roman" w:hAnsi="Times New Roman" w:cs="Times New Roman" w:eastAsia="Times New Roman" w:hint="default"/>
                <w:sz w:val="21"/>
                <w:szCs w:val="21"/>
              </w:rPr>
            </w:pPr>
            <w:r>
              <w:rPr>
                <w:rFonts w:ascii="Times New Roman"/>
                <w:spacing w:val="-1"/>
                <w:sz w:val="21"/>
              </w:rPr>
              <w:t>400,000</w:t>
            </w: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78"/>
              <w:jc w:val="right"/>
              <w:rPr>
                <w:rFonts w:ascii="Times New Roman" w:hAnsi="Times New Roman" w:cs="Times New Roman" w:eastAsia="Times New Roman" w:hint="default"/>
                <w:sz w:val="21"/>
                <w:szCs w:val="21"/>
              </w:rPr>
            </w:pPr>
            <w:r>
              <w:rPr>
                <w:rFonts w:ascii="Times New Roman"/>
                <w:spacing w:val="-1"/>
                <w:sz w:val="21"/>
              </w:rPr>
              <w:t>783,587</w:t>
            </w:r>
          </w:p>
        </w:tc>
        <w:tc>
          <w:tcPr>
            <w:tcW w:w="118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1"/>
        <w:rPr>
          <w:rFonts w:ascii="宋体" w:hAnsi="宋体" w:cs="宋体" w:eastAsia="宋体" w:hint="default"/>
          <w:sz w:val="18"/>
          <w:szCs w:val="18"/>
        </w:rPr>
      </w:pPr>
    </w:p>
    <w:p>
      <w:pPr>
        <w:pStyle w:val="BodyText"/>
        <w:spacing w:line="240" w:lineRule="auto" w:before="36"/>
        <w:ind w:left="558" w:right="0"/>
        <w:jc w:val="left"/>
      </w:pPr>
      <w:r>
        <w:rPr/>
        <w:t>本公司于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6 </w:t>
      </w:r>
      <w:r>
        <w:rPr/>
        <w:t>日完成了向境外投资者首次发行</w:t>
      </w:r>
      <w:r>
        <w:rPr>
          <w:spacing w:val="-55"/>
        </w:rPr>
        <w:t> </w:t>
      </w:r>
      <w:r>
        <w:rPr>
          <w:rFonts w:ascii="Times New Roman" w:hAnsi="Times New Roman" w:cs="Times New Roman" w:eastAsia="Times New Roman" w:hint="default"/>
        </w:rPr>
        <w:t>705,800,000</w:t>
      </w:r>
      <w:r>
        <w:rPr>
          <w:rFonts w:ascii="Times New Roman" w:hAnsi="Times New Roman" w:cs="Times New Roman" w:eastAsia="Times New Roman" w:hint="default"/>
          <w:spacing w:val="-3"/>
        </w:rPr>
        <w:t> </w:t>
      </w:r>
      <w:r>
        <w:rPr/>
        <w:t>股境外上市外资股</w:t>
      </w:r>
      <w:r>
        <w:rPr>
          <w:spacing w:val="-55"/>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spacing w:val="-3"/>
        </w:rPr>
        <w:t>股股</w:t>
      </w:r>
      <w:r>
        <w:rPr/>
      </w:r>
    </w:p>
    <w:p>
      <w:pPr>
        <w:pStyle w:val="BodyText"/>
        <w:spacing w:line="240" w:lineRule="auto" w:before="69"/>
        <w:ind w:left="138" w:right="0"/>
        <w:jc w:val="left"/>
      </w:pPr>
      <w:r>
        <w:rPr/>
        <w:t>票的工作，每股发行价为港币</w:t>
      </w:r>
      <w:r>
        <w:rPr>
          <w:spacing w:val="-55"/>
        </w:rPr>
        <w:t> </w:t>
      </w:r>
      <w:r>
        <w:rPr>
          <w:rFonts w:ascii="Times New Roman" w:hAnsi="Times New Roman" w:cs="Times New Roman" w:eastAsia="Times New Roman" w:hint="default"/>
        </w:rPr>
        <w:t>3.76</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约折合人民币</w:t>
      </w:r>
      <w:r>
        <w:rPr>
          <w:spacing w:val="-55"/>
        </w:rPr>
        <w:t> </w:t>
      </w:r>
      <w:r>
        <w:rPr>
          <w:rFonts w:ascii="Times New Roman" w:hAnsi="Times New Roman" w:cs="Times New Roman" w:eastAsia="Times New Roman" w:hint="default"/>
        </w:rPr>
        <w:t>2.98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，募集资金扣除资本化的上市费用后的</w:t>
      </w:r>
    </w:p>
    <w:p>
      <w:pPr>
        <w:pStyle w:val="BodyText"/>
        <w:spacing w:line="240" w:lineRule="auto" w:before="69"/>
        <w:ind w:left="138" w:right="0"/>
        <w:jc w:val="left"/>
      </w:pPr>
      <w:r>
        <w:rPr/>
        <w:t>净额为</w:t>
      </w:r>
      <w:r>
        <w:rPr>
          <w:spacing w:val="-55"/>
        </w:rPr>
        <w:t> </w:t>
      </w:r>
      <w:r>
        <w:rPr>
          <w:rFonts w:ascii="Times New Roman" w:hAnsi="Times New Roman" w:cs="Times New Roman" w:eastAsia="Times New Roman" w:hint="default"/>
        </w:rPr>
        <w:t>1,995,921,171</w:t>
      </w:r>
      <w:r>
        <w:rPr>
          <w:rFonts w:ascii="Times New Roman" w:hAnsi="Times New Roman" w:cs="Times New Roman" w:eastAsia="Times New Roman" w:hint="default"/>
          <w:spacing w:val="-2"/>
        </w:rPr>
        <w:t> </w:t>
      </w:r>
      <w:r>
        <w:rPr/>
        <w:t>元，其中股本</w:t>
      </w:r>
      <w:r>
        <w:rPr>
          <w:spacing w:val="-54"/>
        </w:rPr>
        <w:t> </w:t>
      </w:r>
      <w:r>
        <w:rPr>
          <w:rFonts w:ascii="Times New Roman" w:hAnsi="Times New Roman" w:cs="Times New Roman" w:eastAsia="Times New Roman" w:hint="default"/>
        </w:rPr>
        <w:t>705,800,000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股本数量</w:t>
      </w:r>
      <w:r>
        <w:rPr>
          <w:spacing w:val="-54"/>
        </w:rPr>
        <w:t> </w:t>
      </w:r>
      <w:r>
        <w:rPr>
          <w:rFonts w:ascii="Times New Roman" w:hAnsi="Times New Roman" w:cs="Times New Roman" w:eastAsia="Times New Roman" w:hint="default"/>
        </w:rPr>
        <w:t>705,800,000</w:t>
      </w:r>
      <w:r>
        <w:rPr>
          <w:rFonts w:ascii="Times New Roman" w:hAnsi="Times New Roman" w:cs="Times New Roman" w:eastAsia="Times New Roman" w:hint="default"/>
          <w:spacing w:val="-2"/>
        </w:rPr>
        <w:t> </w:t>
      </w:r>
      <w:r>
        <w:rPr/>
        <w:t>股，每股面值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，资本</w:t>
      </w:r>
    </w:p>
    <w:p>
      <w:pPr>
        <w:pStyle w:val="BodyText"/>
        <w:spacing w:line="240" w:lineRule="auto" w:before="69"/>
        <w:ind w:left="138" w:right="192"/>
        <w:jc w:val="left"/>
      </w:pPr>
      <w:r>
        <w:rPr/>
        <w:t>公积</w:t>
      </w:r>
      <w:r>
        <w:rPr>
          <w:spacing w:val="-52"/>
        </w:rPr>
        <w:t> </w:t>
      </w:r>
      <w:r>
        <w:rPr>
          <w:rFonts w:ascii="Times New Roman" w:hAnsi="Times New Roman" w:cs="Times New Roman" w:eastAsia="Times New Roman" w:hint="default"/>
        </w:rPr>
        <w:t>1,290,121,171</w:t>
      </w:r>
      <w:r>
        <w:rPr>
          <w:rFonts w:ascii="Times New Roman" w:hAnsi="Times New Roman" w:cs="Times New Roman" w:eastAsia="Times New Roman" w:hint="default"/>
          <w:spacing w:val="-2"/>
        </w:rPr>
        <w:t> </w:t>
      </w:r>
      <w:r>
        <w:rPr/>
        <w:t>元。</w:t>
      </w:r>
    </w:p>
    <w:p>
      <w:pPr>
        <w:pStyle w:val="BodyText"/>
        <w:spacing w:line="240" w:lineRule="auto" w:before="69"/>
        <w:ind w:left="558" w:right="0"/>
        <w:jc w:val="left"/>
      </w:pPr>
      <w:r>
        <w:rPr/>
        <w:t>本公司于</w:t>
      </w:r>
      <w:r>
        <w:rPr>
          <w:spacing w:val="-50"/>
        </w:rPr>
        <w:t> </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rPr>
        <w:t>7 </w:t>
      </w:r>
      <w:r>
        <w:rPr/>
        <w:t>月</w:t>
      </w:r>
      <w:r>
        <w:rPr>
          <w:spacing w:val="-49"/>
        </w:rPr>
        <w:t> </w:t>
      </w:r>
      <w:r>
        <w:rPr>
          <w:rFonts w:ascii="Times New Roman" w:hAnsi="Times New Roman" w:cs="Times New Roman" w:eastAsia="Times New Roman" w:hint="default"/>
        </w:rPr>
        <w:t>2 </w:t>
      </w:r>
      <w:r>
        <w:rPr>
          <w:spacing w:val="-6"/>
        </w:rPr>
        <w:t>日行使超额配售选择权，完成了增发</w:t>
      </w:r>
      <w:r>
        <w:rPr>
          <w:spacing w:val="-50"/>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3"/>
        </w:rPr>
        <w:t> </w:t>
      </w:r>
      <w:r>
        <w:rPr/>
        <w:t>股的境外上市的外资股</w:t>
      </w:r>
    </w:p>
    <w:p>
      <w:pPr>
        <w:pStyle w:val="BodyText"/>
        <w:spacing w:line="240" w:lineRule="auto" w:before="69"/>
        <w:ind w:left="138" w:right="0"/>
        <w:jc w:val="left"/>
        <w:rPr>
          <w:rFonts w:ascii="Times New Roman" w:hAnsi="Times New Roman" w:cs="Times New Roman" w:eastAsia="Times New Roman" w:hint="default"/>
        </w:rPr>
      </w:pPr>
      <w:r>
        <w:rPr>
          <w:rFonts w:ascii="Times New Roman" w:hAnsi="Times New Roman" w:cs="Times New Roman" w:eastAsia="Times New Roman" w:hint="default"/>
        </w:rPr>
        <w:t>H</w:t>
      </w:r>
      <w:r>
        <w:rPr>
          <w:rFonts w:ascii="Times New Roman" w:hAnsi="Times New Roman" w:cs="Times New Roman" w:eastAsia="Times New Roman" w:hint="default"/>
          <w:spacing w:val="9"/>
        </w:rPr>
        <w:t> </w:t>
      </w:r>
      <w:r>
        <w:rPr>
          <w:spacing w:val="-4"/>
        </w:rPr>
        <w:t>股股票的工作，每股发行价为港币</w:t>
      </w:r>
      <w:r>
        <w:rPr>
          <w:spacing w:val="-45"/>
        </w:rPr>
        <w:t> </w:t>
      </w:r>
      <w:r>
        <w:rPr>
          <w:rFonts w:ascii="Times New Roman" w:hAnsi="Times New Roman" w:cs="Times New Roman" w:eastAsia="Times New Roman" w:hint="default"/>
        </w:rPr>
        <w:t>3.76</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约折合人民币</w:t>
      </w:r>
      <w:r>
        <w:rPr>
          <w:spacing w:val="-45"/>
        </w:rPr>
        <w:t> </w:t>
      </w:r>
      <w:r>
        <w:rPr>
          <w:rFonts w:ascii="Times New Roman" w:hAnsi="Times New Roman" w:cs="Times New Roman" w:eastAsia="Times New Roman" w:hint="default"/>
        </w:rPr>
        <w:t>2.99</w:t>
      </w:r>
      <w:r>
        <w:rPr>
          <w:rFonts w:ascii="Times New Roman" w:hAnsi="Times New Roman" w:cs="Times New Roman" w:eastAsia="Times New Roman" w:hint="default"/>
          <w:spacing w:val="8"/>
        </w:rPr>
        <w:t> </w:t>
      </w:r>
      <w:r>
        <w:rPr>
          <w:spacing w:val="-4"/>
        </w:rPr>
        <w:t>元</w:t>
      </w:r>
      <w:r>
        <w:rPr>
          <w:rFonts w:ascii="Times New Roman" w:hAnsi="Times New Roman" w:cs="Times New Roman" w:eastAsia="Times New Roman" w:hint="default"/>
          <w:spacing w:val="-4"/>
        </w:rPr>
        <w:t>)</w:t>
      </w:r>
      <w:r>
        <w:rPr>
          <w:spacing w:val="-4"/>
        </w:rPr>
        <w:t>。超额配售募集资金</w:t>
      </w:r>
      <w:r>
        <w:rPr>
          <w:spacing w:val="-44"/>
        </w:rPr>
        <w:t> </w:t>
      </w:r>
      <w:r>
        <w:rPr>
          <w:rFonts w:ascii="Times New Roman" w:hAnsi="Times New Roman" w:cs="Times New Roman" w:eastAsia="Times New Roman" w:hint="default"/>
        </w:rPr>
        <w:t>216,167,727</w:t>
      </w:r>
    </w:p>
    <w:p>
      <w:pPr>
        <w:pStyle w:val="BodyText"/>
        <w:spacing w:line="297" w:lineRule="auto" w:before="69"/>
        <w:ind w:left="558" w:right="0" w:hanging="420"/>
        <w:jc w:val="left"/>
      </w:pPr>
      <w:r>
        <w:rPr/>
        <w:t>元，其中股本</w:t>
      </w:r>
      <w:r>
        <w:rPr>
          <w:spacing w:val="-53"/>
        </w:rPr>
        <w:t> </w:t>
      </w:r>
      <w:r>
        <w:rPr>
          <w:rFonts w:ascii="Times New Roman" w:hAnsi="Times New Roman" w:cs="Times New Roman" w:eastAsia="Times New Roman" w:hint="default"/>
        </w:rPr>
        <w:t>72,404,000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股本数量</w:t>
      </w:r>
      <w:r>
        <w:rPr>
          <w:spacing w:val="-55"/>
        </w:rPr>
        <w:t> </w:t>
      </w:r>
      <w:r>
        <w:rPr>
          <w:rFonts w:ascii="Times New Roman" w:hAnsi="Times New Roman" w:cs="Times New Roman" w:eastAsia="Times New Roman" w:hint="default"/>
        </w:rPr>
        <w:t>72,404,000 </w:t>
      </w:r>
      <w:r>
        <w:rPr/>
        <w:t>股，每股面值</w:t>
      </w:r>
      <w:r>
        <w:rPr>
          <w:spacing w:val="-53"/>
        </w:rPr>
        <w:t> </w:t>
      </w:r>
      <w:r>
        <w:rPr>
          <w:rFonts w:ascii="Times New Roman" w:hAnsi="Times New Roman" w:cs="Times New Roman" w:eastAsia="Times New Roman" w:hint="default"/>
        </w:rPr>
        <w:t>1 </w:t>
      </w:r>
      <w:r>
        <w:rPr/>
        <w:t>元</w:t>
      </w:r>
      <w:r>
        <w:rPr>
          <w:rFonts w:ascii="Times New Roman" w:hAnsi="Times New Roman" w:cs="Times New Roman" w:eastAsia="Times New Roman" w:hint="default"/>
        </w:rPr>
        <w:t>)</w:t>
      </w:r>
      <w:r>
        <w:rPr/>
        <w:t>，资本公积</w:t>
      </w:r>
      <w:r>
        <w:rPr>
          <w:spacing w:val="-53"/>
        </w:rPr>
        <w:t> </w:t>
      </w:r>
      <w:r>
        <w:rPr>
          <w:rFonts w:ascii="Times New Roman" w:hAnsi="Times New Roman" w:cs="Times New Roman" w:eastAsia="Times New Roman" w:hint="default"/>
        </w:rPr>
        <w:t>143,763,727</w:t>
      </w:r>
      <w:r>
        <w:rPr>
          <w:rFonts w:ascii="Times New Roman" w:hAnsi="Times New Roman" w:cs="Times New Roman" w:eastAsia="Times New Roman" w:hint="default"/>
          <w:spacing w:val="-2"/>
        </w:rPr>
        <w:t> </w:t>
      </w:r>
      <w:r>
        <w:rPr/>
        <w:t>元。</w:t>
      </w:r>
      <w:r>
        <w:rPr>
          <w:w w:val="100"/>
        </w:rPr>
        <w:t> </w:t>
      </w:r>
      <w:r>
        <w:rPr>
          <w:spacing w:val="-10"/>
          <w:w w:val="100"/>
        </w:rPr>
        <w:t>此外，青岛港集团所持有的</w:t>
      </w:r>
      <w:r>
        <w:rPr>
          <w:spacing w:val="-68"/>
          <w:w w:val="100"/>
        </w:rPr>
        <w:t> </w:t>
      </w:r>
      <w:r>
        <w:rPr>
          <w:rFonts w:ascii="Times New Roman" w:hAnsi="Times New Roman" w:cs="Times New Roman" w:eastAsia="Times New Roman" w:hint="default"/>
          <w:spacing w:val="-1"/>
          <w:w w:val="100"/>
        </w:rPr>
        <w:t>77,821,000</w:t>
      </w:r>
      <w:r>
        <w:rPr>
          <w:rFonts w:ascii="Times New Roman" w:hAnsi="Times New Roman" w:cs="Times New Roman" w:eastAsia="Times New Roman" w:hint="default"/>
          <w:spacing w:val="-14"/>
          <w:w w:val="100"/>
        </w:rPr>
        <w:t> </w:t>
      </w:r>
      <w:r>
        <w:rPr>
          <w:spacing w:val="-2"/>
          <w:w w:val="100"/>
        </w:rPr>
        <w:t>股国有股</w:t>
      </w:r>
      <w:r>
        <w:rPr>
          <w:rFonts w:ascii="Times New Roman" w:hAnsi="Times New Roman" w:cs="Times New Roman" w:eastAsia="Times New Roman" w:hint="default"/>
          <w:spacing w:val="-2"/>
          <w:w w:val="100"/>
        </w:rPr>
        <w:t>(</w:t>
      </w:r>
      <w:r>
        <w:rPr>
          <w:spacing w:val="-2"/>
          <w:w w:val="100"/>
        </w:rPr>
        <w:t>相当于已发行</w:t>
      </w:r>
      <w:r>
        <w:rPr>
          <w:spacing w:val="-68"/>
          <w:w w:val="100"/>
        </w:rPr>
        <w:t> </w:t>
      </w:r>
      <w:r>
        <w:rPr>
          <w:rFonts w:ascii="Times New Roman" w:hAnsi="Times New Roman" w:cs="Times New Roman" w:eastAsia="Times New Roman" w:hint="default"/>
          <w:w w:val="100"/>
        </w:rPr>
        <w:t>H</w:t>
      </w:r>
      <w:r>
        <w:rPr>
          <w:rFonts w:ascii="Times New Roman" w:hAnsi="Times New Roman" w:cs="Times New Roman" w:eastAsia="Times New Roman" w:hint="default"/>
          <w:spacing w:val="-15"/>
          <w:w w:val="100"/>
        </w:rPr>
        <w:t> </w:t>
      </w:r>
      <w:r>
        <w:rPr>
          <w:spacing w:val="-2"/>
          <w:w w:val="100"/>
        </w:rPr>
        <w:t>股股数的</w:t>
      </w:r>
      <w:r>
        <w:rPr>
          <w:spacing w:val="-66"/>
          <w:w w:val="100"/>
        </w:rPr>
        <w:t> </w:t>
      </w:r>
      <w:r>
        <w:rPr>
          <w:rFonts w:ascii="Times New Roman" w:hAnsi="Times New Roman" w:cs="Times New Roman" w:eastAsia="Times New Roman" w:hint="default"/>
          <w:spacing w:val="-1"/>
          <w:w w:val="100"/>
        </w:rPr>
        <w:t>10%)</w:t>
      </w:r>
      <w:r>
        <w:rPr>
          <w:spacing w:val="-1"/>
          <w:w w:val="100"/>
        </w:rPr>
        <w:t>被转换为</w:t>
      </w:r>
      <w:r>
        <w:rPr>
          <w:spacing w:val="-68"/>
          <w:w w:val="100"/>
        </w:rPr>
        <w:t> </w:t>
      </w:r>
      <w:r>
        <w:rPr>
          <w:rFonts w:ascii="Times New Roman" w:hAnsi="Times New Roman" w:cs="Times New Roman" w:eastAsia="Times New Roman" w:hint="default"/>
          <w:w w:val="100"/>
        </w:rPr>
        <w:t>H</w:t>
      </w:r>
      <w:r>
        <w:rPr>
          <w:rFonts w:ascii="Times New Roman" w:hAnsi="Times New Roman" w:cs="Times New Roman" w:eastAsia="Times New Roman" w:hint="default"/>
          <w:spacing w:val="-15"/>
          <w:w w:val="100"/>
        </w:rPr>
        <w:t> </w:t>
      </w:r>
      <w:r>
        <w:rPr>
          <w:spacing w:val="-3"/>
          <w:w w:val="100"/>
        </w:rPr>
        <w:t>股，</w:t>
      </w:r>
      <w:r>
        <w:rPr>
          <w:w w:val="100"/>
        </w:rPr>
      </w:r>
    </w:p>
    <w:p>
      <w:pPr>
        <w:pStyle w:val="BodyText"/>
        <w:spacing w:line="314" w:lineRule="auto" w:before="13"/>
        <w:ind w:left="558" w:right="0" w:hanging="420"/>
        <w:jc w:val="left"/>
      </w:pPr>
      <w:r>
        <w:rPr/>
        <w:t>并转移至中国全国社会保障基金理事会，作为首次公开发售及超额配售的一部分予以出售。</w:t>
      </w:r>
      <w:r>
        <w:rPr>
          <w:w w:val="100"/>
        </w:rPr>
        <w:t> </w:t>
      </w:r>
      <w:r>
        <w:rPr/>
        <w:t>本公司于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日完成配售新</w:t>
      </w:r>
      <w:r>
        <w:rPr>
          <w:spacing w:val="-53"/>
        </w:rPr>
        <w:t> </w:t>
      </w: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w:t>
      </w:r>
      <w:r>
        <w:rPr>
          <w:spacing w:val="-51"/>
        </w:rPr>
        <w:t> </w:t>
      </w:r>
      <w:r>
        <w:rPr>
          <w:rFonts w:ascii="Times New Roman" w:hAnsi="Times New Roman" w:cs="Times New Roman" w:eastAsia="Times New Roman" w:hint="default"/>
        </w:rPr>
        <w:t>243,000,000 </w:t>
      </w:r>
      <w:r>
        <w:rPr>
          <w:spacing w:val="-4"/>
        </w:rPr>
        <w:t>股，配售价格为每股港币</w:t>
      </w:r>
      <w:r>
        <w:rPr>
          <w:spacing w:val="-50"/>
        </w:rPr>
        <w:t> </w:t>
      </w:r>
      <w:r>
        <w:rPr>
          <w:rFonts w:ascii="Times New Roman" w:hAnsi="Times New Roman" w:cs="Times New Roman" w:eastAsia="Times New Roman" w:hint="default"/>
        </w:rPr>
        <w:t>4.32</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约折</w:t>
      </w:r>
    </w:p>
    <w:p>
      <w:pPr>
        <w:pStyle w:val="BodyText"/>
        <w:spacing w:line="288" w:lineRule="exact"/>
        <w:ind w:left="138" w:right="192"/>
        <w:jc w:val="left"/>
      </w:pPr>
      <w:r>
        <w:rPr/>
        <w:t>合人民币</w:t>
      </w:r>
      <w:r>
        <w:rPr>
          <w:spacing w:val="-53"/>
        </w:rPr>
        <w:t> </w:t>
      </w:r>
      <w:r>
        <w:rPr>
          <w:rFonts w:ascii="Times New Roman" w:hAnsi="Times New Roman" w:cs="Times New Roman" w:eastAsia="Times New Roman" w:hint="default"/>
        </w:rPr>
        <w:t>3.81</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，配售完成后本公司总股本增至</w:t>
      </w:r>
      <w:r>
        <w:rPr>
          <w:spacing w:val="-53"/>
        </w:rPr>
        <w:t> </w:t>
      </w:r>
      <w:r>
        <w:rPr>
          <w:rFonts w:ascii="Times New Roman" w:hAnsi="Times New Roman" w:cs="Times New Roman" w:eastAsia="Times New Roman" w:hint="default"/>
        </w:rPr>
        <w:t>5,021,204,000</w:t>
      </w:r>
      <w:r>
        <w:rPr>
          <w:rFonts w:ascii="Times New Roman" w:hAnsi="Times New Roman" w:cs="Times New Roman" w:eastAsia="Times New Roman" w:hint="default"/>
          <w:spacing w:val="-2"/>
        </w:rPr>
        <w:t> </w:t>
      </w:r>
      <w:r>
        <w:rPr/>
        <w:t>股。</w:t>
      </w:r>
    </w:p>
    <w:p>
      <w:pPr>
        <w:pStyle w:val="BodyText"/>
        <w:spacing w:line="240" w:lineRule="auto" w:before="69"/>
        <w:ind w:left="546" w:right="443"/>
        <w:jc w:val="center"/>
      </w:pPr>
      <w:r>
        <w:rPr/>
        <w:t>本公司于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日向上海中海码头发展有限公司</w:t>
      </w:r>
      <w:r>
        <w:rPr>
          <w:rFonts w:ascii="Times New Roman" w:hAnsi="Times New Roman" w:cs="Times New Roman" w:eastAsia="Times New Roman" w:hint="default"/>
        </w:rPr>
        <w:t>(“</w:t>
      </w:r>
      <w:r>
        <w:rPr/>
        <w:t>上海中海码头</w:t>
      </w:r>
      <w:r>
        <w:rPr>
          <w:rFonts w:ascii="Times New Roman" w:hAnsi="Times New Roman" w:cs="Times New Roman" w:eastAsia="Times New Roman" w:hint="default"/>
        </w:rPr>
        <w:t>”)</w:t>
      </w:r>
      <w:r>
        <w:rPr/>
        <w:t>定向增发内资股</w:t>
      </w:r>
    </w:p>
    <w:p>
      <w:pPr>
        <w:pStyle w:val="BodyText"/>
        <w:spacing w:line="240" w:lineRule="auto" w:before="69"/>
        <w:ind w:left="138" w:right="192"/>
        <w:jc w:val="left"/>
      </w:pPr>
      <w:r>
        <w:rPr>
          <w:rFonts w:ascii="Times New Roman" w:hAnsi="Times New Roman" w:cs="Times New Roman" w:eastAsia="Times New Roman" w:hint="default"/>
        </w:rPr>
        <w:t>1,015,520,000</w:t>
      </w:r>
      <w:r>
        <w:rPr>
          <w:rFonts w:ascii="Times New Roman" w:hAnsi="Times New Roman" w:cs="Times New Roman" w:eastAsia="Times New Roman" w:hint="default"/>
          <w:spacing w:val="-2"/>
        </w:rPr>
        <w:t> </w:t>
      </w:r>
      <w:r>
        <w:rPr/>
        <w:t>股，每股认购价为人民币</w:t>
      </w:r>
      <w:r>
        <w:rPr>
          <w:spacing w:val="-54"/>
        </w:rPr>
        <w:t> </w:t>
      </w:r>
      <w:r>
        <w:rPr>
          <w:rFonts w:ascii="Times New Roman" w:hAnsi="Times New Roman" w:cs="Times New Roman" w:eastAsia="Times New Roman" w:hint="default"/>
        </w:rPr>
        <w:t>5.71</w:t>
      </w:r>
      <w:r>
        <w:rPr>
          <w:rFonts w:ascii="Times New Roman" w:hAnsi="Times New Roman" w:cs="Times New Roman" w:eastAsia="Times New Roman" w:hint="default"/>
          <w:spacing w:val="-5"/>
        </w:rPr>
        <w:t> </w:t>
      </w:r>
      <w:r>
        <w:rPr/>
        <w:t>元。定向增发内资股完成后，本公司总股本增至</w:t>
      </w:r>
    </w:p>
    <w:p>
      <w:pPr>
        <w:pStyle w:val="BodyText"/>
        <w:spacing w:line="240" w:lineRule="auto" w:before="69"/>
        <w:ind w:left="138" w:right="192"/>
        <w:jc w:val="left"/>
      </w:pPr>
      <w:r>
        <w:rPr>
          <w:rFonts w:ascii="Times New Roman" w:hAnsi="Times New Roman" w:cs="Times New Roman" w:eastAsia="Times New Roman" w:hint="default"/>
        </w:rPr>
        <w:t>6,036,724,000</w:t>
      </w:r>
      <w:r>
        <w:rPr>
          <w:rFonts w:ascii="Times New Roman" w:hAnsi="Times New Roman" w:cs="Times New Roman" w:eastAsia="Times New Roman" w:hint="default"/>
          <w:spacing w:val="3"/>
        </w:rPr>
        <w:t> </w:t>
      </w:r>
      <w:r>
        <w:rPr>
          <w:spacing w:val="-3"/>
        </w:rPr>
        <w:t>股。</w:t>
      </w:r>
      <w:r>
        <w:rPr/>
      </w:r>
    </w:p>
    <w:p>
      <w:pPr>
        <w:spacing w:after="0" w:line="240" w:lineRule="auto"/>
        <w:jc w:val="left"/>
        <w:sectPr>
          <w:headerReference w:type="default" r:id="rId56"/>
          <w:footerReference w:type="default" r:id="rId57"/>
          <w:pgSz w:w="11910" w:h="16840"/>
          <w:pgMar w:header="882" w:footer="974" w:top="1120" w:bottom="1160" w:left="1280" w:right="1300"/>
          <w:pgNumType w:start="105"/>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558" w:right="0"/>
        <w:jc w:val="left"/>
      </w:pPr>
      <w:r>
        <w:rPr/>
        <w:t>本公司于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)454,376,000</w:t>
      </w:r>
      <w:r>
        <w:rPr>
          <w:rFonts w:ascii="Times New Roman" w:hAnsi="Times New Roman" w:cs="Times New Roman" w:eastAsia="Times New Roman" w:hint="default"/>
          <w:spacing w:val="-1"/>
        </w:rPr>
        <w:t> </w:t>
      </w:r>
      <w:r>
        <w:rPr/>
        <w:t>股并在上海证券交易所主</w:t>
      </w:r>
    </w:p>
    <w:p>
      <w:pPr>
        <w:pStyle w:val="BodyText"/>
        <w:spacing w:line="240" w:lineRule="auto" w:before="69"/>
        <w:ind w:left="138" w:right="0"/>
        <w:jc w:val="left"/>
      </w:pPr>
      <w:r>
        <w:rPr>
          <w:spacing w:val="-3"/>
        </w:rPr>
        <w:t>板上市，每股面值人民币</w:t>
      </w:r>
      <w:r>
        <w:rPr>
          <w:spacing w:val="-42"/>
        </w:rPr>
        <w:t> </w:t>
      </w:r>
      <w:r>
        <w:rPr>
          <w:rFonts w:ascii="Times New Roman" w:hAnsi="Times New Roman" w:cs="Times New Roman" w:eastAsia="Times New Roman" w:hint="default"/>
        </w:rPr>
        <w:t>1.00</w:t>
      </w:r>
      <w:r>
        <w:rPr>
          <w:rFonts w:ascii="Times New Roman" w:hAnsi="Times New Roman" w:cs="Times New Roman" w:eastAsia="Times New Roman" w:hint="default"/>
          <w:spacing w:val="11"/>
        </w:rPr>
        <w:t> </w:t>
      </w:r>
      <w:r>
        <w:rPr>
          <w:spacing w:val="-3"/>
        </w:rPr>
        <w:t>元，每股发行价为人民币</w:t>
      </w:r>
      <w:r>
        <w:rPr>
          <w:spacing w:val="-42"/>
        </w:rPr>
        <w:t> </w:t>
      </w:r>
      <w:r>
        <w:rPr>
          <w:rFonts w:ascii="Times New Roman" w:hAnsi="Times New Roman" w:cs="Times New Roman" w:eastAsia="Times New Roman" w:hint="default"/>
        </w:rPr>
        <w:t>4.61</w:t>
      </w:r>
      <w:r>
        <w:rPr>
          <w:rFonts w:ascii="Times New Roman" w:hAnsi="Times New Roman" w:cs="Times New Roman" w:eastAsia="Times New Roman" w:hint="default"/>
          <w:spacing w:val="11"/>
        </w:rPr>
        <w:t> </w:t>
      </w:r>
      <w:r>
        <w:rPr>
          <w:spacing w:val="-7"/>
        </w:rPr>
        <w:t>元。</w:t>
      </w:r>
      <w:r>
        <w:rPr>
          <w:rFonts w:ascii="Times New Roman" w:hAnsi="Times New Roman" w:cs="Times New Roman" w:eastAsia="Times New Roman" w:hint="default"/>
          <w:spacing w:val="-7"/>
        </w:rPr>
        <w:t>A</w:t>
      </w:r>
      <w:r>
        <w:rPr>
          <w:rFonts w:ascii="Times New Roman" w:hAnsi="Times New Roman" w:cs="Times New Roman" w:eastAsia="Times New Roman" w:hint="default"/>
          <w:spacing w:val="12"/>
        </w:rPr>
        <w:t> </w:t>
      </w:r>
      <w:r>
        <w:rPr>
          <w:spacing w:val="-3"/>
        </w:rPr>
        <w:t>股发行完成后，本公司总股本增</w:t>
      </w:r>
    </w:p>
    <w:p>
      <w:pPr>
        <w:pStyle w:val="BodyText"/>
        <w:spacing w:line="240" w:lineRule="auto" w:before="69"/>
        <w:ind w:left="138" w:right="0"/>
        <w:jc w:val="left"/>
      </w:pPr>
      <w:r>
        <w:rPr/>
        <w:t>至</w:t>
      </w:r>
      <w:r>
        <w:rPr>
          <w:spacing w:val="-53"/>
        </w:rPr>
        <w:t> </w:t>
      </w:r>
      <w:r>
        <w:rPr>
          <w:rFonts w:ascii="Times New Roman" w:hAnsi="Times New Roman" w:cs="Times New Roman" w:eastAsia="Times New Roman" w:hint="default"/>
        </w:rPr>
        <w:t>6,491,100,000 </w:t>
      </w:r>
      <w:r>
        <w:rPr>
          <w:spacing w:val="-3"/>
        </w:rPr>
        <w:t>股。</w:t>
      </w:r>
      <w:r>
        <w:rPr/>
      </w:r>
    </w:p>
    <w:p>
      <w:pPr>
        <w:pStyle w:val="BodyText"/>
        <w:spacing w:line="297" w:lineRule="auto" w:before="69"/>
        <w:ind w:left="138" w:right="312" w:firstLine="420"/>
        <w:jc w:val="both"/>
      </w:pP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日，本公司总股本为</w:t>
      </w:r>
      <w:r>
        <w:rPr>
          <w:spacing w:val="-53"/>
        </w:rPr>
        <w:t> </w:t>
      </w:r>
      <w:r>
        <w:rPr>
          <w:rFonts w:ascii="Times New Roman" w:hAnsi="Times New Roman" w:cs="Times New Roman" w:eastAsia="Times New Roman" w:hint="default"/>
        </w:rPr>
        <w:t>6,491,100,000</w:t>
      </w:r>
      <w:r>
        <w:rPr>
          <w:rFonts w:ascii="Times New Roman" w:hAnsi="Times New Roman" w:cs="Times New Roman" w:eastAsia="Times New Roman" w:hint="default"/>
          <w:spacing w:val="-1"/>
        </w:rPr>
        <w:t> </w:t>
      </w:r>
      <w:r>
        <w:rPr/>
        <w:t>股，每股面值为人民币</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元，其中</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w w:val="100"/>
        </w:rPr>
        <w:t> </w:t>
      </w:r>
      <w:r>
        <w:rPr/>
        <w:t>股和</w:t>
      </w:r>
      <w:r>
        <w:rPr>
          <w:spacing w:val="-53"/>
        </w:rPr>
        <w:t> </w:t>
      </w:r>
      <w:r>
        <w:rPr>
          <w:rFonts w:ascii="Times New Roman" w:hAnsi="Times New Roman" w:cs="Times New Roman" w:eastAsia="Times New Roman" w:hint="default"/>
        </w:rPr>
        <w:t>H </w:t>
      </w:r>
      <w:r>
        <w:rPr/>
        <w:t>股分别为</w:t>
      </w:r>
      <w:r>
        <w:rPr>
          <w:spacing w:val="-50"/>
        </w:rPr>
        <w:t> </w:t>
      </w:r>
      <w:r>
        <w:rPr>
          <w:rFonts w:ascii="Times New Roman" w:hAnsi="Times New Roman" w:cs="Times New Roman" w:eastAsia="Times New Roman" w:hint="default"/>
        </w:rPr>
        <w:t>5,392,075,000</w:t>
      </w:r>
      <w:r>
        <w:rPr>
          <w:rFonts w:ascii="Times New Roman" w:hAnsi="Times New Roman" w:cs="Times New Roman" w:eastAsia="Times New Roman" w:hint="default"/>
          <w:spacing w:val="3"/>
        </w:rPr>
        <w:t> </w:t>
      </w:r>
      <w:r>
        <w:rPr/>
        <w:t>股和</w:t>
      </w:r>
      <w:r>
        <w:rPr>
          <w:spacing w:val="-50"/>
        </w:rPr>
        <w:t> </w:t>
      </w:r>
      <w:r>
        <w:rPr>
          <w:rFonts w:ascii="Times New Roman" w:hAnsi="Times New Roman" w:cs="Times New Roman" w:eastAsia="Times New Roman" w:hint="default"/>
        </w:rPr>
        <w:t>1,099,025,000</w:t>
      </w:r>
      <w:r>
        <w:rPr>
          <w:rFonts w:ascii="Times New Roman" w:hAnsi="Times New Roman" w:cs="Times New Roman" w:eastAsia="Times New Roman" w:hint="default"/>
          <w:spacing w:val="-1"/>
        </w:rPr>
        <w:t> </w:t>
      </w:r>
      <w:r>
        <w:rPr>
          <w:spacing w:val="-3"/>
        </w:rPr>
        <w:t>股，分别占总股本的</w:t>
      </w:r>
      <w:r>
        <w:rPr>
          <w:spacing w:val="-50"/>
        </w:rPr>
        <w:t> </w:t>
      </w:r>
      <w:r>
        <w:rPr>
          <w:rFonts w:ascii="Times New Roman" w:hAnsi="Times New Roman" w:cs="Times New Roman" w:eastAsia="Times New Roman" w:hint="default"/>
        </w:rPr>
        <w:t>83.07%</w:t>
      </w:r>
      <w:r>
        <w:rPr/>
        <w:t>和</w:t>
      </w:r>
      <w:r>
        <w:rPr>
          <w:spacing w:val="-50"/>
        </w:rPr>
        <w:t> </w:t>
      </w:r>
      <w:r>
        <w:rPr>
          <w:rFonts w:ascii="Times New Roman" w:hAnsi="Times New Roman" w:cs="Times New Roman" w:eastAsia="Times New Roman" w:hint="default"/>
          <w:spacing w:val="-4"/>
        </w:rPr>
        <w:t>16.93%</w:t>
      </w:r>
      <w:r>
        <w:rPr>
          <w:spacing w:val="-4"/>
        </w:rPr>
        <w:t>。其中，青</w:t>
      </w:r>
      <w:r>
        <w:rPr>
          <w:w w:val="100"/>
        </w:rPr>
        <w:t> </w:t>
      </w:r>
      <w:r>
        <w:rPr/>
        <w:t>岛港集团对本公司的持股比例总计为</w:t>
      </w:r>
      <w:r>
        <w:rPr>
          <w:spacing w:val="-54"/>
        </w:rPr>
        <w:t> </w:t>
      </w:r>
      <w:r>
        <w:rPr>
          <w:rFonts w:ascii="Times New Roman" w:hAnsi="Times New Roman" w:cs="Times New Roman" w:eastAsia="Times New Roman" w:hint="default"/>
        </w:rPr>
        <w:t>54.47%</w:t>
      </w:r>
      <w:r>
        <w:rPr/>
        <w:t>。</w:t>
      </w:r>
    </w:p>
    <w:p>
      <w:pPr>
        <w:pStyle w:val="BodyText"/>
        <w:spacing w:line="302" w:lineRule="auto" w:before="13"/>
        <w:ind w:left="138" w:right="309" w:firstLine="420"/>
        <w:jc w:val="both"/>
      </w:pPr>
      <w:r>
        <w:rPr/>
        <w:t>根据青岛港集团于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日签署的《山东省港口集团有限公司与青岛市人民政府国有</w:t>
      </w:r>
      <w:r>
        <w:rPr>
          <w:w w:val="100"/>
        </w:rPr>
        <w:t> </w:t>
      </w:r>
      <w:r>
        <w:rPr/>
        <w:t>资产监督管理委员会及威海市人民政府国有资产监督管理委员会关于青岛港</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有限公司之股权</w:t>
      </w:r>
      <w:r>
        <w:rPr>
          <w:w w:val="100"/>
        </w:rPr>
        <w:t> </w:t>
      </w:r>
      <w:r>
        <w:rPr>
          <w:spacing w:val="-3"/>
        </w:rPr>
        <w:t>无偿划转协议》</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《无偿划转协议》</w:t>
      </w:r>
      <w:r>
        <w:rPr>
          <w:rFonts w:ascii="Times New Roman" w:hAnsi="Times New Roman" w:cs="Times New Roman" w:eastAsia="Times New Roman" w:hint="default"/>
          <w:spacing w:val="-3"/>
        </w:rPr>
        <w:t>”)</w:t>
      </w:r>
      <w:r>
        <w:rPr>
          <w:spacing w:val="-3"/>
        </w:rPr>
        <w:t>，青岛市人民政府国有资产监督管理委员会</w:t>
      </w:r>
      <w:r>
        <w:rPr>
          <w:rFonts w:ascii="Times New Roman" w:hAnsi="Times New Roman" w:cs="Times New Roman" w:eastAsia="Times New Roman" w:hint="default"/>
          <w:spacing w:val="-3"/>
        </w:rPr>
        <w:t>(“</w:t>
      </w:r>
      <w:r>
        <w:rPr>
          <w:spacing w:val="-3"/>
        </w:rPr>
        <w:t>青岛市</w:t>
      </w:r>
      <w:r>
        <w:rPr>
          <w:spacing w:val="-8"/>
        </w:rPr>
        <w:t> </w:t>
      </w:r>
      <w:r>
        <w:rPr/>
        <w:t>国资委</w:t>
      </w:r>
      <w:r>
        <w:rPr>
          <w:rFonts w:ascii="Times New Roman" w:hAnsi="Times New Roman" w:cs="Times New Roman" w:eastAsia="Times New Roman" w:hint="default"/>
        </w:rPr>
        <w:t>”)</w:t>
      </w:r>
      <w:r>
        <w:rPr/>
        <w:t>拟将青岛港集团</w:t>
      </w:r>
      <w:r>
        <w:rPr>
          <w:spacing w:val="-14"/>
        </w:rPr>
        <w:t> </w:t>
      </w:r>
      <w:r>
        <w:rPr>
          <w:rFonts w:ascii="Times New Roman" w:hAnsi="Times New Roman" w:cs="Times New Roman" w:eastAsia="Times New Roman" w:hint="default"/>
          <w:spacing w:val="-3"/>
        </w:rPr>
        <w:t>100%</w:t>
      </w:r>
      <w:r>
        <w:rPr>
          <w:spacing w:val="-3"/>
        </w:rPr>
        <w:t>股权无偿划转给山东省港口集团有限公司。划转完成后，青岛港集团</w:t>
      </w:r>
      <w:r>
        <w:rPr>
          <w:spacing w:val="-88"/>
        </w:rPr>
        <w:t> </w:t>
      </w:r>
      <w:r>
        <w:rPr>
          <w:spacing w:val="-88"/>
        </w:rPr>
      </w:r>
      <w:r>
        <w:rPr>
          <w:spacing w:val="-6"/>
        </w:rPr>
        <w:t>将成为山东省港口集团有限公司的全资子公司。本次无偿划转交割，须满足《无偿划转协议》生效、</w:t>
      </w:r>
      <w:r>
        <w:rPr>
          <w:spacing w:val="-20"/>
        </w:rPr>
        <w:t> </w:t>
      </w:r>
      <w:r>
        <w:rPr>
          <w:spacing w:val="-20"/>
        </w:rPr>
      </w:r>
      <w:r>
        <w:rPr/>
        <w:t>本公司</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股股票上市满一年、《无偿划转协议》涉及的经营者集中事项经国家市场监督管理总局审</w:t>
      </w:r>
      <w:r>
        <w:rPr>
          <w:w w:val="100"/>
        </w:rPr>
        <w:t> </w:t>
      </w:r>
      <w:r>
        <w:rPr>
          <w:spacing w:val="-2"/>
        </w:rPr>
        <w:t>批通过、中国证券监督管理委员会及香港证券及期货事务监察委员会豁免山东省港口集团有限公司</w:t>
      </w:r>
      <w:r>
        <w:rPr>
          <w:spacing w:val="-26"/>
        </w:rPr>
        <w:t> </w:t>
      </w:r>
      <w:r>
        <w:rPr>
          <w:spacing w:val="-26"/>
        </w:rPr>
      </w:r>
      <w:r>
        <w:rPr>
          <w:spacing w:val="-5"/>
          <w:w w:val="100"/>
        </w:rPr>
        <w:t>因本次无偿划转触发的就本公司股份发出全面要约的义务。截至</w:t>
      </w:r>
      <w:r>
        <w:rPr>
          <w:spacing w:val="-67"/>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1"/>
          <w:w w:val="100"/>
        </w:rPr>
        <w:t> </w:t>
      </w:r>
      <w:r>
        <w:rPr>
          <w:w w:val="100"/>
        </w:rPr>
        <w:t>年</w:t>
      </w:r>
      <w:r>
        <w:rPr>
          <w:spacing w:val="-6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1"/>
          <w:w w:val="100"/>
        </w:rPr>
        <w:t> </w:t>
      </w:r>
      <w:r>
        <w:rPr>
          <w:w w:val="100"/>
        </w:rPr>
        <w:t>月</w:t>
      </w:r>
      <w:r>
        <w:rPr>
          <w:spacing w:val="-67"/>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1"/>
          <w:w w:val="100"/>
        </w:rPr>
        <w:t> </w:t>
      </w:r>
      <w:r>
        <w:rPr>
          <w:spacing w:val="-14"/>
          <w:w w:val="100"/>
        </w:rPr>
        <w:t>日，尚未完成交割，</w:t>
      </w:r>
      <w:r>
        <w:rPr>
          <w:w w:val="100"/>
        </w:rPr>
        <w:t> </w:t>
      </w:r>
      <w:r>
        <w:rPr/>
        <w:t>本公司的最终母公司仍为青岛港集团。</w:t>
      </w:r>
    </w:p>
    <w:p>
      <w:pPr>
        <w:pStyle w:val="BodyText"/>
        <w:spacing w:line="304" w:lineRule="auto" w:before="30"/>
        <w:ind w:left="138" w:right="309" w:firstLine="420"/>
        <w:jc w:val="both"/>
      </w:pPr>
      <w:r>
        <w:rPr>
          <w:spacing w:val="-4"/>
        </w:rPr>
        <w:t>本公司及其子公司</w:t>
      </w:r>
      <w:r>
        <w:rPr>
          <w:rFonts w:ascii="Times New Roman" w:hAnsi="Times New Roman" w:cs="Times New Roman" w:eastAsia="Times New Roman" w:hint="default"/>
          <w:spacing w:val="-4"/>
        </w:rPr>
        <w:t>(</w:t>
      </w:r>
      <w:r>
        <w:rPr>
          <w:spacing w:val="-4"/>
        </w:rPr>
        <w:t>合称</w:t>
      </w:r>
      <w:r>
        <w:rPr>
          <w:rFonts w:ascii="Times New Roman" w:hAnsi="Times New Roman" w:cs="Times New Roman" w:eastAsia="Times New Roman" w:hint="default"/>
          <w:spacing w:val="-4"/>
        </w:rPr>
        <w:t>“</w:t>
      </w:r>
      <w:r>
        <w:rPr>
          <w:spacing w:val="-4"/>
        </w:rPr>
        <w:t>本集团</w:t>
      </w:r>
      <w:r>
        <w:rPr>
          <w:rFonts w:ascii="Times New Roman" w:hAnsi="Times New Roman" w:cs="Times New Roman" w:eastAsia="Times New Roman" w:hint="default"/>
          <w:spacing w:val="-4"/>
        </w:rPr>
        <w:t>”)</w:t>
      </w:r>
      <w:r>
        <w:rPr>
          <w:spacing w:val="-4"/>
        </w:rPr>
        <w:t>主要经营集装箱、金属矿石、煤炭、原油、粮食、件杂货等各</w:t>
      </w:r>
      <w:r>
        <w:rPr>
          <w:w w:val="100"/>
        </w:rPr>
        <w:t> </w:t>
      </w:r>
      <w:r>
        <w:rPr>
          <w:spacing w:val="-2"/>
        </w:rPr>
        <w:t>类进出口货物的装卸、堆存、物流等港口及相关业务，金融服务业务，以及港口机械制造、建筑施</w:t>
      </w:r>
      <w:r>
        <w:rPr>
          <w:spacing w:val="-25"/>
        </w:rPr>
        <w:t> </w:t>
      </w:r>
      <w:r>
        <w:rPr>
          <w:spacing w:val="-25"/>
        </w:rPr>
      </w:r>
      <w:r>
        <w:rPr/>
        <w:t>工、轮驳、外轮理货等港口辅助业务。</w:t>
      </w:r>
    </w:p>
    <w:p>
      <w:pPr>
        <w:pStyle w:val="BodyText"/>
        <w:spacing w:line="304" w:lineRule="auto" w:before="28"/>
        <w:ind w:left="138" w:right="309" w:firstLine="420"/>
        <w:jc w:val="both"/>
      </w:pPr>
      <w:r>
        <w:rPr/>
        <w:t>本年度纳入合并范围的主要子公司详见本节九、在其他主体中的权益</w:t>
      </w:r>
      <w:r>
        <w:rPr>
          <w:spacing w:val="-49"/>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1</w:t>
      </w:r>
      <w:r>
        <w:rPr>
          <w:spacing w:val="-6"/>
        </w:rPr>
        <w:t>），本年度新纳入合</w:t>
      </w:r>
      <w:r>
        <w:rPr>
          <w:w w:val="100"/>
        </w:rPr>
        <w:t> </w:t>
      </w:r>
      <w:r>
        <w:rPr>
          <w:spacing w:val="-2"/>
        </w:rPr>
        <w:t>并范围的子公司为新设立的子公司，本年度不再纳入合并范围的子公司为注销的子公司，详见本节</w:t>
      </w:r>
      <w:r>
        <w:rPr>
          <w:spacing w:val="-29"/>
        </w:rPr>
        <w:t> </w:t>
      </w:r>
      <w:r>
        <w:rPr>
          <w:spacing w:val="-29"/>
        </w:rPr>
      </w:r>
      <w:r>
        <w:rPr/>
        <w:t>八、合并范围变更</w:t>
      </w:r>
      <w:r>
        <w:rPr>
          <w:spacing w:val="-54"/>
        </w:rPr>
        <w:t> </w:t>
      </w:r>
      <w:r>
        <w:rPr>
          <w:rFonts w:ascii="Times New Roman" w:hAnsi="Times New Roman" w:cs="Times New Roman" w:eastAsia="Times New Roman" w:hint="default"/>
        </w:rPr>
        <w:t>5</w:t>
      </w:r>
      <w:r>
        <w:rPr/>
        <w:t>。</w:t>
      </w:r>
    </w:p>
    <w:p>
      <w:pPr>
        <w:pStyle w:val="BodyText"/>
        <w:spacing w:line="240" w:lineRule="auto" w:before="6"/>
        <w:ind w:left="558" w:right="0"/>
        <w:jc w:val="left"/>
      </w:pPr>
      <w:r>
        <w:rPr/>
        <w:t>本财务报表由本公司董事会于</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日批准报出。</w:t>
      </w:r>
    </w:p>
    <w:p>
      <w:pPr>
        <w:pStyle w:val="BodyText"/>
        <w:spacing w:line="267" w:lineRule="exact"/>
        <w:ind w:left="138" w:right="0"/>
        <w:jc w:val="left"/>
        <w:rPr>
          <w:rFonts w:ascii="宋体" w:hAnsi="宋体" w:cs="宋体" w:eastAsia="宋体" w:hint="default"/>
        </w:rPr>
      </w:pPr>
      <w:r>
        <w:rPr>
          <w:rFonts w:ascii="宋体"/>
          <w:w w:val="100"/>
        </w:rPr>
        <w:t> </w:t>
      </w:r>
    </w:p>
    <w:p>
      <w:pPr>
        <w:pStyle w:val="Heading5"/>
        <w:tabs>
          <w:tab w:pos="558"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Heading3"/>
        <w:spacing w:line="240" w:lineRule="auto"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1" w:lineRule="exact" w:before="1"/>
        <w:ind w:left="618" w:right="0"/>
        <w:jc w:val="left"/>
        <w:rPr>
          <w:rFonts w:ascii="宋体" w:hAnsi="宋体" w:cs="宋体" w:eastAsia="宋体" w:hint="default"/>
        </w:rPr>
      </w:pPr>
      <w:r>
        <w:rPr/>
        <w:t>详见本节十七、母公司财务报表主要项目注释</w:t>
      </w:r>
      <w:r>
        <w:rPr>
          <w:spacing w:val="-57"/>
        </w:rPr>
        <w:t> </w:t>
      </w:r>
      <w:r>
        <w:rPr>
          <w:rFonts w:ascii="宋体" w:hAnsi="宋体" w:cs="宋体" w:eastAsia="宋体" w:hint="default"/>
        </w:rPr>
        <w:t>3</w:t>
      </w:r>
      <w:r>
        <w:rPr/>
        <w:t>。</w:t>
      </w:r>
      <w:r>
        <w:rPr>
          <w:rFonts w:ascii="宋体" w:hAnsi="宋体" w:cs="宋体" w:eastAsia="宋体" w:hint="default"/>
        </w:rPr>
        <w:t> </w:t>
      </w:r>
    </w:p>
    <w:p>
      <w:pPr>
        <w:pStyle w:val="Heading3"/>
        <w:spacing w:line="310" w:lineRule="exact"/>
        <w:ind w:left="618" w:right="0"/>
        <w:jc w:val="left"/>
        <w:rPr>
          <w:rFonts w:ascii="宋体" w:hAnsi="宋体" w:cs="宋体" w:eastAsia="宋体" w:hint="default"/>
        </w:rPr>
      </w:pPr>
      <w:r>
        <w:rPr>
          <w:rFonts w:ascii="宋体"/>
        </w:rPr>
        <w:t> </w:t>
      </w:r>
    </w:p>
    <w:p>
      <w:pPr>
        <w:pStyle w:val="Heading5"/>
        <w:tabs>
          <w:tab w:pos="563" w:val="left" w:leader="none"/>
        </w:tabs>
        <w:spacing w:line="290" w:lineRule="auto" w:before="61"/>
        <w:ind w:left="138" w:right="6956"/>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14" w:lineRule="auto" w:before="89"/>
        <w:ind w:left="138" w:right="311" w:firstLine="480"/>
        <w:jc w:val="both"/>
        <w:rPr>
          <w:rFonts w:ascii="宋体" w:hAnsi="宋体" w:cs="宋体" w:eastAsia="宋体" w:hint="default"/>
        </w:rPr>
      </w:pPr>
      <w:r>
        <w:rPr>
          <w:spacing w:val="-2"/>
          <w:w w:val="100"/>
        </w:rPr>
        <w:t>本财务报表按照财政部于</w:t>
      </w:r>
      <w:r>
        <w:rPr>
          <w:spacing w:val="-57"/>
          <w:w w:val="100"/>
        </w:rPr>
        <w:t> </w:t>
      </w:r>
      <w:r>
        <w:rPr>
          <w:rFonts w:ascii="宋体" w:hAnsi="宋体" w:cs="宋体" w:eastAsia="宋体" w:hint="default"/>
          <w:w w:val="100"/>
        </w:rPr>
        <w:t>2006</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w w:val="100"/>
        </w:rPr>
        <w:t>15</w:t>
      </w:r>
      <w:r>
        <w:rPr>
          <w:rFonts w:ascii="宋体" w:hAnsi="宋体" w:cs="宋体" w:eastAsia="宋体" w:hint="default"/>
          <w:spacing w:val="-53"/>
          <w:w w:val="100"/>
        </w:rPr>
        <w:t> </w:t>
      </w:r>
      <w:r>
        <w:rPr>
          <w:spacing w:val="-11"/>
          <w:w w:val="100"/>
        </w:rPr>
        <w:t>日及以后期间颁布的《企业会计准则——基本准则》、</w:t>
      </w:r>
      <w:r>
        <w:rPr>
          <w:w w:val="100"/>
        </w:rPr>
        <w:t> </w:t>
      </w:r>
      <w:r>
        <w:rPr>
          <w:spacing w:val="-2"/>
        </w:rPr>
        <w:t>各项具体会计准则及相关规定</w:t>
      </w:r>
      <w:r>
        <w:rPr>
          <w:rFonts w:ascii="宋体" w:hAnsi="宋体" w:cs="宋体" w:eastAsia="宋体" w:hint="default"/>
          <w:spacing w:val="-2"/>
        </w:rPr>
        <w:t>(</w:t>
      </w:r>
      <w:r>
        <w:rPr>
          <w:spacing w:val="-2"/>
        </w:rPr>
        <w:t>以下合称“企业会计准则”)、以及中国证券监督管理委员会《公开</w:t>
      </w:r>
      <w:r>
        <w:rPr>
          <w:spacing w:val="-26"/>
        </w:rPr>
        <w:t> </w:t>
      </w:r>
      <w:r>
        <w:rPr>
          <w:spacing w:val="-26"/>
        </w:rPr>
      </w:r>
      <w:r>
        <w:rPr/>
        <w:t>发行证券的公司信息披露编报规则第</w:t>
      </w:r>
      <w:r>
        <w:rPr>
          <w:spacing w:val="-56"/>
        </w:rPr>
        <w:t> </w:t>
      </w:r>
      <w:r>
        <w:rPr>
          <w:rFonts w:ascii="宋体" w:hAnsi="宋体" w:cs="宋体" w:eastAsia="宋体" w:hint="default"/>
        </w:rPr>
        <w:t>15</w:t>
      </w:r>
      <w:r>
        <w:rPr>
          <w:rFonts w:ascii="宋体" w:hAnsi="宋体" w:cs="宋体" w:eastAsia="宋体" w:hint="default"/>
          <w:spacing w:val="-58"/>
        </w:rPr>
        <w:t> </w:t>
      </w:r>
      <w:r>
        <w:rPr/>
        <w:t>号——财务报告的一般规定》的披露规定编制。</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t>本财务报表以持续经营为基础编制。</w:t>
      </w:r>
      <w:r>
        <w:rPr>
          <w:rFonts w:ascii="宋体" w:hAnsi="宋体" w:cs="宋体" w:eastAsia="宋体" w:hint="default"/>
        </w:rPr>
        <w:t> </w:t>
      </w:r>
    </w:p>
    <w:p>
      <w:pPr>
        <w:pStyle w:val="BodyText"/>
        <w:spacing w:line="314" w:lineRule="auto" w:before="85"/>
        <w:ind w:left="138" w:right="309" w:firstLine="420"/>
        <w:jc w:val="both"/>
        <w:rPr>
          <w:rFonts w:ascii="宋体" w:hAnsi="宋体" w:cs="宋体" w:eastAsia="宋体" w:hint="default"/>
        </w:rPr>
      </w:pPr>
      <w:r>
        <w:rPr>
          <w:spacing w:val="-5"/>
        </w:rPr>
        <w:t>新的香港《公司条例》自</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7"/>
        </w:rPr>
        <w:t> </w:t>
      </w:r>
      <w:r>
        <w:rPr>
          <w:rFonts w:ascii="宋体" w:hAnsi="宋体" w:cs="宋体" w:eastAsia="宋体" w:hint="default"/>
        </w:rPr>
        <w:t>3</w:t>
      </w:r>
      <w:r>
        <w:rPr>
          <w:rFonts w:ascii="宋体" w:hAnsi="宋体" w:cs="宋体" w:eastAsia="宋体" w:hint="default"/>
          <w:spacing w:val="-44"/>
        </w:rPr>
        <w:t> </w:t>
      </w:r>
      <w:r>
        <w:rPr/>
        <w:t>月</w:t>
      </w:r>
      <w:r>
        <w:rPr>
          <w:spacing w:val="-47"/>
        </w:rPr>
        <w:t> </w:t>
      </w:r>
      <w:r>
        <w:rPr>
          <w:rFonts w:ascii="宋体" w:hAnsi="宋体" w:cs="宋体" w:eastAsia="宋体" w:hint="default"/>
        </w:rPr>
        <w:t>3</w:t>
      </w:r>
      <w:r>
        <w:rPr>
          <w:rFonts w:ascii="宋体" w:hAnsi="宋体" w:cs="宋体" w:eastAsia="宋体" w:hint="default"/>
          <w:spacing w:val="-44"/>
        </w:rPr>
        <w:t> </w:t>
      </w:r>
      <w:r>
        <w:rPr>
          <w:spacing w:val="-3"/>
        </w:rPr>
        <w:t>日起生效。本财务报表的若干相关事项已根据香港《公</w:t>
      </w:r>
      <w:r>
        <w:rPr>
          <w:w w:val="100"/>
        </w:rPr>
        <w:t> </w:t>
      </w:r>
      <w:r>
        <w:rPr/>
        <w:t>司条例》的要求进行披露。</w:t>
      </w:r>
      <w:r>
        <w:rPr>
          <w:rFonts w:ascii="宋体" w:hAnsi="宋体" w:cs="宋体" w:eastAsia="宋体" w:hint="default"/>
        </w:rPr>
        <w:t> </w:t>
      </w:r>
    </w:p>
    <w:p>
      <w:pPr>
        <w:pStyle w:val="BodyText"/>
        <w:spacing w:line="314" w:lineRule="auto" w:before="20"/>
        <w:ind w:left="558" w:right="0"/>
        <w:jc w:val="left"/>
      </w:pPr>
      <w:r>
        <w:rPr/>
        <w:t>合并财务报表编制基础</w:t>
      </w:r>
      <w:r>
        <w:rPr>
          <w:rFonts w:ascii="宋体" w:hAnsi="宋体" w:cs="宋体" w:eastAsia="宋体" w:hint="default"/>
          <w:w w:val="100"/>
        </w:rPr>
        <w:t> </w:t>
      </w:r>
      <w:r>
        <w:rPr>
          <w:spacing w:val="-1"/>
        </w:rPr>
        <w:t>青岛港集团于本公司成立前按青岛市国资委批准的重组方案进行重组并将部分业务注入本公司，</w:t>
      </w:r>
    </w:p>
    <w:p>
      <w:pPr>
        <w:pStyle w:val="BodyText"/>
        <w:spacing w:line="314" w:lineRule="auto" w:before="20"/>
        <w:ind w:left="138" w:right="0"/>
        <w:jc w:val="left"/>
      </w:pPr>
      <w:r>
        <w:rPr>
          <w:spacing w:val="-2"/>
        </w:rPr>
        <w:t>此事项被视为同一控制下的企业合并。根据企业会计准则，在编制本集团的合并财务报表时，青岛</w:t>
      </w:r>
      <w:r>
        <w:rPr>
          <w:spacing w:val="-25"/>
        </w:rPr>
        <w:t> </w:t>
      </w:r>
      <w:r>
        <w:rPr>
          <w:spacing w:val="-25"/>
        </w:rPr>
      </w:r>
      <w:r>
        <w:rPr>
          <w:spacing w:val="-2"/>
        </w:rPr>
        <w:t>港集团于公司成立日投入本公司作为设立出资之资产及负债仍然以原账面价值列账，而并非按重组</w:t>
      </w:r>
    </w:p>
    <w:p>
      <w:pPr>
        <w:spacing w:after="0" w:line="314" w:lineRule="auto"/>
        <w:jc w:val="left"/>
        <w:sectPr>
          <w:pgSz w:w="11910" w:h="16840"/>
          <w:pgMar w:header="882" w:footer="974" w:top="1120" w:bottom="1160" w:left="128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14" w:lineRule="auto" w:before="36"/>
        <w:ind w:left="138" w:right="192"/>
        <w:jc w:val="left"/>
        <w:rPr>
          <w:rFonts w:ascii="宋体" w:hAnsi="宋体" w:cs="宋体" w:eastAsia="宋体" w:hint="default"/>
        </w:rPr>
      </w:pPr>
      <w:r>
        <w:rPr>
          <w:spacing w:val="-2"/>
        </w:rPr>
        <w:t>过程中国有资产管理部门批准的评估值列账，评估值与账面价值之间的差额冲减合并财务报表的股</w:t>
      </w:r>
      <w:r>
        <w:rPr>
          <w:spacing w:val="-25"/>
        </w:rPr>
        <w:t> </w:t>
      </w:r>
      <w:r>
        <w:rPr>
          <w:spacing w:val="-25"/>
        </w:rPr>
      </w:r>
      <w:r>
        <w:rPr/>
        <w:t>东权益。</w:t>
      </w:r>
      <w:r>
        <w:rPr>
          <w:rFonts w:ascii="宋体" w:hAnsi="宋体" w:cs="宋体" w:eastAsia="宋体" w:hint="default"/>
        </w:rPr>
        <w:t> </w:t>
      </w:r>
    </w:p>
    <w:p>
      <w:pPr>
        <w:pStyle w:val="BodyText"/>
        <w:spacing w:line="240" w:lineRule="auto" w:before="20"/>
        <w:ind w:left="558" w:right="0"/>
        <w:jc w:val="left"/>
      </w:pPr>
      <w:r>
        <w:rPr/>
        <w:t>而本公司的若干子公司在由非公司制企业改建为公司制企业时对其资产及负债进行了评估，按</w:t>
      </w:r>
    </w:p>
    <w:p>
      <w:pPr>
        <w:pStyle w:val="BodyText"/>
        <w:spacing w:line="314" w:lineRule="auto" w:before="85"/>
        <w:ind w:left="138" w:right="145"/>
        <w:jc w:val="left"/>
        <w:rPr>
          <w:rFonts w:ascii="宋体" w:hAnsi="宋体" w:cs="宋体" w:eastAsia="宋体" w:hint="default"/>
        </w:rPr>
      </w:pPr>
      <w:r>
        <w:rPr/>
        <w:t>《企业会计准则解释第</w:t>
      </w:r>
      <w:r>
        <w:rPr>
          <w:spacing w:val="-55"/>
        </w:rPr>
        <w:t> </w:t>
      </w:r>
      <w:r>
        <w:rPr>
          <w:rFonts w:ascii="宋体" w:hAnsi="宋体" w:cs="宋体" w:eastAsia="宋体" w:hint="default"/>
        </w:rPr>
        <w:t>1</w:t>
      </w:r>
      <w:r>
        <w:rPr>
          <w:rFonts w:ascii="宋体" w:hAnsi="宋体" w:cs="宋体" w:eastAsia="宋体" w:hint="default"/>
          <w:spacing w:val="-57"/>
        </w:rPr>
        <w:t> </w:t>
      </w:r>
      <w:r>
        <w:rPr/>
        <w:t>号》的规定，该等公司制改建公司的资产及负债于其公司制企业成立之日</w:t>
      </w:r>
      <w:r>
        <w:rPr>
          <w:w w:val="100"/>
        </w:rPr>
        <w:t> </w:t>
      </w:r>
      <w:r>
        <w:rPr/>
        <w:t>起按国有资产管理部门批准的评估值并入本集团的合并财务报表。</w:t>
      </w:r>
      <w:r>
        <w:rPr>
          <w:rFonts w:ascii="宋体" w:hAnsi="宋体" w:cs="宋体" w:eastAsia="宋体" w:hint="default"/>
        </w:rPr>
        <w:t> </w:t>
      </w:r>
    </w:p>
    <w:p>
      <w:pPr>
        <w:pStyle w:val="BodyText"/>
        <w:spacing w:line="314" w:lineRule="auto" w:before="20"/>
        <w:ind w:left="558" w:right="192"/>
        <w:jc w:val="left"/>
      </w:pPr>
      <w:r>
        <w:rPr/>
        <w:t>公司财务报表编制基础</w:t>
      </w:r>
      <w:r>
        <w:rPr>
          <w:rFonts w:ascii="宋体" w:hAnsi="宋体" w:cs="宋体" w:eastAsia="宋体" w:hint="default"/>
          <w:w w:val="100"/>
        </w:rPr>
        <w:t> </w:t>
      </w:r>
      <w:r>
        <w:rPr>
          <w:spacing w:val="-2"/>
        </w:rPr>
        <w:t>在编制公司财务报表时，青岛港集团作为资本投入本公司的注入资产及负债按国有资产管理部</w:t>
      </w:r>
    </w:p>
    <w:p>
      <w:pPr>
        <w:pStyle w:val="BodyText"/>
        <w:spacing w:line="240" w:lineRule="auto" w:before="20"/>
        <w:ind w:left="138" w:right="192"/>
        <w:jc w:val="left"/>
        <w:rPr>
          <w:rFonts w:ascii="宋体" w:hAnsi="宋体" w:cs="宋体" w:eastAsia="宋体" w:hint="default"/>
          <w:sz w:val="24"/>
          <w:szCs w:val="24"/>
        </w:rPr>
      </w:pPr>
      <w:r>
        <w:rPr/>
        <w:t>门批准的评估值为基础，计入本公司的资产负债表。</w:t>
      </w:r>
      <w:r>
        <w:rPr>
          <w:rFonts w:ascii="宋体" w:hAnsi="宋体" w:cs="宋体" w:eastAsia="宋体" w:hint="default"/>
          <w:sz w:val="24"/>
          <w:szCs w:val="24"/>
        </w:rPr>
        <w:t> </w:t>
      </w:r>
    </w:p>
    <w:p>
      <w:pPr>
        <w:pStyle w:val="Heading3"/>
        <w:spacing w:line="240" w:lineRule="auto" w:before="2"/>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1"/>
        <w:ind w:left="138" w:right="192"/>
        <w:jc w:val="left"/>
        <w:rPr>
          <w:b w:val="0"/>
          <w:bCs w:val="0"/>
        </w:rPr>
      </w:pPr>
      <w:r>
        <w:rPr>
          <w:rFonts w:ascii="宋体" w:hAnsi="宋体" w:cs="宋体" w:eastAsia="宋体" w:hint="default"/>
          <w:w w:val="95"/>
        </w:rPr>
        <w:t>2.</w:t>
        <w:tab/>
      </w:r>
      <w:r>
        <w:rPr/>
        <w:t>持续经营</w:t>
      </w:r>
      <w:r>
        <w:rPr>
          <w:b w:val="0"/>
          <w:bCs w:val="0"/>
        </w:rPr>
      </w:r>
    </w:p>
    <w:p>
      <w:pPr>
        <w:pStyle w:val="Heading3"/>
        <w:spacing w:line="240" w:lineRule="auto" w:before="53"/>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81"/>
        <w:ind w:left="618" w:right="192"/>
        <w:jc w:val="left"/>
        <w:rPr>
          <w:rFonts w:ascii="宋体" w:hAnsi="宋体" w:cs="宋体" w:eastAsia="宋体" w:hint="default"/>
        </w:rPr>
      </w:pPr>
      <w:r>
        <w:rPr/>
        <w:t>本财务报表以持续经营为基础编制。</w:t>
      </w:r>
      <w:r>
        <w:rPr>
          <w:rFonts w:ascii="宋体" w:hAnsi="宋体" w:cs="宋体" w:eastAsia="宋体" w:hint="default"/>
        </w:rPr>
        <w:t> </w:t>
      </w:r>
    </w:p>
    <w:p>
      <w:pPr>
        <w:pStyle w:val="Heading3"/>
        <w:spacing w:line="240" w:lineRule="auto" w:before="2"/>
        <w:ind w:left="138" w:right="0"/>
        <w:jc w:val="left"/>
        <w:rPr>
          <w:rFonts w:ascii="宋体" w:hAnsi="宋体" w:cs="宋体" w:eastAsia="宋体" w:hint="default"/>
        </w:rPr>
      </w:pPr>
      <w:r>
        <w:rPr>
          <w:rFonts w:ascii="宋体"/>
        </w:rPr>
        <w:t> </w:t>
      </w:r>
    </w:p>
    <w:p>
      <w:pPr>
        <w:spacing w:line="290" w:lineRule="auto" w:before="61"/>
        <w:ind w:left="138" w:right="532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6"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tabs>
          <w:tab w:pos="563" w:val="left" w:leader="none"/>
        </w:tabs>
        <w:spacing w:line="240" w:lineRule="auto"/>
        <w:ind w:left="138" w:right="192"/>
        <w:jc w:val="left"/>
        <w:rPr>
          <w:rFonts w:ascii="宋体" w:hAnsi="宋体" w:cs="宋体" w:eastAsia="宋体" w:hint="default"/>
          <w:b w:val="0"/>
          <w:bCs w:val="0"/>
        </w:rPr>
      </w:pPr>
      <w:r>
        <w:rPr>
          <w:rFonts w:ascii="宋体" w:hAnsi="宋体" w:cs="宋体" w:eastAsia="宋体" w:hint="default"/>
          <w:w w:val="95"/>
        </w:rPr>
        <w:t>1.</w:t>
        <w:tab/>
      </w:r>
      <w:r>
        <w:rPr/>
        <w:t>遵循企业会计准则的声明</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618" w:right="192"/>
        <w:jc w:val="left"/>
        <w:rPr>
          <w:rFonts w:ascii="Times New Roman" w:hAnsi="Times New Roman" w:cs="Times New Roman" w:eastAsia="Times New Roman" w:hint="default"/>
        </w:rPr>
      </w:pPr>
      <w:r>
        <w:rPr/>
        <w:t>本公司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年度财务报表符合企业会计准则的要求，真实、完整地反映了本公司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p>
    <w:p>
      <w:pPr>
        <w:pStyle w:val="BodyText"/>
        <w:spacing w:line="269" w:lineRule="exact"/>
        <w:ind w:left="138" w:right="192"/>
        <w:jc w:val="left"/>
        <w:rPr>
          <w:rFonts w:ascii="宋体" w:hAnsi="宋体" w:cs="宋体" w:eastAsia="宋体" w:hint="default"/>
          <w:sz w:val="24"/>
          <w:szCs w:val="24"/>
        </w:rPr>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日的合并及公司财务状况以及</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年度的合并及公司经营成果和现金流量等有关信息。</w:t>
      </w:r>
      <w:r>
        <w:rPr>
          <w:rFonts w:ascii="宋体" w:hAnsi="宋体" w:cs="宋体" w:eastAsia="宋体" w:hint="default"/>
          <w:sz w:val="24"/>
          <w:szCs w:val="24"/>
        </w:rPr>
        <w:t> </w:t>
      </w:r>
    </w:p>
    <w:p>
      <w:pPr>
        <w:pStyle w:val="Heading3"/>
        <w:spacing w:line="302" w:lineRule="exact"/>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2"/>
        <w:ind w:left="138" w:right="192"/>
        <w:jc w:val="left"/>
        <w:rPr>
          <w:rFonts w:ascii="宋体" w:hAnsi="宋体" w:cs="宋体" w:eastAsia="宋体" w:hint="default"/>
          <w:b w:val="0"/>
          <w:bCs w:val="0"/>
        </w:rPr>
      </w:pPr>
      <w:r>
        <w:rPr>
          <w:rFonts w:ascii="宋体" w:hAnsi="宋体" w:cs="宋体" w:eastAsia="宋体" w:hint="default"/>
          <w:w w:val="95"/>
        </w:rPr>
        <w:t>2.</w:t>
        <w:tab/>
      </w:r>
      <w:r>
        <w:rPr/>
        <w:t>会计期间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58" w:right="192"/>
        <w:jc w:val="left"/>
        <w:rPr>
          <w:rFonts w:ascii="宋体" w:hAnsi="宋体" w:cs="宋体" w:eastAsia="宋体" w:hint="default"/>
          <w:sz w:val="24"/>
          <w:szCs w:val="24"/>
        </w:rPr>
      </w:pPr>
      <w:r>
        <w:rPr/>
        <w:t>会计年度为公历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r>
        <w:rPr>
          <w:rFonts w:ascii="宋体" w:hAnsi="宋体" w:cs="宋体" w:eastAsia="宋体" w:hint="default"/>
          <w:sz w:val="24"/>
          <w:szCs w:val="24"/>
        </w:rPr>
        <w:t> </w:t>
      </w:r>
    </w:p>
    <w:p>
      <w:pPr>
        <w:pStyle w:val="Heading3"/>
        <w:spacing w:line="288" w:lineRule="exact"/>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4"/>
        <w:ind w:left="138" w:right="192"/>
        <w:jc w:val="left"/>
        <w:rPr>
          <w:rFonts w:ascii="宋体" w:hAnsi="宋体" w:cs="宋体" w:eastAsia="宋体" w:hint="default"/>
          <w:b w:val="0"/>
          <w:bCs w:val="0"/>
        </w:rPr>
      </w:pPr>
      <w:r>
        <w:rPr>
          <w:rFonts w:ascii="宋体" w:hAnsi="宋体" w:cs="宋体" w:eastAsia="宋体" w:hint="default"/>
          <w:w w:val="95"/>
        </w:rPr>
        <w:t>3.</w:t>
        <w:tab/>
      </w:r>
      <w:r>
        <w:rPr/>
        <w:t>营业周期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12"/>
        <w:ind w:left="618" w:right="192"/>
        <w:jc w:val="left"/>
        <w:rPr>
          <w:rFonts w:ascii="宋体" w:hAnsi="宋体" w:cs="宋体" w:eastAsia="宋体" w:hint="default"/>
          <w:sz w:val="24"/>
          <w:szCs w:val="24"/>
        </w:rPr>
      </w:pPr>
      <w:r>
        <w:rPr/>
        <w:t>本集团经营周期为</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r>
        <w:rPr>
          <w:rFonts w:ascii="宋体" w:hAnsi="宋体" w:cs="宋体" w:eastAsia="宋体" w:hint="default"/>
          <w:sz w:val="24"/>
          <w:szCs w:val="24"/>
        </w:rPr>
        <w:t> </w:t>
      </w:r>
    </w:p>
    <w:p>
      <w:pPr>
        <w:pStyle w:val="Heading3"/>
        <w:spacing w:line="310" w:lineRule="exact"/>
        <w:ind w:left="138" w:right="0"/>
        <w:jc w:val="left"/>
        <w:rPr>
          <w:rFonts w:ascii="宋体" w:hAnsi="宋体" w:cs="宋体" w:eastAsia="宋体" w:hint="default"/>
        </w:rPr>
      </w:pPr>
      <w:r>
        <w:rPr>
          <w:rFonts w:ascii="宋体"/>
        </w:rPr>
        <w:t> </w:t>
      </w:r>
    </w:p>
    <w:p>
      <w:pPr>
        <w:pStyle w:val="Heading5"/>
        <w:tabs>
          <w:tab w:pos="563" w:val="left" w:leader="none"/>
        </w:tabs>
        <w:spacing w:line="240" w:lineRule="auto" w:before="61"/>
        <w:ind w:left="138" w:right="192"/>
        <w:jc w:val="left"/>
        <w:rPr>
          <w:rFonts w:ascii="宋体" w:hAnsi="宋体" w:cs="宋体" w:eastAsia="宋体" w:hint="default"/>
          <w:b w:val="0"/>
          <w:bCs w:val="0"/>
        </w:rPr>
      </w:pPr>
      <w:r>
        <w:rPr>
          <w:rFonts w:ascii="宋体" w:hAnsi="宋体" w:cs="宋体" w:eastAsia="宋体" w:hint="default"/>
          <w:w w:val="95"/>
        </w:rPr>
        <w:t>4.</w:t>
        <w:tab/>
      </w:r>
      <w:r>
        <w:rPr/>
        <w:t>记账本位币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6"/>
        <w:ind w:left="618" w:right="192"/>
        <w:jc w:val="left"/>
        <w:rPr>
          <w:rFonts w:ascii="宋体" w:hAnsi="宋体" w:cs="宋体" w:eastAsia="宋体" w:hint="default"/>
          <w:sz w:val="24"/>
          <w:szCs w:val="24"/>
        </w:rPr>
      </w:pPr>
      <w:r>
        <w:rPr/>
        <w:t>本集团记账本位币为人民币。本财务报表以人民币列示。</w:t>
      </w:r>
      <w:r>
        <w:rPr>
          <w:rFonts w:ascii="宋体" w:hAnsi="宋体" w:cs="宋体" w:eastAsia="宋体" w:hint="default"/>
          <w:sz w:val="24"/>
          <w:szCs w:val="24"/>
        </w:rPr>
        <w:t> </w:t>
      </w:r>
    </w:p>
    <w:p>
      <w:pPr>
        <w:pStyle w:val="Heading3"/>
        <w:spacing w:line="240" w:lineRule="auto" w:before="11"/>
        <w:ind w:left="138" w:right="0"/>
        <w:jc w:val="both"/>
        <w:rPr>
          <w:rFonts w:ascii="宋体" w:hAnsi="宋体" w:cs="宋体" w:eastAsia="宋体" w:hint="default"/>
        </w:rPr>
      </w:pPr>
      <w:r>
        <w:rPr>
          <w:rFonts w:ascii="宋体"/>
        </w:rPr>
        <w:t> </w:t>
      </w:r>
    </w:p>
    <w:p>
      <w:pPr>
        <w:pStyle w:val="Heading5"/>
        <w:spacing w:line="240" w:lineRule="auto" w:before="62"/>
        <w:ind w:left="138" w:right="0"/>
        <w:jc w:val="both"/>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09"/>
        <w:ind w:left="558" w:right="0" w:firstLine="60"/>
        <w:jc w:val="left"/>
      </w:pPr>
      <w:r>
        <w:rPr/>
        <w:t>同一控制下的企业合并</w:t>
      </w:r>
      <w:r>
        <w:rPr>
          <w:w w:val="100"/>
        </w:rPr>
        <w:t> </w:t>
      </w:r>
      <w:r>
        <w:rPr>
          <w:spacing w:val="-1"/>
        </w:rPr>
        <w:t>合并方支付的合并对价及取得的净资产均按账面价值计量，如被合并方是最终控制方以前年度</w:t>
      </w:r>
    </w:p>
    <w:p>
      <w:pPr>
        <w:pStyle w:val="BodyText"/>
        <w:spacing w:line="338" w:lineRule="auto" w:before="29"/>
        <w:ind w:left="138" w:right="109"/>
        <w:jc w:val="both"/>
      </w:pPr>
      <w:r>
        <w:rPr>
          <w:spacing w:val="-4"/>
        </w:rPr>
        <w:t>从第三方收购来的，则以被合并方的资产、负债</w:t>
      </w:r>
      <w:r>
        <w:rPr>
          <w:rFonts w:ascii="Times New Roman" w:hAnsi="Times New Roman" w:cs="Times New Roman" w:eastAsia="Times New Roman" w:hint="default"/>
          <w:spacing w:val="-4"/>
        </w:rPr>
        <w:t>(</w:t>
      </w:r>
      <w:r>
        <w:rPr>
          <w:spacing w:val="-4"/>
        </w:rPr>
        <w:t>包括最终控制方收购被合并方而形成的商誉</w:t>
      </w:r>
      <w:r>
        <w:rPr>
          <w:rFonts w:ascii="Times New Roman" w:hAnsi="Times New Roman" w:cs="Times New Roman" w:eastAsia="Times New Roman" w:hint="default"/>
          <w:spacing w:val="-4"/>
        </w:rPr>
        <w:t>)</w:t>
      </w:r>
      <w:r>
        <w:rPr>
          <w:spacing w:val="-4"/>
        </w:rPr>
        <w:t>在最终</w:t>
      </w:r>
      <w:r>
        <w:rPr>
          <w:spacing w:val="-33"/>
        </w:rPr>
        <w:t> </w:t>
      </w:r>
      <w:r>
        <w:rPr>
          <w:spacing w:val="-33"/>
        </w:rPr>
      </w:r>
      <w:r>
        <w:rPr>
          <w:spacing w:val="-1"/>
        </w:rPr>
        <w:t>控制方合并财务报表中的账面价值为基础。合并方取得的净资产账面价值与支付的合并对价账面价</w:t>
      </w:r>
      <w:r>
        <w:rPr>
          <w:spacing w:val="-20"/>
        </w:rPr>
        <w:t> </w:t>
      </w:r>
      <w:r>
        <w:rPr>
          <w:spacing w:val="-20"/>
        </w:rPr>
      </w:r>
      <w:r>
        <w:rPr>
          <w:spacing w:val="-3"/>
        </w:rPr>
        <w:t>值的差额，调整资本公积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不足以冲减的，调整留存收益。为进行企</w:t>
      </w:r>
    </w:p>
    <w:p>
      <w:pPr>
        <w:spacing w:after="0" w:line="338" w:lineRule="auto"/>
        <w:jc w:val="both"/>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0"/>
        <w:jc w:val="left"/>
      </w:pPr>
      <w:r>
        <w:rPr>
          <w:spacing w:val="-1"/>
        </w:rPr>
        <w:t>业合并发生的直接相关费用于发生时计入当期损益。为企业合并而发行权益性证券或债务性证券的</w:t>
      </w:r>
      <w:r>
        <w:rPr>
          <w:spacing w:val="-20"/>
        </w:rPr>
        <w:t> </w:t>
      </w:r>
      <w:r>
        <w:rPr>
          <w:spacing w:val="-20"/>
        </w:rPr>
      </w:r>
      <w:r>
        <w:rPr/>
        <w:t>交易费用，计入权益性证券或债务性证券的初始确认金额。</w:t>
      </w:r>
    </w:p>
    <w:p>
      <w:pPr>
        <w:pStyle w:val="BodyText"/>
        <w:spacing w:line="350" w:lineRule="auto" w:before="31"/>
        <w:ind w:left="558" w:right="0"/>
        <w:jc w:val="left"/>
      </w:pPr>
      <w:r>
        <w:rPr/>
        <w:t>非同一控制下企业合并</w:t>
      </w:r>
      <w:r>
        <w:rPr>
          <w:w w:val="100"/>
        </w:rPr>
        <w:t> </w:t>
      </w:r>
      <w:r>
        <w:rPr>
          <w:spacing w:val="-1"/>
        </w:rPr>
        <w:t>购买方发生的合并成本及在合并中取得的可辨认净资产按购买日的公允价值计量。合并成本大</w:t>
      </w:r>
    </w:p>
    <w:p>
      <w:pPr>
        <w:pStyle w:val="BodyText"/>
        <w:spacing w:line="350" w:lineRule="auto" w:before="27"/>
        <w:ind w:left="138" w:right="210"/>
        <w:jc w:val="both"/>
      </w:pPr>
      <w:r>
        <w:rPr>
          <w:spacing w:val="-1"/>
        </w:rPr>
        <w:t>于合并中取得的被购买方于购买日可辨认净资产公允价值份额的差额，确认为商誉；合并成本小于</w:t>
      </w:r>
      <w:r>
        <w:rPr>
          <w:spacing w:val="-20"/>
        </w:rPr>
        <w:t> </w:t>
      </w:r>
      <w:r>
        <w:rPr>
          <w:spacing w:val="-20"/>
        </w:rPr>
      </w:r>
      <w:r>
        <w:rPr>
          <w:spacing w:val="-1"/>
        </w:rPr>
        <w:t>合并中取得的被购买方可辨认净资产公允价值份额的差额，计入当期损益。为进行企业合并发生的</w:t>
      </w:r>
      <w:r>
        <w:rPr>
          <w:spacing w:val="-20"/>
        </w:rPr>
        <w:t> </w:t>
      </w:r>
      <w:r>
        <w:rPr>
          <w:spacing w:val="-20"/>
        </w:rPr>
      </w:r>
      <w:r>
        <w:rPr>
          <w:spacing w:val="-1"/>
        </w:rPr>
        <w:t>直接相关费用于发生时计入当期损益。为企业合并而发行权益性证券或债务性证券的交易费用，计</w:t>
      </w:r>
      <w:r>
        <w:rPr>
          <w:spacing w:val="-20"/>
        </w:rPr>
        <w:t> </w:t>
      </w:r>
      <w:r>
        <w:rPr>
          <w:spacing w:val="-20"/>
        </w:rPr>
      </w:r>
      <w:r>
        <w:rPr/>
        <w:t>入权益性证券或债务性证券的初始确认金额。</w:t>
      </w:r>
    </w:p>
    <w:p>
      <w:pPr>
        <w:pStyle w:val="Heading3"/>
        <w:spacing w:line="229"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05"/>
        </w:rPr>
        <w:t> </w:t>
      </w:r>
      <w:r>
        <w:rPr/>
        <w:t>合并财务报表的编制方法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left="558" w:right="0" w:firstLine="60"/>
        <w:jc w:val="left"/>
      </w:pPr>
      <w:r>
        <w:rPr/>
        <w:t>编制合并财务报表时，合并范围包括本公司及全部子公司。</w:t>
      </w:r>
      <w:r>
        <w:rPr>
          <w:w w:val="100"/>
        </w:rPr>
        <w:t> </w:t>
      </w:r>
      <w:r>
        <w:rPr>
          <w:spacing w:val="-2"/>
        </w:rPr>
        <w:t>从取得子公司的实际控制权之日起，本集团开始将其纳入合并范围；从丧失实际控制权之日起</w:t>
      </w:r>
    </w:p>
    <w:p>
      <w:pPr>
        <w:pStyle w:val="BodyText"/>
        <w:spacing w:line="350" w:lineRule="auto" w:before="27"/>
        <w:ind w:left="138" w:right="0"/>
        <w:jc w:val="left"/>
      </w:pPr>
      <w:r>
        <w:rPr>
          <w:spacing w:val="-2"/>
        </w:rPr>
        <w:t>停止纳入合并范围。对于同一控制下企业合并取得的子公司，自其与本公司同受最终控制方控制之</w:t>
      </w:r>
      <w:r>
        <w:rPr>
          <w:spacing w:val="-25"/>
        </w:rPr>
        <w:t> </w:t>
      </w:r>
      <w:r>
        <w:rPr>
          <w:spacing w:val="-25"/>
        </w:rPr>
      </w:r>
      <w:r>
        <w:rPr/>
        <w:t>日起纳入本公司合并范围，并将其在合并日前实现的净利润在合并利润表中单列项目反映。</w:t>
      </w:r>
    </w:p>
    <w:p>
      <w:pPr>
        <w:pStyle w:val="BodyText"/>
        <w:spacing w:line="348" w:lineRule="auto" w:before="29"/>
        <w:ind w:left="138" w:right="0" w:firstLine="420"/>
        <w:jc w:val="left"/>
      </w:pPr>
      <w:r>
        <w:rPr/>
        <w:t>在编制合并财务报表时，子公司与本公司采用的会计政策或会计期间不一致的，按照本公司的</w:t>
      </w:r>
      <w:r>
        <w:rPr>
          <w:w w:val="100"/>
        </w:rPr>
        <w:t> </w:t>
      </w:r>
      <w:r>
        <w:rPr>
          <w:spacing w:val="-3"/>
        </w:rPr>
        <w:t>会计政策和会计期间对子公司财务报表进行必要的调整。对于非同一控制下企业合并取得的子公司，</w:t>
      </w:r>
      <w:r>
        <w:rPr>
          <w:spacing w:val="-45"/>
        </w:rPr>
        <w:t> </w:t>
      </w:r>
      <w:r>
        <w:rPr>
          <w:spacing w:val="-45"/>
        </w:rPr>
      </w:r>
      <w:r>
        <w:rPr/>
        <w:t>以购买日可辨认净资产公允价值为基础对其财务报表进行调整。</w:t>
      </w:r>
    </w:p>
    <w:p>
      <w:pPr>
        <w:pStyle w:val="BodyText"/>
        <w:spacing w:line="348" w:lineRule="auto" w:before="32"/>
        <w:ind w:left="138" w:right="210" w:firstLine="420"/>
        <w:jc w:val="both"/>
      </w:pPr>
      <w:r>
        <w:rPr>
          <w:spacing w:val="-1"/>
        </w:rPr>
        <w:t>集团内所有重大往来余额、交易及未实现利润在合并财务报表编制时予以抵销。子公司的所有</w:t>
      </w:r>
      <w:r>
        <w:rPr>
          <w:w w:val="100"/>
        </w:rPr>
        <w:t> </w:t>
      </w:r>
      <w:r>
        <w:rPr>
          <w:spacing w:val="-1"/>
        </w:rPr>
        <w:t>者权益、当期净损益及综合收益中不属于本公司所拥有的部分分别作为少数股东权益、少数股东损</w:t>
      </w:r>
      <w:r>
        <w:rPr>
          <w:spacing w:val="-20"/>
        </w:rPr>
        <w:t> </w:t>
      </w:r>
      <w:r>
        <w:rPr>
          <w:spacing w:val="-20"/>
        </w:rPr>
      </w:r>
      <w:r>
        <w:rPr>
          <w:spacing w:val="-1"/>
        </w:rPr>
        <w:t>益及归属于少数股东的综合收益总额在合并财务报表中股东权益、净利润及综合收益总额项下单独</w:t>
      </w:r>
      <w:r>
        <w:rPr>
          <w:spacing w:val="-20"/>
        </w:rPr>
        <w:t> </w:t>
      </w:r>
      <w:r>
        <w:rPr>
          <w:spacing w:val="-20"/>
        </w:rPr>
      </w:r>
      <w:r>
        <w:rPr>
          <w:spacing w:val="-1"/>
        </w:rPr>
        <w:t>列示。本公司向子公司出售资产所发生的未实现内部交易损益，全额抵销归属于母公司股东的净利</w:t>
      </w:r>
      <w:r>
        <w:rPr>
          <w:spacing w:val="-20"/>
        </w:rPr>
        <w:t> </w:t>
      </w:r>
      <w:r>
        <w:rPr>
          <w:spacing w:val="-20"/>
        </w:rPr>
      </w:r>
      <w:r>
        <w:rPr>
          <w:spacing w:val="-1"/>
        </w:rPr>
        <w:t>润；子公司向本公司出售资产所发生的未实现内部交易损益，按本公司对该子公司的分配比例在归</w:t>
      </w:r>
      <w:r>
        <w:rPr>
          <w:spacing w:val="-20"/>
        </w:rPr>
        <w:t> </w:t>
      </w:r>
      <w:r>
        <w:rPr>
          <w:spacing w:val="-20"/>
        </w:rPr>
      </w:r>
      <w:r>
        <w:rPr>
          <w:spacing w:val="-1"/>
        </w:rPr>
        <w:t>属于母公司股东的净利润和少数股东损益之间分配抵销。子公司之间出售资产所发生的未实现内部</w:t>
      </w:r>
      <w:r>
        <w:rPr>
          <w:spacing w:val="-20"/>
        </w:rPr>
        <w:t> </w:t>
      </w:r>
      <w:r>
        <w:rPr>
          <w:spacing w:val="-20"/>
        </w:rPr>
      </w:r>
      <w:r>
        <w:rPr>
          <w:spacing w:val="-1"/>
        </w:rPr>
        <w:t>交易损益，按照母公司对出售方子公司的分配比例在归属于母公司股东的净利润和少数股东损益之</w:t>
      </w:r>
      <w:r>
        <w:rPr>
          <w:spacing w:val="-20"/>
        </w:rPr>
        <w:t> </w:t>
      </w:r>
      <w:r>
        <w:rPr>
          <w:spacing w:val="-20"/>
        </w:rPr>
      </w:r>
      <w:r>
        <w:rPr/>
        <w:t>间分配抵销。</w:t>
      </w:r>
    </w:p>
    <w:p>
      <w:pPr>
        <w:pStyle w:val="BodyText"/>
        <w:spacing w:line="350" w:lineRule="auto" w:before="31"/>
        <w:ind w:left="138" w:right="0" w:firstLine="420"/>
        <w:jc w:val="left"/>
        <w:rPr>
          <w:rFonts w:ascii="宋体" w:hAnsi="宋体" w:cs="宋体" w:eastAsia="宋体" w:hint="default"/>
          <w:sz w:val="24"/>
          <w:szCs w:val="24"/>
        </w:rPr>
      </w:pPr>
      <w:r>
        <w:rPr>
          <w:spacing w:val="-1"/>
        </w:rPr>
        <w:t>如果以本集团为会计主体与以本公司或子公司为会计主体对同一交易的认定不同时，从本集团</w:t>
      </w:r>
      <w:r>
        <w:rPr>
          <w:w w:val="100"/>
        </w:rPr>
        <w:t> </w:t>
      </w:r>
      <w:r>
        <w:rPr/>
        <w:t>的角度对该交易予以调整。</w:t>
      </w:r>
      <w:r>
        <w:rPr>
          <w:rFonts w:ascii="宋体" w:hAnsi="宋体" w:cs="宋体" w:eastAsia="宋体" w:hint="default"/>
          <w:sz w:val="24"/>
          <w:szCs w:val="24"/>
        </w:rPr>
        <w:t> </w:t>
      </w:r>
    </w:p>
    <w:p>
      <w:pPr>
        <w:pStyle w:val="Heading3"/>
        <w:spacing w:line="227"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03"/>
        </w:rPr>
        <w:t> </w:t>
      </w:r>
      <w:r>
        <w:rPr/>
        <w:t>合营安排分类及共同经营会计处理方法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4" w:lineRule="exact"/>
        <w:ind w:left="138" w:right="0"/>
        <w:jc w:val="both"/>
        <w:rPr>
          <w:rFonts w:ascii="宋体" w:hAnsi="宋体" w:cs="宋体" w:eastAsia="宋体" w:hint="default"/>
        </w:rPr>
      </w:pPr>
      <w:r>
        <w:rPr>
          <w:rFonts w:ascii="宋体"/>
          <w:w w:val="100"/>
        </w:rPr>
        <w:t> </w:t>
      </w:r>
    </w:p>
    <w:p>
      <w:pPr>
        <w:tabs>
          <w:tab w:pos="563" w:val="left" w:leader="none"/>
        </w:tabs>
        <w:spacing w:line="386" w:lineRule="auto" w:before="56"/>
        <w:ind w:left="618" w:right="212" w:hanging="48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现金及现金等价物是指库存现金、可随时用于支付的存款，以及持有的期限短、流动性强、易</w:t>
      </w:r>
    </w:p>
    <w:p>
      <w:pPr>
        <w:pStyle w:val="BodyText"/>
        <w:spacing w:line="270" w:lineRule="exact"/>
        <w:ind w:left="138" w:right="0"/>
        <w:jc w:val="both"/>
        <w:rPr>
          <w:rFonts w:ascii="宋体" w:hAnsi="宋体" w:cs="宋体" w:eastAsia="宋体" w:hint="default"/>
          <w:sz w:val="24"/>
          <w:szCs w:val="24"/>
        </w:rPr>
      </w:pPr>
      <w:r>
        <w:rPr/>
        <w:t>于转换为已知金额现金及价值变动风险很小的投资。</w:t>
      </w:r>
      <w:r>
        <w:rPr>
          <w:rFonts w:ascii="宋体" w:hAnsi="宋体" w:cs="宋体" w:eastAsia="宋体" w:hint="default"/>
          <w:sz w:val="24"/>
          <w:szCs w:val="24"/>
        </w:rPr>
        <w:t> </w:t>
      </w:r>
    </w:p>
    <w:p>
      <w:pPr>
        <w:pStyle w:val="Heading3"/>
        <w:spacing w:line="240" w:lineRule="auto" w:before="11"/>
        <w:ind w:left="138"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10" w:h="16840"/>
          <w:pgMar w:header="882" w:footer="974" w:top="1120" w:bottom="1160" w:left="1280" w:right="1200"/>
        </w:sectPr>
      </w:pPr>
    </w:p>
    <w:p>
      <w:pPr>
        <w:spacing w:line="240" w:lineRule="auto" w:before="0"/>
        <w:rPr>
          <w:rFonts w:ascii="宋体" w:hAnsi="宋体" w:cs="宋体" w:eastAsia="宋体" w:hint="default"/>
          <w:sz w:val="20"/>
          <w:szCs w:val="20"/>
        </w:rPr>
      </w:pPr>
    </w:p>
    <w:p>
      <w:pPr>
        <w:pStyle w:val="Heading5"/>
        <w:spacing w:line="240" w:lineRule="auto" w:before="168"/>
        <w:ind w:left="138" w:right="0"/>
        <w:jc w:val="both"/>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105"/>
        </w:rPr>
        <w:t> </w:t>
      </w:r>
      <w:r>
        <w:rPr/>
        <w:t>外币业务和外币报表折算</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8" w:lineRule="auto" w:before="112"/>
        <w:ind w:left="558" w:right="192" w:firstLine="60"/>
        <w:jc w:val="left"/>
      </w:pPr>
      <w:r>
        <w:rPr/>
        <w:t>外币交易按交易发生日的即期汇率将外币金额折算为记账本位币入账。</w:t>
      </w:r>
      <w:r>
        <w:rPr>
          <w:w w:val="100"/>
        </w:rPr>
        <w:t> </w:t>
      </w:r>
      <w:r>
        <w:rPr>
          <w:spacing w:val="-2"/>
        </w:rPr>
        <w:t>于资产负债表日，外币货币性项目采用资产负债表日的即期汇率折算为记账本位币。为购建符</w:t>
      </w:r>
    </w:p>
    <w:p>
      <w:pPr>
        <w:pStyle w:val="BodyText"/>
        <w:spacing w:line="348" w:lineRule="auto" w:before="31"/>
        <w:ind w:left="138" w:right="148"/>
        <w:jc w:val="both"/>
        <w:rPr>
          <w:rFonts w:ascii="宋体" w:hAnsi="宋体" w:cs="宋体" w:eastAsia="宋体" w:hint="default"/>
          <w:sz w:val="24"/>
          <w:szCs w:val="24"/>
        </w:rPr>
      </w:pPr>
      <w:r>
        <w:rPr>
          <w:spacing w:val="-2"/>
        </w:rPr>
        <w:t>合借款费用资本化条件的资产而借入的外币专门借款产生的汇兑差额在资本化期间内予以资本化；</w:t>
      </w:r>
      <w:r>
        <w:rPr>
          <w:spacing w:val="-25"/>
        </w:rPr>
        <w:t> </w:t>
      </w:r>
      <w:r>
        <w:rPr>
          <w:spacing w:val="-25"/>
        </w:rPr>
      </w:r>
      <w:r>
        <w:rPr>
          <w:spacing w:val="-2"/>
        </w:rPr>
        <w:t>其他汇兑差额直接计入当期损益。以历史成本计量的外币非货币性项目，于资产负债表日采用交易</w:t>
      </w:r>
      <w:r>
        <w:rPr>
          <w:spacing w:val="-25"/>
        </w:rPr>
        <w:t> </w:t>
      </w:r>
      <w:r>
        <w:rPr>
          <w:spacing w:val="-25"/>
        </w:rPr>
      </w:r>
      <w:r>
        <w:rPr/>
        <w:t>发生日的即期汇率折算。汇率变动对现金的影响额，在现金流量表中单独列示。</w:t>
      </w:r>
      <w:r>
        <w:rPr>
          <w:rFonts w:ascii="宋体" w:hAnsi="宋体" w:cs="宋体" w:eastAsia="宋体" w:hint="default"/>
          <w:sz w:val="24"/>
          <w:szCs w:val="24"/>
        </w:rPr>
        <w:t> </w:t>
      </w:r>
    </w:p>
    <w:p>
      <w:pPr>
        <w:pStyle w:val="Heading3"/>
        <w:spacing w:line="231"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10.</w:t>
      </w:r>
      <w:r>
        <w:rPr>
          <w:rFonts w:ascii="宋体" w:hAnsi="宋体" w:cs="宋体" w:eastAsia="宋体" w:hint="default"/>
          <w:spacing w:val="-1"/>
        </w:rPr>
        <w:t> </w:t>
      </w:r>
      <w:r>
        <w:rPr/>
        <w:t>金融工具</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left="138" w:right="0" w:firstLine="480"/>
        <w:jc w:val="left"/>
      </w:pPr>
      <w:r>
        <w:rPr>
          <w:spacing w:val="-2"/>
        </w:rPr>
        <w:t>金融工具，是指形成一方的金融资产并形成其他方的金融负债或权益工具的合同。当本集团成</w:t>
      </w:r>
      <w:r>
        <w:rPr>
          <w:w w:val="100"/>
        </w:rPr>
        <w:t> </w:t>
      </w:r>
      <w:r>
        <w:rPr/>
        <w:t>为金融工具合同的一方时，确认相关的金融资产或金融负债。</w:t>
      </w:r>
    </w:p>
    <w:p>
      <w:pPr>
        <w:pStyle w:val="BodyText"/>
        <w:spacing w:line="240" w:lineRule="auto" w:before="27"/>
        <w:ind w:left="558" w:right="192"/>
        <w:jc w:val="left"/>
      </w:pPr>
      <w:r>
        <w:rPr/>
        <w:t>（</w:t>
      </w:r>
      <w:r>
        <w:rPr>
          <w:rFonts w:ascii="Times New Roman" w:hAnsi="Times New Roman" w:cs="Times New Roman" w:eastAsia="Times New Roman" w:hint="default"/>
        </w:rPr>
        <w:t>1</w:t>
      </w:r>
      <w:r>
        <w:rPr/>
        <w:t>）金融资产</w:t>
      </w:r>
    </w:p>
    <w:p>
      <w:pPr>
        <w:pStyle w:val="BodyText"/>
        <w:spacing w:line="331" w:lineRule="auto" w:before="110"/>
        <w:ind w:left="558"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a</w:t>
      </w:r>
      <w:r>
        <w:rPr/>
        <w:t>）分类和计量</w:t>
      </w:r>
      <w:r>
        <w:rPr>
          <w:w w:val="100"/>
        </w:rPr>
        <w:t> </w:t>
      </w:r>
      <w:r>
        <w:rPr>
          <w:spacing w:val="-2"/>
        </w:rPr>
        <w:t>本集团根据管理金融资产的业务模式和金融资产的合同现金流量特征，将金融资产划分为：</w:t>
      </w:r>
      <w:r>
        <w:rPr>
          <w:rFonts w:ascii="Times New Roman" w:hAnsi="Times New Roman" w:cs="Times New Roman" w:eastAsia="Times New Roman" w:hint="default"/>
          <w:spacing w:val="-2"/>
        </w:rPr>
        <w:t>(1)</w:t>
      </w:r>
    </w:p>
    <w:p>
      <w:pPr>
        <w:pStyle w:val="BodyText"/>
        <w:spacing w:line="331" w:lineRule="auto" w:before="19"/>
        <w:ind w:left="138" w:right="109"/>
        <w:jc w:val="both"/>
      </w:pPr>
      <w:r>
        <w:rPr>
          <w:spacing w:val="-2"/>
        </w:rPr>
        <w:t>以摊余成本计量的金融资产；</w:t>
      </w:r>
      <w:r>
        <w:rPr>
          <w:rFonts w:ascii="Times New Roman" w:hAnsi="Times New Roman" w:cs="Times New Roman" w:eastAsia="Times New Roman" w:hint="default"/>
          <w:spacing w:val="-2"/>
        </w:rPr>
        <w:t>(2)</w:t>
      </w:r>
      <w:r>
        <w:rPr>
          <w:spacing w:val="-2"/>
        </w:rPr>
        <w:t>以公允价值计量且其变动计入其他综合收益的金融资产；</w:t>
      </w:r>
      <w:r>
        <w:rPr>
          <w:rFonts w:ascii="Times New Roman" w:hAnsi="Times New Roman" w:cs="Times New Roman" w:eastAsia="Times New Roman" w:hint="default"/>
          <w:spacing w:val="-2"/>
        </w:rPr>
        <w:t>(3)</w:t>
      </w:r>
      <w:r>
        <w:rPr>
          <w:spacing w:val="-2"/>
        </w:rPr>
        <w:t>以公允</w:t>
      </w:r>
      <w:r>
        <w:rPr>
          <w:spacing w:val="-50"/>
        </w:rPr>
        <w:t> </w:t>
      </w:r>
      <w:r>
        <w:rPr>
          <w:spacing w:val="-50"/>
        </w:rPr>
      </w:r>
      <w:r>
        <w:rPr/>
        <w:t>价值计量且其变动计入当期损益的金融资产。</w:t>
      </w:r>
    </w:p>
    <w:p>
      <w:pPr>
        <w:pStyle w:val="BodyText"/>
        <w:spacing w:line="350" w:lineRule="auto" w:before="46"/>
        <w:ind w:left="138" w:right="109" w:firstLine="420"/>
        <w:jc w:val="both"/>
      </w:pPr>
      <w:r>
        <w:rPr>
          <w:spacing w:val="-2"/>
        </w:rPr>
        <w:t>金融资产在初始确认时以公允价值计量。对于以公允价值计量且其变动计入当期损益的金融资</w:t>
      </w:r>
      <w:r>
        <w:rPr>
          <w:w w:val="100"/>
        </w:rPr>
        <w:t> </w:t>
      </w:r>
      <w:r>
        <w:rPr>
          <w:spacing w:val="-6"/>
        </w:rPr>
        <w:t>产，相关交易费用直接计入当期损益；对于其他类别的金融资产，相关交易费用计入初始确认金额。</w:t>
      </w:r>
      <w:r>
        <w:rPr>
          <w:spacing w:val="-18"/>
        </w:rPr>
        <w:t> </w:t>
      </w:r>
      <w:r>
        <w:rPr>
          <w:spacing w:val="-18"/>
        </w:rPr>
      </w:r>
      <w:r>
        <w:rPr>
          <w:spacing w:val="-2"/>
        </w:rPr>
        <w:t>因销售产品或提供劳务而产生的、未包含或不考虑重大融资成分的应收账款或应收票据，本集团按</w:t>
      </w:r>
      <w:r>
        <w:rPr>
          <w:spacing w:val="-25"/>
        </w:rPr>
        <w:t> </w:t>
      </w:r>
      <w:r>
        <w:rPr>
          <w:spacing w:val="-25"/>
        </w:rPr>
      </w:r>
      <w:r>
        <w:rPr/>
        <w:t>照预期有权收取的对价金额作为初始确认金额。</w:t>
      </w:r>
    </w:p>
    <w:p>
      <w:pPr>
        <w:pStyle w:val="BodyText"/>
        <w:spacing w:line="350" w:lineRule="auto" w:before="27"/>
        <w:ind w:left="558" w:right="192"/>
        <w:jc w:val="left"/>
      </w:pPr>
      <w:r>
        <w:rPr/>
        <w:t>债务工具</w:t>
      </w:r>
      <w:r>
        <w:rPr>
          <w:w w:val="100"/>
        </w:rPr>
        <w:t> </w:t>
      </w:r>
      <w:r>
        <w:rPr>
          <w:spacing w:val="-2"/>
        </w:rPr>
        <w:t>本集团持有的债务工具是指从发行方角度分析符合金融负债定义的工具，分别采用以下三种方</w:t>
      </w:r>
    </w:p>
    <w:p>
      <w:pPr>
        <w:pStyle w:val="BodyText"/>
        <w:spacing w:line="240" w:lineRule="auto" w:before="29"/>
        <w:ind w:left="138" w:right="0"/>
        <w:jc w:val="both"/>
      </w:pPr>
      <w:r>
        <w:rPr/>
        <w:t>式进行计量：</w:t>
      </w:r>
    </w:p>
    <w:p>
      <w:pPr>
        <w:pStyle w:val="BodyText"/>
        <w:spacing w:line="350" w:lineRule="auto" w:before="123"/>
        <w:ind w:left="558" w:right="192"/>
        <w:jc w:val="left"/>
      </w:pPr>
      <w:r>
        <w:rPr/>
        <w:t>以摊余成本计量：</w:t>
      </w:r>
      <w:r>
        <w:rPr>
          <w:w w:val="100"/>
        </w:rPr>
        <w:t> </w:t>
      </w:r>
      <w:r>
        <w:rPr>
          <w:spacing w:val="-2"/>
        </w:rPr>
        <w:t>本集团管理此类金融资产的业务模式为以收取合同现金流量为目标，且此类金融资产的合同现</w:t>
      </w:r>
    </w:p>
    <w:p>
      <w:pPr>
        <w:pStyle w:val="BodyText"/>
        <w:spacing w:line="343" w:lineRule="auto" w:before="29"/>
        <w:ind w:left="138" w:right="110"/>
        <w:jc w:val="both"/>
      </w:pPr>
      <w:r>
        <w:rPr>
          <w:spacing w:val="-2"/>
        </w:rPr>
        <w:t>金流量特征与基本借贷安排相一致，即在特定日期产生的现金流量，仅为对本金和以未偿付本金金</w:t>
      </w:r>
      <w:r>
        <w:rPr>
          <w:spacing w:val="-25"/>
        </w:rPr>
        <w:t> </w:t>
      </w:r>
      <w:r>
        <w:rPr>
          <w:spacing w:val="-25"/>
        </w:rPr>
      </w:r>
      <w:r>
        <w:rPr>
          <w:spacing w:val="-2"/>
        </w:rPr>
        <w:t>额为基础的利息的支付。本集团对于此类金融资产按照实际利率法确认利息收入。此类金融资产主</w:t>
      </w:r>
      <w:r>
        <w:rPr>
          <w:spacing w:val="-25"/>
        </w:rPr>
        <w:t> </w:t>
      </w:r>
      <w:r>
        <w:rPr>
          <w:spacing w:val="-25"/>
        </w:rPr>
      </w:r>
      <w:r>
        <w:rPr>
          <w:spacing w:val="-2"/>
        </w:rPr>
        <w:t>要包括货币资金、应收票据、应收账款、其他应收款、债权投资和长期应收款等。本集团将自资产</w:t>
      </w:r>
      <w:r>
        <w:rPr>
          <w:spacing w:val="-25"/>
        </w:rPr>
        <w:t> </w:t>
      </w:r>
      <w:r>
        <w:rPr>
          <w:spacing w:val="-25"/>
        </w:rPr>
      </w:r>
      <w:r>
        <w:rPr>
          <w:spacing w:val="-4"/>
        </w:rPr>
        <w:t>负债表日起一年内</w:t>
      </w:r>
      <w:r>
        <w:rPr>
          <w:rFonts w:ascii="Times New Roman" w:hAnsi="Times New Roman" w:cs="Times New Roman" w:eastAsia="Times New Roman" w:hint="default"/>
          <w:spacing w:val="-4"/>
        </w:rPr>
        <w:t>(</w:t>
      </w:r>
      <w:r>
        <w:rPr>
          <w:spacing w:val="-4"/>
        </w:rPr>
        <w:t>含一年</w:t>
      </w:r>
      <w:r>
        <w:rPr>
          <w:rFonts w:ascii="Times New Roman" w:hAnsi="Times New Roman" w:cs="Times New Roman" w:eastAsia="Times New Roman" w:hint="default"/>
          <w:spacing w:val="-4"/>
        </w:rPr>
        <w:t>)</w:t>
      </w:r>
      <w:r>
        <w:rPr>
          <w:spacing w:val="-4"/>
        </w:rPr>
        <w:t>到期的债权投资和长期应收款，列示为一年内到期的非流动资产；取得时</w:t>
      </w:r>
      <w:r>
        <w:rPr>
          <w:spacing w:val="-34"/>
        </w:rPr>
        <w:t> </w:t>
      </w:r>
      <w:r>
        <w:rPr>
          <w:spacing w:val="-34"/>
        </w:rPr>
      </w:r>
      <w:r>
        <w:rPr/>
        <w:t>期限在一年内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的债权投资列示为其他流动资产。</w:t>
      </w:r>
    </w:p>
    <w:p>
      <w:pPr>
        <w:pStyle w:val="BodyText"/>
        <w:spacing w:line="350" w:lineRule="auto" w:before="10"/>
        <w:ind w:left="138" w:right="0" w:firstLine="420"/>
        <w:jc w:val="left"/>
      </w:pPr>
      <w:r>
        <w:rPr/>
        <w:t>以公允价值计量且其变动计入其他综合收益：</w:t>
      </w:r>
      <w:r>
        <w:rPr>
          <w:w w:val="100"/>
        </w:rPr>
        <w:t> </w:t>
      </w:r>
      <w:r>
        <w:rPr>
          <w:spacing w:val="-1"/>
        </w:rPr>
        <w:t>本集团管理此类金融资产的业务模式为既以收取合同现金流量为目标又以出售为目标，且此类金融</w:t>
      </w:r>
      <w:r>
        <w:rPr>
          <w:spacing w:val="-19"/>
        </w:rPr>
        <w:t> </w:t>
      </w:r>
      <w:r>
        <w:rPr>
          <w:spacing w:val="-19"/>
        </w:rPr>
      </w:r>
      <w:r>
        <w:rPr>
          <w:spacing w:val="-1"/>
        </w:rPr>
        <w:t>资产的合同现金流量特征与基本借贷安排相一致。此类金融资产按照公允价值计量且其变动计入其</w:t>
      </w:r>
      <w:r>
        <w:rPr>
          <w:spacing w:val="-20"/>
        </w:rPr>
        <w:t> </w:t>
      </w:r>
      <w:r>
        <w:rPr>
          <w:spacing w:val="-20"/>
        </w:rPr>
      </w:r>
      <w:r>
        <w:rPr>
          <w:spacing w:val="-1"/>
        </w:rPr>
        <w:t>他综合收益，但减值损失或利得、汇兑损益和按照实际利率法计算的利息收入计入当期损益。此类</w:t>
      </w:r>
    </w:p>
    <w:p>
      <w:pPr>
        <w:spacing w:after="0" w:line="350" w:lineRule="auto"/>
        <w:jc w:val="left"/>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28" w:lineRule="auto" w:before="36"/>
        <w:ind w:left="138" w:right="109"/>
        <w:jc w:val="both"/>
      </w:pPr>
      <w:r>
        <w:rPr>
          <w:spacing w:val="-4"/>
        </w:rPr>
        <w:t>金融资产主要包括应收款项融资、其他债权投资等。本集团自资产负债表日起一年内</w:t>
      </w:r>
      <w:r>
        <w:rPr>
          <w:rFonts w:ascii="Times New Roman" w:hAnsi="Times New Roman" w:cs="Times New Roman" w:eastAsia="Times New Roman" w:hint="default"/>
          <w:spacing w:val="-4"/>
        </w:rPr>
        <w:t>(</w:t>
      </w:r>
      <w:r>
        <w:rPr>
          <w:spacing w:val="-4"/>
        </w:rPr>
        <w:t>含一年</w:t>
      </w:r>
      <w:r>
        <w:rPr>
          <w:rFonts w:ascii="Times New Roman" w:hAnsi="Times New Roman" w:cs="Times New Roman" w:eastAsia="Times New Roman" w:hint="default"/>
          <w:spacing w:val="-4"/>
        </w:rPr>
        <w:t>)</w:t>
      </w:r>
      <w:r>
        <w:rPr>
          <w:spacing w:val="-4"/>
        </w:rPr>
        <w:t>到期的</w:t>
      </w:r>
      <w:r>
        <w:rPr>
          <w:spacing w:val="-34"/>
        </w:rPr>
        <w:t> </w:t>
      </w:r>
      <w:r>
        <w:rPr>
          <w:spacing w:val="-34"/>
        </w:rPr>
      </w:r>
      <w:r>
        <w:rPr>
          <w:spacing w:val="-4"/>
        </w:rPr>
        <w:t>其他债权投资，列示为一年内到期的非流动资产；取得时期限在一年内</w:t>
      </w:r>
      <w:r>
        <w:rPr>
          <w:rFonts w:ascii="Times New Roman" w:hAnsi="Times New Roman" w:cs="Times New Roman" w:eastAsia="Times New Roman" w:hint="default"/>
          <w:spacing w:val="-4"/>
        </w:rPr>
        <w:t>(</w:t>
      </w:r>
      <w:r>
        <w:rPr>
          <w:spacing w:val="-4"/>
        </w:rPr>
        <w:t>含一年</w:t>
      </w:r>
      <w:r>
        <w:rPr>
          <w:rFonts w:ascii="Times New Roman" w:hAnsi="Times New Roman" w:cs="Times New Roman" w:eastAsia="Times New Roman" w:hint="default"/>
          <w:spacing w:val="-4"/>
        </w:rPr>
        <w:t>)</w:t>
      </w:r>
      <w:r>
        <w:rPr>
          <w:spacing w:val="-4"/>
        </w:rPr>
        <w:t>的其他债权投资列示</w:t>
      </w:r>
      <w:r>
        <w:rPr>
          <w:spacing w:val="-33"/>
        </w:rPr>
        <w:t> </w:t>
      </w:r>
      <w:r>
        <w:rPr>
          <w:spacing w:val="-33"/>
        </w:rPr>
      </w:r>
      <w:r>
        <w:rPr/>
        <w:t>为其他流动资产。</w:t>
      </w:r>
    </w:p>
    <w:p>
      <w:pPr>
        <w:pStyle w:val="BodyText"/>
        <w:spacing w:line="348" w:lineRule="auto" w:before="48"/>
        <w:ind w:left="558" w:right="0"/>
        <w:jc w:val="left"/>
      </w:pPr>
      <w:r>
        <w:rPr/>
        <w:t>以公允价值计量且其变动计入当期损益：</w:t>
      </w:r>
      <w:r>
        <w:rPr>
          <w:w w:val="100"/>
        </w:rPr>
        <w:t> </w:t>
      </w:r>
      <w:r>
        <w:rPr>
          <w:spacing w:val="-1"/>
        </w:rPr>
        <w:t>本集团将持有的未划分为以摊余成本计量和以公允价值计量且其变动计入其他综合收益的债务</w:t>
      </w:r>
    </w:p>
    <w:p>
      <w:pPr>
        <w:pStyle w:val="BodyText"/>
        <w:spacing w:line="348" w:lineRule="auto" w:before="31"/>
        <w:ind w:left="138" w:right="110"/>
        <w:jc w:val="both"/>
      </w:pPr>
      <w:r>
        <w:rPr>
          <w:spacing w:val="-1"/>
        </w:rPr>
        <w:t>工具，以公允价值计量且其变动计入当期损益，列示为交易性金融资产。在初始确认时，本集团为</w:t>
      </w:r>
      <w:r>
        <w:rPr>
          <w:spacing w:val="-21"/>
        </w:rPr>
        <w:t> </w:t>
      </w:r>
      <w:r>
        <w:rPr>
          <w:spacing w:val="-21"/>
        </w:rPr>
      </w:r>
      <w:r>
        <w:rPr>
          <w:spacing w:val="-1"/>
        </w:rPr>
        <w:t>了消除或显著减少会计错配，将部分金融资产指定为以公允价值计量且其变动计入当期损益的金融</w:t>
      </w:r>
      <w:r>
        <w:rPr>
          <w:spacing w:val="-20"/>
        </w:rPr>
        <w:t> </w:t>
      </w:r>
      <w:r>
        <w:rPr>
          <w:spacing w:val="-20"/>
        </w:rPr>
      </w:r>
      <w:r>
        <w:rPr/>
        <w:t>资产。自资产负债表日起超过一年到期且预期持有超过一年的，列示为其他非流动金融资产。</w:t>
      </w:r>
    </w:p>
    <w:p>
      <w:pPr>
        <w:pStyle w:val="BodyText"/>
        <w:spacing w:line="350" w:lineRule="auto" w:before="31"/>
        <w:ind w:left="558" w:right="192"/>
        <w:jc w:val="left"/>
      </w:pPr>
      <w:r>
        <w:rPr/>
        <w:t>权益工具</w:t>
      </w:r>
      <w:r>
        <w:rPr>
          <w:w w:val="100"/>
        </w:rPr>
        <w:t> </w:t>
      </w:r>
      <w:r>
        <w:rPr>
          <w:spacing w:val="-2"/>
        </w:rPr>
        <w:t>本集团将对其没有控制、共同控制和重大影响的权益工具投资按照公允价值计量且其变动计入</w:t>
      </w:r>
    </w:p>
    <w:p>
      <w:pPr>
        <w:pStyle w:val="BodyText"/>
        <w:spacing w:line="350" w:lineRule="auto" w:before="27"/>
        <w:ind w:left="138" w:right="148"/>
        <w:jc w:val="both"/>
      </w:pPr>
      <w:r>
        <w:rPr>
          <w:spacing w:val="-2"/>
        </w:rPr>
        <w:t>当期损益，列示为交易性金融资产；自资产负债表日起预期持有超过一年的，列示为其他非流动金</w:t>
      </w:r>
      <w:r>
        <w:rPr>
          <w:spacing w:val="-25"/>
        </w:rPr>
        <w:t> </w:t>
      </w:r>
      <w:r>
        <w:rPr>
          <w:spacing w:val="-25"/>
        </w:rPr>
      </w:r>
      <w:r>
        <w:rPr/>
        <w:t>融资产。</w:t>
      </w:r>
    </w:p>
    <w:p>
      <w:pPr>
        <w:pStyle w:val="BodyText"/>
        <w:spacing w:line="328" w:lineRule="auto" w:before="29"/>
        <w:ind w:left="558" w:right="192"/>
        <w:jc w:val="left"/>
      </w:pPr>
      <w:r>
        <w:rPr>
          <w:rFonts w:ascii="Times New Roman" w:hAnsi="Times New Roman" w:cs="Times New Roman" w:eastAsia="Times New Roman" w:hint="default"/>
        </w:rPr>
        <w:t>(b)</w:t>
      </w:r>
      <w:r>
        <w:rPr/>
        <w:t>减值</w:t>
      </w:r>
      <w:r>
        <w:rPr>
          <w:w w:val="100"/>
        </w:rPr>
        <w:t> </w:t>
      </w:r>
      <w:r>
        <w:rPr>
          <w:spacing w:val="-2"/>
        </w:rPr>
        <w:t>本集团对于以摊余成本计量的金融资产、以公允价值计量且其变动计入其他综合收益的债务工</w:t>
      </w:r>
    </w:p>
    <w:p>
      <w:pPr>
        <w:pStyle w:val="BodyText"/>
        <w:spacing w:line="350" w:lineRule="auto" w:before="48"/>
        <w:ind w:left="558" w:right="192" w:hanging="420"/>
        <w:jc w:val="left"/>
      </w:pPr>
      <w:r>
        <w:rPr/>
        <w:t>具投资、合同资产和财务担保合同等，以预期信用损失为基础确认损失准备。</w:t>
      </w:r>
      <w:r>
        <w:rPr>
          <w:w w:val="100"/>
        </w:rPr>
        <w:t> </w:t>
      </w:r>
      <w:r>
        <w:rPr>
          <w:spacing w:val="-2"/>
        </w:rPr>
        <w:t>本集团考虑有关过去事项、当前状况以及对未来经济状况的预测等合理且有依据的信息，以发</w:t>
      </w:r>
    </w:p>
    <w:p>
      <w:pPr>
        <w:pStyle w:val="BodyText"/>
        <w:spacing w:line="350" w:lineRule="auto" w:before="27"/>
        <w:ind w:left="138" w:right="148"/>
        <w:jc w:val="both"/>
      </w:pPr>
      <w:r>
        <w:rPr>
          <w:spacing w:val="-2"/>
        </w:rPr>
        <w:t>生违约的风险为权重，计算合同应收的现金流量与预期能收到的现金流量之间差额的现值的概率加</w:t>
      </w:r>
      <w:r>
        <w:rPr>
          <w:spacing w:val="-25"/>
        </w:rPr>
        <w:t> </w:t>
      </w:r>
      <w:r>
        <w:rPr>
          <w:spacing w:val="-25"/>
        </w:rPr>
      </w:r>
      <w:r>
        <w:rPr/>
        <w:t>权金额，确认预期信用损失。</w:t>
      </w:r>
    </w:p>
    <w:p>
      <w:pPr>
        <w:pStyle w:val="BodyText"/>
        <w:spacing w:line="343" w:lineRule="auto" w:before="29"/>
        <w:ind w:left="138" w:right="109" w:firstLine="420"/>
        <w:jc w:val="both"/>
      </w:pPr>
      <w:r>
        <w:rPr>
          <w:spacing w:val="-1"/>
        </w:rPr>
        <w:t>于每个资产负债表日，本集团对于处于不同阶段的金融工具的预期信用损失分别进行计量。金</w:t>
      </w:r>
      <w:r>
        <w:rPr>
          <w:w w:val="100"/>
        </w:rPr>
        <w:t> </w:t>
      </w:r>
      <w:r>
        <w:rPr>
          <w:spacing w:val="-4"/>
        </w:rPr>
        <w:t>融工具自初始确认后信用风险未显著增加的，处于第一阶段，本集团按照未来 </w:t>
      </w:r>
      <w:r>
        <w:rPr>
          <w:rFonts w:ascii="Times New Roman" w:hAnsi="Times New Roman" w:cs="Times New Roman" w:eastAsia="Times New Roman" w:hint="default"/>
        </w:rPr>
        <w:t>12 </w:t>
      </w:r>
      <w:r>
        <w:rPr/>
        <w:t>个月内的预期信用</w:t>
      </w:r>
      <w:r>
        <w:rPr>
          <w:spacing w:val="-91"/>
        </w:rPr>
        <w:t> </w:t>
      </w:r>
      <w:r>
        <w:rPr>
          <w:spacing w:val="-91"/>
        </w:rPr>
      </w:r>
      <w:r>
        <w:rPr>
          <w:spacing w:val="-1"/>
        </w:rPr>
        <w:t>损失计量损失准备；金融工具自初始确认后信用风险已显著增加但尚未发生信用减值的，处于第二</w:t>
      </w:r>
      <w:r>
        <w:rPr>
          <w:spacing w:val="-20"/>
        </w:rPr>
        <w:t> </w:t>
      </w:r>
      <w:r>
        <w:rPr>
          <w:spacing w:val="-20"/>
        </w:rPr>
      </w:r>
      <w:r>
        <w:rPr>
          <w:spacing w:val="-1"/>
        </w:rPr>
        <w:t>阶段，本集团按照该工具整个存续期的预期信用损失计量损失准备；金融工具自初始确认后已经发</w:t>
      </w:r>
      <w:r>
        <w:rPr>
          <w:spacing w:val="-20"/>
        </w:rPr>
        <w:t> </w:t>
      </w:r>
      <w:r>
        <w:rPr>
          <w:spacing w:val="-20"/>
        </w:rPr>
      </w:r>
      <w:r>
        <w:rPr/>
        <w:t>生信用减值的，处于第三阶段，本集团按照该工具整个存续期的预期信用损失计量损失准备。</w:t>
      </w:r>
    </w:p>
    <w:p>
      <w:pPr>
        <w:pStyle w:val="BodyText"/>
        <w:spacing w:line="350" w:lineRule="auto" w:before="35"/>
        <w:ind w:left="138" w:right="113" w:firstLine="420"/>
        <w:jc w:val="both"/>
      </w:pPr>
      <w:r>
        <w:rPr>
          <w:spacing w:val="-1"/>
        </w:rPr>
        <w:t>对于在资产负债表日具有较低信用风险的金融工具，本集团假设其信用风险自初始确认后并未</w:t>
      </w:r>
      <w:r>
        <w:rPr>
          <w:w w:val="100"/>
        </w:rPr>
        <w:t> </w:t>
      </w:r>
      <w:r>
        <w:rPr/>
        <w:t>显著增加，按照未来</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个月内的预期信用损失计量损失准备。</w:t>
      </w:r>
    </w:p>
    <w:p>
      <w:pPr>
        <w:pStyle w:val="BodyText"/>
        <w:spacing w:line="350" w:lineRule="auto"/>
        <w:ind w:left="138" w:right="148" w:firstLine="420"/>
        <w:jc w:val="both"/>
      </w:pPr>
      <w:r>
        <w:rPr>
          <w:spacing w:val="-2"/>
        </w:rPr>
        <w:t>本集团对于处于第一阶段和第二阶段、以及较低信用风险的金融工具，按照其未扣除减值准备</w:t>
      </w:r>
      <w:r>
        <w:rPr>
          <w:w w:val="100"/>
        </w:rPr>
        <w:t> </w:t>
      </w:r>
      <w:r>
        <w:rPr>
          <w:spacing w:val="-2"/>
        </w:rPr>
        <w:t>的账面余额和实际利率计算利息收入。对于处于第三阶段的金融工具，按照其账面余额减已计提减</w:t>
      </w:r>
      <w:r>
        <w:rPr>
          <w:spacing w:val="-25"/>
        </w:rPr>
        <w:t> </w:t>
      </w:r>
      <w:r>
        <w:rPr>
          <w:spacing w:val="-25"/>
        </w:rPr>
      </w:r>
      <w:r>
        <w:rPr/>
        <w:t>值准备后的摊余成本和实际利率计算利息收入。</w:t>
      </w:r>
    </w:p>
    <w:p>
      <w:pPr>
        <w:pStyle w:val="BodyText"/>
        <w:spacing w:line="350" w:lineRule="auto" w:before="27"/>
        <w:ind w:left="138" w:right="148" w:firstLine="420"/>
        <w:jc w:val="both"/>
      </w:pPr>
      <w:r>
        <w:rPr>
          <w:spacing w:val="-2"/>
        </w:rPr>
        <w:t>对于因销售商品、提供劳务等日常经营活动形成的应收票据、应收账款、应收款项融资和合同</w:t>
      </w:r>
      <w:r>
        <w:rPr>
          <w:w w:val="100"/>
        </w:rPr>
        <w:t> </w:t>
      </w:r>
      <w:r>
        <w:rPr/>
        <w:t>资产，无论是否存在重大融资成分，本集团均按照整个存续期的预期信用损失计量损失准备。</w:t>
      </w:r>
    </w:p>
    <w:p>
      <w:pPr>
        <w:pStyle w:val="BodyText"/>
        <w:spacing w:line="348" w:lineRule="auto" w:before="29"/>
        <w:ind w:left="138" w:right="148" w:firstLine="420"/>
        <w:jc w:val="both"/>
      </w:pPr>
      <w:r>
        <w:rPr>
          <w:spacing w:val="-2"/>
        </w:rPr>
        <w:t>当单项金融资产无法以合理成本评估预期信用损失的信息时，本集团依据信用风险特征将应收</w:t>
      </w:r>
      <w:r>
        <w:rPr>
          <w:w w:val="100"/>
        </w:rPr>
        <w:t> </w:t>
      </w:r>
      <w:r>
        <w:rPr/>
        <w:t>款项划分为若干组合，在组合基础上计算预期信用损失，确定组合的依据如下：</w:t>
      </w:r>
    </w:p>
    <w:p>
      <w:pPr>
        <w:spacing w:line="240" w:lineRule="auto" w:before="4"/>
        <w:rPr>
          <w:rFonts w:ascii="宋体" w:hAnsi="宋体" w:cs="宋体" w:eastAsia="宋体" w:hint="default"/>
          <w:sz w:val="7"/>
          <w:szCs w:val="7"/>
        </w:rPr>
      </w:pPr>
    </w:p>
    <w:tbl>
      <w:tblPr>
        <w:tblW w:w="0" w:type="auto"/>
        <w:jc w:val="left"/>
        <w:tblInd w:w="661" w:type="dxa"/>
        <w:tblLayout w:type="fixed"/>
        <w:tblCellMar>
          <w:top w:w="0" w:type="dxa"/>
          <w:left w:w="0" w:type="dxa"/>
          <w:bottom w:w="0" w:type="dxa"/>
          <w:right w:w="0" w:type="dxa"/>
        </w:tblCellMar>
        <w:tblLook w:val="01E0"/>
      </w:tblPr>
      <w:tblGrid>
        <w:gridCol w:w="1695"/>
        <w:gridCol w:w="6842"/>
      </w:tblGrid>
      <w:tr>
        <w:trPr>
          <w:trHeight w:val="306"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6842" w:type="dxa"/>
            <w:tcBorders>
              <w:top w:val="nil" w:sz="6" w:space="0" w:color="auto"/>
              <w:left w:val="nil" w:sz="6" w:space="0" w:color="auto"/>
              <w:bottom w:val="nil" w:sz="6" w:space="0" w:color="auto"/>
              <w:right w:val="nil" w:sz="6" w:space="0" w:color="auto"/>
            </w:tcBorders>
          </w:tcPr>
          <w:p>
            <w:pPr>
              <w:pStyle w:val="TableParagraph"/>
              <w:spacing w:line="211" w:lineRule="exact"/>
              <w:ind w:left="232" w:right="0"/>
              <w:jc w:val="left"/>
              <w:rPr>
                <w:rFonts w:ascii="宋体" w:hAnsi="宋体" w:cs="宋体" w:eastAsia="宋体" w:hint="default"/>
                <w:sz w:val="21"/>
                <w:szCs w:val="21"/>
              </w:rPr>
            </w:pPr>
            <w:r>
              <w:rPr>
                <w:rFonts w:ascii="宋体" w:hAnsi="宋体" w:cs="宋体" w:eastAsia="宋体" w:hint="default"/>
                <w:sz w:val="21"/>
                <w:szCs w:val="21"/>
              </w:rPr>
              <w:t>银行承兑汇票组合</w:t>
            </w:r>
            <w:r>
              <w:rPr>
                <w:rFonts w:ascii="宋体" w:hAnsi="宋体" w:cs="宋体" w:eastAsia="宋体" w:hint="default"/>
                <w:sz w:val="21"/>
                <w:szCs w:val="21"/>
              </w:rPr>
              <w:t> </w:t>
            </w:r>
          </w:p>
        </w:tc>
      </w:tr>
      <w:tr>
        <w:trPr>
          <w:trHeight w:val="316"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Arial" w:hAnsi="Arial" w:cs="Arial" w:eastAsia="Arial"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Arial" w:hAnsi="Arial" w:cs="Arial" w:eastAsia="Arial" w:hint="default"/>
                <w:sz w:val="21"/>
                <w:szCs w:val="21"/>
              </w:rPr>
              <w:t>A</w:t>
            </w:r>
          </w:p>
        </w:tc>
        <w:tc>
          <w:tcPr>
            <w:tcW w:w="684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32" w:right="0"/>
              <w:jc w:val="left"/>
              <w:rPr>
                <w:rFonts w:ascii="宋体" w:hAnsi="宋体" w:cs="宋体" w:eastAsia="宋体" w:hint="default"/>
                <w:sz w:val="21"/>
                <w:szCs w:val="21"/>
              </w:rPr>
            </w:pPr>
            <w:r>
              <w:rPr>
                <w:rFonts w:ascii="宋体" w:hAnsi="宋体" w:cs="宋体" w:eastAsia="宋体" w:hint="default"/>
                <w:sz w:val="21"/>
                <w:szCs w:val="21"/>
              </w:rPr>
              <w:t>应收子公司的应收商业承兑汇票、应收账款、其他应收款及合同资产</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58"/>
          <w:pgSz w:w="11910" w:h="16840"/>
          <w:pgMar w:footer="974" w:header="882" w:top="1120" w:bottom="1160" w:left="128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661" w:type="dxa"/>
        <w:tblLayout w:type="fixed"/>
        <w:tblCellMar>
          <w:top w:w="0" w:type="dxa"/>
          <w:left w:w="0" w:type="dxa"/>
          <w:bottom w:w="0" w:type="dxa"/>
          <w:right w:w="0" w:type="dxa"/>
        </w:tblCellMar>
        <w:tblLook w:val="01E0"/>
      </w:tblPr>
      <w:tblGrid>
        <w:gridCol w:w="1377"/>
        <w:gridCol w:w="7072"/>
      </w:tblGrid>
      <w:tr>
        <w:trPr>
          <w:trHeight w:val="31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Arial" w:hAnsi="Arial" w:cs="Arial" w:eastAsia="Arial"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Arial" w:hAnsi="Arial" w:cs="Arial" w:eastAsia="Arial" w:hint="default"/>
                <w:sz w:val="21"/>
                <w:szCs w:val="21"/>
              </w:rPr>
              <w:t>B</w:t>
            </w:r>
          </w:p>
        </w:tc>
        <w:tc>
          <w:tcPr>
            <w:tcW w:w="7072" w:type="dxa"/>
            <w:tcBorders>
              <w:top w:val="nil" w:sz="6" w:space="0" w:color="auto"/>
              <w:left w:val="nil" w:sz="6" w:space="0" w:color="auto"/>
              <w:bottom w:val="nil" w:sz="6" w:space="0" w:color="auto"/>
              <w:right w:val="nil" w:sz="6" w:space="0" w:color="auto"/>
            </w:tcBorders>
          </w:tcPr>
          <w:p>
            <w:pPr>
              <w:pStyle w:val="TableParagraph"/>
              <w:spacing w:line="211" w:lineRule="exact"/>
              <w:ind w:left="551" w:right="0"/>
              <w:jc w:val="left"/>
              <w:rPr>
                <w:rFonts w:ascii="宋体" w:hAnsi="宋体" w:cs="宋体" w:eastAsia="宋体" w:hint="default"/>
                <w:sz w:val="21"/>
                <w:szCs w:val="21"/>
              </w:rPr>
            </w:pPr>
            <w:r>
              <w:rPr>
                <w:rFonts w:ascii="宋体" w:hAnsi="宋体" w:cs="宋体" w:eastAsia="宋体" w:hint="default"/>
                <w:sz w:val="21"/>
                <w:szCs w:val="21"/>
              </w:rPr>
              <w:t>贷款及垫款类款项</w:t>
            </w:r>
          </w:p>
        </w:tc>
      </w:tr>
      <w:tr>
        <w:trPr>
          <w:trHeight w:val="40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00" w:right="0"/>
              <w:jc w:val="left"/>
              <w:rPr>
                <w:rFonts w:ascii="Arial" w:hAnsi="Arial" w:cs="Arial" w:eastAsia="Arial"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Arial" w:hAnsi="Arial" w:cs="Arial" w:eastAsia="Arial" w:hint="default"/>
                <w:sz w:val="21"/>
                <w:szCs w:val="21"/>
              </w:rPr>
              <w:t>C</w:t>
            </w:r>
          </w:p>
        </w:tc>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1" w:right="0"/>
              <w:jc w:val="left"/>
              <w:rPr>
                <w:rFonts w:ascii="宋体" w:hAnsi="宋体" w:cs="宋体" w:eastAsia="宋体" w:hint="default"/>
                <w:sz w:val="21"/>
                <w:szCs w:val="21"/>
              </w:rPr>
            </w:pPr>
            <w:r>
              <w:rPr>
                <w:rFonts w:ascii="宋体" w:hAnsi="宋体" w:cs="宋体" w:eastAsia="宋体" w:hint="default"/>
                <w:sz w:val="21"/>
                <w:szCs w:val="21"/>
              </w:rPr>
              <w:t>应收银行存款利息</w:t>
            </w:r>
            <w:r>
              <w:rPr>
                <w:rFonts w:ascii="宋体" w:hAnsi="宋体" w:cs="宋体" w:eastAsia="宋体" w:hint="default"/>
                <w:sz w:val="21"/>
                <w:szCs w:val="21"/>
              </w:rPr>
              <w:t> </w:t>
            </w:r>
          </w:p>
        </w:tc>
      </w:tr>
      <w:tr>
        <w:trPr>
          <w:trHeight w:val="795"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Arial" w:hAnsi="Arial" w:cs="Arial" w:eastAsia="Arial"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Arial" w:hAnsi="Arial" w:cs="Arial" w:eastAsia="Arial" w:hint="default"/>
                <w:sz w:val="21"/>
                <w:szCs w:val="21"/>
              </w:rPr>
              <w:t>D</w:t>
            </w:r>
          </w:p>
        </w:tc>
        <w:tc>
          <w:tcPr>
            <w:tcW w:w="7072" w:type="dxa"/>
            <w:tcBorders>
              <w:top w:val="nil" w:sz="6" w:space="0" w:color="auto"/>
              <w:left w:val="nil" w:sz="6" w:space="0" w:color="auto"/>
              <w:bottom w:val="nil" w:sz="6" w:space="0" w:color="auto"/>
              <w:right w:val="nil" w:sz="6" w:space="0" w:color="auto"/>
            </w:tcBorders>
          </w:tcPr>
          <w:p>
            <w:pPr>
              <w:pStyle w:val="TableParagraph"/>
              <w:spacing w:line="350" w:lineRule="auto" w:before="26"/>
              <w:ind w:left="551" w:right="198"/>
              <w:jc w:val="left"/>
              <w:rPr>
                <w:rFonts w:ascii="宋体" w:hAnsi="宋体" w:cs="宋体" w:eastAsia="宋体" w:hint="default"/>
                <w:sz w:val="21"/>
                <w:szCs w:val="21"/>
              </w:rPr>
            </w:pPr>
            <w:r>
              <w:rPr>
                <w:rFonts w:ascii="宋体" w:hAnsi="宋体" w:cs="宋体" w:eastAsia="宋体" w:hint="default"/>
                <w:spacing w:val="-5"/>
                <w:w w:val="100"/>
                <w:sz w:val="21"/>
                <w:szCs w:val="21"/>
              </w:rPr>
              <w:t>应收合并范围外关联方及第三方的应收商业承兑汇票、</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pacing w:val="-1"/>
                <w:w w:val="100"/>
                <w:sz w:val="21"/>
                <w:szCs w:val="21"/>
              </w:rPr>
              <w:t>应收账款及合</w:t>
            </w:r>
            <w:r>
              <w:rPr>
                <w:rFonts w:ascii="宋体" w:hAnsi="宋体" w:cs="宋体" w:eastAsia="宋体" w:hint="default"/>
                <w:w w:val="100"/>
                <w:sz w:val="21"/>
                <w:szCs w:val="21"/>
              </w:rPr>
              <w:t> </w:t>
            </w:r>
            <w:r>
              <w:rPr>
                <w:rFonts w:ascii="宋体" w:hAnsi="宋体" w:cs="宋体" w:eastAsia="宋体" w:hint="default"/>
                <w:sz w:val="21"/>
                <w:szCs w:val="21"/>
              </w:rPr>
              <w:t>同资产</w:t>
            </w:r>
          </w:p>
        </w:tc>
      </w:tr>
      <w:tr>
        <w:trPr>
          <w:trHeight w:val="315"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0" w:right="0"/>
              <w:jc w:val="left"/>
              <w:rPr>
                <w:rFonts w:ascii="Arial" w:hAnsi="Arial" w:cs="Arial" w:eastAsia="Arial"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Arial" w:hAnsi="Arial" w:cs="Arial" w:eastAsia="Arial" w:hint="default"/>
                <w:sz w:val="21"/>
                <w:szCs w:val="21"/>
              </w:rPr>
              <w:t>E</w:t>
            </w:r>
          </w:p>
        </w:tc>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51" w:right="0"/>
              <w:jc w:val="left"/>
              <w:rPr>
                <w:rFonts w:ascii="宋体" w:hAnsi="宋体" w:cs="宋体" w:eastAsia="宋体" w:hint="default"/>
                <w:sz w:val="21"/>
                <w:szCs w:val="21"/>
              </w:rPr>
            </w:pPr>
            <w:r>
              <w:rPr>
                <w:rFonts w:ascii="宋体" w:hAnsi="宋体" w:cs="宋体" w:eastAsia="宋体" w:hint="default"/>
                <w:sz w:val="21"/>
                <w:szCs w:val="21"/>
              </w:rPr>
              <w:t>除组合</w:t>
            </w:r>
            <w:r>
              <w:rPr>
                <w:rFonts w:ascii="宋体" w:hAnsi="宋体" w:cs="宋体" w:eastAsia="宋体" w:hint="default"/>
                <w:spacing w:val="-54"/>
                <w:sz w:val="21"/>
                <w:szCs w:val="21"/>
              </w:rPr>
              <w:t> </w:t>
            </w:r>
            <w:r>
              <w:rPr>
                <w:rFonts w:ascii="Arial" w:hAnsi="Arial" w:cs="Arial" w:eastAsia="Arial" w:hint="default"/>
                <w:sz w:val="21"/>
                <w:szCs w:val="21"/>
              </w:rPr>
              <w:t>A</w:t>
            </w: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Arial" w:hAnsi="Arial" w:cs="Arial" w:eastAsia="Arial" w:hint="default"/>
                <w:sz w:val="21"/>
                <w:szCs w:val="21"/>
              </w:rPr>
              <w:t>B</w:t>
            </w:r>
            <w:r>
              <w:rPr>
                <w:rFonts w:ascii="Arial" w:hAnsi="Arial" w:cs="Arial" w:eastAsia="Arial" w:hint="default"/>
                <w:spacing w:val="-6"/>
                <w:sz w:val="21"/>
                <w:szCs w:val="21"/>
              </w:rPr>
              <w:t> </w:t>
            </w:r>
            <w:r>
              <w:rPr>
                <w:rFonts w:ascii="宋体" w:hAnsi="宋体" w:cs="宋体" w:eastAsia="宋体" w:hint="default"/>
                <w:sz w:val="21"/>
                <w:szCs w:val="21"/>
              </w:rPr>
              <w:t>及组合</w:t>
            </w:r>
            <w:r>
              <w:rPr>
                <w:rFonts w:ascii="宋体" w:hAnsi="宋体" w:cs="宋体" w:eastAsia="宋体" w:hint="default"/>
                <w:spacing w:val="-56"/>
                <w:sz w:val="21"/>
                <w:szCs w:val="21"/>
              </w:rPr>
              <w:t> </w:t>
            </w:r>
            <w:r>
              <w:rPr>
                <w:rFonts w:ascii="Arial" w:hAnsi="Arial" w:cs="Arial" w:eastAsia="Arial" w:hint="default"/>
                <w:sz w:val="21"/>
                <w:szCs w:val="21"/>
              </w:rPr>
              <w:t>C</w:t>
            </w:r>
            <w:r>
              <w:rPr>
                <w:rFonts w:ascii="Arial" w:hAnsi="Arial" w:cs="Arial" w:eastAsia="Arial" w:hint="default"/>
                <w:spacing w:val="-6"/>
                <w:sz w:val="21"/>
                <w:szCs w:val="21"/>
              </w:rPr>
              <w:t> </w:t>
            </w:r>
            <w:r>
              <w:rPr>
                <w:rFonts w:ascii="宋体" w:hAnsi="宋体" w:cs="宋体" w:eastAsia="宋体" w:hint="default"/>
                <w:sz w:val="21"/>
                <w:szCs w:val="21"/>
              </w:rPr>
              <w:t>外的其他应收款项</w:t>
            </w:r>
            <w:r>
              <w:rPr>
                <w:rFonts w:ascii="宋体" w:hAnsi="宋体" w:cs="宋体" w:eastAsia="宋体" w:hint="default"/>
                <w:sz w:val="21"/>
                <w:szCs w:val="21"/>
              </w:rPr>
              <w:t> </w:t>
            </w:r>
          </w:p>
        </w:tc>
      </w:tr>
    </w:tbl>
    <w:p>
      <w:pPr>
        <w:spacing w:line="240" w:lineRule="auto" w:before="1"/>
        <w:rPr>
          <w:rFonts w:ascii="宋体" w:hAnsi="宋体" w:cs="宋体" w:eastAsia="宋体" w:hint="default"/>
          <w:sz w:val="6"/>
          <w:szCs w:val="6"/>
        </w:rPr>
      </w:pPr>
    </w:p>
    <w:p>
      <w:pPr>
        <w:pStyle w:val="BodyText"/>
        <w:spacing w:line="350" w:lineRule="auto" w:before="36"/>
        <w:ind w:left="138" w:right="148" w:firstLine="420"/>
        <w:jc w:val="both"/>
      </w:pPr>
      <w:r>
        <w:rPr>
          <w:spacing w:val="-2"/>
        </w:rPr>
        <w:t>对于划分为组合的应收账款和因销售商品、因提供劳务等日常经营活动形成的应收票据和应收</w:t>
      </w:r>
      <w:r>
        <w:rPr>
          <w:w w:val="100"/>
        </w:rPr>
        <w:t> </w:t>
      </w:r>
      <w:r>
        <w:rPr>
          <w:spacing w:val="-2"/>
        </w:rPr>
        <w:t>款项融资，本集团参考历史信用损失经验，结合当前状况以及对未来经济状况的预测，通过违约风</w:t>
      </w:r>
      <w:r>
        <w:rPr>
          <w:spacing w:val="-25"/>
        </w:rPr>
        <w:t> </w:t>
      </w:r>
      <w:r>
        <w:rPr>
          <w:spacing w:val="-25"/>
        </w:rPr>
      </w:r>
      <w:r>
        <w:rPr>
          <w:spacing w:val="-2"/>
        </w:rPr>
        <w:t>险敞口和整个存续期预期信用损失率，计算预期信用损失。除此以外的应收票据、应收款项融资和</w:t>
      </w:r>
      <w:r>
        <w:rPr>
          <w:spacing w:val="-25"/>
        </w:rPr>
        <w:t> </w:t>
      </w:r>
      <w:r>
        <w:rPr>
          <w:spacing w:val="-25"/>
        </w:rPr>
      </w:r>
      <w:r>
        <w:rPr>
          <w:spacing w:val="-2"/>
        </w:rPr>
        <w:t>划分为组合的其他应收款，本集团参考历史信用损失经验，结合当前状况以及对未来经济状况的预</w:t>
      </w:r>
      <w:r>
        <w:rPr>
          <w:spacing w:val="-26"/>
        </w:rPr>
        <w:t> </w:t>
      </w:r>
      <w:r>
        <w:rPr>
          <w:spacing w:val="-26"/>
        </w:rPr>
      </w:r>
      <w:r>
        <w:rPr/>
        <w:t>测，通过违约风险敞口和未来</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个月内或整个存续期预期信用损失率，计算预期信用损失。</w:t>
      </w:r>
    </w:p>
    <w:p>
      <w:pPr>
        <w:pStyle w:val="BodyText"/>
        <w:spacing w:line="350" w:lineRule="auto"/>
        <w:ind w:left="138" w:right="148" w:firstLine="420"/>
        <w:jc w:val="both"/>
      </w:pPr>
      <w:r>
        <w:rPr>
          <w:spacing w:val="-2"/>
        </w:rPr>
        <w:t>对于在其他应收款中核算的发放的贷款及垫款，本集团主要基于客户对约定义务的“违约可能</w:t>
      </w:r>
      <w:r>
        <w:rPr>
          <w:w w:val="100"/>
        </w:rPr>
        <w:t> </w:t>
      </w:r>
      <w:r>
        <w:rPr/>
        <w:t>性”和财务状况，并考虑当前的信用敞口及未来可能的发展趋势，计量贷款的信用风险。</w:t>
      </w:r>
    </w:p>
    <w:p>
      <w:pPr>
        <w:pStyle w:val="BodyText"/>
        <w:spacing w:line="348" w:lineRule="auto" w:before="29"/>
        <w:ind w:left="138" w:right="148" w:firstLine="420"/>
        <w:jc w:val="both"/>
      </w:pPr>
      <w:r>
        <w:rPr>
          <w:spacing w:val="-2"/>
        </w:rPr>
        <w:t>本集团将计提或转回的损失准备计入当期损益。对于持有的以公允价值计量且其变动计入其他</w:t>
      </w:r>
      <w:r>
        <w:rPr>
          <w:w w:val="100"/>
        </w:rPr>
        <w:t> </w:t>
      </w:r>
      <w:r>
        <w:rPr/>
        <w:t>综合收益的债务工具，本集团在将减值损失或利得计入当期损益的同时调整其他综合收益。</w:t>
      </w:r>
    </w:p>
    <w:p>
      <w:pPr>
        <w:pStyle w:val="BodyText"/>
        <w:spacing w:line="331" w:lineRule="auto" w:before="31"/>
        <w:ind w:left="558" w:right="0"/>
        <w:jc w:val="left"/>
      </w:pPr>
      <w:r>
        <w:rPr>
          <w:rFonts w:ascii="Times New Roman" w:hAnsi="Times New Roman" w:cs="Times New Roman" w:eastAsia="Times New Roman" w:hint="default"/>
        </w:rPr>
        <w:t>(c)</w:t>
      </w:r>
      <w:r>
        <w:rPr/>
        <w:t>终止确认</w:t>
      </w:r>
      <w:r>
        <w:rPr>
          <w:w w:val="100"/>
        </w:rPr>
        <w:t> </w:t>
      </w:r>
      <w:r>
        <w:rPr>
          <w:spacing w:val="-2"/>
        </w:rPr>
        <w:t>金融资产满足下列条件之一的，予以终止确认：</w:t>
      </w:r>
      <w:r>
        <w:rPr>
          <w:rFonts w:ascii="Times New Roman" w:hAnsi="Times New Roman" w:cs="Times New Roman" w:eastAsia="Times New Roman" w:hint="default"/>
          <w:spacing w:val="-2"/>
        </w:rPr>
        <w:t>(1)</w:t>
      </w:r>
      <w:r>
        <w:rPr>
          <w:spacing w:val="-2"/>
        </w:rPr>
        <w:t>收取该金融资产现金流量的合同权利终止；</w:t>
      </w:r>
    </w:p>
    <w:p>
      <w:pPr>
        <w:pStyle w:val="BodyText"/>
        <w:spacing w:line="340" w:lineRule="auto" w:before="19"/>
        <w:ind w:left="138" w:right="110"/>
        <w:jc w:val="both"/>
      </w:pPr>
      <w:r>
        <w:rPr>
          <w:rFonts w:ascii="Times New Roman" w:hAnsi="Times New Roman" w:cs="Times New Roman" w:eastAsia="Times New Roman" w:hint="default"/>
          <w:spacing w:val="-2"/>
        </w:rPr>
        <w:t>(2)</w:t>
      </w:r>
      <w:r>
        <w:rPr>
          <w:spacing w:val="-2"/>
        </w:rPr>
        <w:t>该金融资产已转移，且本集团将金融资产所有权上几乎所有的风险和报酬转移给转入方；</w:t>
      </w:r>
      <w:r>
        <w:rPr>
          <w:rFonts w:ascii="Times New Roman" w:hAnsi="Times New Roman" w:cs="Times New Roman" w:eastAsia="Times New Roman" w:hint="default"/>
          <w:spacing w:val="-2"/>
        </w:rPr>
        <w:t>(3)</w:t>
      </w:r>
      <w:r>
        <w:rPr>
          <w:spacing w:val="-2"/>
        </w:rPr>
        <w:t>该金</w:t>
      </w:r>
      <w:r>
        <w:rPr>
          <w:spacing w:val="-54"/>
        </w:rPr>
        <w:t> </w:t>
      </w:r>
      <w:r>
        <w:rPr>
          <w:spacing w:val="-1"/>
        </w:rPr>
        <w:t>融资产已转移，虽然本集团既没有转移也没有保留金融资产所有权上几乎所有的风险和报酬，但是</w:t>
      </w:r>
      <w:r>
        <w:rPr>
          <w:spacing w:val="-20"/>
        </w:rPr>
        <w:t> </w:t>
      </w:r>
      <w:r>
        <w:rPr>
          <w:spacing w:val="-20"/>
        </w:rPr>
      </w:r>
      <w:r>
        <w:rPr/>
        <w:t>放弃了对该金融资产控制。</w:t>
      </w:r>
    </w:p>
    <w:p>
      <w:pPr>
        <w:pStyle w:val="BodyText"/>
        <w:spacing w:line="350" w:lineRule="auto" w:before="35"/>
        <w:ind w:left="138" w:right="110" w:firstLine="420"/>
        <w:jc w:val="both"/>
      </w:pPr>
      <w:r>
        <w:rPr>
          <w:spacing w:val="-1"/>
        </w:rPr>
        <w:t>其他权益工具投资终止确认时，其账面价值与收到的对价以及原直接计入其他综合收益的公允</w:t>
      </w:r>
      <w:r>
        <w:rPr>
          <w:w w:val="100"/>
        </w:rPr>
        <w:t> </w:t>
      </w:r>
      <w:r>
        <w:rPr>
          <w:spacing w:val="-1"/>
        </w:rPr>
        <w:t>价值变动累计额之和的差额，计入留存收益；其余金融资产终止确认时，其账面价值与收到的对价</w:t>
      </w:r>
      <w:r>
        <w:rPr>
          <w:spacing w:val="-20"/>
        </w:rPr>
        <w:t> </w:t>
      </w:r>
      <w:r>
        <w:rPr>
          <w:spacing w:val="-20"/>
        </w:rPr>
      </w:r>
      <w:r>
        <w:rPr/>
        <w:t>以及原直接计入其他综合收益的公允价值变动累计额之和的差额，计入当期损益。</w:t>
      </w:r>
    </w:p>
    <w:p>
      <w:pPr>
        <w:pStyle w:val="BodyText"/>
        <w:spacing w:line="331" w:lineRule="auto" w:before="27"/>
        <w:ind w:left="558" w:right="0"/>
        <w:jc w:val="left"/>
      </w:pPr>
      <w:r>
        <w:rPr/>
        <w:t>（</w:t>
      </w:r>
      <w:r>
        <w:rPr>
          <w:rFonts w:ascii="Times New Roman" w:hAnsi="Times New Roman" w:cs="Times New Roman" w:eastAsia="Times New Roman" w:hint="default"/>
        </w:rPr>
        <w:t>2</w:t>
      </w:r>
      <w:r>
        <w:rPr/>
        <w:t>）金融负债</w:t>
      </w:r>
      <w:r>
        <w:rPr>
          <w:w w:val="100"/>
        </w:rPr>
        <w:t> </w:t>
      </w:r>
      <w:r>
        <w:rPr>
          <w:spacing w:val="-1"/>
        </w:rPr>
        <w:t>金融负债于初始确认时分类为以摊余成本计量的金融负债和以公允价值计量且其变动计入当期</w:t>
      </w:r>
    </w:p>
    <w:p>
      <w:pPr>
        <w:pStyle w:val="BodyText"/>
        <w:spacing w:line="348" w:lineRule="auto" w:before="46"/>
        <w:ind w:left="558" w:right="0" w:hanging="420"/>
        <w:jc w:val="left"/>
      </w:pPr>
      <w:r>
        <w:rPr/>
        <w:t>损益的金融负债。</w:t>
      </w:r>
      <w:r>
        <w:rPr>
          <w:w w:val="100"/>
        </w:rPr>
        <w:t> </w:t>
      </w:r>
      <w:r>
        <w:rPr>
          <w:spacing w:val="-6"/>
          <w:w w:val="100"/>
        </w:rPr>
        <w:t>本集团的金融负债主要为以摊余成本计量的金融负债，包括应付票据及应付账款、其他应付款、</w:t>
      </w:r>
    </w:p>
    <w:p>
      <w:pPr>
        <w:pStyle w:val="BodyText"/>
        <w:spacing w:line="338" w:lineRule="auto" w:before="32"/>
        <w:ind w:left="138" w:right="109"/>
        <w:jc w:val="both"/>
      </w:pPr>
      <w:r>
        <w:rPr>
          <w:spacing w:val="-2"/>
        </w:rPr>
        <w:t>借款及应付债券等。该类金融负债按其公允价值扣除交易费用后的金额进行初始计量，并采用实际</w:t>
      </w:r>
      <w:r>
        <w:rPr>
          <w:spacing w:val="-25"/>
        </w:rPr>
        <w:t> </w:t>
      </w:r>
      <w:r>
        <w:rPr>
          <w:spacing w:val="-25"/>
        </w:rPr>
      </w:r>
      <w:r>
        <w:rPr>
          <w:spacing w:val="-4"/>
        </w:rPr>
        <w:t>利率法进行后续计量。期限在一年以下</w:t>
      </w:r>
      <w:r>
        <w:rPr>
          <w:rFonts w:ascii="Times New Roman" w:hAnsi="Times New Roman" w:cs="Times New Roman" w:eastAsia="Times New Roman" w:hint="default"/>
          <w:spacing w:val="-4"/>
        </w:rPr>
        <w:t>(</w:t>
      </w:r>
      <w:r>
        <w:rPr>
          <w:spacing w:val="-4"/>
        </w:rPr>
        <w:t>含一年</w:t>
      </w:r>
      <w:r>
        <w:rPr>
          <w:rFonts w:ascii="Times New Roman" w:hAnsi="Times New Roman" w:cs="Times New Roman" w:eastAsia="Times New Roman" w:hint="default"/>
          <w:spacing w:val="-4"/>
        </w:rPr>
        <w:t>)</w:t>
      </w:r>
      <w:r>
        <w:rPr>
          <w:spacing w:val="-4"/>
        </w:rPr>
        <w:t>的，列示为流动负债；期限在一年以上但自资产负债</w:t>
      </w:r>
      <w:r>
        <w:rPr>
          <w:spacing w:val="-35"/>
        </w:rPr>
        <w:t> </w:t>
      </w:r>
      <w:r>
        <w:rPr>
          <w:spacing w:val="-35"/>
        </w:rPr>
      </w:r>
      <w:r>
        <w:rPr/>
        <w:t>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到期的，列示为一年内到期的非流动负债；其余列示为非流动负债。</w:t>
      </w:r>
    </w:p>
    <w:p>
      <w:pPr>
        <w:pStyle w:val="BodyText"/>
        <w:spacing w:line="350" w:lineRule="auto" w:before="14"/>
        <w:ind w:left="138" w:right="148" w:firstLine="420"/>
        <w:jc w:val="both"/>
      </w:pPr>
      <w:r>
        <w:rPr>
          <w:spacing w:val="-2"/>
        </w:rPr>
        <w:t>当金融负债的现时义务全部或部分已经解除时，本集团终止确认该金融负债或义务已解除的部</w:t>
      </w:r>
      <w:r>
        <w:rPr>
          <w:w w:val="100"/>
        </w:rPr>
        <w:t> </w:t>
      </w:r>
      <w:r>
        <w:rPr/>
        <w:t>分。终止确认部分的账面价值与支付的对价之间的差额，计入当期损益。</w:t>
      </w:r>
    </w:p>
    <w:p>
      <w:pPr>
        <w:pStyle w:val="BodyText"/>
        <w:spacing w:line="331" w:lineRule="auto" w:before="27"/>
        <w:ind w:left="558" w:right="0"/>
        <w:jc w:val="left"/>
      </w:pPr>
      <w:r>
        <w:rPr>
          <w:rFonts w:ascii="Times New Roman" w:hAnsi="Times New Roman" w:cs="Times New Roman" w:eastAsia="Times New Roman" w:hint="default"/>
        </w:rPr>
        <w:t>(3)</w:t>
      </w:r>
      <w:r>
        <w:rPr/>
        <w:t>金融工具的公允价值确定</w:t>
      </w:r>
      <w:r>
        <w:rPr>
          <w:w w:val="100"/>
        </w:rPr>
        <w:t> </w:t>
      </w:r>
      <w:r>
        <w:rPr>
          <w:spacing w:val="-6"/>
          <w:w w:val="100"/>
        </w:rPr>
        <w:t>存在活跃市场的金融工具，以活跃市场中的报价确定其公允价值。不存在活跃市场的金融工具，</w:t>
      </w:r>
    </w:p>
    <w:p>
      <w:pPr>
        <w:pStyle w:val="BodyText"/>
        <w:spacing w:line="240" w:lineRule="auto" w:before="46"/>
        <w:ind w:left="138" w:right="0"/>
        <w:jc w:val="both"/>
      </w:pPr>
      <w:r>
        <w:rPr/>
        <w:t>采用估值技术确定其公允价值。在估值时，本集团采用在当前情况下适用并且有足够可利用数据和</w:t>
      </w:r>
    </w:p>
    <w:p>
      <w:pPr>
        <w:spacing w:after="0" w:line="240" w:lineRule="auto"/>
        <w:jc w:val="both"/>
        <w:sectPr>
          <w:footerReference w:type="default" r:id="rId59"/>
          <w:pgSz w:w="11910" w:h="16840"/>
          <w:pgMar w:footer="974" w:header="882" w:top="1120" w:bottom="1160" w:left="1280" w:right="1300"/>
          <w:pgNumType w:start="11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148"/>
        <w:jc w:val="both"/>
        <w:rPr>
          <w:rFonts w:ascii="宋体" w:hAnsi="宋体" w:cs="宋体" w:eastAsia="宋体" w:hint="default"/>
          <w:sz w:val="24"/>
          <w:szCs w:val="24"/>
        </w:rPr>
      </w:pPr>
      <w:r>
        <w:rPr>
          <w:spacing w:val="-2"/>
        </w:rPr>
        <w:t>其他信息支持的估值技术，选择与市场参与者在相关资产或负债的交易中所考虑的资产或负债特征</w:t>
      </w:r>
      <w:r>
        <w:rPr>
          <w:spacing w:val="-25"/>
        </w:rPr>
        <w:t> </w:t>
      </w:r>
      <w:r>
        <w:rPr>
          <w:spacing w:val="-25"/>
        </w:rPr>
      </w:r>
      <w:r>
        <w:rPr>
          <w:spacing w:val="-2"/>
        </w:rPr>
        <w:t>相一致的输入值，并尽可能优先使用相关可观察输入值。在相关可观察输入值无法取得或取得不切</w:t>
      </w:r>
      <w:r>
        <w:rPr>
          <w:spacing w:val="-25"/>
        </w:rPr>
        <w:t> </w:t>
      </w:r>
      <w:r>
        <w:rPr>
          <w:spacing w:val="-25"/>
        </w:rPr>
      </w:r>
      <w:r>
        <w:rPr/>
        <w:t>实可行的情况下，使用不可观察输入值。</w:t>
      </w:r>
      <w:r>
        <w:rPr>
          <w:rFonts w:ascii="宋体" w:hAnsi="宋体" w:cs="宋体" w:eastAsia="宋体" w:hint="default"/>
          <w:sz w:val="24"/>
          <w:szCs w:val="24"/>
        </w:rPr>
        <w:t> </w:t>
      </w:r>
    </w:p>
    <w:p>
      <w:pPr>
        <w:pStyle w:val="Heading3"/>
        <w:spacing w:line="231" w:lineRule="exact"/>
        <w:ind w:left="138" w:right="0"/>
        <w:jc w:val="both"/>
        <w:rPr>
          <w:rFonts w:ascii="宋体" w:hAnsi="宋体" w:cs="宋体" w:eastAsia="宋体" w:hint="default"/>
        </w:rPr>
      </w:pPr>
      <w:r>
        <w:rPr>
          <w:rFonts w:ascii="宋体"/>
        </w:rPr>
        <w:t> </w:t>
      </w:r>
    </w:p>
    <w:p>
      <w:pPr>
        <w:pStyle w:val="Heading5"/>
        <w:spacing w:line="290" w:lineRule="auto" w:before="61"/>
        <w:ind w:left="138" w:right="3669"/>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192"/>
        <w:jc w:val="left"/>
        <w:rPr>
          <w:rFonts w:ascii="宋体" w:hAnsi="宋体" w:cs="宋体" w:eastAsia="宋体" w:hint="default"/>
        </w:rPr>
      </w:pPr>
      <w:r>
        <w:rPr>
          <w:spacing w:val="-2"/>
        </w:rPr>
        <w:t>应收票据的预期信用损失的确定方法及会计处理方法合并列示于</w:t>
      </w:r>
      <w:r>
        <w:rPr>
          <w:spacing w:val="15"/>
        </w:rPr>
        <w:t> </w:t>
      </w:r>
      <w:r>
        <w:rPr>
          <w:rFonts w:ascii="宋体" w:hAnsi="宋体" w:cs="宋体" w:eastAsia="宋体" w:hint="default"/>
          <w:spacing w:val="-2"/>
        </w:rPr>
        <w:t>10.</w:t>
      </w:r>
      <w:r>
        <w:rPr>
          <w:spacing w:val="-2"/>
        </w:rPr>
        <w:t>金融工具章节。</w:t>
      </w:r>
      <w:r>
        <w:rPr>
          <w:rFonts w:ascii="宋体" w:hAnsi="宋体" w:cs="宋体" w:eastAsia="宋体" w:hint="default"/>
        </w:rPr>
        <w:t> </w:t>
      </w:r>
    </w:p>
    <w:p>
      <w:pPr>
        <w:pStyle w:val="Heading3"/>
        <w:spacing w:line="304" w:lineRule="exact"/>
        <w:ind w:left="138" w:right="0"/>
        <w:jc w:val="left"/>
        <w:rPr>
          <w:rFonts w:ascii="宋体" w:hAnsi="宋体" w:cs="宋体" w:eastAsia="宋体" w:hint="default"/>
        </w:rPr>
      </w:pPr>
      <w:r>
        <w:rPr>
          <w:rFonts w:ascii="宋体"/>
        </w:rPr>
        <w:t> </w:t>
      </w:r>
    </w:p>
    <w:p>
      <w:pPr>
        <w:pStyle w:val="Heading5"/>
        <w:spacing w:line="290" w:lineRule="auto" w:before="64"/>
        <w:ind w:left="138" w:right="3669"/>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192"/>
        <w:jc w:val="left"/>
        <w:rPr>
          <w:rFonts w:ascii="宋体" w:hAnsi="宋体" w:cs="宋体" w:eastAsia="宋体" w:hint="default"/>
        </w:rPr>
      </w:pPr>
      <w:r>
        <w:rPr>
          <w:spacing w:val="-2"/>
        </w:rPr>
        <w:t>应收账款的预期信用损失的确定方法及会计处理方法合并列示于</w:t>
      </w:r>
      <w:r>
        <w:rPr>
          <w:spacing w:val="15"/>
        </w:rPr>
        <w:t> </w:t>
      </w:r>
      <w:r>
        <w:rPr>
          <w:rFonts w:ascii="宋体" w:hAnsi="宋体" w:cs="宋体" w:eastAsia="宋体" w:hint="default"/>
          <w:spacing w:val="-2"/>
        </w:rPr>
        <w:t>10.</w:t>
      </w:r>
      <w:r>
        <w:rPr>
          <w:spacing w:val="-2"/>
        </w:rPr>
        <w:t>金融工具章节。</w:t>
      </w:r>
      <w:r>
        <w:rPr>
          <w:rFonts w:ascii="宋体" w:hAnsi="宋体" w:cs="宋体" w:eastAsia="宋体" w:hint="default"/>
        </w:rPr>
        <w:t> </w:t>
      </w:r>
    </w:p>
    <w:p>
      <w:pPr>
        <w:pStyle w:val="Heading3"/>
        <w:spacing w:line="307" w:lineRule="exact"/>
        <w:ind w:left="138" w:right="0"/>
        <w:jc w:val="left"/>
        <w:rPr>
          <w:rFonts w:ascii="宋体" w:hAnsi="宋体" w:cs="宋体" w:eastAsia="宋体" w:hint="default"/>
        </w:rPr>
      </w:pPr>
      <w:r>
        <w:rPr>
          <w:rFonts w:ascii="宋体"/>
        </w:rPr>
        <w:t> </w:t>
      </w:r>
    </w:p>
    <w:p>
      <w:pPr>
        <w:pStyle w:val="Heading5"/>
        <w:spacing w:line="240" w:lineRule="auto" w:before="64"/>
        <w:ind w:left="138" w:right="192"/>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2" w:lineRule="exact" w:before="84"/>
        <w:ind w:left="138" w:right="4932"/>
        <w:jc w:val="left"/>
        <w:rPr>
          <w:rFonts w:ascii="宋体" w:hAnsi="宋体" w:cs="宋体" w:eastAsia="宋体" w:hint="default"/>
        </w:rPr>
      </w:pPr>
      <w:r>
        <w:rPr/>
        <w:t>√适用   </w:t>
      </w:r>
      <w:r>
        <w:rPr>
          <w:spacing w:val="60"/>
        </w:rPr>
        <w:t> </w:t>
      </w:r>
      <w:r>
        <w:rPr>
          <w:rFonts w:ascii="宋体" w:hAnsi="宋体" w:cs="宋体" w:eastAsia="宋体" w:hint="default"/>
          <w:spacing w:val="60"/>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t>应收款项融资合并列示于</w:t>
      </w:r>
      <w:r>
        <w:rPr>
          <w:spacing w:val="-60"/>
        </w:rPr>
        <w:t> </w:t>
      </w:r>
      <w:r>
        <w:rPr>
          <w:rFonts w:ascii="宋体" w:hAnsi="宋体" w:cs="宋体" w:eastAsia="宋体" w:hint="default"/>
        </w:rPr>
        <w:t>10.</w:t>
      </w:r>
      <w:r>
        <w:rPr/>
        <w:t>金融工具章节。</w:t>
      </w:r>
      <w:r>
        <w:rPr>
          <w:rFonts w:ascii="宋体" w:hAnsi="宋体" w:cs="宋体" w:eastAsia="宋体" w:hint="default"/>
        </w:rPr>
        <w:t> </w:t>
      </w:r>
    </w:p>
    <w:p>
      <w:pPr>
        <w:pStyle w:val="Heading3"/>
        <w:spacing w:line="282" w:lineRule="exact"/>
        <w:ind w:left="138" w:right="0"/>
        <w:jc w:val="left"/>
        <w:rPr>
          <w:rFonts w:ascii="宋体" w:hAnsi="宋体" w:cs="宋体" w:eastAsia="宋体" w:hint="default"/>
        </w:rPr>
      </w:pPr>
      <w:r>
        <w:rPr>
          <w:rFonts w:ascii="宋体"/>
          <w:color w:val="FF0000"/>
        </w:rPr>
        <w:t> </w:t>
      </w:r>
      <w:r>
        <w:rPr>
          <w:rFonts w:ascii="宋体"/>
        </w:rPr>
      </w:r>
    </w:p>
    <w:p>
      <w:pPr>
        <w:pStyle w:val="Heading5"/>
        <w:spacing w:line="290" w:lineRule="auto" w:before="64"/>
        <w:ind w:left="138" w:right="3669"/>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192"/>
        <w:jc w:val="left"/>
        <w:rPr>
          <w:rFonts w:ascii="宋体" w:hAnsi="宋体" w:cs="宋体" w:eastAsia="宋体" w:hint="default"/>
        </w:rPr>
      </w:pPr>
      <w:r>
        <w:rPr>
          <w:spacing w:val="-2"/>
        </w:rPr>
        <w:t>其他应收款预期信用损失的确定方法及会计处理方法合并列示于</w:t>
      </w:r>
      <w:r>
        <w:rPr>
          <w:spacing w:val="15"/>
        </w:rPr>
        <w:t> </w:t>
      </w:r>
      <w:r>
        <w:rPr>
          <w:rFonts w:ascii="宋体" w:hAnsi="宋体" w:cs="宋体" w:eastAsia="宋体" w:hint="default"/>
          <w:spacing w:val="-2"/>
        </w:rPr>
        <w:t>10.</w:t>
      </w:r>
      <w:r>
        <w:rPr>
          <w:spacing w:val="-2"/>
        </w:rPr>
        <w:t>金融工具章节。</w:t>
      </w:r>
      <w:r>
        <w:rPr>
          <w:rFonts w:ascii="宋体" w:hAnsi="宋体" w:cs="宋体" w:eastAsia="宋体" w:hint="default"/>
        </w:rPr>
        <w:t> </w:t>
      </w:r>
    </w:p>
    <w:p>
      <w:pPr>
        <w:pStyle w:val="Heading3"/>
        <w:spacing w:line="307" w:lineRule="exact"/>
        <w:ind w:left="138" w:right="0"/>
        <w:jc w:val="left"/>
        <w:rPr>
          <w:rFonts w:ascii="宋体" w:hAnsi="宋体" w:cs="宋体" w:eastAsia="宋体" w:hint="default"/>
        </w:rPr>
      </w:pPr>
      <w:r>
        <w:rPr>
          <w:rFonts w:ascii="宋体"/>
        </w:rPr>
        <w:t> </w:t>
      </w:r>
    </w:p>
    <w:p>
      <w:pPr>
        <w:spacing w:before="64"/>
        <w:ind w:left="138" w:right="192" w:firstLine="0"/>
        <w:jc w:val="left"/>
        <w:rPr>
          <w:rFonts w:ascii="宋体" w:hAnsi="宋体" w:cs="宋体" w:eastAsia="宋体" w:hint="default"/>
          <w:sz w:val="20"/>
          <w:szCs w:val="20"/>
        </w:rPr>
      </w:pPr>
      <w:r>
        <w:rPr>
          <w:rFonts w:ascii="宋体" w:hAnsi="宋体" w:cs="宋体" w:eastAsia="宋体" w:hint="default"/>
          <w:b/>
          <w:bCs/>
          <w:sz w:val="20"/>
          <w:szCs w:val="20"/>
        </w:rPr>
        <w:t>15.</w:t>
      </w:r>
      <w:r>
        <w:rPr>
          <w:rFonts w:ascii="宋体" w:hAnsi="宋体" w:cs="宋体" w:eastAsia="宋体" w:hint="default"/>
          <w:b/>
          <w:bCs/>
          <w:spacing w:val="21"/>
          <w:sz w:val="20"/>
          <w:szCs w:val="20"/>
        </w:rPr>
        <w:t> </w:t>
      </w:r>
      <w:r>
        <w:rPr>
          <w:rFonts w:ascii="宋体" w:hAnsi="宋体" w:cs="宋体" w:eastAsia="宋体" w:hint="default"/>
          <w:b/>
          <w:bCs/>
          <w:sz w:val="20"/>
          <w:szCs w:val="20"/>
        </w:rPr>
        <w:t>存货</w:t>
      </w:r>
      <w:r>
        <w:rPr>
          <w:rFonts w:ascii="宋体" w:hAnsi="宋体" w:cs="宋体" w:eastAsia="宋体" w:hint="default"/>
          <w:sz w:val="20"/>
          <w:szCs w:val="20"/>
        </w:rPr>
      </w:r>
    </w:p>
    <w:p>
      <w:pPr>
        <w:pStyle w:val="Heading3"/>
        <w:spacing w:line="240" w:lineRule="auto" w:before="49"/>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left="338" w:right="192" w:firstLine="280"/>
        <w:jc w:val="left"/>
      </w:pPr>
      <w:r>
        <w:rPr/>
        <w:t>（</w:t>
      </w:r>
      <w:r>
        <w:rPr>
          <w:rFonts w:ascii="宋体" w:hAnsi="宋体" w:cs="宋体" w:eastAsia="宋体" w:hint="default"/>
        </w:rPr>
        <w:t>1</w:t>
      </w:r>
      <w:r>
        <w:rPr/>
        <w:t>）分类</w:t>
      </w:r>
      <w:r>
        <w:rPr>
          <w:rFonts w:ascii="宋体" w:hAnsi="宋体" w:cs="宋体" w:eastAsia="宋体" w:hint="default"/>
          <w:w w:val="100"/>
        </w:rPr>
        <w:t> </w:t>
      </w:r>
      <w:r>
        <w:rPr>
          <w:spacing w:val="-2"/>
        </w:rPr>
        <w:t>存货包括材料及库存商品、备品备件、燃料、低值易耗品等，按成本与可变现净值孰低计量。</w:t>
      </w:r>
    </w:p>
    <w:p>
      <w:pPr>
        <w:pStyle w:val="BodyText"/>
        <w:spacing w:line="350" w:lineRule="auto" w:before="27"/>
        <w:ind w:left="338" w:right="192" w:firstLine="220"/>
        <w:jc w:val="left"/>
      </w:pPr>
      <w:r>
        <w:rPr/>
        <w:t>（</w:t>
      </w:r>
      <w:r>
        <w:rPr>
          <w:rFonts w:ascii="宋体" w:hAnsi="宋体" w:cs="宋体" w:eastAsia="宋体" w:hint="default"/>
        </w:rPr>
        <w:t>2</w:t>
      </w:r>
      <w:r>
        <w:rPr/>
        <w:t>）发出存货的计价方法</w:t>
      </w:r>
      <w:r>
        <w:rPr>
          <w:rFonts w:ascii="宋体" w:hAnsi="宋体" w:cs="宋体" w:eastAsia="宋体" w:hint="default"/>
          <w:w w:val="100"/>
        </w:rPr>
        <w:t> </w:t>
      </w:r>
      <w:r>
        <w:rPr>
          <w:spacing w:val="-2"/>
        </w:rPr>
        <w:t>材料及库存商品、燃料和备品备件发出时的成本按加权平均法核算，低值易耗品在领用时采用一</w:t>
      </w:r>
    </w:p>
    <w:p>
      <w:pPr>
        <w:pStyle w:val="BodyText"/>
        <w:spacing w:line="240" w:lineRule="auto" w:before="29"/>
        <w:ind w:left="138" w:right="192"/>
        <w:jc w:val="left"/>
        <w:rPr>
          <w:rFonts w:ascii="宋体" w:hAnsi="宋体" w:cs="宋体" w:eastAsia="宋体" w:hint="default"/>
        </w:rPr>
      </w:pPr>
      <w:r>
        <w:rPr/>
        <w:t>次转销法进行摊销。</w:t>
      </w:r>
      <w:r>
        <w:rPr>
          <w:rFonts w:ascii="宋体" w:hAnsi="宋体" w:cs="宋体" w:eastAsia="宋体" w:hint="default"/>
        </w:rPr>
        <w:t> </w:t>
      </w:r>
    </w:p>
    <w:p>
      <w:pPr>
        <w:pStyle w:val="BodyText"/>
        <w:spacing w:line="350" w:lineRule="auto" w:before="123"/>
        <w:ind w:left="338" w:right="192" w:firstLine="220"/>
        <w:jc w:val="left"/>
      </w:pPr>
      <w:r>
        <w:rPr/>
        <w:t>（</w:t>
      </w:r>
      <w:r>
        <w:rPr>
          <w:rFonts w:ascii="宋体" w:hAnsi="宋体" w:cs="宋体" w:eastAsia="宋体" w:hint="default"/>
        </w:rPr>
        <w:t>3</w:t>
      </w:r>
      <w:r>
        <w:rPr/>
        <w:t>）存货可变现净值的确定依据及存货跌价准备的计提方法</w:t>
      </w:r>
      <w:r>
        <w:rPr>
          <w:rFonts w:ascii="宋体" w:hAnsi="宋体" w:cs="宋体" w:eastAsia="宋体" w:hint="default"/>
          <w:w w:val="100"/>
        </w:rPr>
        <w:t> </w:t>
      </w:r>
      <w:r>
        <w:rPr>
          <w:spacing w:val="-2"/>
        </w:rPr>
        <w:t>存货跌价准备按存货成本高于其可变现净值的差额计提。可变现净值按日常活动中，以存货的估</w:t>
      </w:r>
    </w:p>
    <w:p>
      <w:pPr>
        <w:pStyle w:val="BodyText"/>
        <w:spacing w:line="240" w:lineRule="auto" w:before="29"/>
        <w:ind w:left="138" w:right="192"/>
        <w:jc w:val="left"/>
      </w:pPr>
      <w:r>
        <w:rPr/>
        <w:t>计售价减去至完工时估计将要发生的成本、估计的销售费用以及相关税费后的金额确定。</w:t>
      </w:r>
    </w:p>
    <w:p>
      <w:pPr>
        <w:pStyle w:val="BodyText"/>
        <w:spacing w:line="240" w:lineRule="auto" w:before="123"/>
        <w:ind w:left="558" w:right="192"/>
        <w:jc w:val="left"/>
        <w:rPr>
          <w:rFonts w:ascii="宋体" w:hAnsi="宋体" w:cs="宋体" w:eastAsia="宋体" w:hint="default"/>
        </w:rPr>
      </w:pPr>
      <w:r>
        <w:rPr/>
        <w:t>（</w:t>
      </w:r>
      <w:r>
        <w:rPr>
          <w:rFonts w:ascii="宋体" w:hAnsi="宋体" w:cs="宋体" w:eastAsia="宋体" w:hint="default"/>
        </w:rPr>
        <w:t>4</w:t>
      </w:r>
      <w:r>
        <w:rPr/>
        <w:t>）本集团的存货盘存制度采用永续盘存制。</w:t>
      </w:r>
      <w:r>
        <w:rPr>
          <w:rFonts w:ascii="宋体" w:hAnsi="宋体" w:cs="宋体" w:eastAsia="宋体" w:hint="default"/>
        </w:rPr>
        <w:t> </w:t>
      </w:r>
    </w:p>
    <w:p>
      <w:pPr>
        <w:pStyle w:val="Heading3"/>
        <w:spacing w:line="240" w:lineRule="auto" w:before="91"/>
        <w:ind w:left="618" w:right="0"/>
        <w:jc w:val="left"/>
        <w:rPr>
          <w:rFonts w:ascii="宋体" w:hAnsi="宋体" w:cs="宋体" w:eastAsia="宋体" w:hint="default"/>
        </w:rPr>
      </w:pPr>
      <w:r>
        <w:rPr>
          <w:rFonts w:ascii="宋体"/>
        </w:rPr>
        <w:t> </w:t>
      </w:r>
    </w:p>
    <w:p>
      <w:pPr>
        <w:pStyle w:val="Heading5"/>
        <w:spacing w:line="290" w:lineRule="auto" w:before="73"/>
        <w:ind w:left="138" w:right="5328"/>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8" w:right="3669" w:hanging="420"/>
        <w:jc w:val="left"/>
        <w:rPr>
          <w:rFonts w:ascii="宋体" w:hAnsi="宋体" w:cs="宋体" w:eastAsia="宋体" w:hint="default"/>
        </w:rPr>
      </w:pPr>
      <w:r>
        <w:rPr/>
        <w:t>√适用   </w:t>
      </w:r>
      <w:r>
        <w:rPr>
          <w:spacing w:val="63"/>
        </w:rPr>
        <w:t> </w:t>
      </w:r>
      <w:r>
        <w:rPr>
          <w:rFonts w:ascii="宋体" w:hAnsi="宋体" w:cs="宋体" w:eastAsia="宋体" w:hint="default"/>
          <w:spacing w:val="63"/>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t>合同资产的确认方法及标准合并列示于</w:t>
      </w:r>
      <w:r>
        <w:rPr>
          <w:spacing w:val="-59"/>
        </w:rPr>
        <w:t> </w:t>
      </w:r>
      <w:r>
        <w:rPr>
          <w:rFonts w:ascii="宋体" w:hAnsi="宋体" w:cs="宋体" w:eastAsia="宋体" w:hint="default"/>
        </w:rPr>
        <w:t>38.</w:t>
      </w:r>
      <w:r>
        <w:rPr/>
        <w:t>收入章节。</w:t>
      </w:r>
      <w:r>
        <w:rPr>
          <w:rFonts w:ascii="宋体" w:hAnsi="宋体" w:cs="宋体" w:eastAsia="宋体" w:hint="default"/>
        </w:rPr>
        <w:t> </w:t>
      </w:r>
    </w:p>
    <w:p>
      <w:pPr>
        <w:pStyle w:val="Heading3"/>
        <w:spacing w:line="282" w:lineRule="exact"/>
        <w:ind w:left="138" w:right="0"/>
        <w:jc w:val="left"/>
        <w:rPr>
          <w:rFonts w:ascii="宋体" w:hAnsi="宋体" w:cs="宋体" w:eastAsia="宋体" w:hint="default"/>
        </w:rPr>
      </w:pPr>
      <w:r>
        <w:rPr>
          <w:rFonts w:ascii="宋体"/>
          <w:color w:val="FF0000"/>
        </w:rPr>
        <w:t> </w:t>
      </w:r>
      <w:r>
        <w:rPr>
          <w:rFonts w:ascii="宋体"/>
        </w:rPr>
      </w:r>
    </w:p>
    <w:p>
      <w:pPr>
        <w:spacing w:after="0" w:line="282" w:lineRule="exact"/>
        <w:jc w:val="left"/>
        <w:rPr>
          <w:rFonts w:ascii="宋体" w:hAnsi="宋体" w:cs="宋体" w:eastAsia="宋体" w:hint="default"/>
        </w:rPr>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pStyle w:val="Heading5"/>
        <w:spacing w:line="240" w:lineRule="auto" w:before="168"/>
        <w:ind w:left="138" w:right="192"/>
        <w:jc w:val="left"/>
        <w:rPr>
          <w:rFonts w:ascii="宋体" w:hAnsi="宋体" w:cs="宋体" w:eastAsia="宋体" w:hint="default"/>
          <w:b w:val="0"/>
          <w:bCs w:val="0"/>
        </w:rPr>
      </w:pPr>
      <w:r>
        <w:rPr>
          <w:rFonts w:ascii="宋体" w:hAnsi="宋体" w:cs="宋体" w:eastAsia="宋体" w:hint="default"/>
        </w:rPr>
        <w:t>(2).</w:t>
      </w:r>
      <w:r>
        <w:rPr/>
        <w:t>合同资产预期信用损失的确定方法及会计处理方法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249" w:firstLine="420"/>
        <w:jc w:val="left"/>
        <w:rPr>
          <w:rFonts w:ascii="宋体" w:hAnsi="宋体" w:cs="宋体" w:eastAsia="宋体" w:hint="default"/>
        </w:rPr>
      </w:pPr>
      <w:r>
        <w:rPr/>
        <w:t>合同资产预期信用损失的确定方法及会计处理方法合并列示于</w:t>
      </w:r>
      <w:r>
        <w:rPr>
          <w:spacing w:val="-55"/>
        </w:rPr>
        <w:t> </w:t>
      </w:r>
      <w:r>
        <w:rPr>
          <w:rFonts w:ascii="宋体" w:hAnsi="宋体" w:cs="宋体" w:eastAsia="宋体" w:hint="default"/>
        </w:rPr>
        <w:t>10.</w:t>
      </w:r>
      <w:r>
        <w:rPr/>
        <w:t>金融工具及</w:t>
      </w:r>
      <w:r>
        <w:rPr>
          <w:spacing w:val="-56"/>
        </w:rPr>
        <w:t> </w:t>
      </w:r>
      <w:r>
        <w:rPr>
          <w:rFonts w:ascii="宋体" w:hAnsi="宋体" w:cs="宋体" w:eastAsia="宋体" w:hint="default"/>
        </w:rPr>
        <w:t>38.</w:t>
      </w:r>
      <w:r>
        <w:rPr/>
        <w:t>收入章节章</w:t>
      </w:r>
      <w:r>
        <w:rPr>
          <w:w w:val="100"/>
        </w:rPr>
        <w:t> </w:t>
      </w:r>
      <w:r>
        <w:rPr/>
        <w:t>节。</w:t>
      </w:r>
      <w:r>
        <w:rPr>
          <w:rFonts w:ascii="宋体" w:hAnsi="宋体" w:cs="宋体" w:eastAsia="宋体" w:hint="default"/>
        </w:rPr>
        <w:t> </w:t>
      </w:r>
    </w:p>
    <w:p>
      <w:pPr>
        <w:pStyle w:val="Heading3"/>
        <w:spacing w:line="282" w:lineRule="exact"/>
        <w:ind w:left="138" w:right="0"/>
        <w:jc w:val="left"/>
        <w:rPr>
          <w:rFonts w:ascii="宋体" w:hAnsi="宋体" w:cs="宋体" w:eastAsia="宋体" w:hint="default"/>
        </w:rPr>
      </w:pPr>
      <w:r>
        <w:rPr>
          <w:rFonts w:ascii="宋体"/>
        </w:rPr>
        <w:t> </w:t>
      </w:r>
    </w:p>
    <w:p>
      <w:pPr>
        <w:spacing w:before="64"/>
        <w:ind w:left="138" w:right="192" w:firstLine="0"/>
        <w:jc w:val="left"/>
        <w:rPr>
          <w:rFonts w:ascii="宋体" w:hAnsi="宋体" w:cs="宋体" w:eastAsia="宋体" w:hint="default"/>
          <w:sz w:val="20"/>
          <w:szCs w:val="20"/>
        </w:rPr>
      </w:pPr>
      <w:r>
        <w:rPr>
          <w:rFonts w:ascii="宋体" w:hAnsi="宋体" w:cs="宋体" w:eastAsia="宋体" w:hint="default"/>
          <w:b/>
          <w:bCs/>
          <w:sz w:val="20"/>
          <w:szCs w:val="20"/>
        </w:rPr>
        <w:t>17.</w:t>
      </w:r>
      <w:r>
        <w:rPr>
          <w:rFonts w:ascii="宋体" w:hAnsi="宋体" w:cs="宋体" w:eastAsia="宋体" w:hint="default"/>
          <w:b/>
          <w:bCs/>
          <w:spacing w:val="18"/>
          <w:sz w:val="20"/>
          <w:szCs w:val="20"/>
        </w:rPr>
        <w:t> </w:t>
      </w:r>
      <w:r>
        <w:rPr>
          <w:rFonts w:ascii="宋体" w:hAnsi="宋体" w:cs="宋体" w:eastAsia="宋体" w:hint="default"/>
          <w:b/>
          <w:bCs/>
          <w:sz w:val="20"/>
          <w:szCs w:val="20"/>
        </w:rPr>
        <w:t>持有待售资产</w:t>
      </w:r>
      <w:r>
        <w:rPr>
          <w:rFonts w:ascii="宋体" w:hAnsi="宋体" w:cs="宋体" w:eastAsia="宋体" w:hint="default"/>
          <w:sz w:val="20"/>
          <w:szCs w:val="20"/>
        </w:rPr>
      </w:r>
    </w:p>
    <w:p>
      <w:pPr>
        <w:pStyle w:val="Heading3"/>
        <w:spacing w:line="313" w:lineRule="exact" w:before="49"/>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spacing w:line="292" w:lineRule="auto" w:before="66"/>
        <w:ind w:left="138" w:right="3669" w:firstLine="0"/>
        <w:jc w:val="left"/>
        <w:rPr>
          <w:rFonts w:ascii="宋体" w:hAnsi="宋体" w:cs="宋体" w:eastAsia="宋体" w:hint="default"/>
          <w:sz w:val="20"/>
          <w:szCs w:val="20"/>
        </w:rPr>
      </w:pPr>
      <w:r>
        <w:rPr>
          <w:rFonts w:ascii="宋体" w:hAnsi="宋体" w:cs="宋体" w:eastAsia="宋体" w:hint="default"/>
          <w:b/>
          <w:bCs/>
          <w:sz w:val="20"/>
          <w:szCs w:val="20"/>
        </w:rPr>
        <w:t>18.</w:t>
      </w:r>
      <w:r>
        <w:rPr>
          <w:rFonts w:ascii="宋体" w:hAnsi="宋体" w:cs="宋体" w:eastAsia="宋体" w:hint="default"/>
          <w:b/>
          <w:bCs/>
          <w:spacing w:val="22"/>
          <w:sz w:val="20"/>
          <w:szCs w:val="20"/>
        </w:rPr>
        <w:t> </w:t>
      </w:r>
      <w:r>
        <w:rPr>
          <w:rFonts w:ascii="宋体" w:hAnsi="宋体" w:cs="宋体" w:eastAsia="宋体" w:hint="default"/>
          <w:b/>
          <w:bCs/>
          <w:sz w:val="20"/>
          <w:szCs w:val="20"/>
        </w:rPr>
        <w:t>债权投资</w:t>
      </w:r>
      <w:r>
        <w:rPr>
          <w:rFonts w:ascii="宋体" w:hAnsi="宋体" w:cs="宋体" w:eastAsia="宋体" w:hint="default"/>
          <w:b/>
          <w:bCs/>
          <w:spacing w:val="2"/>
          <w:w w:val="99"/>
          <w:sz w:val="20"/>
          <w:szCs w:val="20"/>
        </w:rPr>
        <w:t> </w:t>
      </w:r>
      <w:r>
        <w:rPr>
          <w:rFonts w:ascii="宋体" w:hAnsi="宋体" w:cs="宋体" w:eastAsia="宋体" w:hint="default"/>
          <w:b/>
          <w:bCs/>
          <w:sz w:val="20"/>
          <w:szCs w:val="20"/>
        </w:rPr>
        <w:t>债权投资预期信用损失的确定方法及会计处理方法</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3"/>
        <w:spacing w:line="313" w:lineRule="exact" w:before="5"/>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spacing w:line="292" w:lineRule="auto" w:before="64"/>
        <w:ind w:left="138" w:right="3669" w:firstLine="0"/>
        <w:jc w:val="left"/>
        <w:rPr>
          <w:rFonts w:ascii="宋体" w:hAnsi="宋体" w:cs="宋体" w:eastAsia="宋体" w:hint="default"/>
          <w:sz w:val="20"/>
          <w:szCs w:val="20"/>
        </w:rPr>
      </w:pPr>
      <w:r>
        <w:rPr>
          <w:rFonts w:ascii="宋体" w:hAnsi="宋体" w:cs="宋体" w:eastAsia="宋体" w:hint="default"/>
          <w:b/>
          <w:bCs/>
          <w:sz w:val="20"/>
          <w:szCs w:val="20"/>
        </w:rPr>
        <w:t>19.</w:t>
      </w:r>
      <w:r>
        <w:rPr>
          <w:rFonts w:ascii="宋体" w:hAnsi="宋体" w:cs="宋体" w:eastAsia="宋体" w:hint="default"/>
          <w:b/>
          <w:bCs/>
          <w:spacing w:val="21"/>
          <w:sz w:val="20"/>
          <w:szCs w:val="20"/>
        </w:rPr>
        <w:t> </w:t>
      </w:r>
      <w:r>
        <w:rPr>
          <w:rFonts w:ascii="宋体" w:hAnsi="宋体" w:cs="宋体" w:eastAsia="宋体" w:hint="default"/>
          <w:b/>
          <w:bCs/>
          <w:sz w:val="20"/>
          <w:szCs w:val="20"/>
        </w:rPr>
        <w:t>其他债权投资</w:t>
      </w:r>
      <w:r>
        <w:rPr>
          <w:rFonts w:ascii="宋体" w:hAnsi="宋体" w:cs="宋体" w:eastAsia="宋体" w:hint="default"/>
          <w:b/>
          <w:bCs/>
          <w:w w:val="99"/>
          <w:sz w:val="20"/>
          <w:szCs w:val="20"/>
        </w:rPr>
        <w:t> </w:t>
      </w:r>
      <w:r>
        <w:rPr>
          <w:rFonts w:ascii="宋体" w:hAnsi="宋体" w:cs="宋体" w:eastAsia="宋体" w:hint="default"/>
          <w:b/>
          <w:bCs/>
          <w:sz w:val="20"/>
          <w:szCs w:val="20"/>
        </w:rPr>
        <w:t>其他债权投资预期信用损失的确定方法及会计处理方法</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11"/>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spacing w:line="290" w:lineRule="auto"/>
        <w:ind w:left="138" w:right="3669"/>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t>长期资产预期信用损失的确定方法及会计处理方法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192"/>
        <w:jc w:val="left"/>
        <w:rPr>
          <w:rFonts w:ascii="宋体" w:hAnsi="宋体" w:cs="宋体" w:eastAsia="宋体" w:hint="default"/>
        </w:rPr>
      </w:pPr>
      <w:r>
        <w:rPr>
          <w:spacing w:val="-2"/>
        </w:rPr>
        <w:t>长期资产预期信用损失的确定方法及会计处理方法合并列示于</w:t>
      </w:r>
      <w:r>
        <w:rPr>
          <w:spacing w:val="16"/>
        </w:rPr>
        <w:t> </w:t>
      </w:r>
      <w:r>
        <w:rPr>
          <w:rFonts w:ascii="宋体" w:hAnsi="宋体" w:cs="宋体" w:eastAsia="宋体" w:hint="default"/>
          <w:spacing w:val="-2"/>
        </w:rPr>
        <w:t>10.</w:t>
      </w:r>
      <w:r>
        <w:rPr>
          <w:spacing w:val="-2"/>
        </w:rPr>
        <w:t>金融工具章节。</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5"/>
        <w:spacing w:line="240" w:lineRule="auto" w:before="58"/>
        <w:ind w:left="138" w:right="192"/>
        <w:jc w:val="left"/>
        <w:rPr>
          <w:rFonts w:ascii="宋体" w:hAnsi="宋体" w:cs="宋体" w:eastAsia="宋体" w:hint="default"/>
          <w:b w:val="0"/>
          <w:bCs w:val="0"/>
        </w:rPr>
      </w:pPr>
      <w:r>
        <w:rPr>
          <w:rFonts w:ascii="宋体" w:hAnsi="宋体" w:cs="宋体" w:eastAsia="宋体" w:hint="default"/>
        </w:rPr>
        <w:t>21.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left="138" w:right="112" w:firstLine="480"/>
        <w:jc w:val="both"/>
        <w:rPr>
          <w:rFonts w:ascii="宋体" w:hAnsi="宋体" w:cs="宋体" w:eastAsia="宋体" w:hint="default"/>
        </w:rPr>
      </w:pPr>
      <w:r>
        <w:rPr>
          <w:spacing w:val="-2"/>
        </w:rPr>
        <w:t>长期股权投资包括：本公司对子公司的长期股权投资；本集团对合营企业和联营企业的长期股</w:t>
      </w:r>
      <w:r>
        <w:rPr>
          <w:w w:val="100"/>
        </w:rPr>
        <w:t> </w:t>
      </w:r>
      <w:r>
        <w:rPr/>
        <w:t>权投资。</w:t>
      </w:r>
      <w:r>
        <w:rPr>
          <w:rFonts w:ascii="宋体" w:hAnsi="宋体" w:cs="宋体" w:eastAsia="宋体" w:hint="default"/>
        </w:rPr>
        <w:t> </w:t>
      </w:r>
    </w:p>
    <w:p>
      <w:pPr>
        <w:pStyle w:val="BodyText"/>
        <w:spacing w:line="350" w:lineRule="auto" w:before="27"/>
        <w:ind w:left="138" w:right="148" w:firstLine="420"/>
        <w:jc w:val="both"/>
        <w:rPr>
          <w:rFonts w:ascii="宋体" w:hAnsi="宋体" w:cs="宋体" w:eastAsia="宋体" w:hint="default"/>
        </w:rPr>
      </w:pPr>
      <w:r>
        <w:rPr>
          <w:spacing w:val="-2"/>
        </w:rPr>
        <w:t>子公司为本公司能够对其实施控制的被投资单位。合营企业为本集团通过单独主体达成，能够</w:t>
      </w:r>
      <w:r>
        <w:rPr>
          <w:spacing w:val="-3"/>
          <w:w w:val="100"/>
        </w:rPr>
        <w:t> </w:t>
      </w:r>
      <w:r>
        <w:rPr>
          <w:spacing w:val="-2"/>
        </w:rPr>
        <w:t>与其他方实施共同控制，且基于法律形式、合同条款及其他事实与情况仅对其净资产享有权利的合</w:t>
      </w:r>
      <w:r>
        <w:rPr>
          <w:spacing w:val="-24"/>
        </w:rPr>
        <w:t> </w:t>
      </w:r>
      <w:r>
        <w:rPr>
          <w:spacing w:val="-24"/>
        </w:rPr>
      </w:r>
      <w:r>
        <w:rPr/>
        <w:t>营安排。联营企业为本集团能够对其财务和经营决策具有重大影响的被投资单位。</w:t>
      </w:r>
      <w:r>
        <w:rPr>
          <w:rFonts w:ascii="宋体" w:hAnsi="宋体" w:cs="宋体" w:eastAsia="宋体" w:hint="default"/>
        </w:rPr>
        <w:t> </w:t>
      </w:r>
    </w:p>
    <w:p>
      <w:pPr>
        <w:pStyle w:val="BodyText"/>
        <w:spacing w:line="350" w:lineRule="auto" w:before="27"/>
        <w:ind w:left="138" w:right="148" w:firstLine="420"/>
        <w:jc w:val="both"/>
        <w:rPr>
          <w:rFonts w:ascii="宋体" w:hAnsi="宋体" w:cs="宋体" w:eastAsia="宋体" w:hint="default"/>
        </w:rPr>
      </w:pPr>
      <w:r>
        <w:rPr>
          <w:spacing w:val="-2"/>
        </w:rPr>
        <w:t>对子公司的投资，在公司财务报表中按照成本法确定的金额列示，在编制合并财务报表时按权</w:t>
      </w:r>
      <w:r>
        <w:rPr>
          <w:w w:val="100"/>
        </w:rPr>
        <w:t> </w:t>
      </w:r>
      <w:r>
        <w:rPr/>
        <w:t>益法调整后进行合并；对合营企业和联营企业投资采用权益法核算。</w:t>
      </w:r>
      <w:r>
        <w:rPr>
          <w:rFonts w:ascii="宋体" w:hAnsi="宋体" w:cs="宋体" w:eastAsia="宋体" w:hint="default"/>
        </w:rPr>
        <w:t> </w:t>
      </w:r>
    </w:p>
    <w:p>
      <w:pPr>
        <w:pStyle w:val="BodyText"/>
        <w:spacing w:line="348" w:lineRule="auto" w:before="29"/>
        <w:ind w:left="558" w:right="192"/>
        <w:jc w:val="left"/>
      </w:pPr>
      <w:r>
        <w:rPr/>
        <w:t>（</w:t>
      </w:r>
      <w:r>
        <w:rPr>
          <w:rFonts w:ascii="宋体" w:hAnsi="宋体" w:cs="宋体" w:eastAsia="宋体" w:hint="default"/>
        </w:rPr>
        <w:t>1</w:t>
      </w:r>
      <w:r>
        <w:rPr/>
        <w:t>）投资成本确定</w:t>
      </w:r>
      <w:r>
        <w:rPr>
          <w:rFonts w:ascii="宋体" w:hAnsi="宋体" w:cs="宋体" w:eastAsia="宋体" w:hint="default"/>
          <w:w w:val="100"/>
        </w:rPr>
        <w:t> </w:t>
      </w:r>
      <w:r>
        <w:rPr>
          <w:spacing w:val="-2"/>
        </w:rPr>
        <w:t>对于企业合并形成的长期股权投资：同一控制下企业合并取得的长期股权投资，在合并日按照</w:t>
      </w:r>
    </w:p>
    <w:p>
      <w:pPr>
        <w:pStyle w:val="BodyText"/>
        <w:spacing w:line="350" w:lineRule="auto" w:before="31"/>
        <w:ind w:left="138" w:right="192"/>
        <w:jc w:val="left"/>
        <w:rPr>
          <w:rFonts w:ascii="宋体" w:hAnsi="宋体" w:cs="宋体" w:eastAsia="宋体" w:hint="default"/>
        </w:rPr>
      </w:pPr>
      <w:r>
        <w:rPr>
          <w:spacing w:val="-2"/>
        </w:rPr>
        <w:t>取得被合并方所有者权益在最终控制方合并财务报表中的账面价值的份额作为投资成本；非同一控</w:t>
      </w:r>
      <w:r>
        <w:rPr>
          <w:spacing w:val="-25"/>
        </w:rPr>
        <w:t> </w:t>
      </w:r>
      <w:r>
        <w:rPr>
          <w:spacing w:val="-25"/>
        </w:rPr>
      </w:r>
      <w:r>
        <w:rPr/>
        <w:t>制下企业合并取得的长期股权投资，按照合并成本作为长期股权投资的投资成本。</w:t>
      </w:r>
      <w:r>
        <w:rPr>
          <w:rFonts w:ascii="宋体" w:hAnsi="宋体" w:cs="宋体" w:eastAsia="宋体" w:hint="default"/>
        </w:rPr>
        <w:t> </w:t>
      </w:r>
    </w:p>
    <w:p>
      <w:pPr>
        <w:pStyle w:val="BodyText"/>
        <w:spacing w:line="350" w:lineRule="auto" w:before="27"/>
        <w:ind w:left="138" w:right="148" w:firstLine="420"/>
        <w:jc w:val="both"/>
        <w:rPr>
          <w:rFonts w:ascii="宋体" w:hAnsi="宋体" w:cs="宋体" w:eastAsia="宋体" w:hint="default"/>
        </w:rPr>
      </w:pPr>
      <w:r>
        <w:rPr>
          <w:spacing w:val="-2"/>
        </w:rPr>
        <w:t>对于以企业合并以外的其他方式取得的长期股权投资：支付现金取得的长期股权投资，按照实</w:t>
      </w:r>
      <w:r>
        <w:rPr>
          <w:w w:val="100"/>
        </w:rPr>
        <w:t> </w:t>
      </w:r>
      <w:r>
        <w:rPr>
          <w:spacing w:val="-2"/>
        </w:rPr>
        <w:t>际支付的购买价款作为初始投资成本；发行权益性证券取得的长期股权投资，以发行权益性证券的</w:t>
      </w:r>
      <w:r>
        <w:rPr>
          <w:spacing w:val="-25"/>
        </w:rPr>
        <w:t> </w:t>
      </w:r>
      <w:r>
        <w:rPr>
          <w:spacing w:val="-25"/>
        </w:rPr>
      </w:r>
      <w:r>
        <w:rPr/>
        <w:t>公允价值作为初始投资成本。</w:t>
      </w:r>
      <w:r>
        <w:rPr>
          <w:rFonts w:ascii="宋体" w:hAnsi="宋体" w:cs="宋体" w:eastAsia="宋体" w:hint="default"/>
        </w:rPr>
        <w:t> </w:t>
      </w:r>
    </w:p>
    <w:p>
      <w:pPr>
        <w:pStyle w:val="BodyText"/>
        <w:spacing w:line="240" w:lineRule="auto" w:before="27"/>
        <w:ind w:left="558" w:right="192"/>
        <w:jc w:val="left"/>
        <w:rPr>
          <w:rFonts w:ascii="宋体" w:hAnsi="宋体" w:cs="宋体" w:eastAsia="宋体" w:hint="default"/>
        </w:rPr>
      </w:pPr>
      <w:r>
        <w:rPr/>
        <w:t>（</w:t>
      </w:r>
      <w:r>
        <w:rPr>
          <w:rFonts w:ascii="宋体" w:hAnsi="宋体" w:cs="宋体" w:eastAsia="宋体" w:hint="default"/>
        </w:rPr>
        <w:t>2</w:t>
      </w:r>
      <w:r>
        <w:rPr/>
        <w:t>）后续计量及损益确认方法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148" w:firstLine="420"/>
        <w:jc w:val="both"/>
        <w:rPr>
          <w:rFonts w:ascii="宋体" w:hAnsi="宋体" w:cs="宋体" w:eastAsia="宋体" w:hint="default"/>
        </w:rPr>
      </w:pPr>
      <w:r>
        <w:rPr>
          <w:spacing w:val="-2"/>
        </w:rPr>
        <w:t>采用成本法核算的长期股权投资，按照初始投资成本计量，被投资单位宣告分派的现金股利或</w:t>
      </w:r>
      <w:r>
        <w:rPr>
          <w:w w:val="100"/>
        </w:rPr>
        <w:t> </w:t>
      </w:r>
      <w:r>
        <w:rPr/>
        <w:t>利润，确认为投资收益计入当期损益。</w:t>
      </w:r>
      <w:r>
        <w:rPr>
          <w:rFonts w:ascii="宋体" w:hAnsi="宋体" w:cs="宋体" w:eastAsia="宋体" w:hint="default"/>
        </w:rPr>
        <w:t> </w:t>
      </w:r>
    </w:p>
    <w:p>
      <w:pPr>
        <w:pStyle w:val="BodyText"/>
        <w:spacing w:line="348" w:lineRule="auto" w:before="31"/>
        <w:ind w:left="138" w:right="148" w:firstLine="420"/>
        <w:jc w:val="both"/>
        <w:rPr>
          <w:rFonts w:ascii="宋体" w:hAnsi="宋体" w:cs="宋体" w:eastAsia="宋体" w:hint="default"/>
        </w:rPr>
      </w:pPr>
      <w:r>
        <w:rPr>
          <w:spacing w:val="-2"/>
        </w:rPr>
        <w:t>采用权益法核算的长期股权投资，初始投资成本大于投资时应享有被投资单位可辨认净资产公</w:t>
      </w:r>
      <w:r>
        <w:rPr>
          <w:w w:val="100"/>
        </w:rPr>
        <w:t> </w:t>
      </w:r>
      <w:r>
        <w:rPr>
          <w:spacing w:val="-2"/>
        </w:rPr>
        <w:t>允价值份额的，以初始投资成本作为长期股权投资成本；初始投资成本小于投资时应享有被投资单</w:t>
      </w:r>
      <w:r>
        <w:rPr>
          <w:spacing w:val="-25"/>
        </w:rPr>
        <w:t> </w:t>
      </w:r>
      <w:r>
        <w:rPr>
          <w:spacing w:val="-25"/>
        </w:rPr>
      </w:r>
      <w:r>
        <w:rPr/>
        <w:t>位可辨认净资产公允价值份额的，其差额计入当期损益，并相应调增长期股权投资成本。</w:t>
      </w:r>
      <w:r>
        <w:rPr>
          <w:rFonts w:ascii="宋体" w:hAnsi="宋体" w:cs="宋体" w:eastAsia="宋体" w:hint="default"/>
        </w:rPr>
        <w:t> </w:t>
      </w:r>
    </w:p>
    <w:p>
      <w:pPr>
        <w:pStyle w:val="BodyText"/>
        <w:spacing w:line="350" w:lineRule="auto" w:before="31"/>
        <w:ind w:left="138" w:right="148" w:firstLine="420"/>
        <w:jc w:val="both"/>
        <w:rPr>
          <w:rFonts w:ascii="宋体" w:hAnsi="宋体" w:cs="宋体" w:eastAsia="宋体" w:hint="default"/>
        </w:rPr>
      </w:pPr>
      <w:r>
        <w:rPr>
          <w:spacing w:val="-2"/>
        </w:rPr>
        <w:t>采用权益法核算的长期股权投资，本集团按应享有或应分担的被投资单位的净损益份额确认当</w:t>
      </w:r>
      <w:r>
        <w:rPr>
          <w:w w:val="100"/>
        </w:rPr>
        <w:t> </w:t>
      </w:r>
      <w:r>
        <w:rPr>
          <w:spacing w:val="-2"/>
        </w:rPr>
        <w:t>期投资损益。确认被投资单位发生的净亏损，以长期股权投资的账面价值以及其他实质上构成对被</w:t>
      </w:r>
      <w:r>
        <w:rPr>
          <w:spacing w:val="-25"/>
        </w:rPr>
        <w:t> </w:t>
      </w:r>
      <w:r>
        <w:rPr>
          <w:spacing w:val="-25"/>
        </w:rPr>
      </w:r>
      <w:r>
        <w:rPr>
          <w:spacing w:val="-2"/>
        </w:rPr>
        <w:t>投资单位净投资的长期权益减记至零为限，但本集团负有承担额外损失义务且符合预计负债确认条</w:t>
      </w:r>
      <w:r>
        <w:rPr>
          <w:spacing w:val="-25"/>
        </w:rPr>
        <w:t> </w:t>
      </w:r>
      <w:r>
        <w:rPr>
          <w:spacing w:val="-25"/>
        </w:rPr>
      </w:r>
      <w:r>
        <w:rPr>
          <w:spacing w:val="-2"/>
        </w:rPr>
        <w:t>件的，继续确认预计将承担的损失金额。被投资单位除净损益、其他综合收益和利润分配以外所有</w:t>
      </w:r>
      <w:r>
        <w:rPr>
          <w:spacing w:val="-25"/>
        </w:rPr>
        <w:t> </w:t>
      </w:r>
      <w:r>
        <w:rPr>
          <w:spacing w:val="-25"/>
        </w:rPr>
      </w:r>
      <w:r>
        <w:rPr>
          <w:spacing w:val="-2"/>
        </w:rPr>
        <w:t>者权益的其他变动，调整长期股权投资的账面价值并计入资本公积。被投资单位分派的利润或现金</w:t>
      </w:r>
      <w:r>
        <w:rPr>
          <w:spacing w:val="-25"/>
        </w:rPr>
        <w:t> </w:t>
      </w:r>
      <w:r>
        <w:rPr>
          <w:spacing w:val="-25"/>
        </w:rPr>
      </w:r>
      <w:r>
        <w:rPr>
          <w:spacing w:val="-2"/>
        </w:rPr>
        <w:t>股利于宣告分派时按照本集团应分得的部分，相应减少长期股权投资的账面价值。本集团与被投资</w:t>
      </w:r>
      <w:r>
        <w:rPr>
          <w:spacing w:val="-25"/>
        </w:rPr>
        <w:t> </w:t>
      </w:r>
      <w:r>
        <w:rPr>
          <w:spacing w:val="-25"/>
        </w:rPr>
      </w:r>
      <w:r>
        <w:rPr>
          <w:spacing w:val="-2"/>
        </w:rPr>
        <w:t>单位之间未实现的内部交易损益按照持股比例计算归属于本集团的部分，予以抵销，在此基础上确</w:t>
      </w:r>
      <w:r>
        <w:rPr>
          <w:spacing w:val="-25"/>
        </w:rPr>
        <w:t> </w:t>
      </w:r>
      <w:r>
        <w:rPr>
          <w:spacing w:val="-25"/>
        </w:rPr>
      </w:r>
      <w:r>
        <w:rPr>
          <w:spacing w:val="-2"/>
        </w:rPr>
        <w:t>认投资损益。本集团与被投资单位发生的内部交易损失，其中属于资产减值损失的部分，相应的未</w:t>
      </w:r>
      <w:r>
        <w:rPr>
          <w:spacing w:val="-25"/>
        </w:rPr>
        <w:t> </w:t>
      </w:r>
      <w:r>
        <w:rPr>
          <w:spacing w:val="-25"/>
        </w:rPr>
      </w:r>
      <w:r>
        <w:rPr/>
        <w:t>实现损失不予抵销。</w:t>
      </w:r>
      <w:r>
        <w:rPr>
          <w:rFonts w:ascii="宋体" w:hAnsi="宋体" w:cs="宋体" w:eastAsia="宋体" w:hint="default"/>
        </w:rPr>
        <w:t> </w:t>
      </w:r>
    </w:p>
    <w:p>
      <w:pPr>
        <w:pStyle w:val="BodyText"/>
        <w:spacing w:line="350" w:lineRule="auto" w:before="29"/>
        <w:ind w:left="138" w:right="148" w:firstLine="420"/>
        <w:jc w:val="both"/>
        <w:rPr>
          <w:rFonts w:ascii="宋体" w:hAnsi="宋体" w:cs="宋体" w:eastAsia="宋体" w:hint="default"/>
        </w:rPr>
      </w:pPr>
      <w:r>
        <w:rPr>
          <w:spacing w:val="-2"/>
        </w:rPr>
        <w:t>本集团因增加投资等原因对被投资单位的持股比例增加，但被投资单位仍然是投资方的联营企</w:t>
      </w:r>
      <w:r>
        <w:rPr>
          <w:w w:val="100"/>
        </w:rPr>
        <w:t> </w:t>
      </w:r>
      <w:r>
        <w:rPr>
          <w:spacing w:val="-2"/>
        </w:rPr>
        <w:t>业或合营企业时，本集团应当按照新的持股比例对股权投资继续采用权益法进行核算。在新增投资</w:t>
      </w:r>
      <w:r>
        <w:rPr>
          <w:spacing w:val="-25"/>
        </w:rPr>
        <w:t> </w:t>
      </w:r>
      <w:r>
        <w:rPr>
          <w:spacing w:val="-25"/>
        </w:rPr>
      </w:r>
      <w:r>
        <w:rPr>
          <w:spacing w:val="-2"/>
        </w:rPr>
        <w:t>日，如果新增投资成本大于按新增持股比例计算的被投资单位可辨认净资产于新增投资日的公允价</w:t>
      </w:r>
      <w:r>
        <w:rPr>
          <w:spacing w:val="-25"/>
        </w:rPr>
        <w:t> </w:t>
      </w:r>
      <w:r>
        <w:rPr>
          <w:spacing w:val="-25"/>
        </w:rPr>
      </w:r>
      <w:r>
        <w:rPr>
          <w:spacing w:val="-2"/>
        </w:rPr>
        <w:t>值份额，不调整长期股权投资成本；如果新增投资成本小于按新增持股比例计算的被投资单位可辨</w:t>
      </w:r>
      <w:r>
        <w:rPr>
          <w:spacing w:val="-25"/>
        </w:rPr>
        <w:t> </w:t>
      </w:r>
      <w:r>
        <w:rPr>
          <w:spacing w:val="-25"/>
        </w:rPr>
      </w:r>
      <w:r>
        <w:rPr>
          <w:spacing w:val="-2"/>
        </w:rPr>
        <w:t>认净资产于新增投资日的公允价值份额，应按该差额，调整长期股权投资成本和营业外收入。进行</w:t>
      </w:r>
      <w:r>
        <w:rPr>
          <w:spacing w:val="-25"/>
        </w:rPr>
        <w:t> </w:t>
      </w:r>
      <w:r>
        <w:rPr>
          <w:spacing w:val="-25"/>
        </w:rPr>
      </w:r>
      <w:r>
        <w:rPr/>
        <w:t>上述调整时，本集团综合考虑与原持有投资和追加投资相关的商誉或计入损益的金额。</w:t>
      </w:r>
      <w:r>
        <w:rPr>
          <w:rFonts w:ascii="宋体" w:hAnsi="宋体" w:cs="宋体" w:eastAsia="宋体" w:hint="default"/>
        </w:rPr>
        <w:t> </w:t>
      </w:r>
    </w:p>
    <w:p>
      <w:pPr>
        <w:pStyle w:val="BodyText"/>
        <w:spacing w:line="350" w:lineRule="auto" w:before="29"/>
        <w:ind w:left="558" w:right="192"/>
        <w:jc w:val="left"/>
      </w:pPr>
      <w:r>
        <w:rPr/>
        <w:t>（</w:t>
      </w:r>
      <w:r>
        <w:rPr>
          <w:rFonts w:ascii="宋体" w:hAnsi="宋体" w:cs="宋体" w:eastAsia="宋体" w:hint="default"/>
        </w:rPr>
        <w:t>3</w:t>
      </w:r>
      <w:r>
        <w:rPr/>
        <w:t>）确定对被投资单位具有控制、共同控制、重大影响的依据</w:t>
      </w:r>
      <w:r>
        <w:rPr>
          <w:rFonts w:ascii="宋体" w:hAnsi="宋体" w:cs="宋体" w:eastAsia="宋体" w:hint="default"/>
          <w:w w:val="100"/>
        </w:rPr>
        <w:t> </w:t>
      </w:r>
      <w:r>
        <w:rPr>
          <w:spacing w:val="-2"/>
        </w:rPr>
        <w:t>控制是指拥有对被投资单位的权力，通过参与被投资单位的相关活动而享有可变回报，并且有</w:t>
      </w:r>
    </w:p>
    <w:p>
      <w:pPr>
        <w:pStyle w:val="BodyText"/>
        <w:spacing w:line="350" w:lineRule="auto" w:before="27"/>
        <w:ind w:left="558" w:right="192" w:hanging="420"/>
        <w:jc w:val="left"/>
      </w:pPr>
      <w:r>
        <w:rPr/>
        <w:t>能力运用对被投资单位的权力影响其回报金额。</w:t>
      </w:r>
      <w:r>
        <w:rPr>
          <w:rFonts w:ascii="宋体" w:hAnsi="宋体" w:cs="宋体" w:eastAsia="宋体" w:hint="default"/>
          <w:w w:val="100"/>
        </w:rPr>
        <w:t> </w:t>
      </w:r>
      <w:r>
        <w:rPr>
          <w:spacing w:val="-2"/>
        </w:rPr>
        <w:t>共同控制是指按照相关约定对某项安排所共有的控制，并且该安排的相关活动必须经过本集团</w:t>
      </w:r>
    </w:p>
    <w:p>
      <w:pPr>
        <w:pStyle w:val="BodyText"/>
        <w:spacing w:line="348" w:lineRule="auto" w:before="29"/>
        <w:ind w:left="558" w:right="192" w:hanging="420"/>
        <w:jc w:val="left"/>
      </w:pPr>
      <w:r>
        <w:rPr/>
        <w:t>及分享控制权的其他参与方一致同意后才能决策。</w:t>
      </w:r>
      <w:r>
        <w:rPr>
          <w:rFonts w:ascii="宋体" w:hAnsi="宋体" w:cs="宋体" w:eastAsia="宋体" w:hint="default"/>
          <w:w w:val="100"/>
        </w:rPr>
        <w:t> </w:t>
      </w:r>
      <w:r>
        <w:rPr>
          <w:spacing w:val="-2"/>
        </w:rPr>
        <w:t>重大影响是指对被投资单位的财务和经营政策有参与决策的权力，但并不能够控制或者与其他</w:t>
      </w:r>
    </w:p>
    <w:p>
      <w:pPr>
        <w:pStyle w:val="BodyText"/>
        <w:spacing w:line="240" w:lineRule="auto" w:before="32"/>
        <w:ind w:left="138" w:right="192"/>
        <w:jc w:val="left"/>
        <w:rPr>
          <w:rFonts w:ascii="宋体" w:hAnsi="宋体" w:cs="宋体" w:eastAsia="宋体" w:hint="default"/>
        </w:rPr>
      </w:pPr>
      <w:r>
        <w:rPr/>
        <w:t>方一起共同控制这些政策的制定。</w:t>
      </w:r>
      <w:r>
        <w:rPr>
          <w:rFonts w:ascii="宋体" w:hAnsi="宋体" w:cs="宋体" w:eastAsia="宋体" w:hint="default"/>
        </w:rPr>
        <w:t> </w:t>
      </w:r>
    </w:p>
    <w:p>
      <w:pPr>
        <w:pStyle w:val="BodyText"/>
        <w:spacing w:line="348" w:lineRule="auto" w:before="126"/>
        <w:ind w:left="558" w:right="192"/>
        <w:jc w:val="left"/>
      </w:pPr>
      <w:r>
        <w:rPr/>
        <w:t>（</w:t>
      </w:r>
      <w:r>
        <w:rPr>
          <w:rFonts w:ascii="宋体" w:hAnsi="宋体" w:cs="宋体" w:eastAsia="宋体" w:hint="default"/>
        </w:rPr>
        <w:t>4</w:t>
      </w:r>
      <w:r>
        <w:rPr/>
        <w:t>）长期股权投资减值</w:t>
      </w:r>
      <w:r>
        <w:rPr>
          <w:rFonts w:ascii="宋体" w:hAnsi="宋体" w:cs="宋体" w:eastAsia="宋体" w:hint="default"/>
          <w:w w:val="100"/>
        </w:rPr>
        <w:t> </w:t>
      </w:r>
      <w:r>
        <w:rPr>
          <w:spacing w:val="-2"/>
        </w:rPr>
        <w:t>对子公司、合营企业、联营企业的长期股权投资，当其可收回金额低于其账面价值时，账面价</w:t>
      </w:r>
    </w:p>
    <w:p>
      <w:pPr>
        <w:pStyle w:val="BodyText"/>
        <w:spacing w:line="240" w:lineRule="auto" w:before="31"/>
        <w:ind w:left="138" w:right="192"/>
        <w:jc w:val="left"/>
        <w:rPr>
          <w:rFonts w:ascii="宋体" w:hAnsi="宋体" w:cs="宋体" w:eastAsia="宋体" w:hint="default"/>
        </w:rPr>
      </w:pPr>
      <w:r>
        <w:rPr>
          <w:spacing w:val="-2"/>
        </w:rPr>
        <w:t>值减记至可收回金额</w:t>
      </w:r>
      <w:r>
        <w:rPr>
          <w:rFonts w:ascii="宋体" w:hAnsi="宋体" w:cs="宋体" w:eastAsia="宋体" w:hint="default"/>
          <w:spacing w:val="-2"/>
        </w:rPr>
        <w:t>(</w:t>
      </w:r>
      <w:r>
        <w:rPr>
          <w:spacing w:val="-2"/>
        </w:rPr>
        <w:t>本节五、重要会计政策及会计估计</w:t>
      </w:r>
      <w:r>
        <w:rPr>
          <w:spacing w:val="-3"/>
        </w:rPr>
        <w:t> </w:t>
      </w:r>
      <w:r>
        <w:rPr>
          <w:rFonts w:ascii="宋体" w:hAnsi="宋体" w:cs="宋体" w:eastAsia="宋体" w:hint="default"/>
          <w:spacing w:val="-2"/>
        </w:rPr>
        <w:t>30)</w:t>
      </w:r>
      <w:r>
        <w:rPr>
          <w:spacing w:val="-2"/>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90" w:lineRule="auto" w:before="0"/>
        <w:ind w:left="138" w:right="6529"/>
        <w:jc w:val="left"/>
        <w:rPr>
          <w:rFonts w:ascii="宋体" w:hAnsi="宋体" w:cs="宋体" w:eastAsia="宋体" w:hint="default"/>
          <w:b w:val="0"/>
          <w:bCs w:val="0"/>
          <w:sz w:val="20"/>
          <w:szCs w:val="20"/>
        </w:rPr>
      </w:pPr>
      <w:r>
        <w:rPr>
          <w:rFonts w:ascii="宋体" w:hAnsi="宋体" w:cs="宋体" w:eastAsia="宋体" w:hint="default"/>
        </w:rPr>
        <w:t>22.</w:t>
      </w:r>
      <w:r>
        <w:rPr>
          <w:rFonts w:ascii="宋体" w:hAnsi="宋体" w:cs="宋体" w:eastAsia="宋体" w:hint="default"/>
          <w:spacing w:val="1"/>
        </w:rPr>
        <w:t> </w:t>
      </w:r>
      <w:r>
        <w:rPr/>
        <w:t>投资性房地产</w:t>
      </w:r>
      <w:r>
        <w:rPr>
          <w:rFonts w:ascii="宋体" w:hAnsi="宋体" w:cs="宋体" w:eastAsia="宋体" w:hint="default"/>
          <w:w w:val="99"/>
        </w:rPr>
        <w:t> </w:t>
      </w:r>
      <w:r>
        <w:rPr/>
        <w:t>采用成本计量模式的</w:t>
      </w:r>
      <w:r>
        <w:rPr>
          <w:sz w:val="20"/>
          <w:szCs w:val="20"/>
        </w:rPr>
        <w:t>：</w:t>
      </w:r>
      <w:r>
        <w:rPr>
          <w:rFonts w:ascii="宋体" w:hAnsi="宋体" w:cs="宋体" w:eastAsia="宋体" w:hint="default"/>
          <w:w w:val="98"/>
          <w:sz w:val="20"/>
          <w:szCs w:val="20"/>
        </w:rPr>
        <w:t> </w:t>
      </w:r>
      <w:r>
        <w:rPr>
          <w:rFonts w:ascii="宋体" w:hAnsi="宋体" w:cs="宋体" w:eastAsia="宋体" w:hint="default"/>
          <w:b w:val="0"/>
          <w:bCs w:val="0"/>
          <w:sz w:val="20"/>
          <w:szCs w:val="20"/>
        </w:rPr>
      </w:r>
    </w:p>
    <w:p>
      <w:pPr>
        <w:pStyle w:val="BodyText"/>
        <w:spacing w:line="240" w:lineRule="auto" w:before="12"/>
        <w:ind w:left="558" w:right="192"/>
        <w:jc w:val="left"/>
        <w:rPr>
          <w:rFonts w:ascii="宋体" w:hAnsi="宋体" w:cs="宋体" w:eastAsia="宋体" w:hint="default"/>
        </w:rPr>
      </w:pPr>
      <w:r>
        <w:rPr/>
        <w:t>折旧或摊销方法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50" w:lineRule="auto" w:before="36"/>
        <w:ind w:left="318" w:right="0" w:firstLine="480"/>
        <w:jc w:val="left"/>
        <w:rPr>
          <w:rFonts w:ascii="宋体" w:hAnsi="宋体" w:cs="宋体" w:eastAsia="宋体" w:hint="default"/>
        </w:rPr>
      </w:pPr>
      <w:r>
        <w:rPr/>
        <w:t>投资性房地产包括已出租的土地使用权和以出租为目的的建筑物以及正在建造或开发过程中</w:t>
      </w:r>
      <w:r>
        <w:rPr>
          <w:w w:val="100"/>
        </w:rPr>
        <w:t> </w:t>
      </w:r>
      <w:r>
        <w:rPr>
          <w:spacing w:val="-2"/>
        </w:rPr>
        <w:t>将用于出租的建筑物，以成本进行初始计量。与投资性房地产有关的后续支出，在相关的经济利益</w:t>
      </w:r>
      <w:r>
        <w:rPr>
          <w:spacing w:val="-25"/>
        </w:rPr>
        <w:t> </w:t>
      </w:r>
      <w:r>
        <w:rPr>
          <w:spacing w:val="-25"/>
        </w:rPr>
      </w:r>
      <w:r>
        <w:rPr>
          <w:spacing w:val="-2"/>
        </w:rPr>
        <w:t>很可能流入本集团且其成本能够可靠的计量时，计入投资性房地产成本；否则，于发生时计入当期</w:t>
      </w:r>
      <w:r>
        <w:rPr>
          <w:spacing w:val="-25"/>
        </w:rPr>
        <w:t> </w:t>
      </w:r>
      <w:r>
        <w:rPr>
          <w:spacing w:val="-25"/>
        </w:rPr>
      </w:r>
      <w:r>
        <w:rPr/>
        <w:t>损益。</w:t>
      </w:r>
      <w:r>
        <w:rPr>
          <w:rFonts w:ascii="宋体" w:hAnsi="宋体" w:cs="宋体" w:eastAsia="宋体" w:hint="default"/>
        </w:rPr>
        <w:t> </w:t>
      </w:r>
    </w:p>
    <w:p>
      <w:pPr>
        <w:pStyle w:val="BodyText"/>
        <w:spacing w:line="350" w:lineRule="auto" w:before="27"/>
        <w:ind w:left="318" w:right="147" w:firstLine="420"/>
        <w:jc w:val="both"/>
        <w:rPr>
          <w:rFonts w:ascii="宋体" w:hAnsi="宋体" w:cs="宋体" w:eastAsia="宋体" w:hint="default"/>
        </w:rPr>
      </w:pPr>
      <w:r>
        <w:rPr/>
        <w:t>本集团采用成本模式对所有投资性房地产进行后续计量，土地使用权按使用年限</w:t>
      </w:r>
      <w:r>
        <w:rPr>
          <w:spacing w:val="-53"/>
        </w:rPr>
        <w:t> </w:t>
      </w:r>
      <w:r>
        <w:rPr>
          <w:rFonts w:ascii="宋体" w:hAnsi="宋体" w:cs="宋体" w:eastAsia="宋体" w:hint="default"/>
        </w:rPr>
        <w:t>35-50</w:t>
      </w:r>
      <w:r>
        <w:rPr>
          <w:rFonts w:ascii="宋体" w:hAnsi="宋体" w:cs="宋体" w:eastAsia="宋体" w:hint="default"/>
          <w:spacing w:val="-56"/>
        </w:rPr>
        <w:t> </w:t>
      </w:r>
      <w:r>
        <w:rPr/>
        <w:t>年平均</w:t>
      </w:r>
      <w:r>
        <w:rPr>
          <w:w w:val="100"/>
        </w:rPr>
        <w:t> </w:t>
      </w:r>
      <w:r>
        <w:rPr>
          <w:spacing w:val="-2"/>
        </w:rPr>
        <w:t>摊销，房屋及建筑物按其预计使用寿命及净残值率计提折旧，房屋及建筑物与土地使用权的预计使</w:t>
      </w:r>
      <w:r>
        <w:rPr>
          <w:spacing w:val="-25"/>
        </w:rPr>
        <w:t> </w:t>
      </w:r>
      <w:r>
        <w:rPr>
          <w:spacing w:val="-25"/>
        </w:rPr>
      </w:r>
      <w:r>
        <w:rPr/>
        <w:t>用寿命、净残值率及年折旧率列示如下：</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2564"/>
        <w:gridCol w:w="2356"/>
        <w:gridCol w:w="2217"/>
        <w:gridCol w:w="1977"/>
      </w:tblGrid>
      <w:tr>
        <w:trPr>
          <w:trHeight w:val="368" w:hRule="exact"/>
        </w:trPr>
        <w:tc>
          <w:tcPr>
            <w:tcW w:w="256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194" w:lineRule="exact"/>
              <w:ind w:right="496"/>
              <w:jc w:val="right"/>
              <w:rPr>
                <w:rFonts w:ascii="宋体" w:hAnsi="宋体" w:cs="宋体" w:eastAsia="宋体" w:hint="default"/>
                <w:sz w:val="21"/>
                <w:szCs w:val="21"/>
              </w:rPr>
            </w:pPr>
            <w:r>
              <w:rPr>
                <w:rFonts w:ascii="宋体" w:hAnsi="宋体" w:cs="宋体" w:eastAsia="宋体" w:hint="default"/>
                <w:spacing w:val="-1"/>
                <w:sz w:val="21"/>
                <w:szCs w:val="21"/>
              </w:rPr>
              <w:t>预计使用寿命</w:t>
            </w:r>
          </w:p>
        </w:tc>
        <w:tc>
          <w:tcPr>
            <w:tcW w:w="2217" w:type="dxa"/>
            <w:tcBorders>
              <w:top w:val="nil" w:sz="6" w:space="0" w:color="auto"/>
              <w:left w:val="nil" w:sz="6" w:space="0" w:color="auto"/>
              <w:bottom w:val="nil" w:sz="6" w:space="0" w:color="auto"/>
              <w:right w:val="nil" w:sz="6" w:space="0" w:color="auto"/>
            </w:tcBorders>
          </w:tcPr>
          <w:p>
            <w:pPr>
              <w:pStyle w:val="TableParagraph"/>
              <w:spacing w:line="194" w:lineRule="exact"/>
              <w:ind w:right="453"/>
              <w:jc w:val="right"/>
              <w:rPr>
                <w:rFonts w:ascii="宋体" w:hAnsi="宋体" w:cs="宋体" w:eastAsia="宋体" w:hint="default"/>
                <w:sz w:val="21"/>
                <w:szCs w:val="21"/>
              </w:rPr>
            </w:pPr>
            <w:r>
              <w:rPr>
                <w:rFonts w:ascii="宋体" w:hAnsi="宋体" w:cs="宋体" w:eastAsia="宋体" w:hint="default"/>
                <w:spacing w:val="-1"/>
                <w:sz w:val="21"/>
                <w:szCs w:val="21"/>
              </w:rPr>
              <w:t>预计净残值率</w:t>
            </w:r>
          </w:p>
        </w:tc>
        <w:tc>
          <w:tcPr>
            <w:tcW w:w="1977"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摊销率</w:t>
            </w:r>
          </w:p>
        </w:tc>
      </w:tr>
      <w:tr>
        <w:trPr>
          <w:trHeight w:val="399"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96"/>
              <w:jc w:val="righ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55"/>
              <w:jc w:val="right"/>
              <w:rPr>
                <w:rFonts w:ascii="Times New Roman" w:hAnsi="Times New Roman" w:cs="Times New Roman" w:eastAsia="Times New Roman" w:hint="default"/>
                <w:sz w:val="21"/>
                <w:szCs w:val="21"/>
              </w:rPr>
            </w:pPr>
            <w:r>
              <w:rPr>
                <w:rFonts w:ascii="Times New Roman"/>
                <w:sz w:val="21"/>
              </w:rPr>
              <w:t>4%</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99"/>
              <w:jc w:val="right"/>
              <w:rPr>
                <w:rFonts w:ascii="Times New Roman" w:hAnsi="Times New Roman" w:cs="Times New Roman" w:eastAsia="Times New Roman" w:hint="default"/>
                <w:sz w:val="21"/>
                <w:szCs w:val="21"/>
              </w:rPr>
            </w:pPr>
            <w:r>
              <w:rPr>
                <w:rFonts w:ascii="Times New Roman"/>
                <w:sz w:val="21"/>
              </w:rPr>
              <w:t>3.2%</w:t>
            </w:r>
          </w:p>
        </w:tc>
      </w:tr>
      <w:tr>
        <w:trPr>
          <w:trHeight w:val="253"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356" w:type="dxa"/>
            <w:tcBorders>
              <w:top w:val="nil" w:sz="6" w:space="0" w:color="auto"/>
              <w:left w:val="nil" w:sz="6" w:space="0" w:color="auto"/>
              <w:bottom w:val="nil" w:sz="6" w:space="0" w:color="auto"/>
              <w:right w:val="nil" w:sz="6" w:space="0" w:color="auto"/>
            </w:tcBorders>
          </w:tcPr>
          <w:p>
            <w:pPr>
              <w:pStyle w:val="TableParagraph"/>
              <w:spacing w:line="231" w:lineRule="exact"/>
              <w:ind w:right="498"/>
              <w:jc w:val="right"/>
              <w:rPr>
                <w:rFonts w:ascii="宋体" w:hAnsi="宋体" w:cs="宋体" w:eastAsia="宋体" w:hint="default"/>
                <w:sz w:val="21"/>
                <w:szCs w:val="21"/>
              </w:rPr>
            </w:pPr>
            <w:r>
              <w:rPr>
                <w:rFonts w:ascii="Times New Roman" w:hAnsi="Times New Roman" w:cs="Times New Roman" w:eastAsia="Times New Roman" w:hint="default"/>
                <w:sz w:val="21"/>
                <w:szCs w:val="21"/>
              </w:rPr>
              <w:t>35-50 </w:t>
            </w:r>
            <w:r>
              <w:rPr>
                <w:rFonts w:ascii="宋体" w:hAnsi="宋体" w:cs="宋体" w:eastAsia="宋体" w:hint="default"/>
                <w:sz w:val="21"/>
                <w:szCs w:val="21"/>
              </w:rPr>
              <w:t>年</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exact"/>
              <w:ind w:right="455"/>
              <w:jc w:val="right"/>
              <w:rPr>
                <w:rFonts w:ascii="Times New Roman" w:hAnsi="Times New Roman" w:cs="Times New Roman" w:eastAsia="Times New Roman" w:hint="default"/>
                <w:sz w:val="21"/>
                <w:szCs w:val="21"/>
              </w:rPr>
            </w:pPr>
            <w:r>
              <w:rPr>
                <w:rFonts w:ascii="Times New Roman"/>
                <w:w w:val="100"/>
                <w:sz w:val="21"/>
              </w:rPr>
              <w:t>-</w:t>
            </w: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exact"/>
              <w:ind w:right="200"/>
              <w:jc w:val="right"/>
              <w:rPr>
                <w:rFonts w:ascii="Times New Roman" w:hAnsi="Times New Roman" w:cs="Times New Roman" w:eastAsia="Times New Roman" w:hint="default"/>
                <w:sz w:val="21"/>
                <w:szCs w:val="21"/>
              </w:rPr>
            </w:pPr>
            <w:r>
              <w:rPr>
                <w:rFonts w:ascii="Times New Roman"/>
                <w:spacing w:val="-1"/>
                <w:sz w:val="21"/>
              </w:rPr>
              <w:t>2.0%-2.9%</w:t>
            </w:r>
          </w:p>
        </w:tc>
      </w:tr>
    </w:tbl>
    <w:p>
      <w:pPr>
        <w:pStyle w:val="BodyText"/>
        <w:spacing w:line="350" w:lineRule="auto" w:before="66"/>
        <w:ind w:left="318" w:right="148" w:firstLine="420"/>
        <w:jc w:val="both"/>
        <w:rPr>
          <w:rFonts w:ascii="宋体" w:hAnsi="宋体" w:cs="宋体" w:eastAsia="宋体" w:hint="default"/>
        </w:rPr>
      </w:pPr>
      <w:r>
        <w:rPr>
          <w:spacing w:val="-2"/>
        </w:rPr>
        <w:t>投资性房地产的用途改变为自用时，自改变之日起，将该投资性房地产转换为固定资产或无形</w:t>
      </w:r>
      <w:r>
        <w:rPr>
          <w:w w:val="100"/>
        </w:rPr>
        <w:t> </w:t>
      </w:r>
      <w:r>
        <w:rPr>
          <w:spacing w:val="-2"/>
        </w:rPr>
        <w:t>资产。自用房地产的用途改变为赚取租金或资本增值时，自改变之日起，将固定资产或无形资产转</w:t>
      </w:r>
      <w:r>
        <w:rPr>
          <w:spacing w:val="-25"/>
        </w:rPr>
        <w:t> </w:t>
      </w:r>
      <w:r>
        <w:rPr>
          <w:spacing w:val="-25"/>
        </w:rPr>
      </w:r>
      <w:r>
        <w:rPr/>
        <w:t>换为投资性房地产。发生转换时，以转换前的账面价值作为转换后的入账价值。</w:t>
      </w:r>
      <w:r>
        <w:rPr>
          <w:rFonts w:ascii="宋体" w:hAnsi="宋体" w:cs="宋体" w:eastAsia="宋体" w:hint="default"/>
        </w:rPr>
        <w:t> </w:t>
      </w:r>
    </w:p>
    <w:p>
      <w:pPr>
        <w:pStyle w:val="BodyText"/>
        <w:spacing w:line="350" w:lineRule="auto" w:before="27"/>
        <w:ind w:left="318" w:right="148" w:firstLine="420"/>
        <w:jc w:val="both"/>
        <w:rPr>
          <w:rFonts w:ascii="宋体" w:hAnsi="宋体" w:cs="宋体" w:eastAsia="宋体" w:hint="default"/>
        </w:rPr>
      </w:pPr>
      <w:r>
        <w:rPr>
          <w:spacing w:val="-2"/>
        </w:rPr>
        <w:t>对投资性房地产的预计使用寿命、预计净残值和折旧方法于每年年度终了进行复核并作适当调</w:t>
      </w:r>
      <w:r>
        <w:rPr>
          <w:w w:val="100"/>
        </w:rPr>
        <w:t> </w:t>
      </w:r>
      <w:r>
        <w:rPr/>
        <w:t>整。</w:t>
      </w:r>
      <w:r>
        <w:rPr>
          <w:rFonts w:ascii="宋体" w:hAnsi="宋体" w:cs="宋体" w:eastAsia="宋体" w:hint="default"/>
        </w:rPr>
        <w:t> </w:t>
      </w:r>
    </w:p>
    <w:p>
      <w:pPr>
        <w:pStyle w:val="BodyText"/>
        <w:spacing w:line="348" w:lineRule="auto" w:before="29"/>
        <w:ind w:left="318" w:right="148" w:firstLine="420"/>
        <w:jc w:val="both"/>
        <w:rPr>
          <w:rFonts w:ascii="宋体" w:hAnsi="宋体" w:cs="宋体" w:eastAsia="宋体" w:hint="default"/>
        </w:rPr>
      </w:pPr>
      <w:r>
        <w:rPr>
          <w:spacing w:val="-2"/>
        </w:rPr>
        <w:t>当投资性房地产被处置、或者永久退出使用且预计不能从其处置中取得经济利益时，终止确认</w:t>
      </w:r>
      <w:r>
        <w:rPr>
          <w:w w:val="100"/>
        </w:rPr>
        <w:t> </w:t>
      </w:r>
      <w:r>
        <w:rPr>
          <w:spacing w:val="-2"/>
        </w:rPr>
        <w:t>该项投资性房地产。投资性房地产出售、转让、报废或毁损的处置收入扣除其账面价值和相关税费</w:t>
      </w:r>
      <w:r>
        <w:rPr>
          <w:spacing w:val="-25"/>
        </w:rPr>
        <w:t> </w:t>
      </w:r>
      <w:r>
        <w:rPr>
          <w:spacing w:val="-25"/>
        </w:rPr>
      </w:r>
      <w:r>
        <w:rPr/>
        <w:t>后的金额计入当期损益。</w:t>
      </w:r>
      <w:r>
        <w:rPr>
          <w:rFonts w:ascii="宋体" w:hAnsi="宋体" w:cs="宋体" w:eastAsia="宋体" w:hint="default"/>
        </w:rPr>
        <w:t> </w:t>
      </w:r>
    </w:p>
    <w:p>
      <w:pPr>
        <w:pStyle w:val="BodyText"/>
        <w:spacing w:line="348" w:lineRule="auto" w:before="32"/>
        <w:ind w:left="318" w:right="109" w:firstLine="420"/>
        <w:jc w:val="both"/>
        <w:rPr>
          <w:rFonts w:ascii="宋体" w:hAnsi="宋体" w:cs="宋体" w:eastAsia="宋体" w:hint="default"/>
        </w:rPr>
      </w:pPr>
      <w:r>
        <w:rPr>
          <w:spacing w:val="-3"/>
        </w:rPr>
        <w:t>当投资性房地产的可收回金额低于其账面价值时，账面价值减记至可收回金额</w:t>
      </w:r>
      <w:r>
        <w:rPr>
          <w:rFonts w:ascii="宋体" w:hAnsi="宋体" w:cs="宋体" w:eastAsia="宋体" w:hint="default"/>
          <w:spacing w:val="-3"/>
        </w:rPr>
        <w:t>(</w:t>
      </w:r>
      <w:r>
        <w:rPr>
          <w:spacing w:val="-3"/>
        </w:rPr>
        <w:t>本节五、重要会</w:t>
      </w:r>
      <w:r>
        <w:rPr>
          <w:w w:val="100"/>
        </w:rPr>
        <w:t> </w:t>
      </w:r>
      <w:r>
        <w:rPr/>
        <w:t>计政策及会计估计</w:t>
      </w:r>
      <w:r>
        <w:rPr>
          <w:spacing w:val="-57"/>
        </w:rPr>
        <w:t> </w:t>
      </w:r>
      <w:r>
        <w:rPr>
          <w:rFonts w:ascii="宋体" w:hAnsi="宋体" w:cs="宋体" w:eastAsia="宋体" w:hint="default"/>
        </w:rPr>
        <w:t>30)</w:t>
      </w:r>
      <w:r>
        <w:rPr/>
        <w:t>。</w:t>
      </w:r>
      <w:r>
        <w:rPr>
          <w:rFonts w:ascii="宋体" w:hAnsi="宋体" w:cs="宋体" w:eastAsia="宋体" w:hint="default"/>
        </w:rPr>
        <w:t> </w:t>
      </w:r>
    </w:p>
    <w:p>
      <w:pPr>
        <w:pStyle w:val="Heading3"/>
        <w:spacing w:line="231" w:lineRule="exact"/>
        <w:ind w:left="318" w:right="0"/>
        <w:jc w:val="left"/>
        <w:rPr>
          <w:rFonts w:ascii="宋体" w:hAnsi="宋体" w:cs="宋体" w:eastAsia="宋体" w:hint="default"/>
        </w:rPr>
      </w:pPr>
      <w:r>
        <w:rPr>
          <w:rFonts w:ascii="宋体"/>
        </w:rPr>
        <w:t> </w:t>
      </w:r>
    </w:p>
    <w:p>
      <w:pPr>
        <w:pStyle w:val="Heading5"/>
        <w:spacing w:line="290" w:lineRule="auto" w:before="64"/>
        <w:ind w:left="318" w:right="6675"/>
        <w:jc w:val="left"/>
        <w:rPr>
          <w:rFonts w:ascii="宋体" w:hAnsi="宋体" w:cs="宋体" w:eastAsia="宋体" w:hint="default"/>
          <w:b w:val="0"/>
          <w:bCs w:val="0"/>
        </w:rPr>
      </w:pPr>
      <w:r>
        <w:rPr>
          <w:rFonts w:ascii="宋体" w:hAnsi="宋体" w:cs="宋体" w:eastAsia="宋体" w:hint="default"/>
        </w:rPr>
        <w:t>23. </w:t>
      </w:r>
      <w:r>
        <w:rPr/>
        <w:t>固定资产</w:t>
      </w:r>
      <w:r>
        <w:rPr>
          <w:rFonts w:ascii="宋体" w:hAnsi="宋体" w:cs="宋体" w:eastAsia="宋体" w:hint="default"/>
          <w:w w:val="99"/>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331" w:lineRule="auto" w:before="14"/>
        <w:ind w:left="79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固定资产包括房屋及建筑物、港务设施、库场设施、装卸搬运设备、机器设备、船舶、运输工</w:t>
      </w:r>
    </w:p>
    <w:p>
      <w:pPr>
        <w:pStyle w:val="BodyText"/>
        <w:spacing w:line="348" w:lineRule="auto" w:before="46"/>
        <w:ind w:left="738" w:right="0" w:hanging="420"/>
        <w:jc w:val="left"/>
      </w:pPr>
      <w:r>
        <w:rPr/>
        <w:t>具、通信设施、办公设备及其他设备等。</w:t>
      </w:r>
      <w:r>
        <w:rPr>
          <w:w w:val="100"/>
        </w:rPr>
        <w:t> </w:t>
      </w:r>
      <w:r>
        <w:rPr>
          <w:spacing w:val="-2"/>
        </w:rPr>
        <w:t>固定资产在与其有关的经济利益很可能流入本集团、且其成本能够可靠计量时予以确认。购置</w:t>
      </w:r>
      <w:r>
        <w:rPr/>
      </w:r>
    </w:p>
    <w:p>
      <w:pPr>
        <w:pStyle w:val="BodyText"/>
        <w:spacing w:line="350" w:lineRule="auto" w:before="32"/>
        <w:ind w:left="318" w:right="0"/>
        <w:jc w:val="left"/>
      </w:pPr>
      <w:r>
        <w:rPr>
          <w:spacing w:val="-2"/>
        </w:rPr>
        <w:t>或新建的固定资产按取得时的成本进行初始计量。公司制改建时国有股股东投入的固定资产，按国</w:t>
      </w:r>
      <w:r>
        <w:rPr>
          <w:spacing w:val="-25"/>
        </w:rPr>
        <w:t> </w:t>
      </w:r>
      <w:r>
        <w:rPr>
          <w:spacing w:val="-25"/>
        </w:rPr>
      </w:r>
      <w:r>
        <w:rPr/>
        <w:t>有资产管理部门确认的评估值作为入账价值。</w:t>
      </w:r>
    </w:p>
    <w:p>
      <w:pPr>
        <w:pStyle w:val="BodyText"/>
        <w:spacing w:line="350" w:lineRule="auto" w:before="27"/>
        <w:ind w:left="318" w:right="148" w:firstLine="420"/>
        <w:jc w:val="both"/>
      </w:pPr>
      <w:r>
        <w:rPr>
          <w:spacing w:val="-2"/>
        </w:rPr>
        <w:t>与固定资产有关的后续支出，在与其有关的经济利益很可能流入本集团且其成本能够可靠计量</w:t>
      </w:r>
      <w:r>
        <w:rPr>
          <w:w w:val="100"/>
        </w:rPr>
        <w:t> </w:t>
      </w:r>
      <w:r>
        <w:rPr>
          <w:spacing w:val="-2"/>
        </w:rPr>
        <w:t>时，计入固定资产成本；对于被替换的部分，终止确认其账面价值；所有其他后续支出于发生时计</w:t>
      </w:r>
      <w:r>
        <w:rPr>
          <w:spacing w:val="-25"/>
        </w:rPr>
        <w:t> </w:t>
      </w:r>
      <w:r>
        <w:rPr>
          <w:spacing w:val="-25"/>
        </w:rPr>
      </w:r>
      <w:r>
        <w:rPr/>
        <w:t>入当期损益。</w:t>
      </w:r>
    </w:p>
    <w:p>
      <w:pPr>
        <w:tabs>
          <w:tab w:pos="3199" w:val="left" w:leader="none"/>
        </w:tabs>
        <w:spacing w:line="227" w:lineRule="exact" w:before="0"/>
        <w:ind w:left="318" w:right="0" w:firstLine="0"/>
        <w:jc w:val="left"/>
        <w:rPr>
          <w:rFonts w:ascii="宋体" w:hAnsi="宋体" w:cs="宋体" w:eastAsia="宋体" w:hint="default"/>
          <w:sz w:val="24"/>
          <w:szCs w:val="24"/>
        </w:rPr>
      </w:pPr>
      <w:r>
        <w:rPr>
          <w:rFonts w:ascii="宋体"/>
          <w:w w:val="100"/>
          <w:sz w:val="21"/>
        </w:rPr>
        <w:t> </w:t>
      </w:r>
      <w:r>
        <w:rPr>
          <w:rFonts w:ascii="宋体"/>
          <w:sz w:val="21"/>
        </w:rPr>
        <w:tab/>
      </w:r>
      <w:r>
        <w:rPr>
          <w:rFonts w:ascii="宋体"/>
          <w:sz w:val="24"/>
        </w:rPr>
        <w:t> </w:t>
      </w:r>
    </w:p>
    <w:p>
      <w:pPr>
        <w:spacing w:after="0" w:line="227" w:lineRule="exact"/>
        <w:jc w:val="left"/>
        <w:rPr>
          <w:rFonts w:ascii="宋体" w:hAnsi="宋体" w:cs="宋体" w:eastAsia="宋体" w:hint="default"/>
          <w:sz w:val="24"/>
          <w:szCs w:val="24"/>
        </w:rPr>
        <w:sectPr>
          <w:pgSz w:w="11910" w:h="16840"/>
          <w:pgMar w:header="882" w:footer="974" w:top="1120" w:bottom="1160" w:left="1100" w:right="1300"/>
        </w:sectPr>
      </w:pPr>
    </w:p>
    <w:p>
      <w:pPr>
        <w:spacing w:line="240" w:lineRule="auto" w:before="0"/>
        <w:rPr>
          <w:rFonts w:ascii="宋体" w:hAnsi="宋体" w:cs="宋体" w:eastAsia="宋体" w:hint="default"/>
          <w:sz w:val="20"/>
          <w:szCs w:val="20"/>
        </w:rPr>
      </w:pPr>
    </w:p>
    <w:p>
      <w:pPr>
        <w:pStyle w:val="Heading5"/>
        <w:spacing w:line="240" w:lineRule="auto" w:before="168"/>
        <w:ind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10"/>
        <w:gridCol w:w="1649"/>
        <w:gridCol w:w="1788"/>
        <w:gridCol w:w="1788"/>
        <w:gridCol w:w="1789"/>
      </w:tblGrid>
      <w:tr>
        <w:trPr>
          <w:trHeight w:val="4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8"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73"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7"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21"/>
                <w:szCs w:val="21"/>
              </w:rPr>
            </w:pPr>
            <w:r>
              <w:rPr>
                <w:rFonts w:ascii="Times New Roman"/>
                <w:sz w:val="21"/>
              </w:rPr>
              <w:t>3.2%</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20-45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2.1%-4.8%</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20-45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2.1%-4.8%</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装卸搬运设备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9.6%</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5.3%-19.2%</w:t>
            </w:r>
          </w:p>
        </w:tc>
      </w:tr>
      <w:tr>
        <w:trPr>
          <w:trHeight w:val="4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船舶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5.3%</w:t>
            </w:r>
          </w:p>
        </w:tc>
      </w:tr>
      <w:tr>
        <w:trPr>
          <w:trHeight w:val="41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10-12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21"/>
                <w:szCs w:val="21"/>
              </w:rPr>
            </w:pPr>
            <w:r>
              <w:rPr>
                <w:rFonts w:ascii="Times New Roman"/>
                <w:sz w:val="21"/>
              </w:rPr>
              <w:t>8.0%-9.6%</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通信设施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12.0%-19.2%</w:t>
            </w:r>
          </w:p>
        </w:tc>
      </w:tr>
      <w:tr>
        <w:trPr>
          <w:trHeight w:val="4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21"/>
                <w:szCs w:val="21"/>
              </w:rPr>
            </w:pPr>
            <w:r>
              <w:rPr>
                <w:rFonts w:ascii="Times New Roman"/>
                <w:sz w:val="21"/>
              </w:rPr>
              <w:t>8.0%-19.2%</w:t>
            </w:r>
          </w:p>
        </w:tc>
      </w:tr>
    </w:tbl>
    <w:p>
      <w:pPr>
        <w:pStyle w:val="BodyText"/>
        <w:spacing w:line="348" w:lineRule="auto" w:before="74"/>
        <w:ind w:right="208" w:firstLine="420"/>
        <w:jc w:val="both"/>
        <w:rPr>
          <w:rFonts w:ascii="宋体" w:hAnsi="宋体" w:cs="宋体" w:eastAsia="宋体" w:hint="default"/>
        </w:rPr>
      </w:pPr>
      <w:r>
        <w:rPr>
          <w:spacing w:val="-2"/>
        </w:rPr>
        <w:t>固定资产折旧采用年限平均法并按其入账价值减去预计净残值后在预计使用寿命内计提。对计</w:t>
      </w:r>
      <w:r>
        <w:rPr>
          <w:w w:val="100"/>
        </w:rPr>
        <w:t> </w:t>
      </w:r>
      <w:r>
        <w:rPr>
          <w:spacing w:val="-2"/>
        </w:rPr>
        <w:t>提了减值准备的固定资产，则在未来期间按扣除减值准备后的账面价值及依据尚可使用年限确定折</w:t>
      </w:r>
      <w:r>
        <w:rPr>
          <w:spacing w:val="-25"/>
        </w:rPr>
        <w:t> </w:t>
      </w:r>
      <w:r>
        <w:rPr>
          <w:spacing w:val="-25"/>
        </w:rPr>
      </w:r>
      <w:r>
        <w:rPr/>
        <w:t>旧额。</w:t>
      </w:r>
      <w:r>
        <w:rPr>
          <w:rFonts w:ascii="宋体" w:hAnsi="宋体" w:cs="宋体" w:eastAsia="宋体" w:hint="default"/>
        </w:rPr>
        <w:t> </w:t>
      </w:r>
    </w:p>
    <w:p>
      <w:pPr>
        <w:pStyle w:val="BodyText"/>
        <w:spacing w:line="350" w:lineRule="auto" w:before="31"/>
        <w:ind w:left="638" w:right="0"/>
        <w:jc w:val="left"/>
      </w:pPr>
      <w:r>
        <w:rPr/>
        <w:t>对固定资产的预计使用寿命、预计净残值和折旧方法于每年年度终了进行复核并作适当调整。</w:t>
      </w:r>
      <w:r>
        <w:rPr>
          <w:rFonts w:ascii="宋体" w:hAnsi="宋体" w:cs="宋体" w:eastAsia="宋体" w:hint="default"/>
          <w:w w:val="100"/>
        </w:rPr>
        <w:t> </w:t>
      </w:r>
      <w:r>
        <w:rPr>
          <w:spacing w:val="-3"/>
        </w:rPr>
        <w:t>当固定资产的可收回金额低于其账面价值时，账面价值减记至可收回金额</w:t>
      </w:r>
      <w:r>
        <w:rPr>
          <w:rFonts w:ascii="宋体" w:hAnsi="宋体" w:cs="宋体" w:eastAsia="宋体" w:hint="default"/>
          <w:spacing w:val="-3"/>
        </w:rPr>
        <w:t>(</w:t>
      </w:r>
      <w:r>
        <w:rPr>
          <w:spacing w:val="-3"/>
        </w:rPr>
        <w:t>本节五、重要会计政</w:t>
      </w:r>
    </w:p>
    <w:p>
      <w:pPr>
        <w:pStyle w:val="BodyText"/>
        <w:spacing w:line="350" w:lineRule="auto" w:before="27"/>
        <w:ind w:left="638" w:right="0" w:hanging="420"/>
        <w:jc w:val="left"/>
      </w:pPr>
      <w:r>
        <w:rPr/>
        <w:t>策及会计估计</w:t>
      </w:r>
      <w:r>
        <w:rPr>
          <w:spacing w:val="-53"/>
        </w:rPr>
        <w:t> </w:t>
      </w:r>
      <w:r>
        <w:rPr>
          <w:rFonts w:ascii="宋体" w:hAnsi="宋体" w:cs="宋体" w:eastAsia="宋体" w:hint="default"/>
        </w:rPr>
        <w:t>30)</w:t>
      </w:r>
      <w:r>
        <w:rPr/>
        <w:t>。</w:t>
      </w:r>
      <w:r>
        <w:rPr>
          <w:rFonts w:ascii="宋体" w:hAnsi="宋体" w:cs="宋体" w:eastAsia="宋体" w:hint="default"/>
          <w:w w:val="100"/>
        </w:rPr>
        <w:t> </w:t>
      </w:r>
      <w:r>
        <w:rPr>
          <w:spacing w:val="-2"/>
        </w:rPr>
        <w:t>当固定资产被处置、或者预期通过使用或处置不能产生经济利益时，终止确认该固定资产。固</w:t>
      </w:r>
    </w:p>
    <w:p>
      <w:pPr>
        <w:pStyle w:val="BodyText"/>
        <w:spacing w:line="240" w:lineRule="auto" w:before="29"/>
        <w:ind w:right="0"/>
        <w:jc w:val="left"/>
        <w:rPr>
          <w:rFonts w:ascii="宋体" w:hAnsi="宋体" w:cs="宋体" w:eastAsia="宋体" w:hint="default"/>
        </w:rPr>
      </w:pPr>
      <w:r>
        <w:rPr/>
        <w:t>定资产出售、转让、报废或毁损的处置收入扣除其账面价值和相关税费后的金额计入当期损益。</w:t>
      </w:r>
      <w:r>
        <w:rPr>
          <w:rFonts w:ascii="宋体" w:hAnsi="宋体" w:cs="宋体" w:eastAsia="宋体" w:hint="default"/>
        </w:rPr>
        <w:t> </w:t>
      </w:r>
    </w:p>
    <w:p>
      <w:pPr>
        <w:pStyle w:val="Heading3"/>
        <w:spacing w:line="240" w:lineRule="auto" w:before="9"/>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8" w:right="0" w:hanging="420"/>
        <w:jc w:val="left"/>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实质上转移了与资产所有权有关的全部风险和报酬的租赁为融资租赁，根据新租赁准则，确认</w:t>
      </w:r>
    </w:p>
    <w:p>
      <w:pPr>
        <w:pStyle w:val="BodyText"/>
        <w:spacing w:line="247" w:lineRule="exact"/>
        <w:ind w:right="0"/>
        <w:jc w:val="left"/>
        <w:rPr>
          <w:rFonts w:ascii="宋体" w:hAnsi="宋体" w:cs="宋体" w:eastAsia="宋体" w:hint="default"/>
        </w:rPr>
      </w:pPr>
      <w:r>
        <w:rPr/>
        <w:t>为使用权资产，合并列示于 </w:t>
      </w:r>
      <w:r>
        <w:rPr>
          <w:rFonts w:ascii="宋体" w:hAnsi="宋体" w:cs="宋体" w:eastAsia="宋体" w:hint="default"/>
        </w:rPr>
        <w:t>42.</w:t>
      </w:r>
      <w:r>
        <w:rPr/>
        <w:t>租赁</w:t>
      </w:r>
      <w:r>
        <w:rPr>
          <w:rFonts w:ascii="宋体" w:hAnsi="宋体" w:cs="宋体" w:eastAsia="宋体" w:hint="default"/>
        </w:rPr>
        <w:t>(3).</w:t>
      </w:r>
      <w:r>
        <w:rPr>
          <w:rFonts w:ascii="宋体" w:hAnsi="宋体" w:cs="宋体" w:eastAsia="宋体" w:hint="default"/>
          <w:spacing w:val="-64"/>
        </w:rPr>
        <w:t> </w:t>
      </w:r>
      <w:r>
        <w:rPr/>
        <w:t>新租赁准则下租赁的确定方法及会计处理方法。</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24.</w:t>
      </w:r>
      <w:r>
        <w:rPr>
          <w:rFonts w:ascii="宋体" w:hAnsi="宋体" w:cs="宋体" w:eastAsia="宋体" w:hint="default"/>
          <w:spacing w:val="-1"/>
        </w:rPr>
        <w:t> </w:t>
      </w:r>
      <w:r>
        <w:rPr/>
        <w:t>在建工程</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right="169" w:firstLine="480"/>
        <w:jc w:val="both"/>
        <w:rPr>
          <w:rFonts w:ascii="宋体" w:hAnsi="宋体" w:cs="宋体" w:eastAsia="宋体" w:hint="default"/>
        </w:rPr>
      </w:pPr>
      <w:r>
        <w:rPr>
          <w:spacing w:val="-2"/>
        </w:rPr>
        <w:t>在建工程按实际发生的成本计量。实际成本包括建筑成本、安装成本、符合资本化条件的借款</w:t>
      </w:r>
      <w:r>
        <w:rPr>
          <w:w w:val="100"/>
        </w:rPr>
        <w:t> </w:t>
      </w:r>
      <w:r>
        <w:rPr>
          <w:spacing w:val="-2"/>
        </w:rPr>
        <w:t>费用以及其他为使在建工程达到预定可使用状态所发生的必要支出。在建工程在达到预定可使用状</w:t>
      </w:r>
      <w:r>
        <w:rPr>
          <w:spacing w:val="-25"/>
        </w:rPr>
        <w:t> </w:t>
      </w:r>
      <w:r>
        <w:rPr>
          <w:spacing w:val="-25"/>
        </w:rPr>
      </w:r>
      <w:r>
        <w:rPr>
          <w:spacing w:val="-2"/>
        </w:rPr>
        <w:t>态时，转入固定资产并自次月起开始计提折旧。当在建工程的可收回金额低于其账面价值时，账面</w:t>
      </w:r>
      <w:r>
        <w:rPr>
          <w:spacing w:val="-25"/>
        </w:rPr>
        <w:t> </w:t>
      </w:r>
      <w:r>
        <w:rPr>
          <w:spacing w:val="-25"/>
        </w:rPr>
      </w:r>
      <w:r>
        <w:rPr>
          <w:spacing w:val="-2"/>
        </w:rPr>
        <w:t>价值减记至可收回金额</w:t>
      </w:r>
      <w:r>
        <w:rPr>
          <w:rFonts w:ascii="宋体" w:hAnsi="宋体" w:cs="宋体" w:eastAsia="宋体" w:hint="default"/>
          <w:spacing w:val="-2"/>
        </w:rPr>
        <w:t>(</w:t>
      </w:r>
      <w:r>
        <w:rPr>
          <w:spacing w:val="-2"/>
        </w:rPr>
        <w:t>本节五、重要会计政策及会计估计</w:t>
      </w:r>
      <w:r>
        <w:rPr>
          <w:spacing w:val="-3"/>
        </w:rPr>
        <w:t> </w:t>
      </w:r>
      <w:r>
        <w:rPr>
          <w:rFonts w:ascii="宋体" w:hAnsi="宋体" w:cs="宋体" w:eastAsia="宋体" w:hint="default"/>
          <w:spacing w:val="-2"/>
        </w:rPr>
        <w:t>30)</w:t>
      </w:r>
      <w:r>
        <w:rPr>
          <w:spacing w:val="-2"/>
        </w:rPr>
        <w:t>。</w:t>
      </w:r>
      <w:r>
        <w:rPr>
          <w:rFonts w:ascii="宋体" w:hAnsi="宋体" w:cs="宋体" w:eastAsia="宋体" w:hint="default"/>
        </w:rPr>
        <w:t> </w:t>
      </w:r>
    </w:p>
    <w:p>
      <w:pPr>
        <w:pStyle w:val="Heading3"/>
        <w:spacing w:line="227"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25.</w:t>
      </w:r>
      <w:r>
        <w:rPr>
          <w:rFonts w:ascii="宋体" w:hAnsi="宋体" w:cs="宋体" w:eastAsia="宋体" w:hint="default"/>
          <w:spacing w:val="-1"/>
        </w:rPr>
        <w:t> </w:t>
      </w:r>
      <w:r>
        <w:rPr/>
        <w:t>借款费用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09"/>
        <w:ind w:right="170" w:firstLine="480"/>
        <w:jc w:val="both"/>
      </w:pPr>
      <w:r>
        <w:rPr>
          <w:spacing w:val="2"/>
        </w:rPr>
        <w:t>本集团发生的可直接归属于需要经过相当长时间的购建活动才能达到预定可使用状态之资产</w:t>
      </w:r>
      <w:r>
        <w:rPr>
          <w:w w:val="100"/>
        </w:rPr>
        <w:t> </w:t>
      </w:r>
      <w:r>
        <w:rPr>
          <w:spacing w:val="-1"/>
        </w:rPr>
        <w:t>的购建的借款费用，在资产支出及借款费用已经发生、为使资产达到预定可使用状态所必要的购建</w:t>
      </w:r>
    </w:p>
    <w:p>
      <w:pPr>
        <w:spacing w:after="0" w:line="350" w:lineRule="auto"/>
        <w:jc w:val="both"/>
        <w:sectPr>
          <w:pgSz w:w="11910" w:h="16840"/>
          <w:pgMar w:header="882" w:footer="974" w:top="1120" w:bottom="1160" w:left="1200" w:right="12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310"/>
        <w:jc w:val="both"/>
        <w:rPr>
          <w:rFonts w:ascii="宋体" w:hAnsi="宋体" w:cs="宋体" w:eastAsia="宋体" w:hint="default"/>
        </w:rPr>
      </w:pPr>
      <w:r>
        <w:rPr>
          <w:spacing w:val="-1"/>
        </w:rPr>
        <w:t>活动已经开始时，开始资本化并计入该资产的成本。当购建的资产达到预定可使用状态时停止资本</w:t>
      </w:r>
      <w:r>
        <w:rPr>
          <w:spacing w:val="-20"/>
        </w:rPr>
        <w:t> </w:t>
      </w:r>
      <w:r>
        <w:rPr>
          <w:spacing w:val="-20"/>
        </w:rPr>
      </w:r>
      <w:r>
        <w:rPr>
          <w:spacing w:val="-1"/>
        </w:rPr>
        <w:t>化，其后发生的借款费用计入当期损益。如果资产的购建活动发生非正常中断，并且中断时间连续</w:t>
      </w:r>
      <w:r>
        <w:rPr>
          <w:spacing w:val="-20"/>
        </w:rPr>
        <w:t> </w:t>
      </w:r>
      <w:r>
        <w:rPr>
          <w:spacing w:val="-20"/>
        </w:rPr>
      </w:r>
      <w:r>
        <w:rPr/>
        <w:t>超过</w:t>
      </w:r>
      <w:r>
        <w:rPr>
          <w:rFonts w:ascii="宋体" w:hAnsi="宋体" w:cs="宋体" w:eastAsia="宋体" w:hint="default"/>
        </w:rPr>
        <w:t>3</w:t>
      </w:r>
      <w:r>
        <w:rPr/>
        <w:t>个月，暂停借款费用的资本化，直至资产的购建活动重新开始。</w:t>
      </w:r>
      <w:r>
        <w:rPr>
          <w:rFonts w:ascii="宋体" w:hAnsi="宋体" w:cs="宋体" w:eastAsia="宋体" w:hint="default"/>
        </w:rPr>
        <w:t> </w:t>
      </w:r>
    </w:p>
    <w:p>
      <w:pPr>
        <w:pStyle w:val="BodyText"/>
        <w:spacing w:line="348" w:lineRule="auto" w:before="31"/>
        <w:ind w:left="138" w:right="310" w:firstLine="420"/>
        <w:jc w:val="both"/>
        <w:rPr>
          <w:rFonts w:ascii="宋体" w:hAnsi="宋体" w:cs="宋体" w:eastAsia="宋体" w:hint="default"/>
        </w:rPr>
      </w:pPr>
      <w:r>
        <w:rPr>
          <w:spacing w:val="-1"/>
        </w:rPr>
        <w:t>对于为购建符合资本化条件的资产而借入的专门借款，以专门借款当期实际发生的利息费用减</w:t>
      </w:r>
      <w:r>
        <w:rPr>
          <w:w w:val="100"/>
        </w:rPr>
        <w:t> </w:t>
      </w:r>
      <w:r>
        <w:rPr>
          <w:spacing w:val="-1"/>
        </w:rPr>
        <w:t>去尚未动用的借款资金存入银行取得的利息收入或进行暂时性投资取得的投资收益后的金额确定专</w:t>
      </w:r>
      <w:r>
        <w:rPr>
          <w:spacing w:val="-20"/>
        </w:rPr>
        <w:t> </w:t>
      </w:r>
      <w:r>
        <w:rPr>
          <w:spacing w:val="-20"/>
        </w:rPr>
      </w:r>
      <w:r>
        <w:rPr/>
        <w:t>门借款借款费用的资本化金额。</w:t>
      </w:r>
      <w:r>
        <w:rPr>
          <w:rFonts w:ascii="宋体" w:hAnsi="宋体" w:cs="宋体" w:eastAsia="宋体" w:hint="default"/>
        </w:rPr>
        <w:t> </w:t>
      </w:r>
    </w:p>
    <w:p>
      <w:pPr>
        <w:pStyle w:val="BodyText"/>
        <w:spacing w:line="350" w:lineRule="auto" w:before="31"/>
        <w:ind w:left="138" w:right="348" w:firstLine="420"/>
        <w:jc w:val="both"/>
        <w:rPr>
          <w:rFonts w:ascii="宋体" w:hAnsi="宋体" w:cs="宋体" w:eastAsia="宋体" w:hint="default"/>
        </w:rPr>
      </w:pPr>
      <w:r>
        <w:rPr>
          <w:spacing w:val="-2"/>
        </w:rPr>
        <w:t>对于为购建符合资本化条件的资产而占用的一般借款，按照累计资产支出超过专门借款部分的</w:t>
      </w:r>
      <w:r>
        <w:rPr>
          <w:w w:val="100"/>
        </w:rPr>
        <w:t> </w:t>
      </w:r>
      <w:r>
        <w:rPr>
          <w:spacing w:val="-2"/>
        </w:rPr>
        <w:t>资本支出加权平均数乘以所占用一般借款的加权平均实际利率计算确定一般借款借款费用的资本化</w:t>
      </w:r>
      <w:r>
        <w:rPr>
          <w:spacing w:val="-25"/>
        </w:rPr>
        <w:t> </w:t>
      </w:r>
      <w:r>
        <w:rPr>
          <w:spacing w:val="-25"/>
        </w:rPr>
      </w:r>
      <w:r>
        <w:rPr>
          <w:spacing w:val="-2"/>
        </w:rPr>
        <w:t>金额。实际利率为将借款在预期存续期间或适用的更短期间内的未来现金流量折现为该借款初始确</w:t>
      </w:r>
      <w:r>
        <w:rPr>
          <w:spacing w:val="-25"/>
        </w:rPr>
        <w:t> </w:t>
      </w:r>
      <w:r>
        <w:rPr>
          <w:spacing w:val="-25"/>
        </w:rPr>
      </w:r>
      <w:r>
        <w:rPr/>
        <w:t>认金额所使用的利率。</w:t>
      </w:r>
      <w:r>
        <w:rPr>
          <w:rFonts w:ascii="宋体" w:hAnsi="宋体" w:cs="宋体" w:eastAsia="宋体" w:hint="default"/>
        </w:rPr>
        <w:t> </w:t>
      </w:r>
    </w:p>
    <w:p>
      <w:pPr>
        <w:pStyle w:val="Heading3"/>
        <w:spacing w:line="227"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26.</w:t>
      </w:r>
      <w:r>
        <w:rPr>
          <w:rFonts w:ascii="宋体" w:hAnsi="宋体" w:cs="宋体" w:eastAsia="宋体" w:hint="default"/>
          <w:spacing w:val="-1"/>
        </w:rPr>
        <w:t> </w:t>
      </w:r>
      <w:r>
        <w:rPr/>
        <w:t>生物资产</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27.</w:t>
      </w:r>
      <w:r>
        <w:rPr>
          <w:rFonts w:ascii="宋体" w:hAnsi="宋体" w:cs="宋体" w:eastAsia="宋体" w:hint="default"/>
          <w:spacing w:val="-1"/>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28. </w:t>
      </w:r>
      <w:r>
        <w:rPr/>
        <w:t>使用权资产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618" w:right="0"/>
        <w:jc w:val="left"/>
        <w:rPr>
          <w:rFonts w:ascii="宋体" w:hAnsi="宋体" w:cs="宋体" w:eastAsia="宋体" w:hint="default"/>
        </w:rPr>
      </w:pPr>
      <w:r>
        <w:rPr/>
        <w:t>使用权资产合并列示于 </w:t>
      </w:r>
      <w:r>
        <w:rPr>
          <w:rFonts w:ascii="宋体" w:hAnsi="宋体" w:cs="宋体" w:eastAsia="宋体" w:hint="default"/>
        </w:rPr>
        <w:t>42.</w:t>
      </w:r>
      <w:r>
        <w:rPr/>
        <w:t>租赁</w:t>
      </w:r>
      <w:r>
        <w:rPr>
          <w:rFonts w:ascii="宋体" w:hAnsi="宋体" w:cs="宋体" w:eastAsia="宋体" w:hint="default"/>
        </w:rPr>
        <w:t>(3).</w:t>
      </w:r>
      <w:r>
        <w:rPr>
          <w:rFonts w:ascii="宋体" w:hAnsi="宋体" w:cs="宋体" w:eastAsia="宋体" w:hint="default"/>
          <w:spacing w:val="-62"/>
        </w:rPr>
        <w:t> </w:t>
      </w:r>
      <w:r>
        <w:rPr/>
        <w:t>新租赁准则下租赁的确定方法及会计处理方法。</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5"/>
        <w:spacing w:line="290" w:lineRule="auto" w:before="58"/>
        <w:ind w:left="138" w:right="4766"/>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1"/>
        </w:rPr>
        <w:t> </w:t>
      </w:r>
      <w:r>
        <w:rPr/>
        <w:t>无形资产</w:t>
      </w:r>
      <w:r>
        <w:rPr>
          <w:rFonts w:ascii="宋体" w:hAnsi="宋体" w:cs="宋体" w:eastAsia="宋体" w:hint="default"/>
          <w:w w:val="99"/>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331" w:lineRule="auto" w:before="14"/>
        <w:ind w:left="61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无形资产包括土地使用权、海域使用权及软件等，以成本计量。公司制改建时国有股股东投入</w:t>
      </w:r>
    </w:p>
    <w:p>
      <w:pPr>
        <w:pStyle w:val="BodyText"/>
        <w:spacing w:line="350" w:lineRule="auto" w:before="46"/>
        <w:ind w:left="558" w:right="2219" w:hanging="420"/>
        <w:jc w:val="left"/>
        <w:rPr>
          <w:rFonts w:ascii="宋体" w:hAnsi="宋体" w:cs="宋体" w:eastAsia="宋体" w:hint="default"/>
        </w:rPr>
      </w:pPr>
      <w:r>
        <w:rPr>
          <w:spacing w:val="-2"/>
        </w:rPr>
        <w:t>的无形资产，按国有资产管理部门确认的评估值作为入账价值。</w:t>
      </w:r>
      <w:r>
        <w:rPr>
          <w:spacing w:val="-52"/>
        </w:rPr>
        <w:t> </w:t>
      </w:r>
      <w:r>
        <w:rPr>
          <w:spacing w:val="-52"/>
        </w:rPr>
      </w:r>
      <w:r>
        <w:rPr>
          <w:rFonts w:ascii="宋体" w:hAnsi="宋体" w:cs="宋体" w:eastAsia="宋体" w:hint="default"/>
        </w:rPr>
        <w:t>(a)</w:t>
      </w:r>
      <w:r>
        <w:rPr/>
        <w:t>土地使用权</w:t>
      </w:r>
      <w:r>
        <w:rPr>
          <w:rFonts w:ascii="宋体" w:hAnsi="宋体" w:cs="宋体" w:eastAsia="宋体" w:hint="default"/>
        </w:rPr>
        <w:t> </w:t>
      </w:r>
    </w:p>
    <w:p>
      <w:pPr>
        <w:pStyle w:val="BodyText"/>
        <w:spacing w:line="331" w:lineRule="auto" w:before="27"/>
        <w:ind w:left="138" w:right="333" w:firstLine="420"/>
        <w:jc w:val="left"/>
      </w:pPr>
      <w:r>
        <w:rPr/>
        <w:t>土地使用权按使用年限</w:t>
      </w:r>
      <w:r>
        <w:rPr>
          <w:spacing w:val="-56"/>
        </w:rPr>
        <w:t> </w:t>
      </w:r>
      <w:r>
        <w:rPr>
          <w:rFonts w:ascii="Arial" w:hAnsi="Arial" w:cs="Arial" w:eastAsia="Arial" w:hint="default"/>
        </w:rPr>
        <w:t>35-50</w:t>
      </w:r>
      <w:r>
        <w:rPr>
          <w:rFonts w:ascii="Arial" w:hAnsi="Arial" w:cs="Arial" w:eastAsia="Arial" w:hint="default"/>
          <w:spacing w:val="-10"/>
        </w:rPr>
        <w:t> </w:t>
      </w:r>
      <w:r>
        <w:rPr/>
        <w:t>年平均摊销。外购土地及建筑物的价款难以在土地使用权与建筑</w:t>
      </w:r>
      <w:r>
        <w:rPr>
          <w:w w:val="100"/>
        </w:rPr>
        <w:t> </w:t>
      </w:r>
      <w:r>
        <w:rPr/>
        <w:t>物之间合理分配的，全部作为固定资产。</w:t>
      </w:r>
    </w:p>
    <w:p>
      <w:pPr>
        <w:pStyle w:val="BodyText"/>
        <w:spacing w:line="240" w:lineRule="auto" w:before="46"/>
        <w:ind w:left="558" w:right="0"/>
        <w:jc w:val="left"/>
        <w:rPr>
          <w:rFonts w:ascii="宋体" w:hAnsi="宋体" w:cs="宋体" w:eastAsia="宋体" w:hint="default"/>
        </w:rPr>
      </w:pPr>
      <w:r>
        <w:rPr>
          <w:rFonts w:ascii="宋体" w:hAnsi="宋体" w:cs="宋体" w:eastAsia="宋体" w:hint="default"/>
        </w:rPr>
        <w:t>(b)</w:t>
      </w:r>
      <w:r>
        <w:rPr/>
        <w:t>海域使用权</w:t>
      </w:r>
      <w:r>
        <w:rPr>
          <w:rFonts w:ascii="宋体" w:hAnsi="宋体" w:cs="宋体" w:eastAsia="宋体" w:hint="default"/>
        </w:rPr>
        <w:t> </w:t>
      </w:r>
    </w:p>
    <w:p>
      <w:pPr>
        <w:pStyle w:val="BodyText"/>
        <w:spacing w:line="331" w:lineRule="auto" w:before="123"/>
        <w:ind w:left="558" w:right="226"/>
        <w:jc w:val="left"/>
        <w:rPr>
          <w:rFonts w:ascii="宋体" w:hAnsi="宋体" w:cs="宋体" w:eastAsia="宋体" w:hint="default"/>
        </w:rPr>
      </w:pPr>
      <w:r>
        <w:rPr/>
        <w:t>海域使用权以取得时的成本入账，并采用直线法按海域使用期限</w:t>
      </w:r>
      <w:r>
        <w:rPr>
          <w:spacing w:val="-53"/>
        </w:rPr>
        <w:t> </w:t>
      </w:r>
      <w:r>
        <w:rPr>
          <w:rFonts w:ascii="Arial" w:hAnsi="Arial" w:cs="Arial" w:eastAsia="Arial" w:hint="default"/>
        </w:rPr>
        <w:t>45-50</w:t>
      </w:r>
      <w:r>
        <w:rPr>
          <w:rFonts w:ascii="Arial" w:hAnsi="Arial" w:cs="Arial" w:eastAsia="Arial" w:hint="default"/>
          <w:spacing w:val="-9"/>
        </w:rPr>
        <w:t> </w:t>
      </w:r>
      <w:r>
        <w:rPr/>
        <w:t>年平均摊销</w:t>
      </w:r>
      <w:r>
        <w:rPr>
          <w:rFonts w:ascii="宋体" w:hAnsi="宋体" w:cs="宋体" w:eastAsia="宋体" w:hint="default"/>
          <w:w w:val="100"/>
        </w:rPr>
        <w:t> </w:t>
      </w:r>
      <w:r>
        <w:rPr>
          <w:rFonts w:ascii="宋体" w:hAnsi="宋体" w:cs="宋体" w:eastAsia="宋体" w:hint="default"/>
        </w:rPr>
        <w:t>(c)</w:t>
      </w:r>
      <w:r>
        <w:rPr/>
        <w:t>计算机软件</w:t>
      </w:r>
      <w:r>
        <w:rPr>
          <w:rFonts w:ascii="宋体" w:hAnsi="宋体" w:cs="宋体" w:eastAsia="宋体" w:hint="default"/>
        </w:rPr>
        <w:t> </w:t>
      </w:r>
    </w:p>
    <w:p>
      <w:pPr>
        <w:pStyle w:val="BodyText"/>
        <w:spacing w:line="340" w:lineRule="auto" w:before="46"/>
        <w:ind w:left="558" w:right="0"/>
        <w:jc w:val="left"/>
      </w:pPr>
      <w:r>
        <w:rPr/>
        <w:t>计算机软件以取得时的成本入账，并采用直线法按预计使用年限</w:t>
      </w:r>
      <w:r>
        <w:rPr>
          <w:spacing w:val="-56"/>
        </w:rPr>
        <w:t> </w:t>
      </w:r>
      <w:r>
        <w:rPr>
          <w:rFonts w:ascii="Arial" w:hAnsi="Arial" w:cs="Arial" w:eastAsia="Arial" w:hint="default"/>
        </w:rPr>
        <w:t>5</w:t>
      </w:r>
      <w:r>
        <w:rPr>
          <w:rFonts w:ascii="Arial" w:hAnsi="Arial" w:cs="Arial" w:eastAsia="Arial" w:hint="default"/>
          <w:spacing w:val="-7"/>
        </w:rPr>
        <w:t> </w:t>
      </w:r>
      <w:r>
        <w:rPr/>
        <w:t>年平均摊销。</w:t>
      </w:r>
      <w:r>
        <w:rPr>
          <w:rFonts w:ascii="宋体" w:hAnsi="宋体" w:cs="宋体" w:eastAsia="宋体" w:hint="default"/>
          <w:w w:val="100"/>
        </w:rPr>
        <w:t> </w:t>
      </w:r>
      <w:r>
        <w:rPr>
          <w:rFonts w:ascii="宋体" w:hAnsi="宋体" w:cs="宋体" w:eastAsia="宋体" w:hint="default"/>
        </w:rPr>
        <w:t>(d)</w:t>
      </w:r>
      <w:r>
        <w:rPr/>
        <w:t>定期复核使用寿命和摊销方法</w:t>
      </w:r>
      <w:r>
        <w:rPr>
          <w:rFonts w:ascii="宋体" w:hAnsi="宋体" w:cs="宋体" w:eastAsia="宋体" w:hint="default"/>
          <w:w w:val="100"/>
        </w:rPr>
        <w:t> </w:t>
      </w:r>
      <w:r>
        <w:rPr>
          <w:spacing w:val="-1"/>
        </w:rPr>
        <w:t>对使用寿命有限的无形资产的预计使用寿命及摊销方法于每年年度终了进行复核并作适当调整。</w:t>
      </w:r>
    </w:p>
    <w:p>
      <w:pPr>
        <w:pStyle w:val="Heading3"/>
        <w:spacing w:line="238" w:lineRule="exact"/>
        <w:ind w:left="138" w:right="0"/>
        <w:jc w:val="left"/>
        <w:rPr>
          <w:rFonts w:ascii="宋体" w:hAnsi="宋体" w:cs="宋体" w:eastAsia="宋体" w:hint="default"/>
        </w:rPr>
      </w:pPr>
      <w:r>
        <w:rPr>
          <w:rFonts w:ascii="宋体"/>
        </w:rPr>
        <w:t> </w:t>
      </w:r>
    </w:p>
    <w:p>
      <w:pPr>
        <w:spacing w:after="0" w:line="238" w:lineRule="exact"/>
        <w:jc w:val="left"/>
        <w:rPr>
          <w:rFonts w:ascii="宋体" w:hAnsi="宋体" w:cs="宋体" w:eastAsia="宋体" w:hint="default"/>
        </w:rPr>
        <w:sectPr>
          <w:pgSz w:w="11910" w:h="16840"/>
          <w:pgMar w:header="882" w:footer="974" w:top="1120" w:bottom="1160" w:left="1280" w:right="1100"/>
        </w:sectPr>
      </w:pPr>
    </w:p>
    <w:p>
      <w:pPr>
        <w:spacing w:line="240" w:lineRule="auto" w:before="0"/>
        <w:rPr>
          <w:rFonts w:ascii="宋体" w:hAnsi="宋体" w:cs="宋体" w:eastAsia="宋体" w:hint="default"/>
          <w:sz w:val="20"/>
          <w:szCs w:val="20"/>
        </w:rPr>
      </w:pPr>
    </w:p>
    <w:p>
      <w:pPr>
        <w:pStyle w:val="Heading5"/>
        <w:spacing w:line="240" w:lineRule="auto" w:before="168"/>
        <w:ind w:left="138" w:right="192"/>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333" w:lineRule="auto" w:before="56"/>
        <w:ind w:left="558" w:right="192"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内部研究开发项目支出根据其性质以及研发活动最终形成无形资产是否具有较大不确定性，被</w:t>
      </w:r>
    </w:p>
    <w:p>
      <w:pPr>
        <w:pStyle w:val="BodyText"/>
        <w:spacing w:line="350" w:lineRule="auto" w:before="41"/>
        <w:ind w:left="558" w:right="0" w:hanging="420"/>
        <w:jc w:val="left"/>
      </w:pPr>
      <w:r>
        <w:rPr/>
        <w:t>分为研究阶段支出和开发阶段支出。</w:t>
      </w:r>
      <w:r>
        <w:rPr>
          <w:w w:val="100"/>
        </w:rPr>
        <w:t> </w:t>
      </w:r>
      <w:r>
        <w:rPr>
          <w:spacing w:val="-1"/>
        </w:rPr>
        <w:t>研究阶段的支出，于发生时计入当期损益；开发阶段的支出，同时满足下列条件的，予以资本</w:t>
      </w:r>
    </w:p>
    <w:p>
      <w:pPr>
        <w:pStyle w:val="BodyText"/>
        <w:spacing w:line="240" w:lineRule="auto" w:before="29"/>
        <w:ind w:left="138" w:right="192"/>
        <w:jc w:val="left"/>
      </w:pPr>
      <w:r>
        <w:rPr/>
        <w:t>化：</w:t>
      </w:r>
    </w:p>
    <w:p>
      <w:pPr>
        <w:pStyle w:val="BodyText"/>
        <w:spacing w:line="350" w:lineRule="auto" w:before="123"/>
        <w:ind w:left="618" w:right="109"/>
        <w:jc w:val="left"/>
      </w:pPr>
      <w:r>
        <w:rPr/>
        <w:t>完成该无形资产以使其能够使用或出售在技术上具有可行性；</w:t>
      </w:r>
      <w:r>
        <w:rPr>
          <w:w w:val="100"/>
        </w:rPr>
        <w:t> </w:t>
      </w:r>
      <w:r>
        <w:rPr/>
        <w:t>管理层具有完成该无形资产并使用或出售的意图；</w:t>
      </w:r>
      <w:r>
        <w:rPr>
          <w:w w:val="100"/>
        </w:rPr>
        <w:t> </w:t>
      </w:r>
      <w:r>
        <w:rPr/>
        <w:t>能够证明该无形资产将如何产生经济利益；</w:t>
      </w:r>
      <w:r>
        <w:rPr>
          <w:w w:val="100"/>
        </w:rPr>
        <w:t> </w:t>
      </w:r>
      <w:r>
        <w:rPr>
          <w:spacing w:val="-2"/>
        </w:rPr>
        <w:t>有足够的技术、财务资源和其他资源支持，以完成该无形资产的开发，并有能力使用或出售该</w:t>
      </w:r>
      <w:r>
        <w:rPr>
          <w:spacing w:val="-50"/>
        </w:rPr>
        <w:t> </w:t>
      </w:r>
      <w:r>
        <w:rPr>
          <w:spacing w:val="-50"/>
        </w:rPr>
      </w:r>
      <w:r>
        <w:rPr/>
        <w:t>无形资产；以及归属于该无形资产开发阶段的支出能够可靠地计量。</w:t>
      </w:r>
    </w:p>
    <w:p>
      <w:pPr>
        <w:pStyle w:val="BodyText"/>
        <w:spacing w:line="348" w:lineRule="auto" w:before="29"/>
        <w:ind w:left="138" w:right="148" w:firstLine="420"/>
        <w:jc w:val="both"/>
      </w:pPr>
      <w:r>
        <w:rPr>
          <w:spacing w:val="-2"/>
        </w:rPr>
        <w:t>不满足上述条件的开发阶段的支出，于发生时计入当期损益。以前期间已计入损益的开发支出</w:t>
      </w:r>
      <w:r>
        <w:rPr>
          <w:w w:val="100"/>
        </w:rPr>
        <w:t> </w:t>
      </w:r>
      <w:r>
        <w:rPr>
          <w:spacing w:val="-2"/>
        </w:rPr>
        <w:t>不在以后期间重新确认为资产。已资本化的开发阶段的支出在资产负债表上列示为开发支出，自该</w:t>
      </w:r>
      <w:r>
        <w:rPr>
          <w:spacing w:val="-25"/>
        </w:rPr>
        <w:t> </w:t>
      </w:r>
      <w:r>
        <w:rPr>
          <w:spacing w:val="-25"/>
        </w:rPr>
      </w:r>
      <w:r>
        <w:rPr/>
        <w:t>项目达到预定可使用状态之日起转为无形资产。</w:t>
      </w:r>
    </w:p>
    <w:p>
      <w:pPr>
        <w:pStyle w:val="BodyText"/>
        <w:spacing w:line="348" w:lineRule="auto" w:before="31"/>
        <w:ind w:left="138" w:right="109" w:firstLine="420"/>
        <w:jc w:val="both"/>
        <w:rPr>
          <w:rFonts w:ascii="宋体" w:hAnsi="宋体" w:cs="宋体" w:eastAsia="宋体" w:hint="default"/>
        </w:rPr>
      </w:pPr>
      <w:r>
        <w:rPr>
          <w:spacing w:val="-3"/>
        </w:rPr>
        <w:t>当无形资产的可收回金额低于其账面价值时，账面价值减记至可收回金额</w:t>
      </w:r>
      <w:r>
        <w:rPr>
          <w:rFonts w:ascii="宋体" w:hAnsi="宋体" w:cs="宋体" w:eastAsia="宋体" w:hint="default"/>
          <w:spacing w:val="-3"/>
        </w:rPr>
        <w:t>(</w:t>
      </w:r>
      <w:r>
        <w:rPr>
          <w:spacing w:val="-3"/>
        </w:rPr>
        <w:t>本节五、重要会计政</w:t>
      </w:r>
      <w:r>
        <w:rPr>
          <w:w w:val="100"/>
        </w:rPr>
        <w:t> </w:t>
      </w:r>
      <w:r>
        <w:rPr/>
        <w:t>策及会计估计</w:t>
      </w:r>
      <w:r>
        <w:rPr>
          <w:spacing w:val="-55"/>
        </w:rPr>
        <w:t> </w:t>
      </w:r>
      <w:r>
        <w:rPr>
          <w:rFonts w:ascii="宋体" w:hAnsi="宋体" w:cs="宋体" w:eastAsia="宋体" w:hint="default"/>
        </w:rPr>
        <w:t>30)</w:t>
      </w:r>
      <w:r>
        <w:rPr/>
        <w:t>。</w:t>
      </w:r>
      <w:r>
        <w:rPr>
          <w:rFonts w:ascii="宋体" w:hAnsi="宋体" w:cs="宋体" w:eastAsia="宋体" w:hint="default"/>
        </w:rPr>
        <w:t> </w:t>
      </w:r>
    </w:p>
    <w:p>
      <w:pPr>
        <w:pStyle w:val="BodyText"/>
        <w:spacing w:line="198" w:lineRule="exact"/>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rFonts w:ascii="宋体" w:hAnsi="宋体" w:cs="宋体" w:eastAsia="宋体" w:hint="default"/>
          <w:b w:val="0"/>
          <w:bCs w:val="0"/>
        </w:rPr>
      </w:pPr>
      <w:r>
        <w:rPr>
          <w:rFonts w:ascii="宋体" w:hAnsi="宋体" w:cs="宋体" w:eastAsia="宋体" w:hint="default"/>
        </w:rPr>
        <w:t>30. </w:t>
      </w:r>
      <w:r>
        <w:rPr/>
        <w:t>长期资产减值</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left="138" w:right="110" w:firstLine="480"/>
        <w:jc w:val="both"/>
        <w:rPr>
          <w:rFonts w:ascii="宋体" w:hAnsi="宋体" w:cs="宋体" w:eastAsia="宋体" w:hint="default"/>
        </w:rPr>
      </w:pPr>
      <w:r>
        <w:rPr>
          <w:spacing w:val="-2"/>
        </w:rPr>
        <w:t>固定资产、在建工程、投资性房地产、使用权资产、使用寿命有限的无形资产及对子公司、合</w:t>
      </w:r>
      <w:r>
        <w:rPr>
          <w:w w:val="100"/>
        </w:rPr>
        <w:t> </w:t>
      </w:r>
      <w:r>
        <w:rPr>
          <w:spacing w:val="-1"/>
        </w:rPr>
        <w:t>营企业、联营企业的长期股权投资等，于资产负债表日存在减值迹象的，进行减值测试；尚未达到</w:t>
      </w:r>
      <w:r>
        <w:rPr>
          <w:spacing w:val="-20"/>
        </w:rPr>
        <w:t> </w:t>
      </w:r>
      <w:r>
        <w:rPr>
          <w:spacing w:val="-20"/>
        </w:rPr>
      </w:r>
      <w:r>
        <w:rPr>
          <w:spacing w:val="-1"/>
        </w:rPr>
        <w:t>可使用状态的无形资产，无论是否存在减值迹象，至少每年进行减值测试。减值测试结果表明资产</w:t>
      </w:r>
      <w:r>
        <w:rPr>
          <w:spacing w:val="-20"/>
        </w:rPr>
        <w:t> </w:t>
      </w:r>
      <w:r>
        <w:rPr>
          <w:spacing w:val="-20"/>
        </w:rPr>
      </w:r>
      <w:r>
        <w:rPr>
          <w:spacing w:val="-1"/>
        </w:rPr>
        <w:t>的可收回金额低于其账面价值的，按其差额计提减值准备并计入减值损失。可收回金额为资产的公</w:t>
      </w:r>
      <w:r>
        <w:rPr>
          <w:spacing w:val="-20"/>
        </w:rPr>
        <w:t> </w:t>
      </w:r>
      <w:r>
        <w:rPr>
          <w:spacing w:val="-20"/>
        </w:rPr>
      </w:r>
      <w:r>
        <w:rPr>
          <w:spacing w:val="-1"/>
        </w:rPr>
        <w:t>允价值减去处置费用后的净额与资产预计未来现金流量的现值两者之间的较高者。资产减值准备按</w:t>
      </w:r>
      <w:r>
        <w:rPr>
          <w:spacing w:val="-21"/>
        </w:rPr>
        <w:t> </w:t>
      </w:r>
      <w:r>
        <w:rPr>
          <w:spacing w:val="-21"/>
        </w:rPr>
      </w:r>
      <w:r>
        <w:rPr>
          <w:spacing w:val="-1"/>
        </w:rPr>
        <w:t>单项资产为基础计算并确认，如果难以对单项资产的可收回金额进行估计的，以该资产所属的资产</w:t>
      </w:r>
      <w:r>
        <w:rPr>
          <w:spacing w:val="-20"/>
        </w:rPr>
        <w:t> </w:t>
      </w:r>
      <w:r>
        <w:rPr>
          <w:spacing w:val="-20"/>
        </w:rPr>
      </w:r>
      <w:r>
        <w:rPr/>
        <w:t>组确定资产组的可收回金额。资产组是能够独立产生现金流入的最小资产组合。</w:t>
      </w:r>
      <w:r>
        <w:rPr>
          <w:rFonts w:ascii="宋体" w:hAnsi="宋体" w:cs="宋体" w:eastAsia="宋体" w:hint="default"/>
        </w:rPr>
        <w:t> </w:t>
      </w:r>
    </w:p>
    <w:p>
      <w:pPr>
        <w:pStyle w:val="BodyText"/>
        <w:spacing w:line="350" w:lineRule="auto" w:before="27"/>
        <w:ind w:left="138" w:right="109" w:firstLine="420"/>
        <w:jc w:val="both"/>
      </w:pPr>
      <w:r>
        <w:rPr>
          <w:spacing w:val="-6"/>
        </w:rPr>
        <w:t>在财务报表中单独列示的商誉，无论是否存在减值迹象，至少每年进行减值测试。减值测试时，</w:t>
      </w:r>
      <w:r>
        <w:rPr>
          <w:w w:val="100"/>
        </w:rPr>
        <w:t> </w:t>
      </w:r>
      <w:r>
        <w:rPr>
          <w:spacing w:val="-1"/>
        </w:rPr>
        <w:t>商誉的账面价值分摊至预期从企业合并的协同效应中受益的资产组或资产组组合。测试结果表明包</w:t>
      </w:r>
      <w:r>
        <w:rPr>
          <w:spacing w:val="-20"/>
        </w:rPr>
        <w:t> </w:t>
      </w:r>
      <w:r>
        <w:rPr>
          <w:spacing w:val="-20"/>
        </w:rPr>
      </w:r>
      <w:r>
        <w:rPr>
          <w:spacing w:val="-1"/>
        </w:rPr>
        <w:t>含分摊的商誉的资产组或资产组组合的可收回金额低于其账面价值的，确认相应的减值损失。减值</w:t>
      </w:r>
      <w:r>
        <w:rPr>
          <w:spacing w:val="-20"/>
        </w:rPr>
        <w:t> </w:t>
      </w:r>
      <w:r>
        <w:rPr>
          <w:spacing w:val="-20"/>
        </w:rPr>
      </w:r>
      <w:r>
        <w:rPr>
          <w:spacing w:val="-1"/>
        </w:rPr>
        <w:t>损失金额先抵减分摊至该资产组或资产组组合的商誉的账面价值，再根据资产组或资产组组合中除</w:t>
      </w:r>
      <w:r>
        <w:rPr>
          <w:spacing w:val="-20"/>
        </w:rPr>
        <w:t> </w:t>
      </w:r>
      <w:r>
        <w:rPr>
          <w:spacing w:val="-20"/>
        </w:rPr>
      </w:r>
      <w:r>
        <w:rPr/>
        <w:t>商誉以外的其他各项资产的账面价值所占比重，按比例抵减其他各项资产的账面价值。</w:t>
      </w:r>
    </w:p>
    <w:p>
      <w:pPr>
        <w:pStyle w:val="BodyText"/>
        <w:spacing w:line="240" w:lineRule="auto" w:before="29"/>
        <w:ind w:left="558" w:right="192"/>
        <w:jc w:val="left"/>
        <w:rPr>
          <w:rFonts w:ascii="宋体" w:hAnsi="宋体" w:cs="宋体" w:eastAsia="宋体" w:hint="default"/>
          <w:sz w:val="24"/>
          <w:szCs w:val="24"/>
        </w:rPr>
      </w:pPr>
      <w:r>
        <w:rPr/>
        <w:t>上述资产减值损失一经确认，以后期间不予转回价值得以恢复的部分。</w:t>
      </w:r>
      <w:r>
        <w:rPr>
          <w:rFonts w:ascii="宋体" w:hAnsi="宋体" w:cs="宋体" w:eastAsia="宋体" w:hint="default"/>
          <w:sz w:val="24"/>
          <w:szCs w:val="24"/>
        </w:rPr>
        <w:t> </w:t>
      </w:r>
    </w:p>
    <w:p>
      <w:pPr>
        <w:pStyle w:val="BodyText"/>
        <w:spacing w:line="240" w:lineRule="auto" w:before="15"/>
        <w:ind w:left="138" w:right="0"/>
        <w:jc w:val="left"/>
        <w:rPr>
          <w:rFonts w:ascii="宋体" w:hAnsi="宋体" w:cs="宋体" w:eastAsia="宋体" w:hint="default"/>
        </w:rPr>
      </w:pPr>
      <w:r>
        <w:rPr>
          <w:rFonts w:ascii="宋体"/>
          <w:w w:val="100"/>
        </w:rPr>
        <w:t> </w:t>
      </w:r>
    </w:p>
    <w:p>
      <w:pPr>
        <w:pStyle w:val="Heading5"/>
        <w:spacing w:line="240" w:lineRule="auto" w:before="58"/>
        <w:ind w:left="138" w:right="192"/>
        <w:jc w:val="left"/>
        <w:rPr>
          <w:rFonts w:ascii="宋体" w:hAnsi="宋体" w:cs="宋体" w:eastAsia="宋体" w:hint="default"/>
          <w:b w:val="0"/>
          <w:bCs w:val="0"/>
        </w:rPr>
      </w:pPr>
      <w:r>
        <w:rPr>
          <w:rFonts w:ascii="宋体" w:hAnsi="宋体" w:cs="宋体" w:eastAsia="宋体" w:hint="default"/>
        </w:rPr>
        <w:t>31. </w:t>
      </w:r>
      <w:r>
        <w:rPr/>
        <w:t>长期待摊费用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0" w:firstLine="480"/>
        <w:jc w:val="left"/>
        <w:rPr>
          <w:rFonts w:ascii="宋体" w:hAnsi="宋体" w:cs="宋体" w:eastAsia="宋体" w:hint="default"/>
        </w:rPr>
      </w:pPr>
      <w:r>
        <w:rPr>
          <w:spacing w:val="-2"/>
        </w:rPr>
        <w:t>长期待摊费用包括使用权资产改良及其他已经发生，但应由本期和以后各期负担的、分摊期限</w:t>
      </w:r>
      <w:r>
        <w:rPr>
          <w:w w:val="100"/>
        </w:rPr>
        <w:t> </w:t>
      </w:r>
      <w:r>
        <w:rPr/>
        <w:t>在一年以上的各项费用，按预计受益期间分期平均摊销，并以实际支出减去累计摊销后的净额列示</w:t>
      </w:r>
      <w:r>
        <w:rPr>
          <w:rFonts w:ascii="宋体" w:hAnsi="宋体" w:cs="宋体" w:eastAsia="宋体" w:hint="default"/>
        </w:rPr>
        <w:t> </w:t>
      </w:r>
    </w:p>
    <w:p>
      <w:pPr>
        <w:pStyle w:val="Heading3"/>
        <w:spacing w:line="231" w:lineRule="exact"/>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1"/>
        </w:rPr>
        <w:t> </w:t>
      </w:r>
      <w:r>
        <w:rPr/>
        <w:t>合同负债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618" w:right="0"/>
        <w:jc w:val="left"/>
        <w:rPr>
          <w:rFonts w:ascii="宋体" w:hAnsi="宋体" w:cs="宋体" w:eastAsia="宋体" w:hint="default"/>
          <w:sz w:val="24"/>
          <w:szCs w:val="24"/>
        </w:rPr>
      </w:pPr>
      <w:r>
        <w:rPr/>
        <w:t>合同负债合并列示于</w:t>
      </w:r>
      <w:r>
        <w:rPr>
          <w:spacing w:val="-56"/>
        </w:rPr>
        <w:t> </w:t>
      </w:r>
      <w:r>
        <w:rPr>
          <w:rFonts w:ascii="宋体" w:hAnsi="宋体" w:cs="宋体" w:eastAsia="宋体" w:hint="default"/>
        </w:rPr>
        <w:t>38.</w:t>
      </w:r>
      <w:r>
        <w:rPr/>
        <w:t>收入章节。</w:t>
      </w:r>
      <w:r>
        <w:rPr>
          <w:rFonts w:ascii="宋体" w:hAnsi="宋体" w:cs="宋体" w:eastAsia="宋体" w:hint="default"/>
          <w:sz w:val="24"/>
          <w:szCs w:val="24"/>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5"/>
        <w:spacing w:line="290" w:lineRule="auto" w:before="58"/>
        <w:ind w:left="138" w:right="5258"/>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1"/>
        </w:rPr>
        <w:t> </w:t>
      </w:r>
      <w:r>
        <w:rPr/>
        <w:t>职工薪酬</w:t>
      </w:r>
      <w:r>
        <w:rPr>
          <w:rFonts w:ascii="宋体" w:hAnsi="宋体" w:cs="宋体" w:eastAsia="宋体" w:hint="default"/>
          <w:w w:val="99"/>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0"/>
        <w:ind w:left="138" w:right="169" w:firstLine="480"/>
        <w:jc w:val="both"/>
        <w:rPr>
          <w:rFonts w:ascii="宋体" w:hAnsi="宋体" w:cs="宋体" w:eastAsia="宋体" w:hint="default"/>
        </w:rPr>
      </w:pPr>
      <w:r>
        <w:rPr>
          <w:spacing w:val="-2"/>
        </w:rPr>
        <w:t>职工薪酬是本集团为获得职工提供的服务或解除劳动关系而给予的各种形式的报酬或补偿，包</w:t>
      </w:r>
      <w:r>
        <w:rPr>
          <w:w w:val="100"/>
        </w:rPr>
        <w:t> </w:t>
      </w:r>
      <w:r>
        <w:rPr/>
        <w:t>括短期薪酬、离职后福利、辞退福利和其他长期职工福利等。</w:t>
      </w:r>
      <w:r>
        <w:rPr>
          <w:rFonts w:ascii="宋体" w:hAnsi="宋体" w:cs="宋体" w:eastAsia="宋体" w:hint="default"/>
        </w:rPr>
        <w:t> </w:t>
      </w:r>
    </w:p>
    <w:p>
      <w:pPr>
        <w:pStyle w:val="BodyText"/>
        <w:spacing w:line="348" w:lineRule="auto" w:before="29"/>
        <w:ind w:left="558" w:right="0"/>
        <w:jc w:val="left"/>
      </w:pPr>
      <w:r>
        <w:rPr/>
        <w:t>短期薪酬</w:t>
      </w:r>
      <w:r>
        <w:rPr>
          <w:rFonts w:ascii="宋体" w:hAnsi="宋体" w:cs="宋体" w:eastAsia="宋体" w:hint="default"/>
          <w:w w:val="100"/>
        </w:rPr>
        <w:t> </w:t>
      </w:r>
      <w:r>
        <w:rPr>
          <w:spacing w:val="-6"/>
        </w:rPr>
        <w:t>短期薪酬包括工资、奖金、津贴和补贴、职工福利费、医疗保险费、工伤保险费、生育保险费、</w:t>
      </w:r>
    </w:p>
    <w:p>
      <w:pPr>
        <w:pStyle w:val="BodyText"/>
        <w:spacing w:line="350" w:lineRule="auto" w:before="31"/>
        <w:ind w:left="138" w:right="0"/>
        <w:jc w:val="left"/>
        <w:rPr>
          <w:rFonts w:ascii="宋体" w:hAnsi="宋体" w:cs="宋体" w:eastAsia="宋体" w:hint="default"/>
        </w:rPr>
      </w:pPr>
      <w:r>
        <w:rPr/>
        <w:t>住房公积金、工会和教育经费、短期带薪缺勤等。本集团在职工提供服务的会计期间，将实际发生</w:t>
      </w:r>
      <w:r>
        <w:rPr>
          <w:w w:val="100"/>
        </w:rPr>
        <w:t> </w:t>
      </w:r>
      <w:r>
        <w:rPr/>
        <w:t>的短期薪酬确认为负债，并计入当期损益或相关资产成本。其中，非货币性福利按照公允价值计量</w:t>
      </w:r>
      <w:r>
        <w:rPr>
          <w:rFonts w:ascii="宋体" w:hAnsi="宋体" w:cs="宋体" w:eastAsia="宋体" w:hint="default"/>
        </w:rPr>
        <w:t> </w:t>
      </w:r>
    </w:p>
    <w:p>
      <w:pPr>
        <w:pStyle w:val="Heading3"/>
        <w:spacing w:line="227" w:lineRule="exact"/>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09"/>
        <w:ind w:left="558" w:right="0" w:firstLine="60"/>
        <w:jc w:val="left"/>
      </w:pPr>
      <w:r>
        <w:rPr/>
        <w:t>离职后福利</w:t>
      </w:r>
      <w:r>
        <w:rPr>
          <w:rFonts w:ascii="宋体" w:hAnsi="宋体" w:cs="宋体" w:eastAsia="宋体" w:hint="default"/>
          <w:w w:val="100"/>
        </w:rPr>
        <w:t> </w:t>
      </w:r>
      <w:r>
        <w:rPr>
          <w:spacing w:val="-2"/>
        </w:rPr>
        <w:t>本集团将离职后福利计划分类为设定提存计划和设定受益计划。设定提存计划是本集团向独立</w:t>
      </w:r>
    </w:p>
    <w:p>
      <w:pPr>
        <w:pStyle w:val="BodyText"/>
        <w:spacing w:line="350" w:lineRule="auto" w:before="29"/>
        <w:ind w:left="138" w:right="169"/>
        <w:jc w:val="both"/>
      </w:pPr>
      <w:r>
        <w:rPr>
          <w:spacing w:val="-2"/>
        </w:rPr>
        <w:t>的基金缴存固定费用后，不再承担进一步支付义务的离职后福利计划；设定受益计划是除设定提存</w:t>
      </w:r>
      <w:r>
        <w:rPr>
          <w:spacing w:val="-25"/>
        </w:rPr>
        <w:t> </w:t>
      </w:r>
      <w:r>
        <w:rPr>
          <w:spacing w:val="-25"/>
        </w:rPr>
      </w:r>
      <w:r>
        <w:rPr>
          <w:spacing w:val="-6"/>
          <w:w w:val="100"/>
        </w:rPr>
        <w:t>计划以外的离职后福利计划。于报告期内，本集团的离职后福利主要是为员工缴纳的基本养老保险、</w:t>
      </w:r>
      <w:r>
        <w:rPr>
          <w:spacing w:val="-74"/>
          <w:w w:val="100"/>
        </w:rPr>
        <w:t> </w:t>
      </w:r>
      <w:r>
        <w:rPr>
          <w:spacing w:val="-74"/>
          <w:w w:val="100"/>
        </w:rPr>
      </w:r>
      <w:r>
        <w:rPr>
          <w:spacing w:val="-6"/>
        </w:rPr>
        <w:t>失业保险、企业年金和统筹外福利，其中，基本养老保险、失业保险和企业年金属于设定提存计划，</w:t>
      </w:r>
      <w:r>
        <w:rPr>
          <w:spacing w:val="-18"/>
        </w:rPr>
        <w:t> </w:t>
      </w:r>
      <w:r>
        <w:rPr>
          <w:spacing w:val="-18"/>
        </w:rPr>
      </w:r>
      <w:r>
        <w:rPr/>
        <w:t>统筹外福利属于设定受益计划。</w:t>
      </w:r>
    </w:p>
    <w:p>
      <w:pPr>
        <w:pStyle w:val="BodyText"/>
        <w:spacing w:line="350" w:lineRule="auto" w:before="27"/>
        <w:ind w:left="558" w:right="0"/>
        <w:jc w:val="left"/>
      </w:pPr>
      <w:r>
        <w:rPr/>
        <w:t>基本养老保险</w:t>
      </w:r>
      <w:r>
        <w:rPr>
          <w:w w:val="100"/>
        </w:rPr>
        <w:t> </w:t>
      </w:r>
      <w:r>
        <w:rPr>
          <w:spacing w:val="-2"/>
        </w:rPr>
        <w:t>本集团职工参加了由当地劳动和社会保障部门组织实施的社会基本养老保险。本集团以当地规</w:t>
      </w:r>
    </w:p>
    <w:p>
      <w:pPr>
        <w:pStyle w:val="BodyText"/>
        <w:spacing w:line="350" w:lineRule="auto" w:before="29"/>
        <w:ind w:left="138" w:right="208"/>
        <w:jc w:val="both"/>
      </w:pPr>
      <w:r>
        <w:rPr>
          <w:spacing w:val="-2"/>
        </w:rPr>
        <w:t>定的社会基本养老保险缴纳基数和比例，按月向当地社会基本养老保险经办机构缴纳养老保险费。</w:t>
      </w:r>
      <w:r>
        <w:rPr>
          <w:spacing w:val="-25"/>
        </w:rPr>
        <w:t> </w:t>
      </w:r>
      <w:r>
        <w:rPr>
          <w:spacing w:val="-25"/>
        </w:rPr>
      </w:r>
      <w:r>
        <w:rPr>
          <w:spacing w:val="-2"/>
        </w:rPr>
        <w:t>职工退休后，当地劳动及社会保障部门有责任向已退休员工支付社会基本养老金。本集团在职工提</w:t>
      </w:r>
      <w:r>
        <w:rPr>
          <w:spacing w:val="-25"/>
        </w:rPr>
        <w:t> </w:t>
      </w:r>
      <w:r>
        <w:rPr>
          <w:spacing w:val="-25"/>
        </w:rPr>
      </w:r>
      <w:r>
        <w:rPr>
          <w:spacing w:val="-2"/>
        </w:rPr>
        <w:t>供服务的会计期间，将根据上述社保规定计算应缴纳的金额确认为负债，并计入当期损益或相关资</w:t>
      </w:r>
      <w:r>
        <w:rPr>
          <w:spacing w:val="-25"/>
        </w:rPr>
        <w:t> </w:t>
      </w:r>
      <w:r>
        <w:rPr>
          <w:spacing w:val="-25"/>
        </w:rPr>
      </w:r>
      <w:r>
        <w:rPr/>
        <w:t>产成本。</w:t>
      </w:r>
    </w:p>
    <w:p>
      <w:pPr>
        <w:pStyle w:val="BodyText"/>
        <w:spacing w:line="240" w:lineRule="auto" w:before="27"/>
        <w:ind w:left="558" w:right="0"/>
        <w:jc w:val="left"/>
      </w:pPr>
      <w:r>
        <w:rPr/>
        <w:t>企业年金</w:t>
      </w:r>
    </w:p>
    <w:p>
      <w:pPr>
        <w:pStyle w:val="BodyText"/>
        <w:spacing w:line="340" w:lineRule="auto" w:before="126"/>
        <w:ind w:left="138" w:right="208" w:firstLine="420"/>
        <w:jc w:val="both"/>
      </w:pPr>
      <w:r>
        <w:rPr/>
        <w:t>对于</w:t>
      </w:r>
      <w:r>
        <w:rPr>
          <w:spacing w:val="-54"/>
        </w:rPr>
        <w:t> </w:t>
      </w:r>
      <w:r>
        <w:rPr>
          <w:rFonts w:ascii="Arial" w:hAnsi="Arial" w:cs="Arial" w:eastAsia="Arial" w:hint="default"/>
        </w:rPr>
        <w:t>2016</w:t>
      </w:r>
      <w:r>
        <w:rPr>
          <w:rFonts w:ascii="Arial" w:hAnsi="Arial" w:cs="Arial" w:eastAsia="Arial" w:hint="default"/>
          <w:spacing w:val="-7"/>
        </w:rPr>
        <w:t> </w:t>
      </w:r>
      <w:r>
        <w:rPr/>
        <w:t>年</w:t>
      </w:r>
      <w:r>
        <w:rPr>
          <w:spacing w:val="-56"/>
        </w:rPr>
        <w:t> </w:t>
      </w: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日及以后退休的员工，除了社会基本养老保险之外，本集团依据国家企业</w:t>
      </w:r>
      <w:r>
        <w:rPr>
          <w:w w:val="100"/>
        </w:rPr>
        <w:t> </w:t>
      </w:r>
      <w:r>
        <w:rPr>
          <w:spacing w:val="-2"/>
        </w:rPr>
        <w:t>年金制度的相关政策建立企业年金计划，本集团按照工资总额的一定比例计提年金，在职工提供服</w:t>
      </w:r>
      <w:r>
        <w:rPr>
          <w:spacing w:val="-25"/>
        </w:rPr>
        <w:t> </w:t>
      </w:r>
      <w:r>
        <w:rPr>
          <w:spacing w:val="-25"/>
        </w:rPr>
      </w:r>
      <w:r>
        <w:rPr/>
        <w:t>务的会计期间，将根据上述比例计算应缴纳的金额确认为负债，并计入当期损益。</w:t>
      </w:r>
    </w:p>
    <w:p>
      <w:pPr>
        <w:pStyle w:val="BodyText"/>
        <w:spacing w:line="240" w:lineRule="auto" w:before="37"/>
        <w:ind w:left="558" w:right="0"/>
        <w:jc w:val="left"/>
      </w:pPr>
      <w:r>
        <w:rPr/>
        <w:t>统筹外福利</w:t>
      </w:r>
    </w:p>
    <w:p>
      <w:pPr>
        <w:spacing w:after="0" w:line="240" w:lineRule="auto"/>
        <w:jc w:val="left"/>
        <w:sectPr>
          <w:pgSz w:w="11910" w:h="16840"/>
          <w:pgMar w:header="882" w:footer="974" w:top="1120" w:bottom="1160" w:left="1280" w:right="12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36"/>
        <w:ind w:left="558" w:right="0"/>
        <w:jc w:val="left"/>
      </w:pPr>
      <w:r>
        <w:rPr>
          <w:spacing w:val="-3"/>
        </w:rPr>
        <w:t>本集团在国家规定的统筹养老保险之外，根据青岛市人民政府办公厅于</w:t>
      </w:r>
      <w:r>
        <w:rPr>
          <w:spacing w:val="-42"/>
        </w:rPr>
        <w:t> </w:t>
      </w:r>
      <w:r>
        <w:rPr>
          <w:rFonts w:ascii="Arial" w:hAnsi="Arial" w:cs="Arial" w:eastAsia="Arial" w:hint="default"/>
        </w:rPr>
        <w:t>2013</w:t>
      </w:r>
      <w:r>
        <w:rPr>
          <w:rFonts w:ascii="Arial" w:hAnsi="Arial" w:cs="Arial" w:eastAsia="Arial" w:hint="default"/>
          <w:spacing w:val="5"/>
        </w:rPr>
        <w:t> </w:t>
      </w:r>
      <w:r>
        <w:rPr/>
        <w:t>年</w:t>
      </w:r>
      <w:r>
        <w:rPr>
          <w:spacing w:val="-43"/>
        </w:rPr>
        <w:t> </w:t>
      </w:r>
      <w:r>
        <w:rPr>
          <w:rFonts w:ascii="Arial" w:hAnsi="Arial" w:cs="Arial" w:eastAsia="Arial" w:hint="default"/>
        </w:rPr>
        <w:t>8</w:t>
      </w:r>
      <w:r>
        <w:rPr>
          <w:rFonts w:ascii="Arial" w:hAnsi="Arial" w:cs="Arial" w:eastAsia="Arial" w:hint="default"/>
          <w:spacing w:val="5"/>
        </w:rPr>
        <w:t> </w:t>
      </w:r>
      <w:r>
        <w:rPr/>
        <w:t>月</w:t>
      </w:r>
      <w:r>
        <w:rPr>
          <w:spacing w:val="-42"/>
        </w:rPr>
        <w:t> </w:t>
      </w:r>
      <w:r>
        <w:rPr>
          <w:rFonts w:ascii="Arial" w:hAnsi="Arial" w:cs="Arial" w:eastAsia="Arial" w:hint="default"/>
        </w:rPr>
        <w:t>19</w:t>
      </w:r>
      <w:r>
        <w:rPr>
          <w:rFonts w:ascii="Arial" w:hAnsi="Arial" w:cs="Arial" w:eastAsia="Arial" w:hint="default"/>
          <w:spacing w:val="5"/>
        </w:rPr>
        <w:t> </w:t>
      </w:r>
      <w:r>
        <w:rPr>
          <w:spacing w:val="-9"/>
        </w:rPr>
        <w:t>日《青</w:t>
      </w:r>
    </w:p>
    <w:p>
      <w:pPr>
        <w:pStyle w:val="BodyText"/>
        <w:spacing w:line="240" w:lineRule="auto" w:before="108"/>
        <w:ind w:left="138" w:right="0"/>
        <w:jc w:val="both"/>
      </w:pPr>
      <w:r>
        <w:rPr/>
        <w:t>岛市第十五届人民政府第</w:t>
      </w:r>
      <w:r>
        <w:rPr>
          <w:spacing w:val="-54"/>
        </w:rPr>
        <w:t> </w:t>
      </w:r>
      <w:r>
        <w:rPr>
          <w:rFonts w:ascii="Arial" w:hAnsi="Arial" w:cs="Arial" w:eastAsia="Arial" w:hint="default"/>
        </w:rPr>
        <w:t>29</w:t>
      </w:r>
      <w:r>
        <w:rPr>
          <w:rFonts w:ascii="Arial" w:hAnsi="Arial" w:cs="Arial" w:eastAsia="Arial" w:hint="default"/>
          <w:spacing w:val="-3"/>
        </w:rPr>
        <w:t> </w:t>
      </w:r>
      <w:r>
        <w:rPr>
          <w:spacing w:val="-7"/>
        </w:rPr>
        <w:t>次常务会议纪要》批准，本集团对</w:t>
      </w:r>
      <w:r>
        <w:rPr>
          <w:spacing w:val="-51"/>
        </w:rPr>
        <w:t> </w:t>
      </w:r>
      <w:r>
        <w:rPr>
          <w:rFonts w:ascii="Arial" w:hAnsi="Arial" w:cs="Arial" w:eastAsia="Arial" w:hint="default"/>
        </w:rPr>
        <w:t>2015</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4"/>
        </w:rPr>
        <w:t> </w:t>
      </w:r>
      <w:r>
        <w:rPr/>
        <w:t>月</w:t>
      </w:r>
      <w:r>
        <w:rPr>
          <w:spacing w:val="-53"/>
        </w:rPr>
        <w:t> </w:t>
      </w:r>
      <w:r>
        <w:rPr>
          <w:rFonts w:ascii="Arial" w:hAnsi="Arial" w:cs="Arial" w:eastAsia="Arial" w:hint="default"/>
        </w:rPr>
        <w:t>31</w:t>
      </w:r>
      <w:r>
        <w:rPr>
          <w:rFonts w:ascii="Arial" w:hAnsi="Arial" w:cs="Arial" w:eastAsia="Arial" w:hint="default"/>
          <w:spacing w:val="-4"/>
        </w:rPr>
        <w:t> </w:t>
      </w:r>
      <w:r>
        <w:rPr/>
        <w:t>日以前离退休的员</w:t>
      </w:r>
    </w:p>
    <w:p>
      <w:pPr>
        <w:pStyle w:val="BodyText"/>
        <w:spacing w:line="240" w:lineRule="auto" w:before="111"/>
        <w:ind w:left="138" w:right="0"/>
        <w:jc w:val="both"/>
      </w:pPr>
      <w:r>
        <w:rPr/>
        <w:t>工提供统筹外离退休福利</w:t>
      </w:r>
      <w:r>
        <w:rPr>
          <w:rFonts w:ascii="Arial" w:hAnsi="Arial" w:cs="Arial" w:eastAsia="Arial" w:hint="default"/>
        </w:rPr>
        <w:t>(</w:t>
      </w:r>
      <w:r>
        <w:rPr/>
        <w:t>以下简称“统筹外福利”</w:t>
      </w:r>
      <w:r>
        <w:rPr>
          <w:rFonts w:ascii="Arial" w:hAnsi="Arial" w:cs="Arial" w:eastAsia="Arial" w:hint="default"/>
        </w:rPr>
        <w:t>)</w:t>
      </w:r>
      <w:r>
        <w:rPr/>
        <w:t>。另外，本集团于</w:t>
      </w:r>
      <w:r>
        <w:rPr>
          <w:spacing w:val="-56"/>
        </w:rPr>
        <w:t> </w:t>
      </w:r>
      <w:r>
        <w:rPr>
          <w:rFonts w:ascii="Arial" w:hAnsi="Arial" w:cs="Arial" w:eastAsia="Arial" w:hint="default"/>
        </w:rPr>
        <w:t>2016</w:t>
      </w:r>
      <w:r>
        <w:rPr>
          <w:rFonts w:ascii="Arial" w:hAnsi="Arial" w:cs="Arial" w:eastAsia="Arial" w:hint="default"/>
          <w:spacing w:val="-11"/>
        </w:rPr>
        <w:t> </w:t>
      </w:r>
      <w:r>
        <w:rPr/>
        <w:t>年度决议对于</w:t>
      </w:r>
      <w:r>
        <w:rPr>
          <w:spacing w:val="-55"/>
        </w:rPr>
        <w:t> </w:t>
      </w:r>
      <w:r>
        <w:rPr>
          <w:rFonts w:ascii="Arial" w:hAnsi="Arial" w:cs="Arial" w:eastAsia="Arial" w:hint="default"/>
        </w:rPr>
        <w:t>2016</w:t>
      </w:r>
      <w:r>
        <w:rPr>
          <w:rFonts w:ascii="Arial" w:hAnsi="Arial" w:cs="Arial" w:eastAsia="Arial" w:hint="default"/>
          <w:spacing w:val="-9"/>
        </w:rPr>
        <w:t> </w:t>
      </w:r>
      <w:r>
        <w:rPr/>
        <w:t>年</w:t>
      </w:r>
    </w:p>
    <w:p>
      <w:pPr>
        <w:pStyle w:val="BodyText"/>
        <w:spacing w:line="345" w:lineRule="auto" w:before="111"/>
        <w:ind w:left="138" w:right="209"/>
        <w:jc w:val="both"/>
      </w:pPr>
      <w:r>
        <w:rPr>
          <w:rFonts w:ascii="Arial" w:hAnsi="Arial" w:cs="Arial" w:eastAsia="Arial" w:hint="default"/>
        </w:rPr>
        <w:t>1</w:t>
      </w:r>
      <w:r>
        <w:rPr>
          <w:rFonts w:ascii="Arial" w:hAnsi="Arial" w:cs="Arial" w:eastAsia="Arial" w:hint="default"/>
          <w:spacing w:val="-7"/>
        </w:rPr>
        <w:t> </w:t>
      </w:r>
      <w:r>
        <w:rPr/>
        <w:t>月</w:t>
      </w:r>
      <w:r>
        <w:rPr>
          <w:spacing w:val="-56"/>
        </w:rPr>
        <w:t> </w:t>
      </w:r>
      <w:r>
        <w:rPr>
          <w:rFonts w:ascii="Arial" w:hAnsi="Arial" w:cs="Arial" w:eastAsia="Arial" w:hint="default"/>
        </w:rPr>
        <w:t>1</w:t>
      </w:r>
      <w:r>
        <w:rPr>
          <w:rFonts w:ascii="Arial" w:hAnsi="Arial" w:cs="Arial" w:eastAsia="Arial" w:hint="default"/>
          <w:spacing w:val="-7"/>
        </w:rPr>
        <w:t> </w:t>
      </w:r>
      <w:r>
        <w:rPr/>
        <w:t>日及以后退休的员工除上述社会基本养老保险和企业年金外，提供部分统筹外福利。上述统</w:t>
      </w:r>
      <w:r>
        <w:rPr>
          <w:w w:val="100"/>
        </w:rPr>
        <w:t> </w:t>
      </w:r>
      <w:r>
        <w:rPr>
          <w:spacing w:val="-2"/>
        </w:rPr>
        <w:t>筹外福利属于设定受益计划。由本集团承担的统筹外福利确认为负债，按照预期累计福利单位法进</w:t>
      </w:r>
      <w:r>
        <w:rPr>
          <w:spacing w:val="-25"/>
        </w:rPr>
        <w:t> </w:t>
      </w:r>
      <w:r>
        <w:rPr>
          <w:spacing w:val="-25"/>
        </w:rPr>
      </w:r>
      <w:r>
        <w:rPr>
          <w:spacing w:val="-6"/>
          <w:w w:val="100"/>
        </w:rPr>
        <w:t>行精算估值，并按预期未来现金流出额的现值列示。精算利得和损失在产生期间计入其他综合收益，</w:t>
      </w:r>
      <w:r>
        <w:rPr>
          <w:spacing w:val="-74"/>
          <w:w w:val="100"/>
        </w:rPr>
        <w:t> </w:t>
      </w:r>
      <w:r>
        <w:rPr>
          <w:spacing w:val="-74"/>
          <w:w w:val="100"/>
        </w:rPr>
      </w:r>
      <w:r>
        <w:rPr>
          <w:spacing w:val="-2"/>
        </w:rPr>
        <w:t>过往服务成本于发生当期确认。本财务报表对统筹外福利参考与统筹外福利期限相同的国债利率进</w:t>
      </w:r>
      <w:r>
        <w:rPr>
          <w:spacing w:val="-25"/>
        </w:rPr>
        <w:t> </w:t>
      </w:r>
      <w:r>
        <w:rPr>
          <w:spacing w:val="-25"/>
        </w:rPr>
      </w:r>
      <w:r>
        <w:rPr/>
        <w:t>行折现确认负债。</w:t>
      </w:r>
    </w:p>
    <w:p>
      <w:pPr>
        <w:pStyle w:val="BodyText"/>
        <w:spacing w:line="240" w:lineRule="auto" w:before="33"/>
        <w:ind w:left="558" w:right="0"/>
        <w:jc w:val="left"/>
      </w:pPr>
      <w:r>
        <w:rPr/>
        <w:t>预期在资产负债表日起一年内需支付的统筹外福利，列示为应付职工薪酬。</w:t>
      </w:r>
    </w:p>
    <w:p>
      <w:pPr>
        <w:pStyle w:val="BodyText"/>
        <w:spacing w:line="240" w:lineRule="auto" w:before="126"/>
        <w:ind w:left="558" w:right="0"/>
        <w:jc w:val="left"/>
        <w:rPr>
          <w:rFonts w:ascii="宋体" w:hAnsi="宋体" w:cs="宋体" w:eastAsia="宋体" w:hint="default"/>
        </w:rPr>
      </w:pPr>
      <w:r>
        <w:rPr>
          <w:w w:val="100"/>
        </w:rPr>
        <w:t>本公</w:t>
      </w:r>
      <w:r>
        <w:rPr>
          <w:spacing w:val="-3"/>
          <w:w w:val="100"/>
        </w:rPr>
        <w:t>司</w:t>
      </w:r>
      <w:r>
        <w:rPr>
          <w:w w:val="100"/>
        </w:rPr>
        <w:t>为</w:t>
      </w:r>
      <w:r>
        <w:rPr>
          <w:spacing w:val="-3"/>
          <w:w w:val="100"/>
        </w:rPr>
        <w:t>子</w:t>
      </w:r>
      <w:r>
        <w:rPr>
          <w:w w:val="100"/>
        </w:rPr>
        <w:t>公</w:t>
      </w:r>
      <w:r>
        <w:rPr>
          <w:spacing w:val="-3"/>
          <w:w w:val="100"/>
        </w:rPr>
        <w:t>司</w:t>
      </w:r>
      <w:r>
        <w:rPr>
          <w:w w:val="100"/>
        </w:rPr>
        <w:t>承</w:t>
      </w:r>
      <w:r>
        <w:rPr>
          <w:spacing w:val="-3"/>
          <w:w w:val="100"/>
        </w:rPr>
        <w:t>担</w:t>
      </w:r>
      <w:r>
        <w:rPr>
          <w:w w:val="100"/>
        </w:rPr>
        <w:t>的</w:t>
      </w:r>
      <w:r>
        <w:rPr>
          <w:spacing w:val="-3"/>
          <w:w w:val="100"/>
        </w:rPr>
        <w:t>统</w:t>
      </w:r>
      <w:r>
        <w:rPr>
          <w:w w:val="100"/>
        </w:rPr>
        <w:t>筹外</w:t>
      </w:r>
      <w:r>
        <w:rPr>
          <w:spacing w:val="-3"/>
          <w:w w:val="100"/>
        </w:rPr>
        <w:t>福利</w:t>
      </w:r>
      <w:r>
        <w:rPr>
          <w:spacing w:val="-85"/>
          <w:w w:val="100"/>
        </w:rPr>
        <w:t>，</w:t>
      </w:r>
      <w:r>
        <w:rPr>
          <w:spacing w:val="-3"/>
          <w:w w:val="100"/>
        </w:rPr>
        <w:t>视</w:t>
      </w:r>
      <w:r>
        <w:rPr>
          <w:w w:val="100"/>
        </w:rPr>
        <w:t>为</w:t>
      </w:r>
      <w:r>
        <w:rPr>
          <w:spacing w:val="-3"/>
          <w:w w:val="100"/>
        </w:rPr>
        <w:t>本</w:t>
      </w:r>
      <w:r>
        <w:rPr>
          <w:w w:val="100"/>
        </w:rPr>
        <w:t>公</w:t>
      </w:r>
      <w:r>
        <w:rPr>
          <w:spacing w:val="-3"/>
          <w:w w:val="100"/>
        </w:rPr>
        <w:t>司</w:t>
      </w:r>
      <w:r>
        <w:rPr>
          <w:w w:val="100"/>
        </w:rPr>
        <w:t>对</w:t>
      </w:r>
      <w:r>
        <w:rPr>
          <w:spacing w:val="-3"/>
          <w:w w:val="100"/>
        </w:rPr>
        <w:t>子</w:t>
      </w:r>
      <w:r>
        <w:rPr>
          <w:w w:val="100"/>
        </w:rPr>
        <w:t>公司</w:t>
      </w:r>
      <w:r>
        <w:rPr>
          <w:spacing w:val="-3"/>
          <w:w w:val="100"/>
        </w:rPr>
        <w:t>的</w:t>
      </w:r>
      <w:r>
        <w:rPr>
          <w:w w:val="100"/>
        </w:rPr>
        <w:t>投</w:t>
      </w:r>
      <w:r>
        <w:rPr>
          <w:spacing w:val="-3"/>
          <w:w w:val="100"/>
        </w:rPr>
        <w:t>资</w:t>
      </w:r>
      <w:r>
        <w:rPr>
          <w:spacing w:val="-87"/>
          <w:w w:val="100"/>
        </w:rPr>
        <w:t>，</w:t>
      </w:r>
      <w:r>
        <w:rPr>
          <w:w w:val="100"/>
        </w:rPr>
        <w:t>计</w:t>
      </w:r>
      <w:r>
        <w:rPr>
          <w:spacing w:val="-3"/>
          <w:w w:val="100"/>
        </w:rPr>
        <w:t>入</w:t>
      </w:r>
      <w:r>
        <w:rPr>
          <w:w w:val="100"/>
        </w:rPr>
        <w:t>本</w:t>
      </w:r>
      <w:r>
        <w:rPr>
          <w:spacing w:val="-3"/>
          <w:w w:val="100"/>
        </w:rPr>
        <w:t>公</w:t>
      </w:r>
      <w:r>
        <w:rPr>
          <w:w w:val="100"/>
        </w:rPr>
        <w:t>司</w:t>
      </w:r>
      <w:r>
        <w:rPr>
          <w:spacing w:val="-3"/>
          <w:w w:val="100"/>
        </w:rPr>
        <w:t>的</w:t>
      </w:r>
      <w:r>
        <w:rPr>
          <w:w w:val="100"/>
        </w:rPr>
        <w:t>长期</w:t>
      </w:r>
      <w:r>
        <w:rPr>
          <w:spacing w:val="-3"/>
          <w:w w:val="100"/>
        </w:rPr>
        <w:t>股权投资。</w:t>
      </w:r>
      <w:r>
        <w:rPr>
          <w:rFonts w:ascii="宋体" w:hAnsi="宋体" w:cs="宋体" w:eastAsia="宋体" w:hint="default"/>
          <w:w w:val="100"/>
        </w:rPr>
        <w:t> </w:t>
      </w:r>
    </w:p>
    <w:p>
      <w:pPr>
        <w:pStyle w:val="Heading3"/>
        <w:spacing w:line="240" w:lineRule="auto" w:before="9"/>
        <w:ind w:left="138" w:right="0"/>
        <w:jc w:val="both"/>
        <w:rPr>
          <w:rFonts w:ascii="宋体" w:hAnsi="宋体" w:cs="宋体" w:eastAsia="宋体" w:hint="default"/>
        </w:rPr>
      </w:pPr>
      <w:r>
        <w:rPr>
          <w:rFonts w:ascii="宋体"/>
        </w:rPr>
        <w:t> </w:t>
      </w:r>
    </w:p>
    <w:p>
      <w:pPr>
        <w:pStyle w:val="Heading5"/>
        <w:spacing w:line="240" w:lineRule="auto" w:before="64"/>
        <w:ind w:left="138" w:right="0"/>
        <w:jc w:val="both"/>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2"/>
        <w:ind w:left="558" w:right="0" w:firstLine="60"/>
        <w:jc w:val="left"/>
      </w:pPr>
      <w:r>
        <w:rPr/>
        <w:t>辞退福利</w:t>
      </w:r>
      <w:r>
        <w:rPr>
          <w:rFonts w:ascii="宋体" w:hAnsi="宋体" w:cs="宋体" w:eastAsia="宋体" w:hint="default"/>
          <w:w w:val="100"/>
        </w:rPr>
        <w:t> </w:t>
      </w:r>
      <w:r>
        <w:rPr>
          <w:spacing w:val="-2"/>
        </w:rPr>
        <w:t>本集团在职工劳动合同到期之前解除与职工的劳动关系、或者为鼓励职工自愿接受裁减而提出</w:t>
      </w:r>
    </w:p>
    <w:p>
      <w:pPr>
        <w:pStyle w:val="BodyText"/>
        <w:spacing w:line="348" w:lineRule="auto" w:before="29"/>
        <w:ind w:left="138" w:right="248"/>
        <w:jc w:val="both"/>
      </w:pPr>
      <w:r>
        <w:rPr>
          <w:spacing w:val="-2"/>
        </w:rPr>
        <w:t>给予补偿，在本集团不能单方面撤回解除劳动关系计划或裁减建议时和确认与涉及支付辞退福利的</w:t>
      </w:r>
      <w:r>
        <w:rPr>
          <w:spacing w:val="-25"/>
        </w:rPr>
        <w:t> </w:t>
      </w:r>
      <w:r>
        <w:rPr>
          <w:spacing w:val="-25"/>
        </w:rPr>
      </w:r>
      <w:r>
        <w:rPr>
          <w:spacing w:val="-2"/>
        </w:rPr>
        <w:t>重组相关的成本费用时两者孰早日，确认因解除与职工的劳动关系给予补偿而产生的负债，同时计</w:t>
      </w:r>
      <w:r>
        <w:rPr>
          <w:spacing w:val="-25"/>
        </w:rPr>
        <w:t> </w:t>
      </w:r>
      <w:r>
        <w:rPr>
          <w:spacing w:val="-25"/>
        </w:rPr>
      </w:r>
      <w:r>
        <w:rPr/>
        <w:t>入当期损益。</w:t>
      </w:r>
    </w:p>
    <w:p>
      <w:pPr>
        <w:pStyle w:val="BodyText"/>
        <w:spacing w:line="348" w:lineRule="auto" w:before="32"/>
        <w:ind w:left="558" w:right="0"/>
        <w:jc w:val="left"/>
      </w:pPr>
      <w:r>
        <w:rPr/>
        <w:t>内退福利</w:t>
      </w:r>
      <w:r>
        <w:rPr>
          <w:w w:val="100"/>
        </w:rPr>
        <w:t> </w:t>
      </w:r>
      <w:r>
        <w:rPr>
          <w:spacing w:val="-3"/>
        </w:rPr>
        <w:t>本集团向接受内部退休安排的职工提供内退福利。内退福利是指向未达到国家规定的退休年龄、</w:t>
      </w:r>
    </w:p>
    <w:p>
      <w:pPr>
        <w:pStyle w:val="BodyText"/>
        <w:spacing w:line="350" w:lineRule="auto" w:before="31"/>
        <w:ind w:left="138" w:right="209"/>
        <w:jc w:val="both"/>
      </w:pPr>
      <w:r>
        <w:rPr>
          <w:spacing w:val="-2"/>
        </w:rPr>
        <w:t>经本集团管理层批准自愿退出工作岗位的职工支付的工资及为其缴纳的社会保险费等。本集团自内</w:t>
      </w:r>
      <w:r>
        <w:rPr>
          <w:spacing w:val="-25"/>
        </w:rPr>
        <w:t> </w:t>
      </w:r>
      <w:r>
        <w:rPr>
          <w:spacing w:val="-25"/>
        </w:rPr>
      </w:r>
      <w:r>
        <w:rPr>
          <w:spacing w:val="-6"/>
          <w:w w:val="100"/>
        </w:rPr>
        <w:t>部退休安排开始之日起至职工达到正常退休年龄止，向内退职工支付内部退养福利。对于内退福利，</w:t>
      </w:r>
      <w:r>
        <w:rPr>
          <w:spacing w:val="-74"/>
          <w:w w:val="100"/>
        </w:rPr>
        <w:t> </w:t>
      </w:r>
      <w:r>
        <w:rPr>
          <w:spacing w:val="-74"/>
          <w:w w:val="100"/>
        </w:rPr>
      </w:r>
      <w:r>
        <w:rPr>
          <w:spacing w:val="-2"/>
        </w:rPr>
        <w:t>本集团比照辞退福利进行会计处理，在符合辞退福利相关确认条件时，将自职工停止提供服务日至</w:t>
      </w:r>
      <w:r>
        <w:rPr>
          <w:spacing w:val="-25"/>
        </w:rPr>
        <w:t> </w:t>
      </w:r>
      <w:r>
        <w:rPr>
          <w:spacing w:val="-25"/>
        </w:rPr>
      </w:r>
      <w:r>
        <w:rPr>
          <w:spacing w:val="-6"/>
          <w:w w:val="100"/>
        </w:rPr>
        <w:t>正常退休日期间拟支付的内退职工工资和缴纳的社会保险费等，确认为负债，一次性计入当期损益。</w:t>
      </w:r>
      <w:r>
        <w:rPr>
          <w:spacing w:val="-73"/>
          <w:w w:val="100"/>
        </w:rPr>
        <w:t> </w:t>
      </w:r>
      <w:r>
        <w:rPr>
          <w:spacing w:val="-73"/>
          <w:w w:val="100"/>
        </w:rPr>
      </w:r>
      <w:r>
        <w:rPr/>
        <w:t>内退福利的精算假设变化及福利标准调整引起的差异于发生时计入当期损益。</w:t>
      </w:r>
    </w:p>
    <w:p>
      <w:pPr>
        <w:pStyle w:val="BodyText"/>
        <w:spacing w:line="240" w:lineRule="auto" w:before="27"/>
        <w:ind w:left="558" w:right="0"/>
        <w:jc w:val="left"/>
      </w:pPr>
      <w:r>
        <w:rPr/>
        <w:t>预期在资产负债表日起一年内需支付的辞退福利，列示为应付职工薪酬。</w:t>
      </w:r>
    </w:p>
    <w:p>
      <w:pPr>
        <w:pStyle w:val="BodyText"/>
        <w:spacing w:line="240" w:lineRule="auto" w:before="126"/>
        <w:ind w:left="558" w:right="0"/>
        <w:jc w:val="left"/>
        <w:rPr>
          <w:rFonts w:ascii="宋体" w:hAnsi="宋体" w:cs="宋体" w:eastAsia="宋体" w:hint="default"/>
          <w:sz w:val="24"/>
          <w:szCs w:val="24"/>
        </w:rPr>
      </w:pPr>
      <w:r>
        <w:rPr/>
        <w:t>本公司为子公司承担的内退福利，视为本公司对子公司的投资，计入本公司的长期股权投资。</w:t>
      </w:r>
      <w:r>
        <w:rPr>
          <w:rFonts w:ascii="宋体" w:hAnsi="宋体" w:cs="宋体" w:eastAsia="宋体" w:hint="default"/>
          <w:sz w:val="24"/>
          <w:szCs w:val="24"/>
        </w:rPr>
        <w:t> </w:t>
      </w:r>
    </w:p>
    <w:p>
      <w:pPr>
        <w:pStyle w:val="Heading3"/>
        <w:spacing w:line="240" w:lineRule="auto" w:before="12"/>
        <w:ind w:left="138" w:right="0"/>
        <w:jc w:val="left"/>
        <w:rPr>
          <w:rFonts w:ascii="宋体" w:hAnsi="宋体" w:cs="宋体" w:eastAsia="宋体" w:hint="default"/>
        </w:rPr>
      </w:pPr>
      <w:r>
        <w:rPr>
          <w:rFonts w:ascii="宋体"/>
        </w:rPr>
        <w:t> </w:t>
      </w:r>
    </w:p>
    <w:p>
      <w:pPr>
        <w:pStyle w:val="Heading5"/>
        <w:spacing w:line="240" w:lineRule="auto" w:before="61"/>
        <w:ind w:left="138"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34.</w:t>
      </w:r>
      <w:r>
        <w:rPr>
          <w:rFonts w:ascii="宋体" w:hAnsi="宋体" w:cs="宋体" w:eastAsia="宋体" w:hint="default"/>
          <w:spacing w:val="-1"/>
        </w:rPr>
        <w:t> </w:t>
      </w:r>
      <w:r>
        <w:rPr/>
        <w:t>租赁负债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18" w:right="0"/>
        <w:jc w:val="left"/>
        <w:rPr>
          <w:rFonts w:ascii="宋体" w:hAnsi="宋体" w:cs="宋体" w:eastAsia="宋体" w:hint="default"/>
        </w:rPr>
      </w:pPr>
      <w:r>
        <w:rPr/>
        <w:t>租赁负债合并列示于 </w:t>
      </w:r>
      <w:r>
        <w:rPr>
          <w:rFonts w:ascii="宋体" w:hAnsi="宋体" w:cs="宋体" w:eastAsia="宋体" w:hint="default"/>
        </w:rPr>
        <w:t>42.</w:t>
      </w:r>
      <w:r>
        <w:rPr/>
        <w:t>租赁</w:t>
      </w:r>
      <w:r>
        <w:rPr>
          <w:rFonts w:ascii="宋体" w:hAnsi="宋体" w:cs="宋体" w:eastAsia="宋体" w:hint="default"/>
        </w:rPr>
        <w:t>(3).</w:t>
      </w:r>
      <w:r>
        <w:rPr>
          <w:rFonts w:ascii="宋体" w:hAnsi="宋体" w:cs="宋体" w:eastAsia="宋体" w:hint="default"/>
          <w:spacing w:val="-62"/>
        </w:rPr>
        <w:t> </w:t>
      </w:r>
      <w:r>
        <w:rPr/>
        <w:t>新租赁准则下租赁的确定方法及会计处理方法。</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footerReference w:type="default" r:id="rId60"/>
          <w:pgSz w:w="11910" w:h="16840"/>
          <w:pgMar w:footer="974" w:header="882" w:top="1120" w:bottom="1160" w:left="1280" w:right="1200"/>
        </w:sectPr>
      </w:pPr>
    </w:p>
    <w:p>
      <w:pPr>
        <w:spacing w:line="240" w:lineRule="auto" w:before="0"/>
        <w:rPr>
          <w:rFonts w:ascii="宋体" w:hAnsi="宋体" w:cs="宋体" w:eastAsia="宋体" w:hint="default"/>
          <w:sz w:val="20"/>
          <w:szCs w:val="20"/>
        </w:rPr>
      </w:pPr>
    </w:p>
    <w:p>
      <w:pPr>
        <w:pStyle w:val="Heading5"/>
        <w:spacing w:line="240" w:lineRule="auto" w:before="168"/>
        <w:ind w:left="138" w:right="192"/>
        <w:jc w:val="left"/>
        <w:rPr>
          <w:rFonts w:ascii="宋体" w:hAnsi="宋体" w:cs="宋体" w:eastAsia="宋体" w:hint="default"/>
          <w:b w:val="0"/>
          <w:bCs w:val="0"/>
        </w:rPr>
      </w:pPr>
      <w:r>
        <w:rPr>
          <w:rFonts w:ascii="宋体" w:hAnsi="宋体" w:cs="宋体" w:eastAsia="宋体" w:hint="default"/>
        </w:rPr>
        <w:t>35.</w:t>
      </w:r>
      <w:r>
        <w:rPr>
          <w:rFonts w:ascii="宋体" w:hAnsi="宋体" w:cs="宋体" w:eastAsia="宋体" w:hint="default"/>
          <w:spacing w:val="-1"/>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8" w:lineRule="auto" w:before="112"/>
        <w:ind w:left="138" w:right="109" w:firstLine="480"/>
        <w:jc w:val="both"/>
      </w:pPr>
      <w:r>
        <w:rPr>
          <w:spacing w:val="-2"/>
        </w:rPr>
        <w:t>因产品质量保证、亏损合同等形成的现时义务，当履行该义务很可能导致经济利益的流出，且</w:t>
      </w:r>
      <w:r>
        <w:rPr>
          <w:w w:val="100"/>
        </w:rPr>
        <w:t> </w:t>
      </w:r>
      <w:r>
        <w:rPr/>
        <w:t>其金额能够可靠计量时，确认为预计负债。</w:t>
      </w:r>
    </w:p>
    <w:p>
      <w:pPr>
        <w:pStyle w:val="BodyText"/>
        <w:spacing w:line="350" w:lineRule="auto" w:before="31"/>
        <w:ind w:left="138" w:right="148" w:firstLine="420"/>
        <w:jc w:val="both"/>
      </w:pPr>
      <w:r>
        <w:rPr>
          <w:spacing w:val="-2"/>
        </w:rPr>
        <w:t>预计负债按照履行相关现时义务所需支出的最佳估计数进行初始计量，并综合考虑与或有事项</w:t>
      </w:r>
      <w:r>
        <w:rPr>
          <w:w w:val="100"/>
        </w:rPr>
        <w:t> </w:t>
      </w:r>
      <w:r>
        <w:rPr>
          <w:spacing w:val="-2"/>
        </w:rPr>
        <w:t>有关的风险、不确定性和货币时间价值等因素。货币时间价值影响重大的，通过对相关未来现金流</w:t>
      </w:r>
      <w:r>
        <w:rPr>
          <w:spacing w:val="-25"/>
        </w:rPr>
        <w:t> </w:t>
      </w:r>
      <w:r>
        <w:rPr>
          <w:spacing w:val="-25"/>
        </w:rPr>
      </w:r>
      <w:r>
        <w:rPr>
          <w:spacing w:val="-2"/>
        </w:rPr>
        <w:t>出进行折现后确定最佳估计数；因随着时间推移所进行的折现还原而导致的预计负债账面价值的增</w:t>
      </w:r>
      <w:r>
        <w:rPr>
          <w:spacing w:val="-25"/>
        </w:rPr>
        <w:t> </w:t>
      </w:r>
      <w:r>
        <w:rPr>
          <w:spacing w:val="-25"/>
        </w:rPr>
      </w:r>
      <w:r>
        <w:rPr/>
        <w:t>加金额，确认为利息费用。</w:t>
      </w:r>
    </w:p>
    <w:p>
      <w:pPr>
        <w:pStyle w:val="BodyText"/>
        <w:spacing w:line="348" w:lineRule="auto" w:before="29"/>
        <w:ind w:left="558" w:right="192"/>
        <w:jc w:val="left"/>
      </w:pPr>
      <w:r>
        <w:rPr>
          <w:spacing w:val="-2"/>
        </w:rPr>
        <w:t>于资产负债表日，对预计负债的账面价值进行复核并作适当调整，以反映当前的最佳估计数。</w:t>
      </w:r>
      <w:r>
        <w:rPr>
          <w:spacing w:val="-28"/>
        </w:rPr>
        <w:t> </w:t>
      </w:r>
      <w:r>
        <w:rPr>
          <w:spacing w:val="-28"/>
        </w:rPr>
      </w:r>
      <w:r>
        <w:rPr/>
        <w:t>本集团以预期信用损失为基础确认的财务担保合同损失准备列示为预计负债。</w:t>
      </w:r>
    </w:p>
    <w:p>
      <w:pPr>
        <w:pStyle w:val="BodyText"/>
        <w:spacing w:line="240" w:lineRule="auto" w:before="31"/>
        <w:ind w:left="558" w:right="192"/>
        <w:jc w:val="left"/>
        <w:rPr>
          <w:rFonts w:ascii="宋体" w:hAnsi="宋体" w:cs="宋体" w:eastAsia="宋体" w:hint="default"/>
        </w:rPr>
      </w:pPr>
      <w:r>
        <w:rPr/>
        <w:t>预期在资产负债表日起一年内需支付的预计负债，列示为其他流动负债。</w:t>
      </w:r>
      <w:r>
        <w:rPr>
          <w:rFonts w:ascii="宋体" w:hAnsi="宋体" w:cs="宋体" w:eastAsia="宋体" w:hint="default"/>
        </w:rPr>
        <w:t> </w:t>
      </w:r>
    </w:p>
    <w:p>
      <w:pPr>
        <w:pStyle w:val="Heading3"/>
        <w:spacing w:line="240" w:lineRule="auto" w:before="11"/>
        <w:ind w:left="138" w:right="0"/>
        <w:jc w:val="left"/>
        <w:rPr>
          <w:rFonts w:ascii="宋体" w:hAnsi="宋体" w:cs="宋体" w:eastAsia="宋体" w:hint="default"/>
        </w:rPr>
      </w:pPr>
      <w:r>
        <w:rPr>
          <w:rFonts w:ascii="宋体"/>
        </w:rPr>
        <w:t> </w:t>
      </w:r>
    </w:p>
    <w:p>
      <w:pPr>
        <w:pStyle w:val="Heading5"/>
        <w:spacing w:line="240" w:lineRule="auto" w:before="64"/>
        <w:ind w:left="138" w:right="192"/>
        <w:jc w:val="left"/>
        <w:rPr>
          <w:rFonts w:ascii="宋体" w:hAnsi="宋体" w:cs="宋体" w:eastAsia="宋体" w:hint="default"/>
          <w:b w:val="0"/>
          <w:bCs w:val="0"/>
        </w:rPr>
      </w:pPr>
      <w:r>
        <w:rPr>
          <w:rFonts w:ascii="宋体" w:hAnsi="宋体" w:cs="宋体" w:eastAsia="宋体" w:hint="default"/>
        </w:rPr>
        <w:t>36.</w:t>
      </w:r>
      <w:r>
        <w:rPr>
          <w:rFonts w:ascii="宋体" w:hAnsi="宋体" w:cs="宋体" w:eastAsia="宋体" w:hint="default"/>
          <w:spacing w:val="-1"/>
        </w:rPr>
        <w:t> </w:t>
      </w:r>
      <w:r>
        <w:rPr/>
        <w:t>股份支付</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40" w:lineRule="auto" w:before="61"/>
        <w:ind w:left="138" w:right="192"/>
        <w:jc w:val="left"/>
        <w:rPr>
          <w:rFonts w:ascii="宋体" w:hAnsi="宋体" w:cs="宋体" w:eastAsia="宋体" w:hint="default"/>
          <w:b w:val="0"/>
          <w:bCs w:val="0"/>
        </w:rPr>
      </w:pPr>
      <w:r>
        <w:rPr>
          <w:rFonts w:ascii="宋体" w:hAnsi="宋体" w:cs="宋体" w:eastAsia="宋体" w:hint="default"/>
        </w:rPr>
        <w:t>37. </w:t>
      </w:r>
      <w:r>
        <w:rPr/>
        <w:t>优先股、永续债等其他金融工具</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92" w:lineRule="auto" w:before="61"/>
        <w:ind w:left="138" w:right="5328"/>
        <w:jc w:val="left"/>
        <w:rPr>
          <w:rFonts w:ascii="宋体" w:hAnsi="宋体" w:cs="宋体" w:eastAsia="宋体" w:hint="default"/>
          <w:b w:val="0"/>
          <w:bCs w:val="0"/>
        </w:rPr>
      </w:pPr>
      <w:r>
        <w:rPr>
          <w:rFonts w:ascii="宋体" w:hAnsi="宋体" w:cs="宋体" w:eastAsia="宋体" w:hint="default"/>
        </w:rPr>
        <w:t>38.</w:t>
      </w:r>
      <w:r>
        <w:rPr>
          <w:rFonts w:ascii="宋体" w:hAnsi="宋体" w:cs="宋体" w:eastAsia="宋体" w:hint="default"/>
          <w:spacing w:val="1"/>
        </w:rPr>
        <w:t> </w:t>
      </w:r>
      <w:r>
        <w:rPr/>
        <w:t>收入</w:t>
      </w:r>
      <w:r>
        <w:rPr>
          <w:rFonts w:ascii="宋体" w:hAnsi="宋体" w:cs="宋体" w:eastAsia="宋体" w:hint="default"/>
          <w:w w:val="99"/>
        </w:rPr>
        <w:t> </w:t>
      </w: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338" w:lineRule="auto" w:before="4"/>
        <w:ind w:left="558" w:right="192" w:hanging="420"/>
        <w:jc w:val="left"/>
      </w:pPr>
      <w:r>
        <w:rPr>
          <w:sz w:val="24"/>
          <w:szCs w:val="24"/>
        </w:rPr>
        <w:t>√适用 </w:t>
      </w:r>
      <w:r>
        <w:rPr>
          <w:rFonts w:ascii="宋体" w:hAnsi="宋体" w:cs="宋体" w:eastAsia="宋体" w:hint="default"/>
          <w:sz w:val="24"/>
          <w:szCs w:val="24"/>
        </w:rPr>
      </w:r>
      <w:r>
        <w:rPr>
          <w:sz w:val="24"/>
          <w:szCs w:val="24"/>
        </w:rPr>
        <w:t>□不适用</w:t>
      </w:r>
      <w:r>
        <w:rPr>
          <w:rFonts w:ascii="宋体" w:hAnsi="宋体" w:cs="宋体" w:eastAsia="宋体" w:hint="default"/>
          <w:sz w:val="24"/>
          <w:szCs w:val="24"/>
        </w:rPr>
        <w:t>  </w:t>
      </w:r>
      <w:r>
        <w:rPr/>
        <w:t>本集团在客户取得相关商品或服务的控制权时，按预期有权收取的对价金额确认收入。</w:t>
      </w:r>
      <w:r>
        <w:rPr>
          <w:w w:val="100"/>
        </w:rPr>
        <w:t> </w:t>
      </w:r>
      <w:r>
        <w:rPr>
          <w:spacing w:val="-2"/>
        </w:rPr>
        <w:t>合同开始日，本集团对合同进行评估，识别该合同所包含的各单项履约义务，并确定各单项履</w:t>
      </w:r>
    </w:p>
    <w:p>
      <w:pPr>
        <w:pStyle w:val="BodyText"/>
        <w:spacing w:line="350" w:lineRule="auto" w:before="37"/>
        <w:ind w:left="138" w:right="192"/>
        <w:jc w:val="left"/>
      </w:pPr>
      <w:r>
        <w:rPr>
          <w:spacing w:val="-2"/>
        </w:rPr>
        <w:t>约义务是在某一时段内履行，还是在某一时点履行。本集团在履行了各单项履约义务时分别确认收</w:t>
      </w:r>
      <w:r>
        <w:rPr>
          <w:spacing w:val="-25"/>
        </w:rPr>
        <w:t> </w:t>
      </w:r>
      <w:r>
        <w:rPr>
          <w:spacing w:val="-25"/>
        </w:rPr>
      </w:r>
      <w:r>
        <w:rPr/>
        <w:t>入。</w:t>
      </w:r>
    </w:p>
    <w:p>
      <w:pPr>
        <w:pStyle w:val="BodyText"/>
        <w:spacing w:line="348" w:lineRule="auto" w:before="29"/>
        <w:ind w:left="558" w:right="3996"/>
        <w:jc w:val="left"/>
      </w:pPr>
      <w:r>
        <w:rPr/>
        <w:t>提供劳务</w:t>
      </w:r>
      <w:r>
        <w:rPr>
          <w:w w:val="100"/>
        </w:rPr>
        <w:t> </w:t>
      </w:r>
      <w:r>
        <w:rPr>
          <w:spacing w:val="-2"/>
        </w:rPr>
        <w:t>本集团下列类型的业务收入确认方法如下：</w:t>
      </w:r>
    </w:p>
    <w:p>
      <w:pPr>
        <w:pStyle w:val="BodyText"/>
        <w:spacing w:line="350" w:lineRule="auto" w:before="31"/>
        <w:ind w:left="138" w:right="148" w:firstLine="420"/>
        <w:jc w:val="both"/>
      </w:pPr>
      <w:r>
        <w:rPr>
          <w:spacing w:val="-2"/>
        </w:rPr>
        <w:t>金属矿石、煤炭、原油、粮食、件杂货、集装箱等各类货物的装卸业务收入、港务管理收入、</w:t>
      </w:r>
      <w:r>
        <w:rPr>
          <w:w w:val="100"/>
        </w:rPr>
        <w:t> </w:t>
      </w:r>
      <w:r>
        <w:rPr>
          <w:spacing w:val="-2"/>
        </w:rPr>
        <w:t>物流运输劳务收入、拖驳劳务、外轮理货劳务、建造劳务及其他劳务收入，根据已完成劳务的进度</w:t>
      </w:r>
      <w:r>
        <w:rPr>
          <w:spacing w:val="-25"/>
        </w:rPr>
        <w:t> </w:t>
      </w:r>
      <w:r>
        <w:rPr>
          <w:spacing w:val="-25"/>
        </w:rPr>
      </w:r>
      <w:r>
        <w:rPr>
          <w:spacing w:val="-2"/>
        </w:rPr>
        <w:t>在一段时间内确认收入，其中，已完成劳务的进度按照已发生的成本占预计总成本的比例确定。于</w:t>
      </w:r>
      <w:r>
        <w:rPr>
          <w:spacing w:val="-25"/>
        </w:rPr>
        <w:t> </w:t>
      </w:r>
      <w:r>
        <w:rPr>
          <w:spacing w:val="-25"/>
        </w:rPr>
      </w:r>
      <w:r>
        <w:rPr/>
        <w:t>资产负债表日，本集团对已完成劳务的进度进行重新估计，以使其能够反映履约情况的变化；</w:t>
      </w:r>
    </w:p>
    <w:p>
      <w:pPr>
        <w:pStyle w:val="BodyText"/>
        <w:spacing w:line="348" w:lineRule="auto" w:before="29"/>
        <w:ind w:left="138" w:right="148" w:firstLine="420"/>
        <w:jc w:val="both"/>
      </w:pPr>
      <w:r>
        <w:rPr>
          <w:spacing w:val="-2"/>
        </w:rPr>
        <w:t>金属矿石、煤炭、原油、粮食、件杂货、集装箱等各类货物的堆存业务收入于堆存期间按照直</w:t>
      </w:r>
      <w:r>
        <w:rPr>
          <w:w w:val="100"/>
        </w:rPr>
        <w:t> </w:t>
      </w:r>
      <w:r>
        <w:rPr/>
        <w:t>线法确认。</w:t>
      </w:r>
    </w:p>
    <w:p>
      <w:pPr>
        <w:pStyle w:val="BodyText"/>
        <w:spacing w:line="350" w:lineRule="auto" w:before="31"/>
        <w:ind w:left="138" w:right="110" w:firstLine="420"/>
        <w:jc w:val="both"/>
      </w:pPr>
      <w:r>
        <w:rPr>
          <w:spacing w:val="-1"/>
        </w:rPr>
        <w:t>本集团按照已完成劳务的进度确认收入时，对于本集团已经取得无条件收款权的部分，确认为</w:t>
      </w:r>
      <w:r>
        <w:rPr>
          <w:w w:val="100"/>
        </w:rPr>
        <w:t> </w:t>
      </w:r>
      <w:r>
        <w:rPr>
          <w:spacing w:val="-1"/>
        </w:rPr>
        <w:t>应收账款，其余部分确认为合同资产，并对应收账款和合同资产以预期信用损失为基础确认损失准</w:t>
      </w:r>
    </w:p>
    <w:p>
      <w:pPr>
        <w:spacing w:after="0" w:line="350" w:lineRule="auto"/>
        <w:jc w:val="both"/>
        <w:sectPr>
          <w:footerReference w:type="default" r:id="rId61"/>
          <w:pgSz w:w="11910" w:h="16840"/>
          <w:pgMar w:footer="974" w:header="882" w:top="1120" w:bottom="1160" w:left="1280" w:right="1300"/>
          <w:pgNumType w:start="12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95"/>
        <w:jc w:val="left"/>
      </w:pPr>
      <w:r>
        <w:rPr/>
        <w:t>备</w:t>
      </w:r>
      <w:r>
        <w:rPr>
          <w:rFonts w:ascii="宋体" w:hAnsi="宋体" w:cs="宋体" w:eastAsia="宋体" w:hint="default"/>
        </w:rPr>
        <w:t>(</w:t>
      </w:r>
      <w:r>
        <w:rPr/>
        <w:t>本节五、重要会计政策及会计估计</w:t>
      </w:r>
      <w:r>
        <w:rPr>
          <w:spacing w:val="38"/>
        </w:rPr>
        <w:t> </w:t>
      </w:r>
      <w:r>
        <w:rPr>
          <w:rFonts w:ascii="宋体" w:hAnsi="宋体" w:cs="宋体" w:eastAsia="宋体" w:hint="default"/>
        </w:rPr>
        <w:t>10)</w:t>
      </w:r>
      <w:r>
        <w:rPr/>
        <w:t>；如果本集团已收或应收的合同价款超过已完成的劳务，</w:t>
      </w:r>
      <w:r>
        <w:rPr>
          <w:spacing w:val="-102"/>
        </w:rPr>
        <w:t> </w:t>
      </w:r>
      <w:r>
        <w:rPr>
          <w:spacing w:val="-102"/>
        </w:rPr>
      </w:r>
      <w:r>
        <w:rPr/>
        <w:t>则将超过部分确认为合同负债。本集团对于同一合同下的合同资产和合同负债以净额列示。</w:t>
      </w:r>
    </w:p>
    <w:p>
      <w:pPr>
        <w:pStyle w:val="BodyText"/>
        <w:spacing w:line="350" w:lineRule="auto" w:before="31"/>
        <w:ind w:left="138" w:right="209" w:firstLine="420"/>
        <w:jc w:val="both"/>
      </w:pPr>
      <w:r>
        <w:rPr>
          <w:spacing w:val="-1"/>
        </w:rPr>
        <w:t>合同成本包括合同履约成本和合同取得成本。本集团为提供劳务而发生的成本，确认为合同履</w:t>
      </w:r>
      <w:r>
        <w:rPr>
          <w:w w:val="100"/>
        </w:rPr>
        <w:t> </w:t>
      </w:r>
      <w:r>
        <w:rPr>
          <w:spacing w:val="-1"/>
        </w:rPr>
        <w:t>约成本，并在确认收入时，按照已完成劳务的进度结转计入主营业务成本。本集团将为获取劳务合</w:t>
      </w:r>
      <w:r>
        <w:rPr>
          <w:spacing w:val="-19"/>
        </w:rPr>
        <w:t> </w:t>
      </w:r>
      <w:r>
        <w:rPr>
          <w:spacing w:val="-19"/>
        </w:rPr>
      </w:r>
      <w:r>
        <w:rPr>
          <w:spacing w:val="-1"/>
        </w:rPr>
        <w:t>同而发生的增量成本，确认为合同取得成本。如果合同成本的账面价值高于因提供该劳务预期能够</w:t>
      </w:r>
      <w:r>
        <w:rPr>
          <w:spacing w:val="-20"/>
        </w:rPr>
        <w:t> </w:t>
      </w:r>
      <w:r>
        <w:rPr>
          <w:spacing w:val="-20"/>
        </w:rPr>
      </w:r>
      <w:r>
        <w:rPr>
          <w:spacing w:val="-1"/>
        </w:rPr>
        <w:t>取得的剩余对价减去估计将要发生的成本，本集团对超出的部分计提减值准备，并确认为资产减值</w:t>
      </w:r>
      <w:r>
        <w:rPr>
          <w:spacing w:val="-20"/>
        </w:rPr>
        <w:t> </w:t>
      </w:r>
      <w:r>
        <w:rPr>
          <w:spacing w:val="-20"/>
        </w:rPr>
      </w:r>
      <w:r>
        <w:rPr/>
        <w:t>损失。</w:t>
      </w:r>
    </w:p>
    <w:p>
      <w:pPr>
        <w:pStyle w:val="BodyText"/>
        <w:spacing w:line="350" w:lineRule="auto" w:before="27"/>
        <w:ind w:left="138" w:right="248" w:firstLine="420"/>
        <w:jc w:val="both"/>
        <w:rPr>
          <w:rFonts w:ascii="宋体" w:hAnsi="宋体" w:cs="宋体" w:eastAsia="宋体" w:hint="default"/>
        </w:rPr>
      </w:pPr>
      <w:r>
        <w:rPr>
          <w:spacing w:val="-2"/>
        </w:rPr>
        <w:t>本集团根据其在向客户转让商品或提供劳务前是否拥有对该商品的控制权判断本集团从事交易</w:t>
      </w:r>
      <w:r>
        <w:rPr>
          <w:w w:val="100"/>
        </w:rPr>
        <w:t> </w:t>
      </w:r>
      <w:r>
        <w:rPr>
          <w:spacing w:val="-2"/>
        </w:rPr>
        <w:t>时的身份是主要责任人还是代理人。本集团在向客户转让商品前能够控制该商品或劳务的，本集团</w:t>
      </w:r>
      <w:r>
        <w:rPr>
          <w:spacing w:val="-25"/>
        </w:rPr>
        <w:t> </w:t>
      </w:r>
      <w:r>
        <w:rPr>
          <w:spacing w:val="-25"/>
        </w:rPr>
      </w:r>
      <w:r>
        <w:rPr>
          <w:spacing w:val="-2"/>
        </w:rPr>
        <w:t>作为主要责任人，按照已收或应收对价总额确认收入；否则，本集团作为代理人，按照预期有权收</w:t>
      </w:r>
      <w:r>
        <w:rPr>
          <w:spacing w:val="-25"/>
        </w:rPr>
        <w:t> </w:t>
      </w:r>
      <w:r>
        <w:rPr>
          <w:spacing w:val="-25"/>
        </w:rPr>
      </w:r>
      <w:r>
        <w:rPr/>
        <w:t>取的佣金或手续费的金额确认收入。</w:t>
      </w:r>
      <w:r>
        <w:rPr>
          <w:rFonts w:ascii="宋体" w:hAnsi="宋体" w:cs="宋体" w:eastAsia="宋体" w:hint="default"/>
        </w:rPr>
        <w:t> </w:t>
      </w:r>
    </w:p>
    <w:p>
      <w:pPr>
        <w:pStyle w:val="BodyText"/>
        <w:spacing w:line="240" w:lineRule="auto" w:before="29"/>
        <w:ind w:left="558" w:right="0"/>
        <w:jc w:val="left"/>
        <w:rPr>
          <w:rFonts w:ascii="宋体" w:hAnsi="宋体" w:cs="宋体" w:eastAsia="宋体" w:hint="default"/>
        </w:rPr>
      </w:pPr>
      <w:r>
        <w:rPr/>
        <w:t>销售商品</w:t>
      </w:r>
      <w:r>
        <w:rPr>
          <w:rFonts w:ascii="宋体" w:hAnsi="宋体" w:cs="宋体" w:eastAsia="宋体" w:hint="default"/>
        </w:rPr>
        <w:t> </w:t>
      </w:r>
    </w:p>
    <w:p>
      <w:pPr>
        <w:pStyle w:val="BodyText"/>
        <w:spacing w:line="240" w:lineRule="auto" w:before="126"/>
        <w:ind w:left="558" w:right="0"/>
        <w:jc w:val="left"/>
        <w:rPr>
          <w:rFonts w:ascii="宋体" w:hAnsi="宋体" w:cs="宋体" w:eastAsia="宋体" w:hint="default"/>
        </w:rPr>
      </w:pPr>
      <w:r>
        <w:rPr/>
        <w:t>本集团销售油、电等商品，在已将商品控制权转移给购货方时确认收入。</w:t>
      </w:r>
      <w:r>
        <w:rPr>
          <w:rFonts w:ascii="宋体" w:hAnsi="宋体" w:cs="宋体" w:eastAsia="宋体" w:hint="default"/>
        </w:rPr>
        <w:t> </w:t>
      </w:r>
    </w:p>
    <w:p>
      <w:pPr>
        <w:pStyle w:val="Heading3"/>
        <w:spacing w:line="240" w:lineRule="auto" w:before="9"/>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(2).</w:t>
      </w:r>
      <w:r>
        <w:rPr/>
        <w:t>同类业务采用不同经营模式导致收入确认会计政策存在差异的情况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1"/>
        </w:rPr>
        <w:t> </w:t>
      </w:r>
      <w:r>
        <w:rPr/>
        <w:t>合同成本</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t>合同成本合并列示于</w:t>
      </w:r>
      <w:r>
        <w:rPr>
          <w:spacing w:val="-56"/>
        </w:rPr>
        <w:t> </w:t>
      </w:r>
      <w:r>
        <w:rPr>
          <w:rFonts w:ascii="宋体" w:hAnsi="宋体" w:cs="宋体" w:eastAsia="宋体" w:hint="default"/>
        </w:rPr>
        <w:t>38.</w:t>
      </w:r>
      <w:r>
        <w:rPr/>
        <w:t>收入章节。</w:t>
      </w:r>
      <w:r>
        <w:rPr>
          <w:rFonts w:ascii="宋体" w:hAnsi="宋体" w:cs="宋体" w:eastAsia="宋体" w:hint="default"/>
        </w:rPr>
        <w:t> </w:t>
      </w:r>
    </w:p>
    <w:p>
      <w:pPr>
        <w:pStyle w:val="Heading3"/>
        <w:spacing w:line="304" w:lineRule="exact"/>
        <w:ind w:left="138" w:right="0"/>
        <w:jc w:val="left"/>
        <w:rPr>
          <w:rFonts w:ascii="宋体" w:hAnsi="宋体" w:cs="宋体" w:eastAsia="宋体" w:hint="default"/>
        </w:rPr>
      </w:pPr>
      <w:r>
        <w:rPr>
          <w:rFonts w:ascii="宋体"/>
        </w:rPr>
        <w:t> </w:t>
      </w:r>
    </w:p>
    <w:p>
      <w:pPr>
        <w:pStyle w:val="Heading5"/>
        <w:spacing w:line="240" w:lineRule="auto" w:before="64"/>
        <w:ind w:left="138" w:right="0"/>
        <w:jc w:val="left"/>
        <w:rPr>
          <w:rFonts w:ascii="宋体" w:hAnsi="宋体" w:cs="宋体" w:eastAsia="宋体" w:hint="default"/>
          <w:b w:val="0"/>
          <w:bCs w:val="0"/>
        </w:rPr>
      </w:pPr>
      <w:r>
        <w:rPr>
          <w:rFonts w:ascii="宋体" w:hAnsi="宋体" w:cs="宋体" w:eastAsia="宋体" w:hint="default"/>
        </w:rPr>
        <w:t>40.</w:t>
      </w:r>
      <w:r>
        <w:rPr>
          <w:rFonts w:ascii="宋体" w:hAnsi="宋体" w:cs="宋体" w:eastAsia="宋体" w:hint="default"/>
          <w:spacing w:val="-1"/>
        </w:rPr>
        <w:t> </w:t>
      </w:r>
      <w:r>
        <w:rPr/>
        <w:t>政府补助</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政府补助为本集团从政府无偿取得的货币性资产或非货币性资产，包括税费返还、财政补贴等。</w:t>
      </w:r>
      <w:r>
        <w:rPr>
          <w:rFonts w:ascii="宋体" w:hAnsi="宋体" w:cs="宋体" w:eastAsia="宋体" w:hint="default"/>
          <w:w w:val="100"/>
        </w:rPr>
        <w:t> </w:t>
      </w:r>
      <w:r>
        <w:rPr/>
        <w:t>政府补助在本集团能够满足其所附的条件并且能够收到时，予以确认。政府补助为货币性资产</w:t>
      </w:r>
    </w:p>
    <w:p>
      <w:pPr>
        <w:pStyle w:val="BodyText"/>
        <w:spacing w:line="350" w:lineRule="auto" w:before="35"/>
        <w:ind w:left="138" w:right="0"/>
        <w:jc w:val="left"/>
        <w:rPr>
          <w:rFonts w:ascii="宋体" w:hAnsi="宋体" w:cs="宋体" w:eastAsia="宋体" w:hint="default"/>
        </w:rPr>
      </w:pPr>
      <w:r>
        <w:rPr>
          <w:spacing w:val="-1"/>
        </w:rPr>
        <w:t>的，按照收到或应收的金额计量。政府补助为非货币性资产的，按照公允价值计量；公允价值不能</w:t>
      </w:r>
      <w:r>
        <w:rPr>
          <w:spacing w:val="-20"/>
        </w:rPr>
        <w:t> </w:t>
      </w:r>
      <w:r>
        <w:rPr>
          <w:spacing w:val="-20"/>
        </w:rPr>
      </w:r>
      <w:r>
        <w:rPr/>
        <w:t>可靠取得的，按照名义金额计量。</w:t>
      </w:r>
      <w:r>
        <w:rPr>
          <w:rFonts w:ascii="宋体" w:hAnsi="宋体" w:cs="宋体" w:eastAsia="宋体" w:hint="default"/>
        </w:rPr>
        <w:t> </w:t>
      </w:r>
    </w:p>
    <w:p>
      <w:pPr>
        <w:pStyle w:val="BodyText"/>
        <w:spacing w:line="348" w:lineRule="auto" w:before="29"/>
        <w:ind w:left="138" w:right="209" w:firstLine="420"/>
        <w:jc w:val="both"/>
        <w:rPr>
          <w:rFonts w:ascii="宋体" w:hAnsi="宋体" w:cs="宋体" w:eastAsia="宋体" w:hint="default"/>
        </w:rPr>
      </w:pPr>
      <w:r>
        <w:rPr>
          <w:spacing w:val="-6"/>
          <w:w w:val="100"/>
        </w:rPr>
        <w:t>与资产相关的政府补助，是指本集团取得的、用于购建或以其他方式形成长期资产的政府补助。</w:t>
      </w:r>
      <w:r>
        <w:rPr>
          <w:w w:val="100"/>
        </w:rPr>
        <w:t> </w:t>
      </w:r>
      <w:r>
        <w:rPr/>
        <w:t>与收益相关的政府补助是指除与资产相关的政府补助之外的政府补助。</w:t>
      </w:r>
      <w:r>
        <w:rPr>
          <w:rFonts w:ascii="宋体" w:hAnsi="宋体" w:cs="宋体" w:eastAsia="宋体" w:hint="default"/>
        </w:rPr>
        <w:t> </w:t>
      </w:r>
    </w:p>
    <w:p>
      <w:pPr>
        <w:pStyle w:val="BodyText"/>
        <w:spacing w:line="350" w:lineRule="auto" w:before="31"/>
        <w:ind w:left="138" w:right="213" w:firstLine="420"/>
        <w:jc w:val="both"/>
        <w:rPr>
          <w:rFonts w:ascii="宋体" w:hAnsi="宋体" w:cs="宋体" w:eastAsia="宋体" w:hint="default"/>
        </w:rPr>
      </w:pPr>
      <w:r>
        <w:rPr>
          <w:spacing w:val="-1"/>
        </w:rPr>
        <w:t>本集团将与资产相关的政府补助确认为递延收益并在相关资产使用寿命内按照合理、系统的方</w:t>
      </w:r>
      <w:r>
        <w:rPr>
          <w:w w:val="100"/>
        </w:rPr>
        <w:t> </w:t>
      </w:r>
      <w:r>
        <w:rPr/>
        <w:t>法分摊计入损益。</w:t>
      </w:r>
      <w:r>
        <w:rPr>
          <w:rFonts w:ascii="宋体" w:hAnsi="宋体" w:cs="宋体" w:eastAsia="宋体" w:hint="default"/>
        </w:rPr>
        <w:t> </w:t>
      </w:r>
    </w:p>
    <w:p>
      <w:pPr>
        <w:pStyle w:val="BodyText"/>
        <w:spacing w:line="350" w:lineRule="auto" w:before="27"/>
        <w:ind w:left="138" w:right="209" w:firstLine="420"/>
        <w:jc w:val="both"/>
        <w:rPr>
          <w:rFonts w:ascii="宋体" w:hAnsi="宋体" w:cs="宋体" w:eastAsia="宋体" w:hint="default"/>
        </w:rPr>
      </w:pPr>
      <w:r>
        <w:rPr>
          <w:spacing w:val="-6"/>
          <w:w w:val="100"/>
        </w:rPr>
        <w:t>对于与收益相关的政府补助，若用于补偿以后期间的相关成本费用或损失的，确认为递延收益，</w:t>
      </w:r>
      <w:r>
        <w:rPr>
          <w:w w:val="100"/>
        </w:rPr>
        <w:t> </w:t>
      </w:r>
      <w:r>
        <w:rPr>
          <w:spacing w:val="-6"/>
          <w:w w:val="100"/>
        </w:rPr>
        <w:t>并在确认相关成本费用或损失的期间，计入当期损益；若用于补偿已发生的相关成本费用或损失的，</w:t>
      </w:r>
      <w:r>
        <w:rPr>
          <w:spacing w:val="-74"/>
          <w:w w:val="100"/>
        </w:rPr>
        <w:t> </w:t>
      </w:r>
      <w:r>
        <w:rPr>
          <w:spacing w:val="-74"/>
          <w:w w:val="100"/>
        </w:rPr>
      </w:r>
      <w:r>
        <w:rPr/>
        <w:t>直接计入当期损益。</w:t>
      </w:r>
      <w:r>
        <w:rPr>
          <w:rFonts w:ascii="宋体" w:hAnsi="宋体" w:cs="宋体" w:eastAsia="宋体" w:hint="default"/>
        </w:rPr>
        <w:t> </w:t>
      </w:r>
    </w:p>
    <w:p>
      <w:pPr>
        <w:pStyle w:val="BodyText"/>
        <w:spacing w:line="350" w:lineRule="auto" w:before="27"/>
        <w:ind w:left="558" w:right="0"/>
        <w:jc w:val="left"/>
        <w:rPr>
          <w:rFonts w:ascii="宋体" w:hAnsi="宋体" w:cs="宋体" w:eastAsia="宋体" w:hint="default"/>
          <w:sz w:val="24"/>
          <w:szCs w:val="24"/>
        </w:rPr>
      </w:pPr>
      <w:r>
        <w:rPr/>
        <w:t>本集团对同类政府补助采用相同的列报方式。</w:t>
      </w:r>
      <w:r>
        <w:rPr>
          <w:rFonts w:ascii="宋体" w:hAnsi="宋体" w:cs="宋体" w:eastAsia="宋体" w:hint="default"/>
          <w:w w:val="100"/>
        </w:rPr>
        <w:t> </w:t>
      </w:r>
      <w:r>
        <w:rPr/>
        <w:t>与日常活动相关的政府补助纳入营业利润，与日常活动无关的政府补助计入营业外收支。</w:t>
      </w:r>
      <w:r>
        <w:rPr>
          <w:rFonts w:ascii="宋体" w:hAnsi="宋体" w:cs="宋体" w:eastAsia="宋体" w:hint="default"/>
          <w:sz w:val="24"/>
          <w:szCs w:val="24"/>
        </w:rPr>
        <w:t> </w:t>
      </w:r>
    </w:p>
    <w:p>
      <w:pPr>
        <w:spacing w:after="0" w:line="350" w:lineRule="auto"/>
        <w:jc w:val="left"/>
        <w:rPr>
          <w:rFonts w:ascii="宋体" w:hAnsi="宋体" w:cs="宋体" w:eastAsia="宋体" w:hint="default"/>
          <w:sz w:val="24"/>
          <w:szCs w:val="24"/>
        </w:rPr>
        <w:sectPr>
          <w:pgSz w:w="11910" w:h="16840"/>
          <w:pgMar w:header="882" w:footer="974" w:top="1120" w:bottom="1160" w:left="1280" w:right="1200"/>
        </w:sectPr>
      </w:pPr>
    </w:p>
    <w:p>
      <w:pPr>
        <w:spacing w:line="240" w:lineRule="auto" w:before="0"/>
        <w:rPr>
          <w:rFonts w:ascii="宋体" w:hAnsi="宋体" w:cs="宋体" w:eastAsia="宋体" w:hint="default"/>
          <w:sz w:val="20"/>
          <w:szCs w:val="20"/>
        </w:rPr>
      </w:pPr>
    </w:p>
    <w:p>
      <w:pPr>
        <w:pStyle w:val="BodyText"/>
        <w:spacing w:line="240" w:lineRule="auto" w:before="168"/>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09"/>
        <w:ind w:left="138" w:right="0" w:firstLine="480"/>
        <w:jc w:val="left"/>
      </w:pPr>
      <w:r>
        <w:rPr/>
        <w:t>递延所得税资产和递延所得税负债根据资产和负债的计税基础与其账面价值的差额</w:t>
      </w:r>
      <w:r>
        <w:rPr>
          <w:rFonts w:ascii="Arial" w:hAnsi="Arial" w:cs="Arial" w:eastAsia="Arial" w:hint="default"/>
        </w:rPr>
        <w:t>(</w:t>
      </w:r>
      <w:r>
        <w:rPr/>
        <w:t>暂时性差</w:t>
      </w:r>
      <w:r>
        <w:rPr>
          <w:w w:val="100"/>
        </w:rPr>
        <w:t> </w:t>
      </w:r>
      <w:r>
        <w:rPr>
          <w:spacing w:val="-3"/>
        </w:rPr>
        <w:t>异</w:t>
      </w:r>
      <w:r>
        <w:rPr>
          <w:rFonts w:ascii="Arial" w:hAnsi="Arial" w:cs="Arial" w:eastAsia="Arial" w:hint="default"/>
          <w:spacing w:val="-3"/>
        </w:rPr>
        <w:t>)</w:t>
      </w:r>
      <w:r>
        <w:rPr>
          <w:spacing w:val="-3"/>
        </w:rPr>
        <w:t>计算确认。对于按照税法规定能够于以后年度抵减应纳税所得额的可抵扣亏损，确认相应的递延</w:t>
      </w:r>
      <w:r>
        <w:rPr>
          <w:spacing w:val="-11"/>
        </w:rPr>
        <w:t> </w:t>
      </w:r>
      <w:r>
        <w:rPr>
          <w:spacing w:val="-11"/>
        </w:rPr>
      </w:r>
      <w:r>
        <w:rPr>
          <w:spacing w:val="-2"/>
        </w:rPr>
        <w:t>所得税资产。对于商誉的初始确认产生的暂时性差异，不确认相应的递延所得税负债。对于既不影</w:t>
      </w:r>
      <w:r>
        <w:rPr>
          <w:spacing w:val="-25"/>
        </w:rPr>
        <w:t> </w:t>
      </w:r>
      <w:r>
        <w:rPr>
          <w:spacing w:val="-25"/>
        </w:rPr>
      </w:r>
      <w:r>
        <w:rPr/>
        <w:t>响会计利润也不影响应纳税所得额</w:t>
      </w:r>
      <w:r>
        <w:rPr>
          <w:rFonts w:ascii="Arial" w:hAnsi="Arial" w:cs="Arial" w:eastAsia="Arial" w:hint="default"/>
        </w:rPr>
        <w:t>(</w:t>
      </w:r>
      <w:r>
        <w:rPr/>
        <w:t>或可抵扣亏损</w:t>
      </w:r>
      <w:r>
        <w:rPr>
          <w:rFonts w:ascii="Arial" w:hAnsi="Arial" w:cs="Arial" w:eastAsia="Arial" w:hint="default"/>
        </w:rPr>
        <w:t>)</w:t>
      </w:r>
      <w:r>
        <w:rPr/>
        <w:t>的非企业合并的交易中产生的资产或负债的初始</w:t>
      </w:r>
      <w:r>
        <w:rPr>
          <w:w w:val="100"/>
        </w:rPr>
        <w:t> </w:t>
      </w:r>
      <w:r>
        <w:rPr>
          <w:spacing w:val="-2"/>
        </w:rPr>
        <w:t>确认形成的暂时性差异，不确认相应的递延所得税资产和递延所得税负债。于资产负债表日，递延</w:t>
      </w:r>
      <w:r>
        <w:rPr>
          <w:spacing w:val="-25"/>
        </w:rPr>
        <w:t> </w:t>
      </w:r>
      <w:r>
        <w:rPr>
          <w:spacing w:val="-25"/>
        </w:rPr>
      </w:r>
      <w:r>
        <w:rPr/>
        <w:t>所得税资产和递延所得税负债，按照预期收回该资产或清偿该负债期间的适用税率计量。</w:t>
      </w:r>
    </w:p>
    <w:p>
      <w:pPr>
        <w:pStyle w:val="BodyText"/>
        <w:spacing w:line="350" w:lineRule="auto" w:before="38"/>
        <w:ind w:left="138" w:right="192" w:firstLine="420"/>
        <w:jc w:val="left"/>
      </w:pPr>
      <w:r>
        <w:rPr>
          <w:spacing w:val="-2"/>
        </w:rPr>
        <w:t>递延所得税资产的确认以很可能取得用来抵扣可抵扣暂时性差异、可抵扣亏损和税款抵减的应</w:t>
      </w:r>
      <w:r>
        <w:rPr>
          <w:w w:val="100"/>
        </w:rPr>
        <w:t> </w:t>
      </w:r>
      <w:r>
        <w:rPr/>
        <w:t>纳税所得额为限。</w:t>
      </w:r>
    </w:p>
    <w:p>
      <w:pPr>
        <w:pStyle w:val="BodyText"/>
        <w:spacing w:line="350" w:lineRule="auto" w:before="29"/>
        <w:ind w:left="138" w:right="148" w:firstLine="420"/>
        <w:jc w:val="both"/>
      </w:pPr>
      <w:r>
        <w:rPr>
          <w:spacing w:val="-2"/>
        </w:rPr>
        <w:t>对与子公司、联营企业及合营企业投资相关的应纳税暂时性差异，确认递延所得税负债，除非</w:t>
      </w:r>
      <w:r>
        <w:rPr>
          <w:w w:val="100"/>
        </w:rPr>
        <w:t> </w:t>
      </w:r>
      <w:r>
        <w:rPr>
          <w:spacing w:val="-2"/>
        </w:rPr>
        <w:t>本集团能够控制该暂时性差异转回的时间且该暂时性差异在可预见的未来很可能不会转回。对与子</w:t>
      </w:r>
      <w:r>
        <w:rPr>
          <w:spacing w:val="-25"/>
        </w:rPr>
        <w:t> </w:t>
      </w:r>
      <w:r>
        <w:rPr>
          <w:spacing w:val="-25"/>
        </w:rPr>
      </w:r>
      <w:r>
        <w:rPr>
          <w:spacing w:val="-2"/>
        </w:rPr>
        <w:t>公司、联营企业及合营企业投资相关的可抵扣暂时性差异，当该暂时性差异在可预见的未来很可能</w:t>
      </w:r>
      <w:r>
        <w:rPr>
          <w:spacing w:val="-25"/>
        </w:rPr>
        <w:t> </w:t>
      </w:r>
      <w:r>
        <w:rPr>
          <w:spacing w:val="-25"/>
        </w:rPr>
      </w:r>
      <w:r>
        <w:rPr/>
        <w:t>转回且未来很可能获得用来抵扣可抵扣暂时性差异的应纳税所得额时，确认递延所得税资产。</w:t>
      </w:r>
    </w:p>
    <w:p>
      <w:pPr>
        <w:pStyle w:val="BodyText"/>
        <w:spacing w:line="350" w:lineRule="auto" w:before="27"/>
        <w:ind w:left="558" w:right="192"/>
        <w:jc w:val="left"/>
      </w:pPr>
      <w:r>
        <w:rPr/>
        <w:t>同时满足下列条件的递延所得税资产和递延所得税负债以抵销后的净额列示：</w:t>
      </w:r>
      <w:r>
        <w:rPr>
          <w:w w:val="100"/>
        </w:rPr>
        <w:t> </w:t>
      </w:r>
      <w:r>
        <w:rPr>
          <w:spacing w:val="-2"/>
        </w:rPr>
        <w:t>递延所得税资产和递延所得税负债与同一税收征管部门对本集团内同一纳税主体征收的所得税</w:t>
      </w:r>
    </w:p>
    <w:p>
      <w:pPr>
        <w:pStyle w:val="BodyText"/>
        <w:spacing w:line="240" w:lineRule="auto" w:before="29"/>
        <w:ind w:left="138" w:right="192"/>
        <w:jc w:val="left"/>
      </w:pPr>
      <w:r>
        <w:rPr/>
        <w:t>相关；</w:t>
      </w:r>
    </w:p>
    <w:p>
      <w:pPr>
        <w:pStyle w:val="BodyText"/>
        <w:spacing w:line="240" w:lineRule="auto" w:before="124"/>
        <w:ind w:left="558" w:right="192"/>
        <w:jc w:val="left"/>
        <w:rPr>
          <w:rFonts w:ascii="宋体" w:hAnsi="宋体" w:cs="宋体" w:eastAsia="宋体" w:hint="default"/>
        </w:rPr>
      </w:pPr>
      <w:r>
        <w:rPr/>
        <w:t>本集团内该纳税主体拥有以净额结算当期所得税资产及当期所得税负债的法定权利。</w:t>
      </w:r>
      <w:r>
        <w:rPr>
          <w:rFonts w:ascii="宋体" w:hAnsi="宋体" w:cs="宋体" w:eastAsia="宋体" w:hint="default"/>
        </w:rPr>
        <w:t> </w:t>
      </w:r>
    </w:p>
    <w:p>
      <w:pPr>
        <w:pStyle w:val="Heading3"/>
        <w:spacing w:line="240" w:lineRule="auto" w:before="11"/>
        <w:ind w:left="138" w:right="0"/>
        <w:jc w:val="left"/>
        <w:rPr>
          <w:rFonts w:ascii="宋体" w:hAnsi="宋体" w:cs="宋体" w:eastAsia="宋体" w:hint="default"/>
        </w:rPr>
      </w:pPr>
      <w:r>
        <w:rPr>
          <w:rFonts w:ascii="宋体"/>
        </w:rPr>
        <w:t> </w:t>
      </w:r>
    </w:p>
    <w:p>
      <w:pPr>
        <w:pStyle w:val="Heading5"/>
        <w:spacing w:line="290" w:lineRule="auto" w:before="64"/>
        <w:ind w:left="138" w:right="5620"/>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1"/>
        </w:rPr>
        <w:t> </w:t>
      </w:r>
      <w:r>
        <w:rPr/>
        <w:t>租赁</w:t>
      </w:r>
      <w:r>
        <w:rPr>
          <w:rFonts w:ascii="宋体" w:hAnsi="宋体" w:cs="宋体" w:eastAsia="宋体" w:hint="default"/>
          <w:w w:val="99"/>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09"/>
        <w:ind w:left="138" w:right="241" w:firstLine="480"/>
        <w:jc w:val="left"/>
        <w:rPr>
          <w:rFonts w:ascii="宋体" w:hAnsi="宋体" w:cs="宋体" w:eastAsia="宋体" w:hint="default"/>
        </w:rPr>
      </w:pPr>
      <w:r>
        <w:rPr/>
        <w:t>经营租赁的会计处理方法合并列示于 </w:t>
      </w:r>
      <w:r>
        <w:rPr>
          <w:rFonts w:ascii="宋体" w:hAnsi="宋体" w:cs="宋体" w:eastAsia="宋体" w:hint="default"/>
        </w:rPr>
        <w:t>42.</w:t>
      </w:r>
      <w:r>
        <w:rPr/>
        <w:t>租赁</w:t>
      </w:r>
      <w:r>
        <w:rPr>
          <w:rFonts w:ascii="宋体" w:hAnsi="宋体" w:cs="宋体" w:eastAsia="宋体" w:hint="default"/>
        </w:rPr>
        <w:t>(3).</w:t>
      </w:r>
      <w:r>
        <w:rPr>
          <w:rFonts w:ascii="宋体" w:hAnsi="宋体" w:cs="宋体" w:eastAsia="宋体" w:hint="default"/>
          <w:spacing w:val="-58"/>
        </w:rPr>
        <w:t> </w:t>
      </w:r>
      <w:r>
        <w:rPr/>
        <w:t>新租赁准则下租赁的确定方法及会计处理</w:t>
      </w:r>
      <w:r>
        <w:rPr>
          <w:w w:val="100"/>
        </w:rPr>
        <w:t> </w:t>
      </w:r>
      <w:r>
        <w:rPr/>
        <w:t>方法。</w:t>
      </w:r>
      <w:r>
        <w:rPr>
          <w:rFonts w:ascii="宋体" w:hAnsi="宋体" w:cs="宋体" w:eastAsia="宋体" w:hint="default"/>
        </w:rPr>
        <w:t> </w:t>
      </w:r>
    </w:p>
    <w:p>
      <w:pPr>
        <w:pStyle w:val="Heading3"/>
        <w:spacing w:line="229" w:lineRule="exact"/>
        <w:ind w:left="138" w:right="0"/>
        <w:jc w:val="left"/>
        <w:rPr>
          <w:rFonts w:ascii="宋体" w:hAnsi="宋体" w:cs="宋体" w:eastAsia="宋体" w:hint="default"/>
        </w:rPr>
      </w:pPr>
      <w:r>
        <w:rPr>
          <w:rFonts w:ascii="宋体"/>
        </w:rPr>
        <w:t> </w:t>
      </w:r>
    </w:p>
    <w:p>
      <w:pPr>
        <w:pStyle w:val="Heading5"/>
        <w:spacing w:line="240" w:lineRule="auto" w:before="61"/>
        <w:ind w:left="138" w:right="192"/>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10"/>
        <w:ind w:left="138" w:right="241" w:firstLine="480"/>
        <w:jc w:val="left"/>
        <w:rPr>
          <w:rFonts w:ascii="宋体" w:hAnsi="宋体" w:cs="宋体" w:eastAsia="宋体" w:hint="default"/>
        </w:rPr>
      </w:pPr>
      <w:r>
        <w:rPr/>
        <w:t>融资租赁的会计处理方法合并列示于 </w:t>
      </w:r>
      <w:r>
        <w:rPr>
          <w:rFonts w:ascii="宋体" w:hAnsi="宋体" w:cs="宋体" w:eastAsia="宋体" w:hint="default"/>
        </w:rPr>
        <w:t>42.</w:t>
      </w:r>
      <w:r>
        <w:rPr/>
        <w:t>租赁</w:t>
      </w:r>
      <w:r>
        <w:rPr>
          <w:rFonts w:ascii="宋体" w:hAnsi="宋体" w:cs="宋体" w:eastAsia="宋体" w:hint="default"/>
        </w:rPr>
        <w:t>(3).</w:t>
      </w:r>
      <w:r>
        <w:rPr>
          <w:rFonts w:ascii="宋体" w:hAnsi="宋体" w:cs="宋体" w:eastAsia="宋体" w:hint="default"/>
          <w:spacing w:val="-58"/>
        </w:rPr>
        <w:t> </w:t>
      </w:r>
      <w:r>
        <w:rPr/>
        <w:t>新租赁准则下租赁的确定方法及会计处理</w:t>
      </w:r>
      <w:r>
        <w:rPr>
          <w:w w:val="100"/>
        </w:rPr>
        <w:t> </w:t>
      </w:r>
      <w:r>
        <w:rPr/>
        <w:t>方法</w:t>
      </w:r>
      <w:r>
        <w:rPr>
          <w:rFonts w:ascii="宋体" w:hAnsi="宋体" w:cs="宋体" w:eastAsia="宋体" w:hint="default"/>
        </w:rPr>
        <w:t> </w:t>
      </w:r>
    </w:p>
    <w:p>
      <w:pPr>
        <w:pStyle w:val="Heading3"/>
        <w:spacing w:line="229" w:lineRule="exact"/>
        <w:ind w:left="138" w:right="0"/>
        <w:jc w:val="left"/>
        <w:rPr>
          <w:rFonts w:ascii="宋体" w:hAnsi="宋体" w:cs="宋体" w:eastAsia="宋体" w:hint="default"/>
        </w:rPr>
      </w:pPr>
      <w:r>
        <w:rPr>
          <w:rFonts w:ascii="宋体"/>
        </w:rPr>
        <w:t> </w:t>
      </w:r>
    </w:p>
    <w:p>
      <w:pPr>
        <w:pStyle w:val="Heading5"/>
        <w:spacing w:line="240" w:lineRule="auto" w:before="64"/>
        <w:ind w:left="138" w:right="192"/>
        <w:jc w:val="left"/>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138" w:right="192" w:firstLine="480"/>
        <w:jc w:val="left"/>
        <w:rPr>
          <w:rFonts w:ascii="宋体" w:hAnsi="宋体" w:cs="宋体" w:eastAsia="宋体" w:hint="default"/>
        </w:rPr>
      </w:pPr>
      <w:r>
        <w:rPr/>
        <w:t>租赁，是指在一定期间内，出租人将资产的使用权让与承租人以获取对价的合同。</w:t>
      </w:r>
      <w:r>
        <w:rPr>
          <w:rFonts w:ascii="宋体" w:hAnsi="宋体" w:cs="宋体" w:eastAsia="宋体" w:hint="default"/>
          <w:w w:val="100"/>
        </w:rPr>
        <w:t> </w:t>
      </w:r>
      <w:r>
        <w:rPr/>
        <w:t>本集团作为承租人</w:t>
      </w:r>
      <w:r>
        <w:rPr>
          <w:rFonts w:ascii="宋体" w:hAnsi="宋体" w:cs="宋体" w:eastAsia="宋体" w:hint="default"/>
        </w:rPr>
        <w:t> </w:t>
      </w:r>
    </w:p>
    <w:p>
      <w:pPr>
        <w:pStyle w:val="BodyText"/>
        <w:spacing w:line="272" w:lineRule="exact" w:before="1"/>
        <w:ind w:left="138" w:right="192" w:firstLine="420"/>
        <w:jc w:val="left"/>
      </w:pPr>
      <w:r>
        <w:rPr>
          <w:spacing w:val="-2"/>
        </w:rPr>
        <w:t>本集团于租赁期开始日确认使用权资产，并按尚未支付的租赁付款额的现值确认租赁负债。租</w:t>
      </w:r>
      <w:r>
        <w:rPr>
          <w:w w:val="100"/>
        </w:rPr>
        <w:t> </w:t>
      </w:r>
      <w:r>
        <w:rPr>
          <w:spacing w:val="-2"/>
        </w:rPr>
        <w:t>赁付款额包括固定付款额，以及在合理确定将行使购买选择权或终止租赁选择权的情况下需支付的</w:t>
      </w:r>
    </w:p>
    <w:p>
      <w:pPr>
        <w:spacing w:after="0" w:line="272" w:lineRule="exact"/>
        <w:jc w:val="left"/>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72" w:lineRule="exact"/>
        <w:ind w:left="138" w:right="192"/>
        <w:jc w:val="left"/>
        <w:rPr>
          <w:rFonts w:ascii="宋体" w:hAnsi="宋体" w:cs="宋体" w:eastAsia="宋体" w:hint="default"/>
        </w:rPr>
      </w:pPr>
      <w:r>
        <w:rPr>
          <w:spacing w:val="-2"/>
        </w:rPr>
        <w:t>款项等。按销售额的一定比例确定的可变租金不纳入租赁付款额，在实际发生时计入当期损益。本</w:t>
      </w:r>
      <w:r>
        <w:rPr>
          <w:spacing w:val="-25"/>
        </w:rPr>
        <w:t> </w:t>
      </w:r>
      <w:r>
        <w:rPr>
          <w:spacing w:val="-25"/>
        </w:rPr>
      </w:r>
      <w:r>
        <w:rPr/>
        <w:t>集团将自资产负债表日起一年内</w:t>
      </w:r>
      <w:r>
        <w:rPr>
          <w:rFonts w:ascii="宋体" w:hAnsi="宋体" w:cs="宋体" w:eastAsia="宋体" w:hint="default"/>
        </w:rPr>
        <w:t>(</w:t>
      </w:r>
      <w:r>
        <w:rPr/>
        <w:t>含一年</w:t>
      </w:r>
      <w:r>
        <w:rPr>
          <w:rFonts w:ascii="宋体" w:hAnsi="宋体" w:cs="宋体" w:eastAsia="宋体" w:hint="default"/>
        </w:rPr>
        <w:t>)</w:t>
      </w:r>
      <w:r>
        <w:rPr/>
        <w:t>支付的租赁负债，列示为一年内到期的非流动负债。</w:t>
      </w:r>
      <w:r>
        <w:rPr>
          <w:rFonts w:ascii="宋体" w:hAnsi="宋体" w:cs="宋体" w:eastAsia="宋体" w:hint="default"/>
        </w:rPr>
        <w:t> </w:t>
      </w:r>
    </w:p>
    <w:p>
      <w:pPr>
        <w:pStyle w:val="BodyText"/>
        <w:spacing w:line="272" w:lineRule="exact" w:before="1"/>
        <w:ind w:left="138" w:right="148" w:firstLine="420"/>
        <w:jc w:val="both"/>
      </w:pPr>
      <w:r>
        <w:rPr>
          <w:spacing w:val="-2"/>
        </w:rPr>
        <w:t>本集团的使用权资产包括租入的港务设施、库场设施、装卸搬运设备及船舶等。使用权资产按</w:t>
      </w:r>
      <w:r>
        <w:rPr>
          <w:w w:val="100"/>
        </w:rPr>
        <w:t> </w:t>
      </w:r>
      <w:r>
        <w:rPr>
          <w:spacing w:val="-2"/>
        </w:rPr>
        <w:t>照成本进行初始计量，该成本包括租赁负债的初始计量金额、租赁期开始日或之前已支付的租赁付</w:t>
      </w:r>
    </w:p>
    <w:p>
      <w:pPr>
        <w:pStyle w:val="BodyText"/>
        <w:spacing w:line="272" w:lineRule="exact" w:before="1"/>
        <w:ind w:left="138" w:right="192"/>
        <w:jc w:val="left"/>
      </w:pPr>
      <w:r>
        <w:rPr>
          <w:spacing w:val="-2"/>
        </w:rPr>
        <w:t>款额、初始直接费用等，并扣除已收到的租赁激励。本集团能够合理确定租赁期届满时取得租赁资</w:t>
      </w:r>
      <w:r>
        <w:rPr>
          <w:spacing w:val="-25"/>
        </w:rPr>
        <w:t> </w:t>
      </w:r>
      <w:r>
        <w:rPr>
          <w:spacing w:val="-25"/>
        </w:rPr>
      </w:r>
      <w:r>
        <w:rPr>
          <w:spacing w:val="-2"/>
        </w:rPr>
        <w:t>产所有权的，在租赁资产剩余使用寿命内计提折旧；若无法合理确定租赁期届满时是否能够取得租</w:t>
      </w:r>
    </w:p>
    <w:p>
      <w:pPr>
        <w:pStyle w:val="BodyText"/>
        <w:spacing w:line="272" w:lineRule="exact" w:before="1"/>
        <w:ind w:left="138" w:right="192"/>
        <w:jc w:val="left"/>
        <w:rPr>
          <w:rFonts w:ascii="宋体" w:hAnsi="宋体" w:cs="宋体" w:eastAsia="宋体" w:hint="default"/>
        </w:rPr>
      </w:pPr>
      <w:r>
        <w:rPr>
          <w:spacing w:val="-2"/>
        </w:rPr>
        <w:t>赁资产所有权，则在租赁期与租赁资产剩余使用寿命两者孰短的期间内计提折旧。当可收回金额低</w:t>
      </w:r>
      <w:r>
        <w:rPr>
          <w:spacing w:val="-25"/>
        </w:rPr>
        <w:t> </w:t>
      </w:r>
      <w:r>
        <w:rPr>
          <w:spacing w:val="-25"/>
        </w:rPr>
      </w:r>
      <w:r>
        <w:rPr/>
        <w:t>于使用权资产的账面价值时，本集团将其账面价值减记至可收回金额。</w:t>
      </w:r>
      <w:r>
        <w:rPr>
          <w:rFonts w:ascii="宋体" w:hAnsi="宋体" w:cs="宋体" w:eastAsia="宋体" w:hint="default"/>
        </w:rPr>
        <w:t> </w:t>
      </w:r>
    </w:p>
    <w:p>
      <w:pPr>
        <w:pStyle w:val="BodyText"/>
        <w:spacing w:line="246" w:lineRule="exact"/>
        <w:ind w:left="138" w:right="0" w:firstLine="420"/>
        <w:jc w:val="left"/>
      </w:pPr>
      <w:r>
        <w:rPr/>
        <w:t>对于租赁期不超过 </w:t>
      </w:r>
      <w:r>
        <w:rPr>
          <w:rFonts w:ascii="宋体" w:hAnsi="宋体" w:cs="宋体" w:eastAsia="宋体" w:hint="default"/>
        </w:rPr>
        <w:t>12</w:t>
      </w:r>
      <w:r>
        <w:rPr>
          <w:rFonts w:ascii="宋体" w:hAnsi="宋体" w:cs="宋体" w:eastAsia="宋体" w:hint="default"/>
          <w:spacing w:val="-51"/>
        </w:rPr>
        <w:t> </w:t>
      </w:r>
      <w:r>
        <w:rPr>
          <w:spacing w:val="-4"/>
        </w:rPr>
        <w:t>个月的短期租赁和单项资产全新时价值较低的低价值资产租赁，本集团选</w:t>
      </w:r>
    </w:p>
    <w:p>
      <w:pPr>
        <w:pStyle w:val="BodyText"/>
        <w:spacing w:line="272" w:lineRule="exact" w:before="27"/>
        <w:ind w:left="138" w:right="192"/>
        <w:jc w:val="left"/>
        <w:rPr>
          <w:rFonts w:ascii="宋体" w:hAnsi="宋体" w:cs="宋体" w:eastAsia="宋体" w:hint="default"/>
        </w:rPr>
      </w:pPr>
      <w:r>
        <w:rPr>
          <w:spacing w:val="-2"/>
        </w:rPr>
        <w:t>择不确认使用权资产和租赁负债，将相关租金支出在租赁期内各个期间按照直线法计入当期损益或</w:t>
      </w:r>
      <w:r>
        <w:rPr>
          <w:spacing w:val="-25"/>
        </w:rPr>
        <w:t> </w:t>
      </w:r>
      <w:r>
        <w:rPr>
          <w:spacing w:val="-25"/>
        </w:rPr>
      </w:r>
      <w:r>
        <w:rPr/>
        <w:t>相关资产成本。</w:t>
      </w:r>
      <w:r>
        <w:rPr>
          <w:rFonts w:ascii="宋体" w:hAnsi="宋体" w:cs="宋体" w:eastAsia="宋体" w:hint="default"/>
        </w:rPr>
        <w:t> </w:t>
      </w:r>
    </w:p>
    <w:p>
      <w:pPr>
        <w:pStyle w:val="BodyText"/>
        <w:spacing w:line="272" w:lineRule="exact" w:before="1"/>
        <w:ind w:left="558" w:right="192"/>
        <w:jc w:val="left"/>
      </w:pPr>
      <w:r>
        <w:rPr/>
        <w:t>本集团作为出租人</w:t>
      </w:r>
      <w:r>
        <w:rPr>
          <w:rFonts w:ascii="宋体" w:hAnsi="宋体" w:cs="宋体" w:eastAsia="宋体" w:hint="default"/>
          <w:w w:val="100"/>
        </w:rPr>
        <w:t> </w:t>
      </w:r>
      <w:r>
        <w:rPr>
          <w:spacing w:val="-2"/>
        </w:rPr>
        <w:t>实质上转移了与租赁资产所有权有关的几乎全部风险和报酬的租赁为融资租赁。其他的租赁为</w:t>
      </w:r>
    </w:p>
    <w:p>
      <w:pPr>
        <w:pStyle w:val="BodyText"/>
        <w:spacing w:line="248" w:lineRule="exact"/>
        <w:ind w:left="138" w:right="192"/>
        <w:jc w:val="left"/>
        <w:rPr>
          <w:rFonts w:ascii="宋体" w:hAnsi="宋体" w:cs="宋体" w:eastAsia="宋体" w:hint="default"/>
        </w:rPr>
      </w:pPr>
      <w:r>
        <w:rPr/>
        <w:t>经营租赁。</w:t>
      </w:r>
      <w:r>
        <w:rPr>
          <w:rFonts w:ascii="宋体" w:hAnsi="宋体" w:cs="宋体" w:eastAsia="宋体" w:hint="default"/>
        </w:rPr>
        <w:t> </w:t>
      </w:r>
    </w:p>
    <w:p>
      <w:pPr>
        <w:pStyle w:val="BodyText"/>
        <w:spacing w:line="240" w:lineRule="auto"/>
        <w:ind w:left="558" w:right="192"/>
        <w:jc w:val="left"/>
      </w:pPr>
      <w:r>
        <w:rPr>
          <w:rFonts w:ascii="宋体" w:hAnsi="宋体" w:cs="宋体" w:eastAsia="宋体" w:hint="default"/>
        </w:rPr>
        <w:t>(a)</w:t>
      </w:r>
      <w:r>
        <w:rPr/>
        <w:t>经营租赁</w:t>
      </w:r>
      <w:r>
        <w:rPr>
          <w:rFonts w:ascii="宋体" w:hAnsi="宋体" w:cs="宋体" w:eastAsia="宋体" w:hint="default"/>
          <w:w w:val="100"/>
        </w:rPr>
        <w:t> </w:t>
      </w:r>
      <w:r>
        <w:rPr>
          <w:spacing w:val="-2"/>
        </w:rPr>
        <w:t>本集团经营租出自有的港务设施、库场设施、房屋建筑物等时，经营租赁的租金收入在租赁期</w:t>
      </w:r>
    </w:p>
    <w:p>
      <w:pPr>
        <w:pStyle w:val="BodyText"/>
        <w:spacing w:line="274" w:lineRule="exact" w:before="22"/>
        <w:ind w:left="558" w:right="6529" w:hanging="420"/>
        <w:jc w:val="left"/>
        <w:rPr>
          <w:rFonts w:ascii="宋体" w:hAnsi="宋体" w:cs="宋体" w:eastAsia="宋体" w:hint="default"/>
        </w:rPr>
      </w:pPr>
      <w:r>
        <w:rPr/>
        <w:t>内按照直线法确认。</w:t>
      </w:r>
      <w:r>
        <w:rPr>
          <w:rFonts w:ascii="宋体" w:hAnsi="宋体" w:cs="宋体" w:eastAsia="宋体" w:hint="default"/>
          <w:w w:val="100"/>
        </w:rPr>
        <w:t> </w:t>
      </w:r>
      <w:r>
        <w:rPr>
          <w:rFonts w:ascii="宋体" w:hAnsi="宋体" w:cs="宋体" w:eastAsia="宋体" w:hint="default"/>
        </w:rPr>
        <w:t>(b)</w:t>
      </w:r>
      <w:r>
        <w:rPr/>
        <w:t>融资租赁</w:t>
      </w:r>
      <w:r>
        <w:rPr>
          <w:rFonts w:ascii="宋体" w:hAnsi="宋体" w:cs="宋体" w:eastAsia="宋体" w:hint="default"/>
        </w:rPr>
        <w:t> </w:t>
      </w:r>
    </w:p>
    <w:p>
      <w:pPr>
        <w:pStyle w:val="BodyText"/>
        <w:spacing w:line="245" w:lineRule="exact"/>
        <w:ind w:left="138" w:right="0" w:firstLine="420"/>
        <w:jc w:val="left"/>
      </w:pPr>
      <w:r>
        <w:rPr/>
        <w:t>于租赁期开始日，本集团对融资租赁确认应收融资租赁款，并终止确认相关资产。本集团将应</w:t>
      </w:r>
    </w:p>
    <w:p>
      <w:pPr>
        <w:pStyle w:val="BodyText"/>
        <w:spacing w:line="272" w:lineRule="exact" w:before="27"/>
        <w:ind w:left="138" w:right="192"/>
        <w:jc w:val="left"/>
        <w:rPr>
          <w:rFonts w:ascii="宋体" w:hAnsi="宋体" w:cs="宋体" w:eastAsia="宋体" w:hint="default"/>
        </w:rPr>
      </w:pPr>
      <w:r>
        <w:rPr>
          <w:spacing w:val="-2"/>
        </w:rPr>
        <w:t>收融资租赁款列示为长期应收款，自资产负债表日起一年内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收取的应收融资租赁款列示为</w:t>
      </w:r>
      <w:r>
        <w:rPr>
          <w:spacing w:val="-24"/>
        </w:rPr>
        <w:t> </w:t>
      </w:r>
      <w:r>
        <w:rPr>
          <w:spacing w:val="-24"/>
        </w:rPr>
      </w:r>
      <w:r>
        <w:rPr/>
        <w:t>一年内到期的非流动资产。</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b w:val="0"/>
          <w:bCs w:val="0"/>
        </w:rPr>
      </w:pPr>
      <w:r>
        <w:rPr>
          <w:rFonts w:ascii="宋体" w:hAnsi="宋体" w:cs="宋体" w:eastAsia="宋体" w:hint="default"/>
        </w:rPr>
        <w:t>43. </w:t>
      </w:r>
      <w:r>
        <w:rPr/>
        <w:t>其他重要的会计政策和会计估计</w:t>
      </w:r>
      <w:r>
        <w:rPr>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09"/>
        <w:ind w:left="558" w:right="3669" w:firstLine="60"/>
        <w:jc w:val="left"/>
        <w:rPr>
          <w:rFonts w:ascii="宋体" w:hAnsi="宋体" w:cs="宋体" w:eastAsia="宋体" w:hint="default"/>
        </w:rPr>
      </w:pPr>
      <w:r>
        <w:rPr/>
        <w:t>（</w:t>
      </w:r>
      <w:r>
        <w:rPr>
          <w:rFonts w:ascii="宋体" w:hAnsi="宋体" w:cs="宋体" w:eastAsia="宋体" w:hint="default"/>
        </w:rPr>
        <w:t>1</w:t>
      </w:r>
      <w:r>
        <w:rPr/>
        <w:t>）股利分配</w:t>
      </w:r>
      <w:r>
        <w:rPr>
          <w:rFonts w:ascii="宋体" w:hAnsi="宋体" w:cs="宋体" w:eastAsia="宋体" w:hint="default"/>
          <w:w w:val="100"/>
        </w:rPr>
        <w:t> </w:t>
      </w:r>
      <w:r>
        <w:rPr/>
        <w:t>现金股利于股东大会批准的当期，确认为负债。</w:t>
      </w:r>
      <w:r>
        <w:rPr>
          <w:rFonts w:ascii="宋体" w:hAnsi="宋体" w:cs="宋体" w:eastAsia="宋体" w:hint="default"/>
        </w:rPr>
        <w:t> </w:t>
      </w:r>
    </w:p>
    <w:p>
      <w:pPr>
        <w:pStyle w:val="BodyText"/>
        <w:spacing w:line="348" w:lineRule="auto" w:before="29"/>
        <w:ind w:left="558" w:right="0"/>
        <w:jc w:val="left"/>
      </w:pPr>
      <w:r>
        <w:rPr/>
        <w:t>（</w:t>
      </w:r>
      <w:r>
        <w:rPr>
          <w:rFonts w:ascii="宋体" w:hAnsi="宋体" w:cs="宋体" w:eastAsia="宋体" w:hint="default"/>
        </w:rPr>
        <w:t>2</w:t>
      </w:r>
      <w:r>
        <w:rPr/>
        <w:t>）持有待售及终止经营</w:t>
      </w:r>
      <w:r>
        <w:rPr>
          <w:rFonts w:ascii="宋体" w:hAnsi="宋体" w:cs="宋体" w:eastAsia="宋体" w:hint="default"/>
          <w:w w:val="100"/>
        </w:rPr>
        <w:t> </w:t>
      </w:r>
      <w:r>
        <w:rPr>
          <w:spacing w:val="-1"/>
        </w:rPr>
        <w:t>同时满足下列条件的非流动资产或处置组划分为持有待售：</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根据类似交易中出售此类资产</w:t>
      </w:r>
    </w:p>
    <w:p>
      <w:pPr>
        <w:pStyle w:val="BodyText"/>
        <w:spacing w:line="350" w:lineRule="auto" w:before="31"/>
        <w:ind w:left="138" w:right="0"/>
        <w:jc w:val="left"/>
        <w:rPr>
          <w:rFonts w:ascii="宋体" w:hAnsi="宋体" w:cs="宋体" w:eastAsia="宋体" w:hint="default"/>
        </w:rPr>
      </w:pPr>
      <w:r>
        <w:rPr>
          <w:spacing w:val="-1"/>
        </w:rPr>
        <w:t>或处置组的惯例，在当前状况下即可立即出售；</w:t>
      </w:r>
      <w:r>
        <w:rPr>
          <w:rFonts w:ascii="宋体" w:hAnsi="宋体" w:cs="宋体" w:eastAsia="宋体" w:hint="default"/>
          <w:spacing w:val="-1"/>
        </w:rPr>
        <w:t>(</w:t>
      </w:r>
      <w:r>
        <w:rPr>
          <w:spacing w:val="-1"/>
        </w:rPr>
        <w:t>二</w:t>
      </w:r>
      <w:r>
        <w:rPr>
          <w:rFonts w:ascii="宋体" w:hAnsi="宋体" w:cs="宋体" w:eastAsia="宋体" w:hint="default"/>
          <w:spacing w:val="-1"/>
        </w:rPr>
        <w:t>)</w:t>
      </w:r>
      <w:r>
        <w:rPr>
          <w:spacing w:val="-1"/>
        </w:rPr>
        <w:t>本集团已与其他方签订具有法律约束力的出售</w:t>
      </w:r>
      <w:r>
        <w:rPr>
          <w:spacing w:val="-19"/>
        </w:rPr>
        <w:t> </w:t>
      </w:r>
      <w:r>
        <w:rPr>
          <w:spacing w:val="-19"/>
        </w:rPr>
      </w:r>
      <w:r>
        <w:rPr/>
        <w:t>协议且已取得相关批准，预计出售将在一年内完成。</w:t>
      </w:r>
      <w:r>
        <w:rPr>
          <w:rFonts w:ascii="宋体" w:hAnsi="宋体" w:cs="宋体" w:eastAsia="宋体" w:hint="default"/>
        </w:rPr>
        <w:t> </w:t>
      </w:r>
    </w:p>
    <w:p>
      <w:pPr>
        <w:pStyle w:val="BodyText"/>
        <w:spacing w:line="350" w:lineRule="auto" w:before="27"/>
        <w:ind w:left="138" w:right="109" w:firstLine="420"/>
        <w:jc w:val="both"/>
        <w:rPr>
          <w:rFonts w:ascii="宋体" w:hAnsi="宋体" w:cs="宋体" w:eastAsia="宋体" w:hint="default"/>
        </w:rPr>
      </w:pPr>
      <w:r>
        <w:rPr>
          <w:spacing w:val="-3"/>
        </w:rPr>
        <w:t>符合持有待售条件的非流动资产</w:t>
      </w:r>
      <w:r>
        <w:rPr>
          <w:rFonts w:ascii="宋体" w:hAnsi="宋体" w:cs="宋体" w:eastAsia="宋体" w:hint="default"/>
          <w:spacing w:val="-3"/>
        </w:rPr>
        <w:t>(</w:t>
      </w:r>
      <w:r>
        <w:rPr>
          <w:spacing w:val="-3"/>
        </w:rPr>
        <w:t>不包括金融资产、以公允价值计量的投资性房地产以及递延所</w:t>
      </w:r>
      <w:r>
        <w:rPr>
          <w:w w:val="100"/>
        </w:rPr>
        <w:t> </w:t>
      </w:r>
      <w:r>
        <w:rPr>
          <w:spacing w:val="-3"/>
        </w:rPr>
        <w:t>得税资产</w:t>
      </w:r>
      <w:r>
        <w:rPr>
          <w:rFonts w:ascii="宋体" w:hAnsi="宋体" w:cs="宋体" w:eastAsia="宋体" w:hint="default"/>
          <w:spacing w:val="-3"/>
        </w:rPr>
        <w:t>)</w:t>
      </w:r>
      <w:r>
        <w:rPr>
          <w:spacing w:val="-3"/>
        </w:rPr>
        <w:t>，以账面价值与公允价值减去出售费用后的净额孰低计量，公允价值减去出售费用后的净</w:t>
      </w:r>
      <w:r>
        <w:rPr>
          <w:spacing w:val="-45"/>
        </w:rPr>
        <w:t> </w:t>
      </w:r>
      <w:r>
        <w:rPr>
          <w:spacing w:val="-45"/>
        </w:rPr>
      </w:r>
      <w:r>
        <w:rPr/>
        <w:t>额低于原账面价值的金额，确认为资产减值损失。</w:t>
      </w:r>
      <w:r>
        <w:rPr>
          <w:rFonts w:ascii="宋体" w:hAnsi="宋体" w:cs="宋体" w:eastAsia="宋体" w:hint="default"/>
        </w:rPr>
        <w:t> </w:t>
      </w:r>
    </w:p>
    <w:p>
      <w:pPr>
        <w:pStyle w:val="BodyText"/>
        <w:spacing w:line="350" w:lineRule="auto" w:before="27"/>
        <w:ind w:left="138" w:right="113" w:firstLine="420"/>
        <w:jc w:val="both"/>
        <w:rPr>
          <w:rFonts w:ascii="宋体" w:hAnsi="宋体" w:cs="宋体" w:eastAsia="宋体" w:hint="default"/>
        </w:rPr>
      </w:pPr>
      <w:r>
        <w:rPr>
          <w:spacing w:val="-1"/>
        </w:rPr>
        <w:t>被划分为持有待售的非流动资产和处置组中的资产和负债，分类为流动资产和流动负债，并在</w:t>
      </w:r>
      <w:r>
        <w:rPr>
          <w:w w:val="100"/>
        </w:rPr>
        <w:t> </w:t>
      </w:r>
      <w:r>
        <w:rPr/>
        <w:t>资产负债表中单独列示。</w:t>
      </w:r>
      <w:r>
        <w:rPr>
          <w:rFonts w:ascii="宋体" w:hAnsi="宋体" w:cs="宋体" w:eastAsia="宋体" w:hint="default"/>
        </w:rPr>
        <w:t> </w:t>
      </w:r>
    </w:p>
    <w:p>
      <w:pPr>
        <w:pStyle w:val="BodyText"/>
        <w:spacing w:line="350" w:lineRule="auto" w:before="29"/>
        <w:ind w:left="138" w:right="109" w:firstLine="420"/>
        <w:jc w:val="both"/>
        <w:rPr>
          <w:rFonts w:ascii="宋体" w:hAnsi="宋体" w:cs="宋体" w:eastAsia="宋体" w:hint="default"/>
        </w:rPr>
      </w:pPr>
      <w:r>
        <w:rPr>
          <w:spacing w:val="-1"/>
        </w:rPr>
        <w:t>终止经营为满足下列条件之一的、能够单独区分的组成部分，且该组成部分已被处置或划归为</w:t>
      </w:r>
      <w:r>
        <w:rPr>
          <w:w w:val="100"/>
        </w:rPr>
        <w:t> </w:t>
      </w:r>
      <w:r>
        <w:rPr>
          <w:spacing w:val="-1"/>
        </w:rPr>
        <w:t>持有待售类别：</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该组成部分代表一项独立的主要业务或一个单独的主要经营地区；</w:t>
      </w:r>
      <w:r>
        <w:rPr>
          <w:rFonts w:ascii="宋体" w:hAnsi="宋体" w:cs="宋体" w:eastAsia="宋体" w:hint="default"/>
          <w:spacing w:val="-1"/>
        </w:rPr>
        <w:t>(</w:t>
      </w:r>
      <w:r>
        <w:rPr>
          <w:spacing w:val="-1"/>
        </w:rPr>
        <w:t>二</w:t>
      </w:r>
      <w:r>
        <w:rPr>
          <w:rFonts w:ascii="宋体" w:hAnsi="宋体" w:cs="宋体" w:eastAsia="宋体" w:hint="default"/>
          <w:spacing w:val="-1"/>
        </w:rPr>
        <w:t>)</w:t>
      </w:r>
      <w:r>
        <w:rPr>
          <w:spacing w:val="-1"/>
        </w:rPr>
        <w:t>该组成</w:t>
      </w:r>
      <w:r>
        <w:rPr>
          <w:spacing w:val="-18"/>
        </w:rPr>
        <w:t> </w:t>
      </w:r>
      <w:r>
        <w:rPr>
          <w:spacing w:val="-1"/>
        </w:rPr>
        <w:t>部分是拟对一项独立的主要业务或一个单独的主要经营地区进行处置的一项相关联计划的一部分；</w:t>
      </w:r>
      <w:r>
        <w:rPr>
          <w:spacing w:val="-21"/>
        </w:rPr>
        <w:t> </w:t>
      </w:r>
      <w:r>
        <w:rPr>
          <w:spacing w:val="-21"/>
        </w:rPr>
      </w:r>
      <w:r>
        <w:rPr>
          <w:rFonts w:ascii="宋体" w:hAnsi="宋体" w:cs="宋体" w:eastAsia="宋体" w:hint="default"/>
        </w:rPr>
        <w:t>(</w:t>
      </w:r>
      <w:r>
        <w:rPr/>
        <w:t>三</w:t>
      </w:r>
      <w:r>
        <w:rPr>
          <w:rFonts w:ascii="宋体" w:hAnsi="宋体" w:cs="宋体" w:eastAsia="宋体" w:hint="default"/>
        </w:rPr>
        <w:t>)</w:t>
      </w:r>
      <w:r>
        <w:rPr/>
        <w:t>该组成部分是专为转售而取得的子公司。</w:t>
      </w:r>
      <w:r>
        <w:rPr>
          <w:rFonts w:ascii="宋体" w:hAnsi="宋体" w:cs="宋体" w:eastAsia="宋体" w:hint="default"/>
        </w:rPr>
        <w:t> </w:t>
      </w:r>
    </w:p>
    <w:p>
      <w:pPr>
        <w:pStyle w:val="BodyText"/>
        <w:spacing w:line="240" w:lineRule="auto" w:before="27"/>
        <w:ind w:left="558" w:right="192"/>
        <w:jc w:val="left"/>
        <w:rPr>
          <w:rFonts w:ascii="宋体" w:hAnsi="宋体" w:cs="宋体" w:eastAsia="宋体" w:hint="default"/>
        </w:rPr>
      </w:pPr>
      <w:r>
        <w:rPr/>
        <w:t>利润表中列示的终止经营净利润包括其经营损益和处置损益。</w:t>
      </w:r>
      <w:r>
        <w:rPr>
          <w:rFonts w:ascii="宋体" w:hAnsi="宋体" w:cs="宋体" w:eastAsia="宋体" w:hint="default"/>
        </w:rPr>
        <w:t> </w:t>
      </w:r>
    </w:p>
    <w:p>
      <w:pPr>
        <w:pStyle w:val="BodyText"/>
        <w:spacing w:line="240" w:lineRule="auto" w:before="126"/>
        <w:ind w:left="558" w:right="192"/>
        <w:jc w:val="left"/>
        <w:rPr>
          <w:rFonts w:ascii="宋体" w:hAnsi="宋体" w:cs="宋体" w:eastAsia="宋体" w:hint="default"/>
        </w:rPr>
      </w:pPr>
      <w:r>
        <w:rPr/>
        <w:t>（</w:t>
      </w:r>
      <w:r>
        <w:rPr>
          <w:rFonts w:ascii="宋体" w:hAnsi="宋体" w:cs="宋体" w:eastAsia="宋体" w:hint="default"/>
        </w:rPr>
        <w:t>3</w:t>
      </w:r>
      <w:r>
        <w:rPr/>
        <w:t>）受托业务</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48" w:lineRule="auto" w:before="36"/>
        <w:ind w:left="138" w:right="209" w:firstLine="420"/>
        <w:jc w:val="both"/>
        <w:rPr>
          <w:rFonts w:ascii="宋体" w:hAnsi="宋体" w:cs="宋体" w:eastAsia="宋体" w:hint="default"/>
        </w:rPr>
      </w:pPr>
      <w:r>
        <w:rPr>
          <w:spacing w:val="-1"/>
        </w:rPr>
        <w:t>本公司之子公司青岛港财务有限责任公司(“青港财务公司”)存在受托业务，主要为委托贷款</w:t>
      </w:r>
      <w:r>
        <w:rPr>
          <w:w w:val="100"/>
        </w:rPr>
        <w:t> </w:t>
      </w:r>
      <w:r>
        <w:rPr>
          <w:spacing w:val="-1"/>
        </w:rPr>
        <w:t>业务。委托贷款业务是指青港财务公司与客户签订委托贷款协议，由客户向青港财务公司提供资金</w:t>
      </w:r>
      <w:r>
        <w:rPr>
          <w:spacing w:val="-20"/>
        </w:rPr>
        <w:t> </w:t>
      </w:r>
      <w:r>
        <w:rPr>
          <w:spacing w:val="-20"/>
        </w:rPr>
      </w:r>
      <w:r>
        <w:rPr>
          <w:spacing w:val="-1"/>
        </w:rPr>
        <w:t>(“委托贷款基金”)，并由青港财务公司按客户的指示向其他方发放贷款(“委托贷款”)。由于青</w:t>
      </w:r>
      <w:r>
        <w:rPr>
          <w:spacing w:val="-19"/>
        </w:rPr>
        <w:t> </w:t>
      </w:r>
      <w:r>
        <w:rPr>
          <w:spacing w:val="-19"/>
        </w:rPr>
      </w:r>
      <w:r>
        <w:rPr>
          <w:spacing w:val="-1"/>
        </w:rPr>
        <w:t>港财务公司并不承担委托贷款及相关委托贷款基金的风险及报酬，因此委托贷款及委托贷款基金按</w:t>
      </w:r>
      <w:r>
        <w:rPr>
          <w:spacing w:val="-19"/>
        </w:rPr>
        <w:t> </w:t>
      </w:r>
      <w:r>
        <w:rPr>
          <w:spacing w:val="-19"/>
        </w:rPr>
      </w:r>
      <w:r>
        <w:rPr/>
        <w:t>其本金记录为资产负债表表外项目，而且未对这些委托贷款计提任何减值准备。</w:t>
      </w:r>
      <w:r>
        <w:rPr>
          <w:rFonts w:ascii="宋体" w:hAnsi="宋体" w:cs="宋体" w:eastAsia="宋体" w:hint="default"/>
        </w:rPr>
        <w:t> </w:t>
      </w:r>
    </w:p>
    <w:p>
      <w:pPr>
        <w:pStyle w:val="BodyText"/>
        <w:spacing w:line="350" w:lineRule="auto" w:before="31"/>
        <w:ind w:left="558" w:right="0"/>
        <w:jc w:val="left"/>
      </w:pPr>
      <w:r>
        <w:rPr/>
        <w:t>（</w:t>
      </w:r>
      <w:r>
        <w:rPr>
          <w:rFonts w:ascii="宋体" w:hAnsi="宋体" w:cs="宋体" w:eastAsia="宋体" w:hint="default"/>
        </w:rPr>
        <w:t>4</w:t>
      </w:r>
      <w:r>
        <w:rPr/>
        <w:t>）专项储备</w:t>
      </w:r>
      <w:r>
        <w:rPr>
          <w:rFonts w:ascii="宋体" w:hAnsi="宋体" w:cs="宋体" w:eastAsia="宋体" w:hint="default"/>
          <w:w w:val="100"/>
        </w:rPr>
        <w:t> </w:t>
      </w:r>
      <w:r>
        <w:rPr>
          <w:spacing w:val="-1"/>
        </w:rPr>
        <w:t>根据财政部、安全生产监督管理局及有关地方政府部门的规定，本集团按照上年实际危险品堆</w:t>
      </w:r>
    </w:p>
    <w:p>
      <w:pPr>
        <w:pStyle w:val="BodyText"/>
        <w:spacing w:line="350" w:lineRule="auto" w:before="27"/>
        <w:ind w:left="558" w:right="0" w:hanging="420"/>
        <w:jc w:val="left"/>
      </w:pPr>
      <w:r>
        <w:rPr/>
        <w:t>存及场站业务相关营业收入为依据计提安全生产专项储备。</w:t>
      </w:r>
      <w:r>
        <w:rPr>
          <w:rFonts w:ascii="宋体" w:hAnsi="宋体" w:cs="宋体" w:eastAsia="宋体" w:hint="default"/>
          <w:w w:val="100"/>
        </w:rPr>
        <w:t> </w:t>
      </w:r>
      <w:r>
        <w:rPr/>
        <w:t>专项储备主要用于场站装卸、堆存设施的安全支出。</w:t>
      </w:r>
      <w:r>
        <w:rPr>
          <w:rFonts w:ascii="宋体" w:hAnsi="宋体" w:cs="宋体" w:eastAsia="宋体" w:hint="default"/>
          <w:w w:val="100"/>
        </w:rPr>
        <w:t> </w:t>
      </w:r>
      <w:r>
        <w:rPr>
          <w:spacing w:val="-1"/>
        </w:rPr>
        <w:t>专项储备在提取时计入相关的成本或当期损益，同时计入专项储备科目。在使用提取的安全生</w:t>
      </w:r>
    </w:p>
    <w:p>
      <w:pPr>
        <w:pStyle w:val="BodyText"/>
        <w:spacing w:line="350" w:lineRule="auto" w:before="27"/>
        <w:ind w:left="138" w:right="210"/>
        <w:jc w:val="both"/>
        <w:rPr>
          <w:rFonts w:ascii="宋体" w:hAnsi="宋体" w:cs="宋体" w:eastAsia="宋体" w:hint="default"/>
        </w:rPr>
      </w:pPr>
      <w:r>
        <w:rPr>
          <w:spacing w:val="-1"/>
        </w:rPr>
        <w:t>产费时，属于费用性支出的，直接冲减专项储备。属于资本性支出的，通过在建工程科目归集所发</w:t>
      </w:r>
      <w:r>
        <w:rPr>
          <w:spacing w:val="-20"/>
        </w:rPr>
        <w:t> </w:t>
      </w:r>
      <w:r>
        <w:rPr>
          <w:spacing w:val="-20"/>
        </w:rPr>
      </w:r>
      <w:r>
        <w:rPr>
          <w:spacing w:val="-1"/>
        </w:rPr>
        <w:t>生的支出，待安全项目完工达到预定可使用状态时确认为固定资产；同时，按照形成固定资产的成</w:t>
      </w:r>
      <w:r>
        <w:rPr>
          <w:spacing w:val="-20"/>
        </w:rPr>
        <w:t> </w:t>
      </w:r>
      <w:r>
        <w:rPr>
          <w:spacing w:val="-20"/>
        </w:rPr>
      </w:r>
      <w:r>
        <w:rPr/>
        <w:t>本冲减专项储备，并确认相同金额的累计折旧。该固定资产在以后期间不再计提折旧。</w:t>
      </w:r>
      <w:r>
        <w:rPr>
          <w:rFonts w:ascii="宋体" w:hAnsi="宋体" w:cs="宋体" w:eastAsia="宋体" w:hint="default"/>
        </w:rPr>
        <w:t> </w:t>
      </w:r>
    </w:p>
    <w:p>
      <w:pPr>
        <w:pStyle w:val="BodyText"/>
        <w:spacing w:line="350" w:lineRule="auto" w:before="27"/>
        <w:ind w:left="558" w:right="0"/>
        <w:jc w:val="left"/>
      </w:pPr>
      <w:r>
        <w:rPr/>
        <w:t>（</w:t>
      </w:r>
      <w:r>
        <w:rPr>
          <w:rFonts w:ascii="宋体" w:hAnsi="宋体" w:cs="宋体" w:eastAsia="宋体" w:hint="default"/>
        </w:rPr>
        <w:t>5</w:t>
      </w:r>
      <w:r>
        <w:rPr/>
        <w:t>）分部信息</w:t>
      </w:r>
      <w:r>
        <w:rPr>
          <w:rFonts w:ascii="宋体" w:hAnsi="宋体" w:cs="宋体" w:eastAsia="宋体" w:hint="default"/>
          <w:w w:val="100"/>
        </w:rPr>
        <w:t> </w:t>
      </w:r>
      <w:r>
        <w:rPr>
          <w:spacing w:val="-1"/>
        </w:rPr>
        <w:t>本集团以内部组织结构、管理要求、内部报告制度为依据确定经营分部，以经营分部为基础确</w:t>
      </w:r>
    </w:p>
    <w:p>
      <w:pPr>
        <w:pStyle w:val="BodyText"/>
        <w:spacing w:line="348" w:lineRule="auto" w:before="29"/>
        <w:ind w:left="558" w:right="0" w:hanging="420"/>
        <w:jc w:val="left"/>
      </w:pPr>
      <w:r>
        <w:rPr/>
        <w:t>定报告分部并披露分部信息。</w:t>
      </w:r>
      <w:r>
        <w:rPr>
          <w:rFonts w:ascii="宋体" w:hAnsi="宋体" w:cs="宋体" w:eastAsia="宋体" w:hint="default"/>
          <w:w w:val="100"/>
        </w:rPr>
        <w:t> </w:t>
      </w:r>
      <w:r>
        <w:rPr>
          <w:spacing w:val="-3"/>
        </w:rPr>
        <w:t>经营分部是指本集团内同时满足下列条件的组成部分：</w:t>
      </w:r>
      <w:r>
        <w:rPr>
          <w:rFonts w:ascii="宋体" w:hAnsi="宋体" w:cs="宋体" w:eastAsia="宋体" w:hint="default"/>
          <w:spacing w:val="-3"/>
        </w:rPr>
        <w:t>(1)</w:t>
      </w:r>
      <w:r>
        <w:rPr>
          <w:spacing w:val="-3"/>
        </w:rPr>
        <w:t>该组成部分能够在日常活动中产生收</w:t>
      </w:r>
    </w:p>
    <w:p>
      <w:pPr>
        <w:pStyle w:val="BodyText"/>
        <w:spacing w:line="348" w:lineRule="auto" w:before="31"/>
        <w:ind w:left="138" w:right="209"/>
        <w:jc w:val="both"/>
        <w:rPr>
          <w:rFonts w:ascii="宋体" w:hAnsi="宋体" w:cs="宋体" w:eastAsia="宋体" w:hint="default"/>
        </w:rPr>
      </w:pPr>
      <w:r>
        <w:rPr>
          <w:spacing w:val="-3"/>
        </w:rPr>
        <w:t>入、发生费用；</w:t>
      </w:r>
      <w:r>
        <w:rPr>
          <w:rFonts w:ascii="宋体" w:hAnsi="宋体" w:cs="宋体" w:eastAsia="宋体" w:hint="default"/>
          <w:spacing w:val="-3"/>
        </w:rPr>
        <w:t>(2)</w:t>
      </w:r>
      <w:r>
        <w:rPr>
          <w:spacing w:val="-3"/>
        </w:rPr>
        <w:t>本集团管理层能够定期评价该组成部分的经营成果，以决定向其配置资源、评价</w:t>
      </w:r>
      <w:r>
        <w:rPr>
          <w:spacing w:val="-44"/>
        </w:rPr>
        <w:t> </w:t>
      </w:r>
      <w:r>
        <w:rPr>
          <w:spacing w:val="-44"/>
        </w:rPr>
      </w:r>
      <w:r>
        <w:rPr>
          <w:spacing w:val="-3"/>
        </w:rPr>
        <w:t>其业绩；</w:t>
      </w:r>
      <w:r>
        <w:rPr>
          <w:rFonts w:ascii="宋体" w:hAnsi="宋体" w:cs="宋体" w:eastAsia="宋体" w:hint="default"/>
          <w:spacing w:val="-3"/>
        </w:rPr>
        <w:t>(3)</w:t>
      </w:r>
      <w:r>
        <w:rPr>
          <w:spacing w:val="-3"/>
        </w:rPr>
        <w:t>本集团能够取得该组成部分的财务状况、经营成果和现金流量等有关会计信息。两个或</w:t>
      </w:r>
      <w:r>
        <w:rPr>
          <w:spacing w:val="-45"/>
        </w:rPr>
        <w:t> </w:t>
      </w:r>
      <w:r>
        <w:rPr>
          <w:spacing w:val="-45"/>
        </w:rPr>
      </w:r>
      <w:r>
        <w:rPr/>
        <w:t>多个经营分部具有相似的经济特征，并且满足一定条件的，则可合并为一个经营分部。</w:t>
      </w:r>
      <w:r>
        <w:rPr>
          <w:rFonts w:ascii="宋体" w:hAnsi="宋体" w:cs="宋体" w:eastAsia="宋体" w:hint="default"/>
        </w:rPr>
        <w:t> </w:t>
      </w:r>
    </w:p>
    <w:p>
      <w:pPr>
        <w:pStyle w:val="BodyText"/>
        <w:spacing w:line="350" w:lineRule="auto" w:before="31"/>
        <w:ind w:left="558" w:right="0"/>
        <w:jc w:val="left"/>
      </w:pPr>
      <w:r>
        <w:rPr/>
        <w:t>（</w:t>
      </w:r>
      <w:r>
        <w:rPr>
          <w:rFonts w:ascii="宋体" w:hAnsi="宋体" w:cs="宋体" w:eastAsia="宋体" w:hint="default"/>
        </w:rPr>
        <w:t>6</w:t>
      </w:r>
      <w:r>
        <w:rPr/>
        <w:t>）重要会计估计和判断</w:t>
      </w:r>
      <w:r>
        <w:rPr>
          <w:rFonts w:ascii="宋体" w:hAnsi="宋体" w:cs="宋体" w:eastAsia="宋体" w:hint="default"/>
          <w:w w:val="100"/>
        </w:rPr>
        <w:t> </w:t>
      </w:r>
      <w:r>
        <w:rPr>
          <w:spacing w:val="-1"/>
        </w:rPr>
        <w:t>本集团根据历史经验和其他因素，包括对未来事项的合理预期，对所采用的重要会计估计和关</w:t>
      </w:r>
    </w:p>
    <w:p>
      <w:pPr>
        <w:pStyle w:val="BodyText"/>
        <w:spacing w:line="350" w:lineRule="auto" w:before="27"/>
        <w:ind w:left="558" w:right="0" w:hanging="420"/>
        <w:jc w:val="left"/>
      </w:pPr>
      <w:r>
        <w:rPr/>
        <w:t>键判断进行持续的评价。</w:t>
      </w:r>
      <w:r>
        <w:rPr>
          <w:rFonts w:ascii="宋体" w:hAnsi="宋体" w:cs="宋体" w:eastAsia="宋体" w:hint="default"/>
          <w:w w:val="100"/>
        </w:rPr>
        <w:t> </w:t>
      </w:r>
      <w:r>
        <w:rPr>
          <w:spacing w:val="-1"/>
        </w:rPr>
        <w:t>下列重要会计估计及关键假设存在会导致下一会计年度资产和负债的账面价值出现重大调整的</w:t>
      </w:r>
    </w:p>
    <w:p>
      <w:pPr>
        <w:pStyle w:val="BodyText"/>
        <w:spacing w:line="240" w:lineRule="auto" w:before="29"/>
        <w:ind w:left="138" w:right="0"/>
        <w:jc w:val="left"/>
        <w:rPr>
          <w:rFonts w:ascii="宋体" w:hAnsi="宋体" w:cs="宋体" w:eastAsia="宋体" w:hint="default"/>
        </w:rPr>
      </w:pPr>
      <w:r>
        <w:rPr/>
        <w:t>重要风险：</w:t>
      </w:r>
      <w:r>
        <w:rPr>
          <w:rFonts w:ascii="宋体" w:hAnsi="宋体" w:cs="宋体" w:eastAsia="宋体" w:hint="default"/>
        </w:rPr>
        <w:t> </w:t>
      </w:r>
    </w:p>
    <w:p>
      <w:pPr>
        <w:pStyle w:val="BodyText"/>
        <w:spacing w:line="240" w:lineRule="auto" w:before="123"/>
        <w:ind w:left="558" w:right="0"/>
        <w:jc w:val="left"/>
        <w:rPr>
          <w:rFonts w:ascii="宋体" w:hAnsi="宋体" w:cs="宋体" w:eastAsia="宋体" w:hint="default"/>
        </w:rPr>
      </w:pPr>
      <w:r>
        <w:rPr/>
        <w:t>（</w:t>
      </w:r>
      <w:r>
        <w:rPr>
          <w:rFonts w:ascii="宋体" w:hAnsi="宋体" w:cs="宋体" w:eastAsia="宋体" w:hint="default"/>
        </w:rPr>
        <w:t>a</w:t>
      </w:r>
      <w:r>
        <w:rPr/>
        <w:t>）重要会计估计及其关键假设</w:t>
      </w:r>
      <w:r>
        <w:rPr>
          <w:rFonts w:ascii="宋体" w:hAnsi="宋体" w:cs="宋体" w:eastAsia="宋体" w:hint="default"/>
        </w:rPr>
        <w:t> </w:t>
      </w:r>
    </w:p>
    <w:p>
      <w:pPr>
        <w:pStyle w:val="BodyText"/>
        <w:spacing w:line="350" w:lineRule="auto" w:before="126"/>
        <w:ind w:left="558" w:right="0"/>
        <w:jc w:val="left"/>
      </w:pPr>
      <w:r>
        <w:rPr/>
        <w:t>（</w:t>
      </w:r>
      <w:r>
        <w:rPr>
          <w:rFonts w:ascii="宋体" w:hAnsi="宋体" w:cs="宋体" w:eastAsia="宋体" w:hint="default"/>
        </w:rPr>
        <w:t>i</w:t>
      </w:r>
      <w:r>
        <w:rPr/>
        <w:t>）固定资产的预计可使用年限和残值的估计</w:t>
      </w:r>
      <w:r>
        <w:rPr>
          <w:rFonts w:ascii="宋体" w:hAnsi="宋体" w:cs="宋体" w:eastAsia="宋体" w:hint="default"/>
          <w:w w:val="100"/>
        </w:rPr>
        <w:t> </w:t>
      </w:r>
      <w:r>
        <w:rPr>
          <w:spacing w:val="-1"/>
        </w:rPr>
        <w:t>本集团管理层就固定资产的预计可使用年限和残值进行估计，并定期进行复核。该等估计乃基</w:t>
      </w:r>
    </w:p>
    <w:p>
      <w:pPr>
        <w:pStyle w:val="BodyText"/>
        <w:spacing w:line="350" w:lineRule="auto" w:before="27"/>
        <w:ind w:left="138" w:right="0"/>
        <w:jc w:val="left"/>
        <w:rPr>
          <w:rFonts w:ascii="宋体" w:hAnsi="宋体" w:cs="宋体" w:eastAsia="宋体" w:hint="default"/>
        </w:rPr>
      </w:pPr>
      <w:r>
        <w:rPr/>
        <w:t>于性质和功能类似的固定资产的过往实际可使用年限及行业惯例而确定。在固定资产使用过程中，</w:t>
      </w:r>
      <w:r>
        <w:rPr>
          <w:spacing w:val="-63"/>
        </w:rPr>
        <w:t> </w:t>
      </w:r>
      <w:r>
        <w:rPr>
          <w:spacing w:val="-63"/>
        </w:rPr>
      </w:r>
      <w:r>
        <w:rPr>
          <w:spacing w:val="-3"/>
        </w:rPr>
        <w:t>其所处的经济环境、技术环境以及其他环境有可能对固定资产使用寿命和预计净残值产生较大影响；</w:t>
      </w:r>
      <w:r>
        <w:rPr>
          <w:spacing w:val="-45"/>
        </w:rPr>
        <w:t> </w:t>
      </w:r>
      <w:r>
        <w:rPr>
          <w:spacing w:val="-45"/>
        </w:rPr>
      </w:r>
      <w:r>
        <w:rPr/>
        <w:t>固定资产使用过程中所处经济环境、技术环境以及其他环境的变化也可能致使与固定资产有关的经</w:t>
      </w:r>
      <w:r>
        <w:rPr>
          <w:spacing w:val="-63"/>
        </w:rPr>
        <w:t> </w:t>
      </w:r>
      <w:r>
        <w:rPr>
          <w:spacing w:val="-63"/>
        </w:rPr>
      </w:r>
      <w:r>
        <w:rPr/>
        <w:t>济利益的预期实现方式发生重大改变。如果以前的估计发生重大变化，则会在未来期间调整固定资</w:t>
      </w:r>
      <w:r>
        <w:rPr>
          <w:spacing w:val="-63"/>
        </w:rPr>
        <w:t> </w:t>
      </w:r>
      <w:r>
        <w:rPr>
          <w:spacing w:val="-63"/>
        </w:rPr>
      </w:r>
      <w:r>
        <w:rPr/>
        <w:t>产的折旧。</w:t>
      </w:r>
      <w:r>
        <w:rPr>
          <w:rFonts w:ascii="宋体" w:hAnsi="宋体" w:cs="宋体" w:eastAsia="宋体" w:hint="default"/>
        </w:rPr>
        <w:t> </w:t>
      </w:r>
    </w:p>
    <w:p>
      <w:pPr>
        <w:pStyle w:val="BodyText"/>
        <w:spacing w:line="240" w:lineRule="auto" w:before="29"/>
        <w:ind w:left="558" w:right="0"/>
        <w:jc w:val="left"/>
        <w:rPr>
          <w:rFonts w:ascii="宋体" w:hAnsi="宋体" w:cs="宋体" w:eastAsia="宋体" w:hint="default"/>
        </w:rPr>
      </w:pPr>
      <w:r>
        <w:rPr/>
        <w:t>（</w:t>
      </w:r>
      <w:r>
        <w:rPr>
          <w:rFonts w:ascii="宋体" w:hAnsi="宋体" w:cs="宋体" w:eastAsia="宋体" w:hint="default"/>
        </w:rPr>
        <w:t>ii</w:t>
      </w:r>
      <w:r>
        <w:rPr/>
        <w:t>）内退及统筹外福利精算</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280" w:right="12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350" w:lineRule="auto" w:before="36"/>
        <w:ind w:right="210" w:firstLine="420"/>
        <w:jc w:val="both"/>
        <w:rPr>
          <w:rFonts w:ascii="宋体" w:hAnsi="宋体" w:cs="宋体" w:eastAsia="宋体" w:hint="default"/>
        </w:rPr>
      </w:pPr>
      <w:r>
        <w:rPr>
          <w:spacing w:val="-1"/>
        </w:rPr>
        <w:t>本集团针对内退福利及统筹外福利确认的负债是在各种假设条件的基础上进行精算确定。这些</w:t>
      </w:r>
      <w:r>
        <w:rPr>
          <w:w w:val="100"/>
        </w:rPr>
        <w:t> </w:t>
      </w:r>
      <w:r>
        <w:rPr>
          <w:spacing w:val="-1"/>
        </w:rPr>
        <w:t>假设条件包括折现率、福利费用的增长率以及死亡率等。实际结果和假设的差异将在当年按照相关</w:t>
      </w:r>
      <w:r>
        <w:rPr>
          <w:spacing w:val="-20"/>
        </w:rPr>
        <w:t> </w:t>
      </w:r>
      <w:r>
        <w:rPr>
          <w:spacing w:val="-20"/>
        </w:rPr>
      </w:r>
      <w:r>
        <w:rPr>
          <w:spacing w:val="-1"/>
        </w:rPr>
        <w:t>会计政策进行会计处理。尽管本集团认为这些假设是合理的，实际经验值及假设条件的变化将影响</w:t>
      </w:r>
      <w:r>
        <w:rPr>
          <w:spacing w:val="-20"/>
        </w:rPr>
        <w:t> </w:t>
      </w:r>
      <w:r>
        <w:rPr>
          <w:spacing w:val="-20"/>
        </w:rPr>
      </w:r>
      <w:r>
        <w:rPr/>
        <w:t>本集团内退福利和统筹外福利负债的金额，以及统筹外福利相关的其他综合收益或亏损金额。</w:t>
      </w:r>
      <w:r>
        <w:rPr>
          <w:rFonts w:ascii="宋体" w:hAnsi="宋体" w:cs="宋体" w:eastAsia="宋体" w:hint="default"/>
        </w:rPr>
        <w:t> </w:t>
      </w:r>
    </w:p>
    <w:p>
      <w:pPr>
        <w:pStyle w:val="BodyText"/>
        <w:spacing w:line="350" w:lineRule="auto" w:before="27"/>
        <w:ind w:left="638" w:right="0"/>
        <w:jc w:val="left"/>
      </w:pPr>
      <w:r>
        <w:rPr/>
        <w:t>（</w:t>
      </w:r>
      <w:r>
        <w:rPr>
          <w:rFonts w:ascii="宋体" w:hAnsi="宋体" w:cs="宋体" w:eastAsia="宋体" w:hint="default"/>
        </w:rPr>
        <w:t>iii</w:t>
      </w:r>
      <w:r>
        <w:rPr/>
        <w:t>）预期信用损失的计量</w:t>
      </w:r>
      <w:r>
        <w:rPr>
          <w:rFonts w:ascii="宋体" w:hAnsi="宋体" w:cs="宋体" w:eastAsia="宋体" w:hint="default"/>
          <w:w w:val="100"/>
        </w:rPr>
        <w:t> </w:t>
      </w:r>
      <w:r>
        <w:rPr>
          <w:spacing w:val="-1"/>
        </w:rPr>
        <w:t>本集团通过违约风险敞口和预期信用损失率计算预期信用损失，并基于违约概率和违约损失率</w:t>
      </w:r>
    </w:p>
    <w:p>
      <w:pPr>
        <w:pStyle w:val="BodyText"/>
        <w:spacing w:line="350" w:lineRule="auto" w:before="29"/>
        <w:ind w:right="210"/>
        <w:jc w:val="both"/>
        <w:rPr>
          <w:rFonts w:ascii="宋体" w:hAnsi="宋体" w:cs="宋体" w:eastAsia="宋体" w:hint="default"/>
        </w:rPr>
      </w:pPr>
      <w:r>
        <w:rPr>
          <w:spacing w:val="-1"/>
        </w:rPr>
        <w:t>确定预期信用损失率。在确定预期信用损失率时，本集团使用内部历史信用损失经验等数据，并结</w:t>
      </w:r>
      <w:r>
        <w:rPr>
          <w:spacing w:val="-20"/>
        </w:rPr>
        <w:t> </w:t>
      </w:r>
      <w:r>
        <w:rPr>
          <w:spacing w:val="-20"/>
        </w:rPr>
      </w:r>
      <w:r>
        <w:rPr>
          <w:spacing w:val="-1"/>
        </w:rPr>
        <w:t>合当前状况和前瞻性信息对历史数据进行调整。在考虑前瞻性信息时，本集团使用的指标包括经济</w:t>
      </w:r>
      <w:r>
        <w:rPr>
          <w:spacing w:val="-21"/>
        </w:rPr>
        <w:t> </w:t>
      </w:r>
      <w:r>
        <w:rPr>
          <w:spacing w:val="-21"/>
        </w:rPr>
      </w:r>
      <w:r>
        <w:rPr>
          <w:spacing w:val="-1"/>
        </w:rPr>
        <w:t>下滑的风险、预期失业率的增长、外部市场环境、技术环境和客户情况的变化等。本集团定期监控</w:t>
      </w:r>
      <w:r>
        <w:rPr>
          <w:spacing w:val="-20"/>
        </w:rPr>
        <w:t> </w:t>
      </w:r>
      <w:r>
        <w:rPr>
          <w:spacing w:val="-20"/>
        </w:rPr>
      </w:r>
      <w:r>
        <w:rPr/>
        <w:t>并复核与预期信用损失计算相关的假设。上述估计技术和关键假设于</w:t>
      </w:r>
      <w:r>
        <w:rPr>
          <w:spacing w:val="-57"/>
        </w:rPr>
        <w:t> </w:t>
      </w:r>
      <w:r>
        <w:rPr>
          <w:rFonts w:ascii="宋体" w:hAnsi="宋体" w:cs="宋体" w:eastAsia="宋体" w:hint="default"/>
        </w:rPr>
        <w:t>2019</w:t>
      </w:r>
      <w:r>
        <w:rPr>
          <w:rFonts w:ascii="宋体" w:hAnsi="宋体" w:cs="宋体" w:eastAsia="宋体" w:hint="default"/>
          <w:spacing w:val="-59"/>
        </w:rPr>
        <w:t> </w:t>
      </w:r>
      <w:r>
        <w:rPr/>
        <w:t>年度未发生重大变化。</w:t>
      </w:r>
      <w:r>
        <w:rPr>
          <w:rFonts w:ascii="宋体" w:hAnsi="宋体" w:cs="宋体" w:eastAsia="宋体" w:hint="default"/>
        </w:rPr>
        <w:t> </w:t>
      </w:r>
    </w:p>
    <w:p>
      <w:pPr>
        <w:pStyle w:val="BodyText"/>
        <w:spacing w:line="240" w:lineRule="auto" w:before="27"/>
        <w:ind w:left="638" w:right="0"/>
        <w:jc w:val="left"/>
        <w:rPr>
          <w:rFonts w:ascii="宋体" w:hAnsi="宋体" w:cs="宋体" w:eastAsia="宋体" w:hint="default"/>
        </w:rPr>
      </w:pPr>
      <w:r>
        <w:rPr/>
        <w:t>（</w:t>
      </w:r>
      <w:r>
        <w:rPr>
          <w:rFonts w:ascii="宋体" w:hAnsi="宋体" w:cs="宋体" w:eastAsia="宋体" w:hint="default"/>
        </w:rPr>
        <w:t>b</w:t>
      </w:r>
      <w:r>
        <w:rPr/>
        <w:t>）采用会计政策的关键判断</w:t>
      </w:r>
      <w:r>
        <w:rPr>
          <w:rFonts w:ascii="宋体" w:hAnsi="宋体" w:cs="宋体" w:eastAsia="宋体" w:hint="default"/>
        </w:rPr>
        <w:t> </w:t>
      </w:r>
    </w:p>
    <w:p>
      <w:pPr>
        <w:pStyle w:val="BodyText"/>
        <w:spacing w:line="348" w:lineRule="auto" w:before="126"/>
        <w:ind w:left="638" w:right="0"/>
        <w:jc w:val="left"/>
      </w:pPr>
      <w:r>
        <w:rPr/>
        <w:t>（</w:t>
      </w:r>
      <w:r>
        <w:rPr>
          <w:rFonts w:ascii="宋体" w:hAnsi="宋体" w:cs="宋体" w:eastAsia="宋体" w:hint="default"/>
        </w:rPr>
        <w:t>i</w:t>
      </w:r>
      <w:r>
        <w:rPr/>
        <w:t>）金融资产的分类</w:t>
      </w:r>
      <w:r>
        <w:rPr>
          <w:rFonts w:ascii="宋体" w:hAnsi="宋体" w:cs="宋体" w:eastAsia="宋体" w:hint="default"/>
          <w:w w:val="100"/>
        </w:rPr>
        <w:t> </w:t>
      </w:r>
      <w:r>
        <w:rPr/>
        <w:t>本集团在确定金融资产的分类时涉及的重大判断包括业务模式及合同现金流量特征的分析等。</w:t>
      </w:r>
      <w:r>
        <w:rPr>
          <w:rFonts w:ascii="宋体" w:hAnsi="宋体" w:cs="宋体" w:eastAsia="宋体" w:hint="default"/>
          <w:w w:val="100"/>
        </w:rPr>
        <w:t> </w:t>
      </w:r>
      <w:r>
        <w:rPr/>
        <w:t>本集团在金融资产组合的层次上确定管理金融资产的业务模式，考虑的因素包括评价和向关键</w:t>
      </w:r>
    </w:p>
    <w:p>
      <w:pPr>
        <w:pStyle w:val="BodyText"/>
        <w:spacing w:line="350" w:lineRule="auto" w:before="31"/>
        <w:ind w:right="0"/>
        <w:jc w:val="left"/>
        <w:rPr>
          <w:rFonts w:ascii="宋体" w:hAnsi="宋体" w:cs="宋体" w:eastAsia="宋体" w:hint="default"/>
        </w:rPr>
      </w:pPr>
      <w:r>
        <w:rPr>
          <w:spacing w:val="-1"/>
        </w:rPr>
        <w:t>管理人员报告金融资产业绩的方式、影响金融资产业绩的风险及其管理方式、以及相关业务管理人</w:t>
      </w:r>
      <w:r>
        <w:rPr>
          <w:spacing w:val="-20"/>
        </w:rPr>
        <w:t> </w:t>
      </w:r>
      <w:r>
        <w:rPr>
          <w:spacing w:val="-20"/>
        </w:rPr>
      </w:r>
      <w:r>
        <w:rPr/>
        <w:t>员获得报酬的方式等。</w:t>
      </w:r>
      <w:r>
        <w:rPr>
          <w:rFonts w:ascii="宋体" w:hAnsi="宋体" w:cs="宋体" w:eastAsia="宋体" w:hint="default"/>
        </w:rPr>
        <w:t> </w:t>
      </w:r>
    </w:p>
    <w:p>
      <w:pPr>
        <w:pStyle w:val="BodyText"/>
        <w:spacing w:line="350" w:lineRule="auto" w:before="27"/>
        <w:ind w:right="210" w:firstLine="420"/>
        <w:jc w:val="both"/>
        <w:rPr>
          <w:rFonts w:ascii="宋体" w:hAnsi="宋体" w:cs="宋体" w:eastAsia="宋体" w:hint="default"/>
        </w:rPr>
      </w:pPr>
      <w:r>
        <w:rPr>
          <w:spacing w:val="-1"/>
        </w:rPr>
        <w:t>本集团在评估金融资产的合同现金流量是否与基本借贷安排相一致时，存在以下主要判断：本</w:t>
      </w:r>
      <w:r>
        <w:rPr>
          <w:w w:val="100"/>
        </w:rPr>
        <w:t> </w:t>
      </w:r>
      <w:r>
        <w:rPr>
          <w:spacing w:val="-1"/>
        </w:rPr>
        <w:t>金是否可能因提前还款等原因导致在存续期内的时间分布或者金额发生变动；利息是否仅包括货币</w:t>
      </w:r>
      <w:r>
        <w:rPr>
          <w:spacing w:val="-20"/>
        </w:rPr>
        <w:t> </w:t>
      </w:r>
      <w:r>
        <w:rPr>
          <w:spacing w:val="-20"/>
        </w:rPr>
      </w:r>
      <w:r>
        <w:rPr>
          <w:spacing w:val="-1"/>
        </w:rPr>
        <w:t>时间价值、信用风险、其他基本借贷风险以及与成本和利润的对价。例如，提前偿付的金额是否仅</w:t>
      </w:r>
      <w:r>
        <w:rPr>
          <w:spacing w:val="-20"/>
        </w:rPr>
        <w:t> </w:t>
      </w:r>
      <w:r>
        <w:rPr>
          <w:spacing w:val="-20"/>
        </w:rPr>
      </w:r>
      <w:r>
        <w:rPr/>
        <w:t>反映了尚未支付的本金及以未偿付本金为基础的利息，以及因提前终止合同而支付的合理补偿。</w:t>
      </w:r>
      <w:r>
        <w:rPr>
          <w:rFonts w:ascii="宋体" w:hAnsi="宋体" w:cs="宋体" w:eastAsia="宋体" w:hint="default"/>
        </w:rPr>
        <w:t> </w:t>
      </w:r>
    </w:p>
    <w:p>
      <w:pPr>
        <w:pStyle w:val="Heading3"/>
        <w:spacing w:line="229" w:lineRule="exact"/>
        <w:ind w:right="0"/>
        <w:jc w:val="both"/>
        <w:rPr>
          <w:rFonts w:ascii="宋体" w:hAnsi="宋体" w:cs="宋体" w:eastAsia="宋体" w:hint="default"/>
        </w:rPr>
      </w:pPr>
      <w:r>
        <w:rPr>
          <w:rFonts w:ascii="宋体"/>
        </w:rPr>
        <w:t> </w:t>
      </w:r>
    </w:p>
    <w:p>
      <w:pPr>
        <w:pStyle w:val="Heading5"/>
        <w:spacing w:line="290" w:lineRule="auto" w:before="64"/>
        <w:ind w:right="5894"/>
        <w:jc w:val="left"/>
        <w:rPr>
          <w:b w:val="0"/>
          <w:bCs w:val="0"/>
        </w:rPr>
      </w:pPr>
      <w:r>
        <w:rPr>
          <w:rFonts w:ascii="宋体" w:hAnsi="宋体" w:cs="宋体" w:eastAsia="宋体" w:hint="default"/>
        </w:rPr>
        <w:t>44.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Heading3"/>
        <w:spacing w:line="240" w:lineRule="auto" w:before="8"/>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881"/>
        <w:gridCol w:w="2979"/>
        <w:gridCol w:w="2965"/>
      </w:tblGrid>
      <w:tr>
        <w:trPr>
          <w:trHeight w:val="55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3"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28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详见下文</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详见下文</w:t>
            </w:r>
            <w:r>
              <w:rPr>
                <w:rFonts w:ascii="宋体" w:hAnsi="宋体" w:cs="宋体" w:eastAsia="宋体" w:hint="default"/>
                <w:sz w:val="21"/>
                <w:szCs w:val="21"/>
              </w:rPr>
              <w:t> </w:t>
            </w:r>
          </w:p>
        </w:tc>
      </w:tr>
    </w:tbl>
    <w:p>
      <w:pPr>
        <w:pStyle w:val="BodyText"/>
        <w:spacing w:line="241" w:lineRule="exact"/>
        <w:ind w:right="0"/>
        <w:jc w:val="both"/>
      </w:pPr>
      <w:r>
        <w:rPr/>
        <w:t>其他说明</w:t>
      </w:r>
    </w:p>
    <w:p>
      <w:pPr>
        <w:pStyle w:val="BodyText"/>
        <w:spacing w:line="240" w:lineRule="auto" w:before="107"/>
        <w:ind w:left="638" w:right="0"/>
        <w:jc w:val="left"/>
      </w:pPr>
      <w:r>
        <w:rPr/>
        <w:t>财政部于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年颁布了修订后的《企业会计准则第</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租赁》</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新租赁准则</w:t>
      </w:r>
      <w:r>
        <w:rPr>
          <w:rFonts w:ascii="Times New Roman" w:hAnsi="Times New Roman" w:cs="Times New Roman" w:eastAsia="Times New Roman" w:hint="default"/>
        </w:rPr>
        <w:t>”)</w:t>
      </w:r>
      <w:r>
        <w:rPr/>
        <w:t>，</w:t>
      </w:r>
    </w:p>
    <w:p>
      <w:pPr>
        <w:pStyle w:val="BodyText"/>
        <w:spacing w:line="240" w:lineRule="auto" w:before="107"/>
        <w:ind w:right="0"/>
        <w:jc w:val="both"/>
      </w:pPr>
      <w:r>
        <w:rPr/>
        <w:t>并于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年颁布了《关于修订印发</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[2019]6</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及修</w:t>
      </w:r>
    </w:p>
    <w:p>
      <w:pPr>
        <w:pStyle w:val="BodyText"/>
        <w:spacing w:line="240" w:lineRule="auto" w:before="110"/>
        <w:ind w:right="0"/>
        <w:jc w:val="both"/>
      </w:pPr>
      <w:r>
        <w:rPr>
          <w:spacing w:val="-4"/>
        </w:rPr>
        <w:t>订后的《企业会计准则第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非货币性资产交换》</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非货币性资产交换准则</w:t>
      </w:r>
      <w:r>
        <w:rPr>
          <w:rFonts w:ascii="Times New Roman" w:hAnsi="Times New Roman" w:cs="Times New Roman" w:eastAsia="Times New Roman" w:hint="default"/>
          <w:spacing w:val="-3"/>
        </w:rPr>
        <w:t>”)</w:t>
      </w:r>
      <w:r>
        <w:rPr>
          <w:spacing w:val="-3"/>
        </w:rPr>
        <w:t>和《企业</w:t>
      </w:r>
    </w:p>
    <w:p>
      <w:pPr>
        <w:pStyle w:val="BodyText"/>
        <w:spacing w:line="338" w:lineRule="auto" w:before="110"/>
        <w:ind w:right="209"/>
        <w:jc w:val="both"/>
      </w:pPr>
      <w:r>
        <w:rPr>
          <w:spacing w:val="-2"/>
          <w:w w:val="100"/>
        </w:rPr>
        <w:t>会计准则第</w:t>
      </w:r>
      <w:r>
        <w:rPr>
          <w:spacing w:val="-58"/>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5"/>
          <w:w w:val="100"/>
        </w:rPr>
        <w:t> </w:t>
      </w:r>
      <w:r>
        <w:rPr>
          <w:spacing w:val="-7"/>
          <w:w w:val="100"/>
        </w:rPr>
        <w:t>号</w:t>
      </w:r>
      <w:r>
        <w:rPr>
          <w:rFonts w:ascii="Times New Roman" w:hAnsi="Times New Roman" w:cs="Times New Roman" w:eastAsia="Times New Roman" w:hint="default"/>
          <w:spacing w:val="-7"/>
          <w:w w:val="100"/>
        </w:rPr>
        <w:t>——</w:t>
      </w:r>
      <w:r>
        <w:rPr>
          <w:spacing w:val="-7"/>
          <w:w w:val="100"/>
        </w:rPr>
        <w:t>债务重组》</w:t>
      </w:r>
      <w:r>
        <w:rPr>
          <w:rFonts w:ascii="Times New Roman" w:hAnsi="Times New Roman" w:cs="Times New Roman" w:eastAsia="Times New Roman" w:hint="default"/>
          <w:spacing w:val="-7"/>
          <w:w w:val="100"/>
        </w:rPr>
        <w:t>(</w:t>
      </w:r>
      <w:r>
        <w:rPr>
          <w:spacing w:val="-7"/>
          <w:w w:val="100"/>
        </w:rPr>
        <w:t>以下简称</w:t>
      </w:r>
      <w:r>
        <w:rPr>
          <w:rFonts w:ascii="Times New Roman" w:hAnsi="Times New Roman" w:cs="Times New Roman" w:eastAsia="Times New Roman" w:hint="default"/>
          <w:spacing w:val="-7"/>
          <w:w w:val="100"/>
        </w:rPr>
        <w:t>“</w:t>
      </w:r>
      <w:r>
        <w:rPr>
          <w:spacing w:val="-7"/>
          <w:w w:val="100"/>
        </w:rPr>
        <w:t>债务重组准则</w:t>
      </w:r>
      <w:r>
        <w:rPr>
          <w:rFonts w:ascii="Times New Roman" w:hAnsi="Times New Roman" w:cs="Times New Roman" w:eastAsia="Times New Roman" w:hint="default"/>
          <w:spacing w:val="-7"/>
          <w:w w:val="100"/>
        </w:rPr>
        <w:t>”)</w:t>
      </w:r>
      <w:r>
        <w:rPr>
          <w:spacing w:val="-7"/>
          <w:w w:val="100"/>
        </w:rPr>
        <w:t>，本集团已按照上述准则和通知编制</w:t>
      </w:r>
      <w:r>
        <w:rPr>
          <w:spacing w:val="-58"/>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spacing w:val="-2"/>
        </w:rPr>
        <w:t>年度的财务报表。修订后非货币性资产交换准则及债务重组准则对本集团及本公司无显著影响，其</w:t>
      </w:r>
      <w:r>
        <w:rPr>
          <w:spacing w:val="-25"/>
        </w:rPr>
        <w:t> </w:t>
      </w:r>
      <w:r>
        <w:rPr>
          <w:spacing w:val="-25"/>
        </w:rPr>
      </w:r>
      <w:r>
        <w:rPr/>
        <w:t>他修订对本集团及本公司报表的影响列示如下：</w:t>
      </w:r>
    </w:p>
    <w:p>
      <w:pPr>
        <w:pStyle w:val="BodyText"/>
        <w:spacing w:line="240" w:lineRule="auto" w:before="40"/>
        <w:ind w:left="638" w:right="0"/>
        <w:jc w:val="left"/>
      </w:pPr>
      <w:r>
        <w:rPr/>
        <w:t>（</w:t>
      </w:r>
      <w:r>
        <w:rPr>
          <w:rFonts w:ascii="Times New Roman" w:hAnsi="Times New Roman" w:cs="Times New Roman" w:eastAsia="Times New Roman" w:hint="default"/>
        </w:rPr>
        <w:t>a</w:t>
      </w:r>
      <w:r>
        <w:rPr/>
        <w:t>）一般企业报表格式的修改</w:t>
      </w:r>
    </w:p>
    <w:p>
      <w:pPr>
        <w:pStyle w:val="BodyText"/>
        <w:spacing w:line="240" w:lineRule="auto" w:before="107"/>
        <w:ind w:left="638" w:right="0"/>
        <w:jc w:val="left"/>
      </w:pPr>
      <w:r>
        <w:rPr/>
        <w:t>（</w:t>
      </w:r>
      <w:r>
        <w:rPr>
          <w:rFonts w:ascii="Times New Roman" w:hAnsi="Times New Roman" w:cs="Times New Roman" w:eastAsia="Times New Roman" w:hint="default"/>
        </w:rPr>
        <w:t>i</w:t>
      </w:r>
      <w:r>
        <w:rPr/>
        <w:t>）对合并财务报表的影响列示如下：</w:t>
      </w:r>
    </w:p>
    <w:p>
      <w:pPr>
        <w:spacing w:after="0" w:line="240" w:lineRule="auto"/>
        <w:jc w:val="left"/>
        <w:sectPr>
          <w:pgSz w:w="11910" w:h="16840"/>
          <w:pgMar w:header="882" w:footer="974" w:top="1120" w:bottom="1160" w:left="120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649" w:type="dxa"/>
        <w:tblLayout w:type="fixed"/>
        <w:tblCellMar>
          <w:top w:w="0" w:type="dxa"/>
          <w:left w:w="0" w:type="dxa"/>
          <w:bottom w:w="0" w:type="dxa"/>
          <w:right w:w="0" w:type="dxa"/>
        </w:tblCellMar>
        <w:tblLook w:val="01E0"/>
      </w:tblPr>
      <w:tblGrid>
        <w:gridCol w:w="3262"/>
        <w:gridCol w:w="1675"/>
        <w:gridCol w:w="2038"/>
        <w:gridCol w:w="1517"/>
      </w:tblGrid>
      <w:tr>
        <w:trPr>
          <w:trHeight w:val="266" w:hRule="exact"/>
        </w:trPr>
        <w:tc>
          <w:tcPr>
            <w:tcW w:w="326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675" w:type="dxa"/>
            <w:vMerge w:val="restart"/>
            <w:tcBorders>
              <w:top w:val="nil" w:sz="6" w:space="0" w:color="auto"/>
              <w:left w:val="nil" w:sz="6" w:space="0" w:color="auto"/>
              <w:right w:val="nil" w:sz="6" w:space="0" w:color="auto"/>
            </w:tcBorders>
          </w:tcPr>
          <w:p>
            <w:pPr>
              <w:pStyle w:val="TableParagraph"/>
              <w:spacing w:line="211" w:lineRule="exact"/>
              <w:ind w:left="116" w:right="0"/>
              <w:jc w:val="left"/>
              <w:rPr>
                <w:rFonts w:ascii="宋体" w:hAnsi="宋体" w:cs="宋体" w:eastAsia="宋体" w:hint="default"/>
                <w:sz w:val="21"/>
                <w:szCs w:val="21"/>
              </w:rPr>
            </w:pPr>
            <w:r>
              <w:rPr>
                <w:rFonts w:ascii="宋体" w:hAnsi="宋体" w:cs="宋体" w:eastAsia="宋体" w:hint="default"/>
                <w:spacing w:val="6"/>
                <w:sz w:val="21"/>
                <w:szCs w:val="21"/>
              </w:rPr>
              <w:t>受影响的报表项</w:t>
            </w:r>
          </w:p>
          <w:p>
            <w:pPr>
              <w:pStyle w:val="TableParagraph"/>
              <w:spacing w:line="240" w:lineRule="auto" w:before="123"/>
              <w:ind w:left="116" w:right="0"/>
              <w:jc w:val="left"/>
              <w:rPr>
                <w:rFonts w:ascii="宋体" w:hAnsi="宋体" w:cs="宋体" w:eastAsia="宋体" w:hint="default"/>
                <w:sz w:val="21"/>
                <w:szCs w:val="21"/>
              </w:rPr>
            </w:pPr>
            <w:r>
              <w:rPr>
                <w:rFonts w:ascii="宋体" w:hAnsi="宋体" w:cs="宋体" w:eastAsia="宋体" w:hint="default"/>
                <w:sz w:val="21"/>
                <w:szCs w:val="21"/>
              </w:rPr>
              <w:t>目名称</w:t>
            </w:r>
          </w:p>
        </w:tc>
        <w:tc>
          <w:tcPr>
            <w:tcW w:w="3555"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right="84"/>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1054" w:hRule="exact"/>
        </w:trPr>
        <w:tc>
          <w:tcPr>
            <w:tcW w:w="3262" w:type="dxa"/>
            <w:tcBorders>
              <w:top w:val="nil" w:sz="6" w:space="0" w:color="auto"/>
              <w:left w:val="nil" w:sz="6" w:space="0" w:color="auto"/>
              <w:bottom w:val="nil" w:sz="6" w:space="0" w:color="auto"/>
              <w:right w:val="nil" w:sz="6" w:space="0" w:color="auto"/>
            </w:tcBorders>
          </w:tcPr>
          <w:p>
            <w:pPr/>
          </w:p>
        </w:tc>
        <w:tc>
          <w:tcPr>
            <w:tcW w:w="1675" w:type="dxa"/>
            <w:vMerge/>
            <w:tcBorders>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9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40" w:lineRule="auto" w:before="110"/>
              <w:ind w:left="6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67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40" w:lineRule="auto" w:before="110"/>
              <w:ind w:left="56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00" w:hRule="exact"/>
        </w:trPr>
        <w:tc>
          <w:tcPr>
            <w:tcW w:w="3262"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50" w:lineRule="auto"/>
              <w:ind w:left="200" w:right="114"/>
              <w:jc w:val="both"/>
              <w:rPr>
                <w:rFonts w:ascii="宋体" w:hAnsi="宋体" w:cs="宋体" w:eastAsia="宋体" w:hint="default"/>
                <w:sz w:val="21"/>
                <w:szCs w:val="21"/>
              </w:rPr>
            </w:pPr>
            <w:r>
              <w:rPr>
                <w:rFonts w:ascii="宋体" w:hAnsi="宋体" w:cs="宋体" w:eastAsia="宋体" w:hint="default"/>
                <w:spacing w:val="-2"/>
                <w:sz w:val="21"/>
                <w:szCs w:val="21"/>
              </w:rPr>
              <w:t>本集团将以公允价值计量且其变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动计入其他综合收益的应收票据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自应收票据及应收账款重分类至</w:t>
            </w:r>
          </w:p>
          <w:p>
            <w:pPr>
              <w:pStyle w:val="TableParagraph"/>
              <w:spacing w:line="240" w:lineRule="auto" w:before="27"/>
              <w:ind w:left="200" w:right="0"/>
              <w:jc w:val="both"/>
              <w:rPr>
                <w:rFonts w:ascii="宋体" w:hAnsi="宋体" w:cs="宋体" w:eastAsia="宋体" w:hint="default"/>
                <w:sz w:val="21"/>
                <w:szCs w:val="21"/>
              </w:rPr>
            </w:pPr>
            <w:r>
              <w:rPr>
                <w:rFonts w:ascii="宋体" w:hAnsi="宋体" w:cs="宋体" w:eastAsia="宋体" w:hint="default"/>
                <w:sz w:val="21"/>
                <w:szCs w:val="21"/>
              </w:rPr>
              <w:t>应收款项融资项目。</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04" w:right="0"/>
              <w:jc w:val="left"/>
              <w:rPr>
                <w:rFonts w:ascii="Times New Roman" w:hAnsi="Times New Roman" w:cs="Times New Roman" w:eastAsia="Times New Roman" w:hint="default"/>
                <w:sz w:val="21"/>
                <w:szCs w:val="21"/>
              </w:rPr>
            </w:pPr>
            <w:r>
              <w:rPr>
                <w:rFonts w:ascii="Times New Roman"/>
                <w:sz w:val="21"/>
              </w:rPr>
              <w:t>670,396,485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500,421,414</w:t>
            </w:r>
          </w:p>
        </w:tc>
      </w:tr>
      <w:tr>
        <w:trPr>
          <w:trHeight w:val="911" w:hRule="exact"/>
        </w:trPr>
        <w:tc>
          <w:tcPr>
            <w:tcW w:w="3262" w:type="dxa"/>
            <w:vMerge/>
            <w:tcBorders>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400" w:lineRule="atLeast" w:before="100"/>
              <w:ind w:left="375" w:right="454" w:hanging="260"/>
              <w:jc w:val="left"/>
              <w:rPr>
                <w:rFonts w:ascii="宋体" w:hAnsi="宋体" w:cs="宋体" w:eastAsia="宋体" w:hint="default"/>
                <w:sz w:val="21"/>
                <w:szCs w:val="21"/>
              </w:rPr>
            </w:pPr>
            <w:r>
              <w:rPr>
                <w:rFonts w:ascii="宋体" w:hAnsi="宋体" w:cs="宋体" w:eastAsia="宋体" w:hint="default"/>
                <w:sz w:val="21"/>
                <w:szCs w:val="21"/>
              </w:rPr>
              <w:t>应收票据及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应收账款</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544" w:right="0"/>
              <w:jc w:val="left"/>
              <w:rPr>
                <w:rFonts w:ascii="Times New Roman" w:hAnsi="Times New Roman" w:cs="Times New Roman" w:eastAsia="Times New Roman" w:hint="default"/>
                <w:sz w:val="21"/>
                <w:szCs w:val="21"/>
              </w:rPr>
            </w:pPr>
            <w:r>
              <w:rPr>
                <w:rFonts w:ascii="Times New Roman"/>
                <w:sz w:val="21"/>
              </w:rPr>
              <w:t>(670,396,485)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99" w:right="0"/>
              <w:jc w:val="left"/>
              <w:rPr>
                <w:rFonts w:ascii="Times New Roman" w:hAnsi="Times New Roman" w:cs="Times New Roman" w:eastAsia="Times New Roman" w:hint="default"/>
                <w:sz w:val="21"/>
                <w:szCs w:val="21"/>
              </w:rPr>
            </w:pPr>
            <w:r>
              <w:rPr>
                <w:rFonts w:ascii="Times New Roman"/>
                <w:sz w:val="21"/>
              </w:rPr>
              <w:t>(500,421,414)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tbl>
      <w:tblPr>
        <w:tblW w:w="0" w:type="auto"/>
        <w:jc w:val="left"/>
        <w:tblInd w:w="649" w:type="dxa"/>
        <w:tblLayout w:type="fixed"/>
        <w:tblCellMar>
          <w:top w:w="0" w:type="dxa"/>
          <w:left w:w="0" w:type="dxa"/>
          <w:bottom w:w="0" w:type="dxa"/>
          <w:right w:w="0" w:type="dxa"/>
        </w:tblCellMar>
        <w:tblLook w:val="01E0"/>
      </w:tblPr>
      <w:tblGrid>
        <w:gridCol w:w="3240"/>
        <w:gridCol w:w="1663"/>
        <w:gridCol w:w="1994"/>
        <w:gridCol w:w="1772"/>
      </w:tblGrid>
      <w:tr>
        <w:trPr>
          <w:trHeight w:val="317" w:hRule="exact"/>
        </w:trPr>
        <w:tc>
          <w:tcPr>
            <w:tcW w:w="3240" w:type="dxa"/>
            <w:vMerge w:val="restart"/>
            <w:tcBorders>
              <w:top w:val="nil" w:sz="6" w:space="0" w:color="auto"/>
              <w:left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10"/>
                <w:sz w:val="21"/>
                <w:szCs w:val="21"/>
              </w:rPr>
              <w:t>本集团将应收票据及应收账款</w:t>
            </w:r>
          </w:p>
          <w:p>
            <w:pPr>
              <w:pStyle w:val="TableParagraph"/>
              <w:spacing w:line="350" w:lineRule="auto" w:before="123"/>
              <w:ind w:left="200" w:right="136"/>
              <w:jc w:val="left"/>
              <w:rPr>
                <w:rFonts w:ascii="宋体" w:hAnsi="宋体" w:cs="宋体" w:eastAsia="宋体" w:hint="default"/>
                <w:sz w:val="21"/>
                <w:szCs w:val="21"/>
              </w:rPr>
            </w:pPr>
            <w:r>
              <w:rPr>
                <w:rFonts w:ascii="宋体" w:hAnsi="宋体" w:cs="宋体" w:eastAsia="宋体" w:hint="default"/>
                <w:spacing w:val="10"/>
                <w:sz w:val="21"/>
                <w:szCs w:val="21"/>
              </w:rPr>
              <w:t>项目分拆为应收账款和应收票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据项目。</w:t>
            </w:r>
          </w:p>
        </w:tc>
        <w:tc>
          <w:tcPr>
            <w:tcW w:w="1663" w:type="dxa"/>
            <w:tcBorders>
              <w:top w:val="nil" w:sz="6" w:space="0" w:color="auto"/>
              <w:left w:val="nil" w:sz="6" w:space="0" w:color="auto"/>
              <w:bottom w:val="nil" w:sz="6" w:space="0" w:color="auto"/>
              <w:right w:val="nil" w:sz="6" w:space="0" w:color="auto"/>
            </w:tcBorders>
          </w:tcPr>
          <w:p>
            <w:pPr>
              <w:pStyle w:val="TableParagraph"/>
              <w:spacing w:line="211" w:lineRule="exact"/>
              <w:ind w:left="13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4" w:type="dxa"/>
            <w:tcBorders>
              <w:top w:val="nil" w:sz="6" w:space="0" w:color="auto"/>
              <w:left w:val="nil" w:sz="6" w:space="0" w:color="auto"/>
              <w:bottom w:val="nil" w:sz="6" w:space="0" w:color="auto"/>
              <w:right w:val="nil" w:sz="6" w:space="0" w:color="auto"/>
            </w:tcBorders>
          </w:tcPr>
          <w:p>
            <w:pPr>
              <w:pStyle w:val="TableParagraph"/>
              <w:spacing w:line="227" w:lineRule="exact"/>
              <w:ind w:right="287"/>
              <w:jc w:val="right"/>
              <w:rPr>
                <w:rFonts w:ascii="Times New Roman" w:hAnsi="Times New Roman" w:cs="Times New Roman" w:eastAsia="Times New Roman" w:hint="default"/>
                <w:sz w:val="21"/>
                <w:szCs w:val="21"/>
              </w:rPr>
            </w:pPr>
            <w:r>
              <w:rPr>
                <w:rFonts w:ascii="Times New Roman"/>
                <w:spacing w:val="-1"/>
                <w:sz w:val="21"/>
              </w:rPr>
              <w:t>2,068,535,326</w:t>
            </w:r>
          </w:p>
        </w:tc>
        <w:tc>
          <w:tcPr>
            <w:tcW w:w="1772" w:type="dxa"/>
            <w:tcBorders>
              <w:top w:val="nil" w:sz="6" w:space="0" w:color="auto"/>
              <w:left w:val="nil" w:sz="6" w:space="0" w:color="auto"/>
              <w:bottom w:val="nil" w:sz="6" w:space="0" w:color="auto"/>
              <w:right w:val="nil" w:sz="6" w:space="0" w:color="auto"/>
            </w:tcBorders>
          </w:tcPr>
          <w:p>
            <w:pPr>
              <w:pStyle w:val="TableParagraph"/>
              <w:spacing w:line="227" w:lineRule="exact"/>
              <w:ind w:left="265" w:right="0"/>
              <w:jc w:val="left"/>
              <w:rPr>
                <w:rFonts w:ascii="Times New Roman" w:hAnsi="Times New Roman" w:cs="Times New Roman" w:eastAsia="Times New Roman" w:hint="default"/>
                <w:sz w:val="21"/>
                <w:szCs w:val="21"/>
              </w:rPr>
            </w:pPr>
            <w:r>
              <w:rPr>
                <w:rFonts w:ascii="Times New Roman"/>
                <w:sz w:val="21"/>
              </w:rPr>
              <w:t>1,873,364,887</w:t>
            </w:r>
          </w:p>
        </w:tc>
      </w:tr>
      <w:tr>
        <w:trPr>
          <w:trHeight w:val="409" w:hRule="exact"/>
        </w:trPr>
        <w:tc>
          <w:tcPr>
            <w:tcW w:w="3240" w:type="dxa"/>
            <w:vMerge/>
            <w:tcBorders>
              <w:left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87"/>
              <w:jc w:val="right"/>
              <w:rPr>
                <w:rFonts w:ascii="Times New Roman" w:hAnsi="Times New Roman" w:cs="Times New Roman" w:eastAsia="Times New Roman" w:hint="default"/>
                <w:sz w:val="21"/>
                <w:szCs w:val="21"/>
              </w:rPr>
            </w:pPr>
            <w:r>
              <w:rPr>
                <w:rFonts w:ascii="Times New Roman"/>
                <w:spacing w:val="-1"/>
                <w:sz w:val="21"/>
              </w:rPr>
              <w:t>65,198,592</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94"/>
              <w:jc w:val="right"/>
              <w:rPr>
                <w:rFonts w:ascii="Times New Roman" w:hAnsi="Times New Roman" w:cs="Times New Roman" w:eastAsia="Times New Roman" w:hint="default"/>
                <w:sz w:val="21"/>
                <w:szCs w:val="21"/>
              </w:rPr>
            </w:pPr>
            <w:r>
              <w:rPr>
                <w:rFonts w:ascii="Times New Roman"/>
                <w:spacing w:val="-1"/>
                <w:sz w:val="21"/>
              </w:rPr>
              <w:t>91,389,566</w:t>
            </w:r>
          </w:p>
        </w:tc>
      </w:tr>
      <w:tr>
        <w:trPr>
          <w:trHeight w:val="395" w:hRule="exact"/>
        </w:trPr>
        <w:tc>
          <w:tcPr>
            <w:tcW w:w="3240" w:type="dxa"/>
            <w:vMerge/>
            <w:tcBorders>
              <w:left w:val="nil" w:sz="6" w:space="0" w:color="auto"/>
              <w:bottom w:val="nil" w:sz="6" w:space="0" w:color="auto"/>
              <w:right w:val="nil" w:sz="6" w:space="0" w:color="auto"/>
            </w:tcBorders>
          </w:tcPr>
          <w:p>
            <w:pPr/>
          </w:p>
        </w:tc>
        <w:tc>
          <w:tcPr>
            <w:tcW w:w="1663" w:type="dxa"/>
            <w:vMerge w:val="restart"/>
            <w:tcBorders>
              <w:top w:val="nil" w:sz="6" w:space="0" w:color="auto"/>
              <w:left w:val="nil" w:sz="6" w:space="0" w:color="auto"/>
              <w:right w:val="nil" w:sz="6" w:space="0" w:color="auto"/>
            </w:tcBorders>
          </w:tcPr>
          <w:p>
            <w:pPr>
              <w:pStyle w:val="TableParagraph"/>
              <w:spacing w:line="240" w:lineRule="auto" w:before="29"/>
              <w:ind w:left="397" w:right="0" w:hanging="26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40" w:lineRule="auto" w:before="126"/>
              <w:ind w:left="39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94"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21" w:hRule="exact"/>
        </w:trPr>
        <w:tc>
          <w:tcPr>
            <w:tcW w:w="3240" w:type="dxa"/>
            <w:tcBorders>
              <w:top w:val="nil" w:sz="6" w:space="0" w:color="auto"/>
              <w:left w:val="nil" w:sz="6" w:space="0" w:color="auto"/>
              <w:bottom w:val="nil" w:sz="6" w:space="0" w:color="auto"/>
              <w:right w:val="nil" w:sz="6" w:space="0" w:color="auto"/>
            </w:tcBorders>
          </w:tcPr>
          <w:p>
            <w:pPr/>
          </w:p>
        </w:tc>
        <w:tc>
          <w:tcPr>
            <w:tcW w:w="1663" w:type="dxa"/>
            <w:vMerge/>
            <w:tcBorders>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9"/>
              <w:jc w:val="right"/>
              <w:rPr>
                <w:rFonts w:ascii="Times New Roman" w:hAnsi="Times New Roman" w:cs="Times New Roman" w:eastAsia="Times New Roman" w:hint="default"/>
                <w:sz w:val="21"/>
                <w:szCs w:val="21"/>
              </w:rPr>
            </w:pPr>
            <w:r>
              <w:rPr>
                <w:rFonts w:ascii="Times New Roman"/>
                <w:spacing w:val="-1"/>
                <w:sz w:val="21"/>
              </w:rPr>
              <w:t>(2,133,733,918)</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8"/>
              <w:jc w:val="right"/>
              <w:rPr>
                <w:rFonts w:ascii="Times New Roman" w:hAnsi="Times New Roman" w:cs="Times New Roman" w:eastAsia="Times New Roman" w:hint="default"/>
                <w:sz w:val="21"/>
                <w:szCs w:val="21"/>
              </w:rPr>
            </w:pPr>
            <w:r>
              <w:rPr>
                <w:rFonts w:ascii="Times New Roman"/>
                <w:spacing w:val="-1"/>
                <w:sz w:val="21"/>
              </w:rPr>
              <w:t>(1,964,754,453)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tbl>
      <w:tblPr>
        <w:tblW w:w="0" w:type="auto"/>
        <w:jc w:val="left"/>
        <w:tblInd w:w="634" w:type="dxa"/>
        <w:tblLayout w:type="fixed"/>
        <w:tblCellMar>
          <w:top w:w="0" w:type="dxa"/>
          <w:left w:w="0" w:type="dxa"/>
          <w:bottom w:w="0" w:type="dxa"/>
          <w:right w:w="0" w:type="dxa"/>
        </w:tblCellMar>
        <w:tblLook w:val="01E0"/>
      </w:tblPr>
      <w:tblGrid>
        <w:gridCol w:w="3247"/>
        <w:gridCol w:w="1661"/>
        <w:gridCol w:w="2003"/>
        <w:gridCol w:w="1772"/>
      </w:tblGrid>
      <w:tr>
        <w:trPr>
          <w:trHeight w:val="317" w:hRule="exact"/>
        </w:trPr>
        <w:tc>
          <w:tcPr>
            <w:tcW w:w="3247" w:type="dxa"/>
            <w:vMerge w:val="restart"/>
            <w:tcBorders>
              <w:top w:val="nil" w:sz="6" w:space="0" w:color="auto"/>
              <w:left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11"/>
                <w:sz w:val="21"/>
                <w:szCs w:val="21"/>
              </w:rPr>
              <w:t>本集团将应付票据及应付账款</w:t>
            </w:r>
            <w:r>
              <w:rPr>
                <w:rFonts w:ascii="宋体" w:hAnsi="宋体" w:cs="宋体" w:eastAsia="宋体" w:hint="default"/>
                <w:sz w:val="21"/>
                <w:szCs w:val="21"/>
              </w:rPr>
            </w:r>
          </w:p>
          <w:p>
            <w:pPr>
              <w:pStyle w:val="TableParagraph"/>
              <w:spacing w:line="350" w:lineRule="auto" w:before="126"/>
              <w:ind w:left="200" w:right="143"/>
              <w:jc w:val="left"/>
              <w:rPr>
                <w:rFonts w:ascii="宋体" w:hAnsi="宋体" w:cs="宋体" w:eastAsia="宋体" w:hint="default"/>
                <w:sz w:val="21"/>
                <w:szCs w:val="21"/>
              </w:rPr>
            </w:pPr>
            <w:r>
              <w:rPr>
                <w:rFonts w:ascii="宋体" w:hAnsi="宋体" w:cs="宋体" w:eastAsia="宋体" w:hint="default"/>
                <w:spacing w:val="11"/>
                <w:sz w:val="21"/>
                <w:szCs w:val="21"/>
              </w:rPr>
              <w:t>项目分拆为应付账款和应付票</w:t>
            </w:r>
            <w:r>
              <w:rPr>
                <w:rFonts w:ascii="宋体" w:hAnsi="宋体" w:cs="宋体" w:eastAsia="宋体" w:hint="default"/>
                <w:spacing w:val="-77"/>
                <w:sz w:val="21"/>
                <w:szCs w:val="21"/>
              </w:rPr>
              <w:t> </w:t>
            </w:r>
            <w:r>
              <w:rPr>
                <w:rFonts w:ascii="宋体" w:hAnsi="宋体" w:cs="宋体" w:eastAsia="宋体" w:hint="default"/>
                <w:sz w:val="21"/>
                <w:szCs w:val="21"/>
              </w:rPr>
              <w:t>据项目。</w:t>
            </w:r>
          </w:p>
        </w:tc>
        <w:tc>
          <w:tcPr>
            <w:tcW w:w="1661" w:type="dxa"/>
            <w:tcBorders>
              <w:top w:val="nil" w:sz="6" w:space="0" w:color="auto"/>
              <w:left w:val="nil" w:sz="6" w:space="0" w:color="auto"/>
              <w:bottom w:val="nil" w:sz="6" w:space="0" w:color="auto"/>
              <w:right w:val="nil" w:sz="6" w:space="0" w:color="auto"/>
            </w:tcBorders>
          </w:tcPr>
          <w:p>
            <w:pPr>
              <w:pStyle w:val="TableParagraph"/>
              <w:spacing w:line="211" w:lineRule="exact"/>
              <w:ind w:left="14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3" w:type="dxa"/>
            <w:tcBorders>
              <w:top w:val="nil" w:sz="6" w:space="0" w:color="auto"/>
              <w:left w:val="nil" w:sz="6" w:space="0" w:color="auto"/>
              <w:bottom w:val="nil" w:sz="6" w:space="0" w:color="auto"/>
              <w:right w:val="nil" w:sz="6" w:space="0" w:color="auto"/>
            </w:tcBorders>
          </w:tcPr>
          <w:p>
            <w:pPr>
              <w:pStyle w:val="TableParagraph"/>
              <w:spacing w:line="227" w:lineRule="exact"/>
              <w:ind w:right="287"/>
              <w:jc w:val="right"/>
              <w:rPr>
                <w:rFonts w:ascii="Times New Roman" w:hAnsi="Times New Roman" w:cs="Times New Roman" w:eastAsia="Times New Roman" w:hint="default"/>
                <w:sz w:val="21"/>
                <w:szCs w:val="21"/>
              </w:rPr>
            </w:pPr>
            <w:r>
              <w:rPr>
                <w:rFonts w:ascii="Times New Roman"/>
                <w:spacing w:val="-1"/>
                <w:sz w:val="21"/>
              </w:rPr>
              <w:t>1,581,607,319</w:t>
            </w:r>
          </w:p>
        </w:tc>
        <w:tc>
          <w:tcPr>
            <w:tcW w:w="1772" w:type="dxa"/>
            <w:tcBorders>
              <w:top w:val="nil" w:sz="6" w:space="0" w:color="auto"/>
              <w:left w:val="nil" w:sz="6" w:space="0" w:color="auto"/>
              <w:bottom w:val="nil" w:sz="6" w:space="0" w:color="auto"/>
              <w:right w:val="nil" w:sz="6" w:space="0" w:color="auto"/>
            </w:tcBorders>
          </w:tcPr>
          <w:p>
            <w:pPr>
              <w:pStyle w:val="TableParagraph"/>
              <w:spacing w:line="227" w:lineRule="exact"/>
              <w:ind w:left="272" w:right="0"/>
              <w:jc w:val="left"/>
              <w:rPr>
                <w:rFonts w:ascii="Times New Roman" w:hAnsi="Times New Roman" w:cs="Times New Roman" w:eastAsia="Times New Roman" w:hint="default"/>
                <w:sz w:val="21"/>
                <w:szCs w:val="21"/>
              </w:rPr>
            </w:pPr>
            <w:r>
              <w:rPr>
                <w:rFonts w:ascii="Times New Roman"/>
                <w:sz w:val="21"/>
              </w:rPr>
              <w:t>1,517,605,961</w:t>
            </w:r>
          </w:p>
        </w:tc>
      </w:tr>
      <w:tr>
        <w:trPr>
          <w:trHeight w:val="410" w:hRule="exact"/>
        </w:trPr>
        <w:tc>
          <w:tcPr>
            <w:tcW w:w="3247" w:type="dxa"/>
            <w:vMerge/>
            <w:tcBorders>
              <w:left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87"/>
              <w:jc w:val="right"/>
              <w:rPr>
                <w:rFonts w:ascii="Times New Roman" w:hAnsi="Times New Roman" w:cs="Times New Roman" w:eastAsia="Times New Roman" w:hint="default"/>
                <w:sz w:val="21"/>
                <w:szCs w:val="21"/>
              </w:rPr>
            </w:pPr>
            <w:r>
              <w:rPr>
                <w:rFonts w:ascii="Times New Roman"/>
                <w:spacing w:val="-1"/>
                <w:sz w:val="21"/>
              </w:rPr>
              <w:t>957,024,876</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8" w:right="0"/>
              <w:jc w:val="left"/>
              <w:rPr>
                <w:rFonts w:ascii="Times New Roman" w:hAnsi="Times New Roman" w:cs="Times New Roman" w:eastAsia="Times New Roman" w:hint="default"/>
                <w:sz w:val="21"/>
                <w:szCs w:val="21"/>
              </w:rPr>
            </w:pPr>
            <w:r>
              <w:rPr>
                <w:rFonts w:ascii="Times New Roman"/>
                <w:sz w:val="21"/>
              </w:rPr>
              <w:t>882,183,561</w:t>
            </w:r>
          </w:p>
        </w:tc>
      </w:tr>
      <w:tr>
        <w:trPr>
          <w:trHeight w:val="396" w:hRule="exact"/>
        </w:trPr>
        <w:tc>
          <w:tcPr>
            <w:tcW w:w="3247" w:type="dxa"/>
            <w:vMerge/>
            <w:tcBorders>
              <w:left w:val="nil" w:sz="6" w:space="0" w:color="auto"/>
              <w:bottom w:val="nil" w:sz="6" w:space="0" w:color="auto"/>
              <w:right w:val="nil" w:sz="6" w:space="0" w:color="auto"/>
            </w:tcBorders>
          </w:tcPr>
          <w:p>
            <w:pPr/>
          </w:p>
        </w:tc>
        <w:tc>
          <w:tcPr>
            <w:tcW w:w="1661" w:type="dxa"/>
            <w:vMerge w:val="restart"/>
            <w:tcBorders>
              <w:top w:val="nil" w:sz="6" w:space="0" w:color="auto"/>
              <w:left w:val="nil" w:sz="6" w:space="0" w:color="auto"/>
              <w:right w:val="nil" w:sz="6" w:space="0" w:color="auto"/>
            </w:tcBorders>
          </w:tcPr>
          <w:p>
            <w:pPr>
              <w:pStyle w:val="TableParagraph"/>
              <w:spacing w:line="240" w:lineRule="auto" w:before="30"/>
              <w:ind w:left="387" w:right="0" w:hanging="243"/>
              <w:jc w:val="left"/>
              <w:rPr>
                <w:rFonts w:ascii="宋体" w:hAnsi="宋体" w:cs="宋体" w:eastAsia="宋体" w:hint="default"/>
                <w:sz w:val="21"/>
                <w:szCs w:val="21"/>
              </w:rPr>
            </w:pPr>
            <w:r>
              <w:rPr>
                <w:rFonts w:ascii="宋体" w:hAnsi="宋体" w:cs="宋体" w:eastAsia="宋体" w:hint="default"/>
                <w:sz w:val="21"/>
                <w:szCs w:val="21"/>
              </w:rPr>
              <w:t>应付票据及</w:t>
            </w:r>
          </w:p>
          <w:p>
            <w:pPr>
              <w:pStyle w:val="TableParagraph"/>
              <w:spacing w:line="240" w:lineRule="auto" w:before="126"/>
              <w:ind w:left="38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22" w:hRule="exact"/>
        </w:trPr>
        <w:tc>
          <w:tcPr>
            <w:tcW w:w="3247" w:type="dxa"/>
            <w:tcBorders>
              <w:top w:val="nil" w:sz="6" w:space="0" w:color="auto"/>
              <w:left w:val="nil" w:sz="6" w:space="0" w:color="auto"/>
              <w:bottom w:val="nil" w:sz="6" w:space="0" w:color="auto"/>
              <w:right w:val="nil" w:sz="6" w:space="0" w:color="auto"/>
            </w:tcBorders>
          </w:tcPr>
          <w:p>
            <w:pPr/>
          </w:p>
        </w:tc>
        <w:tc>
          <w:tcPr>
            <w:tcW w:w="1661" w:type="dxa"/>
            <w:vMerge/>
            <w:tcBorders>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9"/>
              <w:jc w:val="right"/>
              <w:rPr>
                <w:rFonts w:ascii="Times New Roman" w:hAnsi="Times New Roman" w:cs="Times New Roman" w:eastAsia="Times New Roman" w:hint="default"/>
                <w:sz w:val="21"/>
                <w:szCs w:val="21"/>
              </w:rPr>
            </w:pPr>
            <w:r>
              <w:rPr>
                <w:rFonts w:ascii="Times New Roman"/>
                <w:spacing w:val="-1"/>
                <w:sz w:val="21"/>
              </w:rPr>
              <w:t>(2,538,632,195)</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1" w:right="0"/>
              <w:jc w:val="left"/>
              <w:rPr>
                <w:rFonts w:ascii="Times New Roman" w:hAnsi="Times New Roman" w:cs="Times New Roman" w:eastAsia="Times New Roman" w:hint="default"/>
                <w:sz w:val="21"/>
                <w:szCs w:val="21"/>
              </w:rPr>
            </w:pPr>
            <w:r>
              <w:rPr>
                <w:rFonts w:ascii="Times New Roman"/>
                <w:sz w:val="21"/>
              </w:rPr>
              <w:t>(2,399,789,522)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6"/>
        <w:ind w:left="558" w:right="0"/>
        <w:jc w:val="left"/>
      </w:pPr>
      <w:r>
        <w:rPr/>
        <w:t>（</w:t>
      </w:r>
      <w:r>
        <w:rPr>
          <w:rFonts w:ascii="Times New Roman" w:hAnsi="Times New Roman" w:cs="Times New Roman" w:eastAsia="Times New Roman" w:hint="default"/>
        </w:rPr>
        <w:t>ii</w:t>
      </w:r>
      <w:r>
        <w:rPr/>
        <w:t>）对公司财务报表的影响列示如下：</w:t>
      </w:r>
    </w:p>
    <w:p>
      <w:pPr>
        <w:spacing w:line="240" w:lineRule="auto" w:before="4"/>
        <w:rPr>
          <w:rFonts w:ascii="宋体" w:hAnsi="宋体" w:cs="宋体" w:eastAsia="宋体" w:hint="default"/>
          <w:sz w:val="13"/>
          <w:szCs w:val="13"/>
        </w:rPr>
      </w:pPr>
    </w:p>
    <w:tbl>
      <w:tblPr>
        <w:tblW w:w="0" w:type="auto"/>
        <w:jc w:val="left"/>
        <w:tblInd w:w="649" w:type="dxa"/>
        <w:tblLayout w:type="fixed"/>
        <w:tblCellMar>
          <w:top w:w="0" w:type="dxa"/>
          <w:left w:w="0" w:type="dxa"/>
          <w:bottom w:w="0" w:type="dxa"/>
          <w:right w:w="0" w:type="dxa"/>
        </w:tblCellMar>
        <w:tblLook w:val="01E0"/>
      </w:tblPr>
      <w:tblGrid>
        <w:gridCol w:w="3029"/>
        <w:gridCol w:w="1881"/>
        <w:gridCol w:w="2129"/>
        <w:gridCol w:w="1426"/>
      </w:tblGrid>
      <w:tr>
        <w:trPr>
          <w:trHeight w:val="266"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bookmarkStart w:name="newtable_2.00_37.00" w:id="18"/>
            <w:bookmarkEnd w:id="18"/>
            <w:r>
              <w:rPr/>
            </w:r>
            <w:r>
              <w:rPr>
                <w:rFonts w:ascii="宋体" w:hAnsi="宋体" w:cs="宋体" w:eastAsia="宋体" w:hint="default"/>
                <w:sz w:val="21"/>
                <w:szCs w:val="21"/>
              </w:rPr>
              <w:t>会计政策变更的内容和原因</w:t>
            </w:r>
          </w:p>
        </w:tc>
        <w:tc>
          <w:tcPr>
            <w:tcW w:w="1881" w:type="dxa"/>
            <w:vMerge w:val="restart"/>
            <w:tcBorders>
              <w:top w:val="nil" w:sz="6" w:space="0" w:color="auto"/>
              <w:left w:val="nil" w:sz="6" w:space="0" w:color="auto"/>
              <w:right w:val="nil" w:sz="6" w:space="0" w:color="auto"/>
            </w:tcBorders>
          </w:tcPr>
          <w:p>
            <w:pPr>
              <w:pStyle w:val="TableParagraph"/>
              <w:spacing w:line="211" w:lineRule="exact"/>
              <w:ind w:left="306"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64"/>
                <w:sz w:val="21"/>
                <w:szCs w:val="21"/>
              </w:rPr>
              <w:t> </w:t>
            </w:r>
            <w:r>
              <w:rPr>
                <w:rFonts w:ascii="宋体" w:hAnsi="宋体" w:cs="宋体" w:eastAsia="宋体" w:hint="default"/>
                <w:sz w:val="21"/>
                <w:szCs w:val="21"/>
              </w:rPr>
              <w:t>影</w:t>
            </w:r>
            <w:r>
              <w:rPr>
                <w:rFonts w:ascii="宋体" w:hAnsi="宋体" w:cs="宋体" w:eastAsia="宋体" w:hint="default"/>
                <w:spacing w:val="-64"/>
                <w:sz w:val="21"/>
                <w:szCs w:val="21"/>
              </w:rPr>
              <w:t> </w:t>
            </w:r>
            <w:r>
              <w:rPr>
                <w:rFonts w:ascii="宋体" w:hAnsi="宋体" w:cs="宋体" w:eastAsia="宋体" w:hint="default"/>
                <w:sz w:val="21"/>
                <w:szCs w:val="21"/>
              </w:rPr>
              <w:t>响</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表</w:t>
            </w:r>
          </w:p>
          <w:p>
            <w:pPr>
              <w:pStyle w:val="TableParagraph"/>
              <w:spacing w:line="240" w:lineRule="auto" w:before="123"/>
              <w:ind w:left="30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129" w:type="dxa"/>
            <w:tcBorders>
              <w:top w:val="nil" w:sz="6" w:space="0" w:color="auto"/>
              <w:left w:val="nil" w:sz="6" w:space="0" w:color="auto"/>
              <w:bottom w:val="single" w:sz="4" w:space="0" w:color="000000"/>
              <w:right w:val="nil" w:sz="6" w:space="0" w:color="auto"/>
            </w:tcBorders>
          </w:tcPr>
          <w:p>
            <w:pPr>
              <w:pStyle w:val="TableParagraph"/>
              <w:spacing w:line="211" w:lineRule="exact"/>
              <w:ind w:left="1310" w:right="-24"/>
              <w:jc w:val="left"/>
              <w:rPr>
                <w:rFonts w:ascii="宋体" w:hAnsi="宋体" w:cs="宋体" w:eastAsia="宋体" w:hint="default"/>
                <w:sz w:val="21"/>
                <w:szCs w:val="21"/>
              </w:rPr>
            </w:pPr>
            <w:r>
              <w:rPr>
                <w:rFonts w:ascii="宋体" w:hAnsi="宋体" w:cs="宋体" w:eastAsia="宋体" w:hint="default"/>
                <w:spacing w:val="-1"/>
                <w:sz w:val="21"/>
                <w:szCs w:val="21"/>
              </w:rPr>
              <w:t>影响金额</w:t>
            </w:r>
          </w:p>
        </w:tc>
        <w:tc>
          <w:tcPr>
            <w:tcW w:w="1426" w:type="dxa"/>
            <w:tcBorders>
              <w:top w:val="nil" w:sz="6" w:space="0" w:color="auto"/>
              <w:left w:val="nil" w:sz="6" w:space="0" w:color="auto"/>
              <w:bottom w:val="single" w:sz="4" w:space="0" w:color="000000"/>
              <w:right w:val="nil" w:sz="6" w:space="0" w:color="auto"/>
            </w:tcBorders>
          </w:tcPr>
          <w:p>
            <w:pPr/>
          </w:p>
        </w:tc>
      </w:tr>
      <w:tr>
        <w:trPr>
          <w:trHeight w:val="766" w:hRule="exact"/>
        </w:trPr>
        <w:tc>
          <w:tcPr>
            <w:tcW w:w="3029" w:type="dxa"/>
            <w:tcBorders>
              <w:top w:val="nil" w:sz="6" w:space="0" w:color="auto"/>
              <w:left w:val="nil" w:sz="6" w:space="0" w:color="auto"/>
              <w:bottom w:val="nil" w:sz="6" w:space="0" w:color="auto"/>
              <w:right w:val="nil" w:sz="6" w:space="0" w:color="auto"/>
            </w:tcBorders>
          </w:tcPr>
          <w:p>
            <w:pPr/>
          </w:p>
        </w:tc>
        <w:tc>
          <w:tcPr>
            <w:tcW w:w="1881" w:type="dxa"/>
            <w:vMerge/>
            <w:tcBorders>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9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40" w:lineRule="auto" w:before="107"/>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45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40" w:lineRule="auto" w:before="107"/>
              <w:ind w:left="35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tbl>
      <w:tblPr>
        <w:tblW w:w="0" w:type="auto"/>
        <w:jc w:val="left"/>
        <w:tblInd w:w="649" w:type="dxa"/>
        <w:tblLayout w:type="fixed"/>
        <w:tblCellMar>
          <w:top w:w="0" w:type="dxa"/>
          <w:left w:w="0" w:type="dxa"/>
          <w:bottom w:w="0" w:type="dxa"/>
          <w:right w:w="0" w:type="dxa"/>
        </w:tblCellMar>
        <w:tblLook w:val="01E0"/>
      </w:tblPr>
      <w:tblGrid>
        <w:gridCol w:w="3216"/>
        <w:gridCol w:w="1795"/>
        <w:gridCol w:w="1908"/>
        <w:gridCol w:w="1697"/>
      </w:tblGrid>
      <w:tr>
        <w:trPr>
          <w:trHeight w:val="511" w:hRule="exact"/>
        </w:trPr>
        <w:tc>
          <w:tcPr>
            <w:tcW w:w="3216" w:type="dxa"/>
            <w:vMerge w:val="restart"/>
            <w:tcBorders>
              <w:top w:val="nil" w:sz="6" w:space="0" w:color="auto"/>
              <w:left w:val="nil" w:sz="6" w:space="0" w:color="auto"/>
              <w:right w:val="nil" w:sz="6" w:space="0" w:color="auto"/>
            </w:tcBorders>
          </w:tcPr>
          <w:p>
            <w:pPr>
              <w:pStyle w:val="TableParagraph"/>
              <w:spacing w:line="211" w:lineRule="exact"/>
              <w:ind w:left="200" w:right="0"/>
              <w:jc w:val="both"/>
              <w:rPr>
                <w:rFonts w:ascii="宋体" w:hAnsi="宋体" w:cs="宋体" w:eastAsia="宋体" w:hint="default"/>
                <w:sz w:val="21"/>
                <w:szCs w:val="21"/>
              </w:rPr>
            </w:pPr>
            <w:bookmarkStart w:name="newtable_2.00_38.00" w:id="19"/>
            <w:bookmarkEnd w:id="19"/>
            <w:r>
              <w:rPr/>
            </w:r>
            <w:r>
              <w:rPr>
                <w:rFonts w:ascii="宋体" w:hAnsi="宋体" w:cs="宋体" w:eastAsia="宋体" w:hint="default"/>
                <w:spacing w:val="10"/>
                <w:sz w:val="21"/>
                <w:szCs w:val="21"/>
              </w:rPr>
              <w:t>本公司将以公允价值计量且其</w:t>
            </w:r>
          </w:p>
          <w:p>
            <w:pPr>
              <w:pStyle w:val="TableParagraph"/>
              <w:spacing w:line="350" w:lineRule="auto" w:before="123"/>
              <w:ind w:left="200" w:right="117"/>
              <w:jc w:val="both"/>
              <w:rPr>
                <w:rFonts w:ascii="宋体" w:hAnsi="宋体" w:cs="宋体" w:eastAsia="宋体" w:hint="default"/>
                <w:sz w:val="21"/>
                <w:szCs w:val="21"/>
              </w:rPr>
            </w:pPr>
            <w:r>
              <w:rPr>
                <w:rFonts w:ascii="宋体" w:hAnsi="宋体" w:cs="宋体" w:eastAsia="宋体" w:hint="default"/>
                <w:spacing w:val="10"/>
                <w:sz w:val="21"/>
                <w:szCs w:val="21"/>
              </w:rPr>
              <w:t>变动计入其他综合收益的应收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0"/>
                <w:sz w:val="21"/>
                <w:szCs w:val="21"/>
              </w:rPr>
              <w:t>票据自应收票据及应收账款重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分类至应收款项融资项目。</w:t>
            </w:r>
          </w:p>
        </w:tc>
        <w:tc>
          <w:tcPr>
            <w:tcW w:w="1795" w:type="dxa"/>
            <w:tcBorders>
              <w:top w:val="nil" w:sz="6" w:space="0" w:color="auto"/>
              <w:left w:val="nil" w:sz="6" w:space="0" w:color="auto"/>
              <w:bottom w:val="nil" w:sz="6" w:space="0" w:color="auto"/>
              <w:right w:val="nil" w:sz="6" w:space="0" w:color="auto"/>
            </w:tcBorders>
          </w:tcPr>
          <w:p>
            <w:pPr>
              <w:pStyle w:val="TableParagraph"/>
              <w:spacing w:line="211" w:lineRule="exact"/>
              <w:ind w:left="119"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908" w:type="dxa"/>
            <w:tcBorders>
              <w:top w:val="nil" w:sz="6" w:space="0" w:color="auto"/>
              <w:left w:val="nil" w:sz="6" w:space="0" w:color="auto"/>
              <w:bottom w:val="nil" w:sz="6" w:space="0" w:color="auto"/>
              <w:right w:val="nil" w:sz="6" w:space="0" w:color="auto"/>
            </w:tcBorders>
          </w:tcPr>
          <w:p>
            <w:pPr>
              <w:pStyle w:val="TableParagraph"/>
              <w:spacing w:line="227" w:lineRule="exact"/>
              <w:ind w:left="482" w:right="0"/>
              <w:jc w:val="left"/>
              <w:rPr>
                <w:rFonts w:ascii="Times New Roman" w:hAnsi="Times New Roman" w:cs="Times New Roman" w:eastAsia="Times New Roman" w:hint="default"/>
                <w:sz w:val="21"/>
                <w:szCs w:val="21"/>
              </w:rPr>
            </w:pPr>
            <w:r>
              <w:rPr>
                <w:rFonts w:ascii="Times New Roman"/>
                <w:sz w:val="21"/>
              </w:rPr>
              <w:t>357,958,050</w:t>
            </w:r>
          </w:p>
        </w:tc>
        <w:tc>
          <w:tcPr>
            <w:tcW w:w="1697" w:type="dxa"/>
            <w:tcBorders>
              <w:top w:val="nil" w:sz="6" w:space="0" w:color="auto"/>
              <w:left w:val="nil" w:sz="6" w:space="0" w:color="auto"/>
              <w:bottom w:val="nil" w:sz="6" w:space="0" w:color="auto"/>
              <w:right w:val="nil" w:sz="6" w:space="0" w:color="auto"/>
            </w:tcBorders>
          </w:tcPr>
          <w:p>
            <w:pPr>
              <w:pStyle w:val="TableParagraph"/>
              <w:spacing w:line="227" w:lineRule="exact"/>
              <w:ind w:left="64" w:right="0"/>
              <w:jc w:val="center"/>
              <w:rPr>
                <w:rFonts w:ascii="Times New Roman" w:hAnsi="Times New Roman" w:cs="Times New Roman" w:eastAsia="Times New Roman" w:hint="default"/>
                <w:sz w:val="21"/>
                <w:szCs w:val="21"/>
              </w:rPr>
            </w:pPr>
            <w:r>
              <w:rPr>
                <w:rFonts w:ascii="Times New Roman"/>
                <w:sz w:val="21"/>
              </w:rPr>
              <w:t>182,824,549</w:t>
            </w:r>
          </w:p>
        </w:tc>
      </w:tr>
      <w:tr>
        <w:trPr>
          <w:trHeight w:val="1200" w:hRule="exact"/>
        </w:trPr>
        <w:tc>
          <w:tcPr>
            <w:tcW w:w="3216" w:type="dxa"/>
            <w:vMerge/>
            <w:tcBorders>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50" w:lineRule="auto"/>
              <w:ind w:left="378" w:right="571" w:hanging="260"/>
              <w:jc w:val="left"/>
              <w:rPr>
                <w:rFonts w:ascii="宋体" w:hAnsi="宋体" w:cs="宋体" w:eastAsia="宋体" w:hint="default"/>
                <w:sz w:val="21"/>
                <w:szCs w:val="21"/>
              </w:rPr>
            </w:pPr>
            <w:r>
              <w:rPr>
                <w:rFonts w:ascii="宋体" w:hAnsi="宋体" w:cs="宋体" w:eastAsia="宋体" w:hint="default"/>
                <w:sz w:val="21"/>
                <w:szCs w:val="21"/>
              </w:rPr>
              <w:t>应收票据及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应收账款</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99"/>
              <w:jc w:val="right"/>
              <w:rPr>
                <w:rFonts w:ascii="Times New Roman" w:hAnsi="Times New Roman" w:cs="Times New Roman" w:eastAsia="Times New Roman" w:hint="default"/>
                <w:sz w:val="21"/>
                <w:szCs w:val="21"/>
              </w:rPr>
            </w:pPr>
            <w:r>
              <w:rPr>
                <w:rFonts w:ascii="Times New Roman"/>
                <w:spacing w:val="-1"/>
                <w:sz w:val="21"/>
              </w:rPr>
              <w:t>(357,958,050)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69" w:right="0"/>
              <w:jc w:val="center"/>
              <w:rPr>
                <w:rFonts w:ascii="Times New Roman" w:hAnsi="Times New Roman" w:cs="Times New Roman" w:eastAsia="Times New Roman" w:hint="default"/>
                <w:sz w:val="21"/>
                <w:szCs w:val="21"/>
              </w:rPr>
            </w:pPr>
            <w:r>
              <w:rPr>
                <w:rFonts w:ascii="Times New Roman"/>
                <w:sz w:val="21"/>
              </w:rPr>
              <w:t>(182,824,549)</w:t>
            </w:r>
          </w:p>
        </w:tc>
      </w:tr>
      <w:tr>
        <w:trPr>
          <w:trHeight w:val="600" w:hRule="exact"/>
        </w:trPr>
        <w:tc>
          <w:tcPr>
            <w:tcW w:w="3216"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348" w:lineRule="auto"/>
              <w:ind w:left="200" w:right="146"/>
              <w:jc w:val="both"/>
              <w:rPr>
                <w:rFonts w:ascii="宋体" w:hAnsi="宋体" w:cs="宋体" w:eastAsia="宋体" w:hint="default"/>
                <w:sz w:val="21"/>
                <w:szCs w:val="21"/>
              </w:rPr>
            </w:pPr>
            <w:r>
              <w:rPr>
                <w:rFonts w:ascii="宋体" w:hAnsi="宋体" w:cs="宋体" w:eastAsia="宋体" w:hint="default"/>
                <w:spacing w:val="8"/>
                <w:sz w:val="21"/>
                <w:szCs w:val="21"/>
              </w:rPr>
              <w:t>本公司将应收票据及应收账款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8"/>
                <w:sz w:val="21"/>
                <w:szCs w:val="21"/>
              </w:rPr>
              <w:t>项目分拆为应收账款和应收票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据项目。</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82" w:right="0"/>
              <w:jc w:val="left"/>
              <w:rPr>
                <w:rFonts w:ascii="Times New Roman" w:hAnsi="Times New Roman" w:cs="Times New Roman" w:eastAsia="Times New Roman" w:hint="default"/>
                <w:sz w:val="21"/>
                <w:szCs w:val="21"/>
              </w:rPr>
            </w:pPr>
            <w:r>
              <w:rPr>
                <w:rFonts w:ascii="Times New Roman"/>
                <w:sz w:val="21"/>
              </w:rPr>
              <w:t>726,398,006</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956,905,662</w:t>
            </w:r>
          </w:p>
        </w:tc>
      </w:tr>
      <w:tr>
        <w:trPr>
          <w:trHeight w:val="400" w:hRule="exact"/>
        </w:trPr>
        <w:tc>
          <w:tcPr>
            <w:tcW w:w="3216" w:type="dxa"/>
            <w:vMerge/>
            <w:tcBorders>
              <w:left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71"/>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9" w:right="0"/>
              <w:jc w:val="center"/>
              <w:rPr>
                <w:rFonts w:ascii="Times New Roman" w:hAnsi="Times New Roman" w:cs="Times New Roman" w:eastAsia="Times New Roman" w:hint="default"/>
                <w:sz w:val="21"/>
                <w:szCs w:val="21"/>
              </w:rPr>
            </w:pPr>
            <w:r>
              <w:rPr>
                <w:rFonts w:ascii="Times New Roman"/>
                <w:sz w:val="21"/>
              </w:rPr>
              <w:t>24,610,000</w:t>
            </w:r>
          </w:p>
        </w:tc>
      </w:tr>
      <w:tr>
        <w:trPr>
          <w:trHeight w:val="400" w:hRule="exact"/>
        </w:trPr>
        <w:tc>
          <w:tcPr>
            <w:tcW w:w="3216" w:type="dxa"/>
            <w:vMerge/>
            <w:tcBorders>
              <w:left w:val="nil" w:sz="6" w:space="0" w:color="auto"/>
              <w:bottom w:val="nil" w:sz="6" w:space="0" w:color="auto"/>
              <w:right w:val="nil" w:sz="6" w:space="0" w:color="auto"/>
            </w:tcBorders>
          </w:tcPr>
          <w:p>
            <w:pPr/>
          </w:p>
        </w:tc>
        <w:tc>
          <w:tcPr>
            <w:tcW w:w="1795" w:type="dxa"/>
            <w:vMerge w:val="restart"/>
            <w:tcBorders>
              <w:top w:val="nil" w:sz="6" w:space="0" w:color="auto"/>
              <w:left w:val="nil" w:sz="6" w:space="0" w:color="auto"/>
              <w:right w:val="nil" w:sz="6" w:space="0" w:color="auto"/>
            </w:tcBorders>
          </w:tcPr>
          <w:p>
            <w:pPr>
              <w:pStyle w:val="TableParagraph"/>
              <w:spacing w:line="240" w:lineRule="auto" w:before="24"/>
              <w:ind w:left="378" w:right="0" w:hanging="260"/>
              <w:jc w:val="left"/>
              <w:rPr>
                <w:rFonts w:ascii="宋体" w:hAnsi="宋体" w:cs="宋体" w:eastAsia="宋体" w:hint="default"/>
                <w:sz w:val="21"/>
                <w:szCs w:val="21"/>
              </w:rPr>
            </w:pPr>
            <w:r>
              <w:rPr>
                <w:rFonts w:ascii="宋体" w:hAnsi="宋体" w:cs="宋体" w:eastAsia="宋体" w:hint="default"/>
                <w:sz w:val="21"/>
                <w:szCs w:val="21"/>
              </w:rPr>
              <w:t>应收票据及</w:t>
            </w:r>
          </w:p>
          <w:p>
            <w:pPr>
              <w:pStyle w:val="TableParagraph"/>
              <w:spacing w:line="240" w:lineRule="auto" w:before="126"/>
              <w:ind w:left="37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8"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12" w:hRule="exact"/>
        </w:trPr>
        <w:tc>
          <w:tcPr>
            <w:tcW w:w="3216" w:type="dxa"/>
            <w:tcBorders>
              <w:top w:val="nil" w:sz="6" w:space="0" w:color="auto"/>
              <w:left w:val="nil" w:sz="6" w:space="0" w:color="auto"/>
              <w:bottom w:val="nil" w:sz="6" w:space="0" w:color="auto"/>
              <w:right w:val="nil" w:sz="6" w:space="0" w:color="auto"/>
            </w:tcBorders>
          </w:tcPr>
          <w:p>
            <w:pPr/>
          </w:p>
        </w:tc>
        <w:tc>
          <w:tcPr>
            <w:tcW w:w="1795" w:type="dxa"/>
            <w:vMerge/>
            <w:tcBorders>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4"/>
              <w:jc w:val="right"/>
              <w:rPr>
                <w:rFonts w:ascii="Times New Roman" w:hAnsi="Times New Roman" w:cs="Times New Roman" w:eastAsia="Times New Roman" w:hint="default"/>
                <w:sz w:val="21"/>
                <w:szCs w:val="21"/>
              </w:rPr>
            </w:pPr>
            <w:r>
              <w:rPr>
                <w:rFonts w:ascii="Times New Roman"/>
                <w:spacing w:val="-1"/>
                <w:sz w:val="21"/>
              </w:rPr>
              <w:t>(726,398,006)</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3" w:right="0"/>
              <w:jc w:val="center"/>
              <w:rPr>
                <w:rFonts w:ascii="Times New Roman" w:hAnsi="Times New Roman" w:cs="Times New Roman" w:eastAsia="Times New Roman" w:hint="default"/>
                <w:sz w:val="21"/>
                <w:szCs w:val="21"/>
              </w:rPr>
            </w:pPr>
            <w:r>
              <w:rPr>
                <w:rFonts w:ascii="Times New Roman"/>
                <w:sz w:val="21"/>
              </w:rPr>
              <w:t>(981,515,662)</w:t>
            </w:r>
          </w:p>
        </w:tc>
      </w:tr>
    </w:tbl>
    <w:p>
      <w:pPr>
        <w:spacing w:after="0" w:line="240" w:lineRule="auto"/>
        <w:jc w:val="center"/>
        <w:rPr>
          <w:rFonts w:ascii="Times New Roman" w:hAnsi="Times New Roman" w:cs="Times New Roman" w:eastAsia="Times New Roman" w:hint="default"/>
          <w:sz w:val="21"/>
          <w:szCs w:val="21"/>
        </w:rPr>
        <w:sectPr>
          <w:pgSz w:w="11910" w:h="16840"/>
          <w:pgMar w:header="882" w:footer="974" w:top="1120" w:bottom="1160" w:left="128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829" w:type="dxa"/>
        <w:tblLayout w:type="fixed"/>
        <w:tblCellMar>
          <w:top w:w="0" w:type="dxa"/>
          <w:left w:w="0" w:type="dxa"/>
          <w:bottom w:w="0" w:type="dxa"/>
          <w:right w:w="0" w:type="dxa"/>
        </w:tblCellMar>
        <w:tblLook w:val="01E0"/>
      </w:tblPr>
      <w:tblGrid>
        <w:gridCol w:w="3200"/>
        <w:gridCol w:w="1728"/>
        <w:gridCol w:w="1998"/>
        <w:gridCol w:w="1689"/>
      </w:tblGrid>
      <w:tr>
        <w:trPr>
          <w:trHeight w:val="315" w:hRule="exact"/>
        </w:trPr>
        <w:tc>
          <w:tcPr>
            <w:tcW w:w="3200" w:type="dxa"/>
            <w:vMerge w:val="restart"/>
            <w:tcBorders>
              <w:top w:val="nil" w:sz="6" w:space="0" w:color="auto"/>
              <w:left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bookmarkStart w:name="newtable_2.00_39.00" w:id="20"/>
            <w:bookmarkEnd w:id="20"/>
            <w:r>
              <w:rPr/>
            </w:r>
            <w:r>
              <w:rPr>
                <w:rFonts w:ascii="宋体" w:hAnsi="宋体" w:cs="宋体" w:eastAsia="宋体" w:hint="default"/>
                <w:spacing w:val="7"/>
                <w:sz w:val="21"/>
                <w:szCs w:val="21"/>
              </w:rPr>
              <w:t>本公司将应付票据及应付账款</w:t>
            </w:r>
            <w:r>
              <w:rPr>
                <w:rFonts w:ascii="宋体" w:hAnsi="宋体" w:cs="宋体" w:eastAsia="宋体" w:hint="default"/>
                <w:sz w:val="21"/>
                <w:szCs w:val="21"/>
              </w:rPr>
            </w:r>
          </w:p>
          <w:p>
            <w:pPr>
              <w:pStyle w:val="TableParagraph"/>
              <w:spacing w:line="350" w:lineRule="auto" w:before="123"/>
              <w:ind w:left="200" w:right="132"/>
              <w:jc w:val="left"/>
              <w:rPr>
                <w:rFonts w:ascii="宋体" w:hAnsi="宋体" w:cs="宋体" w:eastAsia="宋体" w:hint="default"/>
                <w:sz w:val="21"/>
                <w:szCs w:val="21"/>
              </w:rPr>
            </w:pPr>
            <w:r>
              <w:rPr>
                <w:rFonts w:ascii="宋体" w:hAnsi="宋体" w:cs="宋体" w:eastAsia="宋体" w:hint="default"/>
                <w:spacing w:val="7"/>
                <w:sz w:val="21"/>
                <w:szCs w:val="21"/>
              </w:rPr>
              <w:t>项目分拆为应付账款和应付票</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据项目。</w:t>
            </w:r>
          </w:p>
        </w:tc>
        <w:tc>
          <w:tcPr>
            <w:tcW w:w="1728" w:type="dxa"/>
            <w:tcBorders>
              <w:top w:val="nil" w:sz="6" w:space="0" w:color="auto"/>
              <w:left w:val="nil" w:sz="6" w:space="0" w:color="auto"/>
              <w:bottom w:val="nil" w:sz="6" w:space="0" w:color="auto"/>
              <w:right w:val="nil" w:sz="6" w:space="0" w:color="auto"/>
            </w:tcBorders>
          </w:tcPr>
          <w:p>
            <w:pPr>
              <w:pStyle w:val="TableParagraph"/>
              <w:spacing w:line="211" w:lineRule="exact"/>
              <w:ind w:left="1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98" w:type="dxa"/>
            <w:tcBorders>
              <w:top w:val="nil" w:sz="6" w:space="0" w:color="auto"/>
              <w:left w:val="nil" w:sz="6" w:space="0" w:color="auto"/>
              <w:bottom w:val="nil" w:sz="6" w:space="0" w:color="auto"/>
              <w:right w:val="nil" w:sz="6" w:space="0" w:color="auto"/>
            </w:tcBorders>
          </w:tcPr>
          <w:p>
            <w:pPr>
              <w:pStyle w:val="TableParagraph"/>
              <w:spacing w:line="227" w:lineRule="exact"/>
              <w:ind w:left="564" w:right="0"/>
              <w:jc w:val="left"/>
              <w:rPr>
                <w:rFonts w:ascii="Times New Roman" w:hAnsi="Times New Roman" w:cs="Times New Roman" w:eastAsia="Times New Roman" w:hint="default"/>
                <w:sz w:val="21"/>
                <w:szCs w:val="21"/>
              </w:rPr>
            </w:pPr>
            <w:r>
              <w:rPr>
                <w:rFonts w:ascii="Times New Roman"/>
                <w:sz w:val="21"/>
              </w:rPr>
              <w:t>578,764,979</w:t>
            </w:r>
          </w:p>
        </w:tc>
        <w:tc>
          <w:tcPr>
            <w:tcW w:w="1689" w:type="dxa"/>
            <w:tcBorders>
              <w:top w:val="nil" w:sz="6" w:space="0" w:color="auto"/>
              <w:left w:val="nil" w:sz="6" w:space="0" w:color="auto"/>
              <w:bottom w:val="nil" w:sz="6" w:space="0" w:color="auto"/>
              <w:right w:val="nil" w:sz="6" w:space="0" w:color="auto"/>
            </w:tcBorders>
          </w:tcPr>
          <w:p>
            <w:pPr>
              <w:pStyle w:val="TableParagraph"/>
              <w:spacing w:line="227" w:lineRule="exact"/>
              <w:ind w:left="55" w:right="0"/>
              <w:jc w:val="center"/>
              <w:rPr>
                <w:rFonts w:ascii="Times New Roman" w:hAnsi="Times New Roman" w:cs="Times New Roman" w:eastAsia="Times New Roman" w:hint="default"/>
                <w:sz w:val="21"/>
                <w:szCs w:val="21"/>
              </w:rPr>
            </w:pPr>
            <w:r>
              <w:rPr>
                <w:rFonts w:ascii="Times New Roman"/>
                <w:sz w:val="21"/>
              </w:rPr>
              <w:t>561,731,007</w:t>
            </w:r>
          </w:p>
        </w:tc>
      </w:tr>
      <w:tr>
        <w:trPr>
          <w:trHeight w:val="409" w:hRule="exact"/>
        </w:trPr>
        <w:tc>
          <w:tcPr>
            <w:tcW w:w="3200" w:type="dxa"/>
            <w:vMerge/>
            <w:tcBorders>
              <w:left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64" w:right="0"/>
              <w:jc w:val="left"/>
              <w:rPr>
                <w:rFonts w:ascii="Times New Roman" w:hAnsi="Times New Roman" w:cs="Times New Roman" w:eastAsia="Times New Roman" w:hint="default"/>
                <w:sz w:val="21"/>
                <w:szCs w:val="21"/>
              </w:rPr>
            </w:pPr>
            <w:r>
              <w:rPr>
                <w:rFonts w:ascii="Times New Roman"/>
                <w:sz w:val="21"/>
              </w:rPr>
              <w:t>207,039,615</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center"/>
              <w:rPr>
                <w:rFonts w:ascii="Times New Roman" w:hAnsi="Times New Roman" w:cs="Times New Roman" w:eastAsia="Times New Roman" w:hint="default"/>
                <w:sz w:val="21"/>
                <w:szCs w:val="21"/>
              </w:rPr>
            </w:pPr>
            <w:r>
              <w:rPr>
                <w:rFonts w:ascii="Times New Roman"/>
                <w:sz w:val="21"/>
              </w:rPr>
              <w:t>225,818,064</w:t>
            </w:r>
          </w:p>
        </w:tc>
      </w:tr>
      <w:tr>
        <w:trPr>
          <w:trHeight w:val="396" w:hRule="exact"/>
        </w:trPr>
        <w:tc>
          <w:tcPr>
            <w:tcW w:w="3200" w:type="dxa"/>
            <w:vMerge/>
            <w:tcBorders>
              <w:left w:val="nil" w:sz="6" w:space="0" w:color="auto"/>
              <w:bottom w:val="nil" w:sz="6" w:space="0" w:color="auto"/>
              <w:right w:val="nil" w:sz="6" w:space="0" w:color="auto"/>
            </w:tcBorders>
          </w:tcPr>
          <w:p>
            <w:pPr/>
          </w:p>
        </w:tc>
        <w:tc>
          <w:tcPr>
            <w:tcW w:w="1728" w:type="dxa"/>
            <w:vMerge w:val="restart"/>
            <w:tcBorders>
              <w:top w:val="nil" w:sz="6" w:space="0" w:color="auto"/>
              <w:left w:val="nil" w:sz="6" w:space="0" w:color="auto"/>
              <w:right w:val="nil" w:sz="6" w:space="0" w:color="auto"/>
            </w:tcBorders>
          </w:tcPr>
          <w:p>
            <w:pPr>
              <w:pStyle w:val="TableParagraph"/>
              <w:spacing w:line="240" w:lineRule="auto" w:before="30"/>
              <w:ind w:left="377" w:right="0" w:hanging="243"/>
              <w:jc w:val="left"/>
              <w:rPr>
                <w:rFonts w:ascii="宋体" w:hAnsi="宋体" w:cs="宋体" w:eastAsia="宋体" w:hint="default"/>
                <w:sz w:val="21"/>
                <w:szCs w:val="21"/>
              </w:rPr>
            </w:pPr>
            <w:r>
              <w:rPr>
                <w:rFonts w:ascii="宋体" w:hAnsi="宋体" w:cs="宋体" w:eastAsia="宋体" w:hint="default"/>
                <w:sz w:val="21"/>
                <w:szCs w:val="21"/>
              </w:rPr>
              <w:t>应付票据及</w:t>
            </w:r>
          </w:p>
          <w:p>
            <w:pPr>
              <w:pStyle w:val="TableParagraph"/>
              <w:spacing w:line="240" w:lineRule="auto" w:before="126"/>
              <w:ind w:left="37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98"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r>
      <w:tr>
        <w:trPr>
          <w:trHeight w:val="321" w:hRule="exact"/>
        </w:trPr>
        <w:tc>
          <w:tcPr>
            <w:tcW w:w="3200" w:type="dxa"/>
            <w:tcBorders>
              <w:top w:val="nil" w:sz="6" w:space="0" w:color="auto"/>
              <w:left w:val="nil" w:sz="6" w:space="0" w:color="auto"/>
              <w:bottom w:val="nil" w:sz="6" w:space="0" w:color="auto"/>
              <w:right w:val="nil" w:sz="6" w:space="0" w:color="auto"/>
            </w:tcBorders>
          </w:tcPr>
          <w:p>
            <w:pPr/>
          </w:p>
        </w:tc>
        <w:tc>
          <w:tcPr>
            <w:tcW w:w="1728" w:type="dxa"/>
            <w:vMerge/>
            <w:tcBorders>
              <w:left w:val="nil" w:sz="6" w:space="0" w:color="auto"/>
              <w:bottom w:val="nil" w:sz="6" w:space="0" w:color="auto"/>
              <w:right w:val="nil" w:sz="6" w:space="0" w:color="auto"/>
            </w:tcBorders>
          </w:tcPr>
          <w:p>
            <w:pP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8" w:right="0"/>
              <w:jc w:val="left"/>
              <w:rPr>
                <w:rFonts w:ascii="Times New Roman" w:hAnsi="Times New Roman" w:cs="Times New Roman" w:eastAsia="Times New Roman" w:hint="default"/>
                <w:sz w:val="21"/>
                <w:szCs w:val="21"/>
              </w:rPr>
            </w:pPr>
            <w:r>
              <w:rPr>
                <w:rFonts w:ascii="Times New Roman"/>
                <w:sz w:val="21"/>
              </w:rPr>
              <w:t>(785,804,594)</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95" w:right="0"/>
              <w:jc w:val="center"/>
              <w:rPr>
                <w:rFonts w:ascii="Times New Roman" w:hAnsi="Times New Roman" w:cs="Times New Roman" w:eastAsia="Times New Roman" w:hint="default"/>
                <w:sz w:val="21"/>
                <w:szCs w:val="21"/>
              </w:rPr>
            </w:pPr>
            <w:r>
              <w:rPr>
                <w:rFonts w:ascii="Times New Roman"/>
                <w:sz w:val="21"/>
              </w:rPr>
              <w:t>(787,549,071)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36"/>
        <w:ind w:left="738" w:right="0"/>
        <w:jc w:val="left"/>
      </w:pPr>
      <w:r>
        <w:rPr/>
        <w:t>（</w:t>
      </w:r>
      <w:r>
        <w:rPr>
          <w:rFonts w:ascii="Times New Roman" w:hAnsi="Times New Roman" w:cs="Times New Roman" w:eastAsia="Times New Roman" w:hint="default"/>
        </w:rPr>
        <w:t>b</w:t>
      </w:r>
      <w:r>
        <w:rPr/>
        <w:t>）租赁</w:t>
      </w:r>
    </w:p>
    <w:p>
      <w:pPr>
        <w:pStyle w:val="BodyText"/>
        <w:spacing w:line="240" w:lineRule="auto" w:before="110"/>
        <w:ind w:left="738" w:right="0"/>
        <w:jc w:val="left"/>
      </w:pPr>
      <w:r>
        <w:rPr/>
        <w:t>本集团及本公司于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日首次执行新租赁准则，根据相关规定，本集团及本公司对于</w:t>
      </w:r>
    </w:p>
    <w:p>
      <w:pPr>
        <w:pStyle w:val="BodyText"/>
        <w:spacing w:line="240" w:lineRule="auto" w:before="110"/>
        <w:ind w:left="318" w:right="0"/>
        <w:jc w:val="left"/>
        <w:rPr>
          <w:rFonts w:ascii="Times New Roman" w:hAnsi="Times New Roman" w:cs="Times New Roman" w:eastAsia="Times New Roman" w:hint="default"/>
        </w:rPr>
      </w:pPr>
      <w:r>
        <w:rPr>
          <w:spacing w:val="-2"/>
        </w:rPr>
        <w:t>首次执行日前已存在的合同选择不再重新评估。本集团及本公司对于该准则的累积影响数调整</w:t>
      </w:r>
      <w:r>
        <w:rPr>
          <w:spacing w:val="12"/>
        </w:rPr>
        <w:t> </w:t>
      </w:r>
      <w:r>
        <w:rPr>
          <w:rFonts w:ascii="Times New Roman" w:hAnsi="Times New Roman" w:cs="Times New Roman" w:eastAsia="Times New Roman" w:hint="default"/>
          <w:spacing w:val="-1"/>
        </w:rPr>
        <w:t>2019</w:t>
      </w:r>
    </w:p>
    <w:p>
      <w:pPr>
        <w:pStyle w:val="BodyText"/>
        <w:spacing w:line="240" w:lineRule="auto" w:before="107"/>
        <w:ind w:left="318" w:right="0"/>
        <w:jc w:val="left"/>
      </w:pPr>
      <w:r>
        <w:rPr>
          <w:spacing w:val="-2"/>
        </w:rPr>
        <w:t>年年初财务报表相关项目金额，</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年度的比较财务报表未重列。</w:t>
      </w:r>
    </w:p>
    <w:p>
      <w:pPr>
        <w:pStyle w:val="BodyText"/>
        <w:spacing w:line="331" w:lineRule="auto" w:before="110"/>
        <w:ind w:left="738" w:right="0"/>
        <w:jc w:val="left"/>
      </w:pPr>
      <w:r>
        <w:rPr/>
        <w:t>（</w:t>
      </w:r>
      <w:r>
        <w:rPr>
          <w:rFonts w:ascii="Times New Roman" w:hAnsi="Times New Roman" w:cs="Times New Roman" w:eastAsia="Times New Roman" w:hint="default"/>
        </w:rPr>
        <w:t>i</w:t>
      </w:r>
      <w:r>
        <w:rPr/>
        <w:t>）会计政策变更的内容和原因</w:t>
      </w:r>
      <w:r>
        <w:rPr>
          <w:w w:val="100"/>
        </w:rPr>
        <w:t> </w:t>
      </w:r>
      <w:r>
        <w:rPr>
          <w:spacing w:val="-2"/>
        </w:rPr>
        <w:t>对于首次执行新租赁准则前已存在的经营租赁合同，本集团及本公司按照剩余租赁期区分不同</w:t>
      </w:r>
    </w:p>
    <w:p>
      <w:pPr>
        <w:pStyle w:val="BodyText"/>
        <w:spacing w:line="240" w:lineRule="auto" w:before="43"/>
        <w:ind w:left="318" w:right="0"/>
        <w:jc w:val="left"/>
      </w:pPr>
      <w:r>
        <w:rPr/>
        <w:t>的衔接方法：</w:t>
      </w:r>
    </w:p>
    <w:p>
      <w:pPr>
        <w:spacing w:line="240" w:lineRule="auto" w:before="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3312"/>
        <w:gridCol w:w="2997"/>
        <w:gridCol w:w="2123"/>
        <w:gridCol w:w="1273"/>
      </w:tblGrid>
      <w:tr>
        <w:trPr>
          <w:trHeight w:val="241" w:hRule="exact"/>
        </w:trPr>
        <w:tc>
          <w:tcPr>
            <w:tcW w:w="3312"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Style w:val="TableParagraph"/>
              <w:spacing w:line="211" w:lineRule="exact"/>
              <w:ind w:left="1276"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273" w:type="dxa"/>
            <w:tcBorders>
              <w:top w:val="nil" w:sz="6" w:space="0" w:color="auto"/>
              <w:left w:val="nil" w:sz="6" w:space="0" w:color="auto"/>
              <w:bottom w:val="nil" w:sz="6" w:space="0" w:color="auto"/>
              <w:right w:val="nil" w:sz="6" w:space="0" w:color="auto"/>
            </w:tcBorders>
          </w:tcPr>
          <w:p>
            <w:pPr/>
          </w:p>
        </w:tc>
      </w:tr>
      <w:tr>
        <w:trPr>
          <w:trHeight w:val="279" w:hRule="exact"/>
        </w:trPr>
        <w:tc>
          <w:tcPr>
            <w:tcW w:w="3312"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Style w:val="TableParagraph"/>
              <w:spacing w:line="248" w:lineRule="exact"/>
              <w:ind w:left="649"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3397" w:type="dxa"/>
            <w:gridSpan w:val="2"/>
            <w:tcBorders>
              <w:top w:val="nil" w:sz="6" w:space="0" w:color="auto"/>
              <w:left w:val="nil" w:sz="6" w:space="0" w:color="auto"/>
              <w:bottom w:val="single" w:sz="4" w:space="0" w:color="000000"/>
              <w:right w:val="nil" w:sz="6" w:space="0" w:color="auto"/>
            </w:tcBorders>
          </w:tcPr>
          <w:p>
            <w:pPr>
              <w:pStyle w:val="TableParagraph"/>
              <w:spacing w:line="257" w:lineRule="exact"/>
              <w:ind w:left="8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92" w:hRule="exact"/>
        </w:trPr>
        <w:tc>
          <w:tcPr>
            <w:tcW w:w="3312"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
        </w:tc>
        <w:tc>
          <w:tcPr>
            <w:tcW w:w="2123" w:type="dxa"/>
            <w:tcBorders>
              <w:top w:val="single" w:sz="4" w:space="0" w:color="000000"/>
              <w:left w:val="nil" w:sz="6" w:space="0" w:color="auto"/>
              <w:bottom w:val="nil" w:sz="6" w:space="0" w:color="auto"/>
              <w:right w:val="nil" w:sz="6" w:space="0" w:color="auto"/>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1273"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本公司</w:t>
            </w:r>
          </w:p>
        </w:tc>
      </w:tr>
      <w:tr>
        <w:trPr>
          <w:trHeight w:val="398" w:hRule="exact"/>
        </w:trPr>
        <w:tc>
          <w:tcPr>
            <w:tcW w:w="3312" w:type="dxa"/>
            <w:vMerge w:val="restart"/>
            <w:tcBorders>
              <w:top w:val="nil" w:sz="6" w:space="0" w:color="auto"/>
              <w:left w:val="nil" w:sz="6" w:space="0" w:color="auto"/>
              <w:right w:val="nil" w:sz="6" w:space="0" w:color="auto"/>
            </w:tcBorders>
          </w:tcPr>
          <w:p>
            <w:pPr>
              <w:pStyle w:val="TableParagraph"/>
              <w:spacing w:line="282" w:lineRule="exact" w:before="92"/>
              <w:ind w:left="200" w:right="0"/>
              <w:jc w:val="both"/>
              <w:rPr>
                <w:rFonts w:ascii="宋体" w:hAnsi="宋体" w:cs="宋体" w:eastAsia="宋体" w:hint="default"/>
                <w:sz w:val="21"/>
                <w:szCs w:val="21"/>
              </w:rPr>
            </w:pPr>
            <w:r>
              <w:rPr>
                <w:rFonts w:ascii="宋体" w:hAnsi="宋体" w:cs="宋体" w:eastAsia="宋体" w:hint="default"/>
                <w:sz w:val="21"/>
                <w:szCs w:val="21"/>
              </w:rPr>
              <w:t>剩余租赁期长于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年的，本集团</w:t>
            </w:r>
          </w:p>
          <w:p>
            <w:pPr>
              <w:pStyle w:val="TableParagraph"/>
              <w:spacing w:line="232" w:lineRule="auto"/>
              <w:ind w:left="200" w:right="104"/>
              <w:jc w:val="both"/>
              <w:rPr>
                <w:rFonts w:ascii="宋体" w:hAnsi="宋体" w:cs="宋体" w:eastAsia="宋体" w:hint="default"/>
                <w:sz w:val="21"/>
                <w:szCs w:val="21"/>
              </w:rPr>
            </w:pPr>
            <w:r>
              <w:rPr>
                <w:rFonts w:ascii="宋体" w:hAnsi="宋体" w:cs="宋体" w:eastAsia="宋体" w:hint="default"/>
                <w:sz w:val="21"/>
                <w:szCs w:val="21"/>
              </w:rPr>
              <w:t>及本公司根据</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w:t>
            </w:r>
            <w:r>
              <w:rPr>
                <w:rFonts w:ascii="宋体" w:hAnsi="宋体" w:cs="宋体" w:eastAsia="宋体" w:hint="default"/>
                <w:w w:val="100"/>
                <w:sz w:val="21"/>
                <w:szCs w:val="21"/>
              </w:rPr>
              <w:t> </w:t>
            </w:r>
            <w:r>
              <w:rPr>
                <w:rFonts w:ascii="宋体" w:hAnsi="宋体" w:cs="宋体" w:eastAsia="宋体" w:hint="default"/>
                <w:spacing w:val="2"/>
                <w:sz w:val="21"/>
                <w:szCs w:val="21"/>
              </w:rPr>
              <w:t>剩余租赁付款额和增量借款利率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确认租赁负债，并根据与租赁负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债相等的金额确认使用权资产。</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6"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35" w:right="0"/>
              <w:jc w:val="left"/>
              <w:rPr>
                <w:rFonts w:ascii="Times New Roman" w:hAnsi="Times New Roman" w:cs="Times New Roman" w:eastAsia="Times New Roman" w:hint="default"/>
                <w:sz w:val="21"/>
                <w:szCs w:val="21"/>
              </w:rPr>
            </w:pPr>
            <w:r>
              <w:rPr>
                <w:rFonts w:ascii="Times New Roman"/>
                <w:sz w:val="21"/>
              </w:rPr>
              <w:t>111,072,577</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2" w:hRule="exact"/>
        </w:trPr>
        <w:tc>
          <w:tcPr>
            <w:tcW w:w="3312" w:type="dxa"/>
            <w:vMerge/>
            <w:tcBorders>
              <w:left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Style w:val="TableParagraph"/>
              <w:spacing w:line="252" w:lineRule="exact"/>
              <w:ind w:left="106"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5"/>
              <w:ind w:left="640" w:right="0"/>
              <w:jc w:val="left"/>
              <w:rPr>
                <w:rFonts w:ascii="Times New Roman" w:hAnsi="Times New Roman" w:cs="Times New Roman" w:eastAsia="Times New Roman" w:hint="default"/>
                <w:sz w:val="21"/>
                <w:szCs w:val="21"/>
              </w:rPr>
            </w:pPr>
            <w:r>
              <w:rPr>
                <w:rFonts w:ascii="Times New Roman"/>
                <w:sz w:val="21"/>
              </w:rPr>
              <w:t>81,092,129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77" w:hRule="exact"/>
        </w:trPr>
        <w:tc>
          <w:tcPr>
            <w:tcW w:w="3312" w:type="dxa"/>
            <w:vMerge/>
            <w:tcBorders>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Style w:val="TableParagraph"/>
              <w:spacing w:line="251" w:lineRule="exact"/>
              <w:ind w:left="12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
              <w:ind w:left="640" w:right="0"/>
              <w:jc w:val="left"/>
              <w:rPr>
                <w:rFonts w:ascii="Times New Roman" w:hAnsi="Times New Roman" w:cs="Times New Roman" w:eastAsia="Times New Roman" w:hint="default"/>
                <w:sz w:val="21"/>
                <w:szCs w:val="21"/>
              </w:rPr>
            </w:pPr>
            <w:r>
              <w:rPr>
                <w:rFonts w:ascii="Times New Roman"/>
                <w:sz w:val="21"/>
              </w:rPr>
              <w:t>29,980,448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6"/>
        <w:rPr>
          <w:rFonts w:ascii="宋体" w:hAnsi="宋体" w:cs="宋体" w:eastAsia="宋体" w:hint="default"/>
          <w:sz w:val="15"/>
          <w:szCs w:val="15"/>
        </w:rPr>
      </w:pPr>
    </w:p>
    <w:p>
      <w:pPr>
        <w:pStyle w:val="BodyText"/>
        <w:spacing w:line="274" w:lineRule="exact" w:before="62"/>
        <w:ind w:left="314" w:right="0"/>
        <w:jc w:val="left"/>
      </w:pPr>
      <w:r>
        <w:rPr/>
        <w:t>剩余租赁期短于</w:t>
      </w:r>
      <w:r>
        <w:rPr>
          <w:rFonts w:ascii="Times New Roman" w:hAnsi="Times New Roman" w:cs="Times New Roman" w:eastAsia="Times New Roman" w:hint="default"/>
        </w:rPr>
        <w:t>1</w:t>
      </w:r>
      <w:r>
        <w:rPr/>
        <w:t>年的，本集团及本公司采用简化方法，不确认使用权资产和租赁负债，对财务报表无</w:t>
      </w:r>
      <w:r>
        <w:rPr>
          <w:spacing w:val="-53"/>
        </w:rPr>
        <w:t> </w:t>
      </w:r>
      <w:r>
        <w:rPr/>
        <w:t>显著影响。</w:t>
      </w:r>
    </w:p>
    <w:p>
      <w:pPr>
        <w:spacing w:line="240" w:lineRule="auto" w:before="6"/>
        <w:rPr>
          <w:rFonts w:ascii="宋体" w:hAnsi="宋体" w:cs="宋体" w:eastAsia="宋体" w:hint="default"/>
          <w:sz w:val="18"/>
          <w:szCs w:val="18"/>
        </w:rPr>
      </w:pPr>
    </w:p>
    <w:p>
      <w:pPr>
        <w:pStyle w:val="BodyText"/>
        <w:spacing w:line="272" w:lineRule="exact"/>
        <w:ind w:left="314" w:right="0"/>
        <w:jc w:val="left"/>
      </w:pPr>
      <w:r>
        <w:rPr>
          <w:spacing w:val="-3"/>
        </w:rPr>
        <w:t>对于首次执行新租赁准则前已存在的低价值资产的经营租赁合同，本集团及本公司采用简化方法，不确</w:t>
      </w:r>
      <w:r>
        <w:rPr>
          <w:spacing w:val="-37"/>
        </w:rPr>
        <w:t> </w:t>
      </w:r>
      <w:r>
        <w:rPr>
          <w:spacing w:val="-37"/>
        </w:rPr>
      </w:r>
      <w:r>
        <w:rPr/>
        <w:t>认使用权资产和租赁负债，对财务报表无显著影响。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3313"/>
        <w:gridCol w:w="2996"/>
        <w:gridCol w:w="1964"/>
        <w:gridCol w:w="1433"/>
      </w:tblGrid>
      <w:tr>
        <w:trPr>
          <w:trHeight w:val="306" w:hRule="exact"/>
        </w:trPr>
        <w:tc>
          <w:tcPr>
            <w:tcW w:w="9706"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right="1275"/>
              <w:jc w:val="right"/>
              <w:rPr>
                <w:rFonts w:ascii="宋体" w:hAnsi="宋体" w:cs="宋体" w:eastAsia="宋体" w:hint="default"/>
                <w:sz w:val="21"/>
                <w:szCs w:val="21"/>
              </w:rPr>
            </w:pPr>
            <w:r>
              <w:rPr>
                <w:rFonts w:ascii="宋体" w:hAnsi="宋体" w:cs="宋体" w:eastAsia="宋体" w:hint="default"/>
                <w:spacing w:val="-1"/>
                <w:sz w:val="21"/>
                <w:szCs w:val="21"/>
              </w:rPr>
              <w:t>影响金额</w:t>
            </w:r>
          </w:p>
        </w:tc>
      </w:tr>
      <w:tr>
        <w:trPr>
          <w:trHeight w:val="363" w:hRule="exact"/>
        </w:trPr>
        <w:tc>
          <w:tcPr>
            <w:tcW w:w="3313"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8"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339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1"/>
              <w:ind w:left="8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48" w:hRule="exact"/>
        </w:trPr>
        <w:tc>
          <w:tcPr>
            <w:tcW w:w="3313"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73"/>
              <w:jc w:val="right"/>
              <w:rPr>
                <w:rFonts w:ascii="宋体" w:hAnsi="宋体" w:cs="宋体" w:eastAsia="宋体" w:hint="default"/>
                <w:sz w:val="21"/>
                <w:szCs w:val="21"/>
              </w:rPr>
            </w:pPr>
            <w:r>
              <w:rPr>
                <w:rFonts w:ascii="宋体" w:hAnsi="宋体" w:cs="宋体" w:eastAsia="宋体" w:hint="default"/>
                <w:sz w:val="21"/>
                <w:szCs w:val="21"/>
              </w:rPr>
              <w:t>本集团</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hAnsi="宋体" w:cs="宋体" w:eastAsia="宋体" w:hint="default"/>
                <w:sz w:val="21"/>
                <w:szCs w:val="21"/>
              </w:rPr>
              <w:t>本公司</w:t>
            </w:r>
          </w:p>
        </w:tc>
      </w:tr>
      <w:tr>
        <w:trPr>
          <w:trHeight w:val="606" w:hRule="exact"/>
        </w:trPr>
        <w:tc>
          <w:tcPr>
            <w:tcW w:w="3313" w:type="dxa"/>
            <w:vMerge w:val="restart"/>
            <w:tcBorders>
              <w:top w:val="nil" w:sz="6" w:space="0" w:color="auto"/>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50" w:lineRule="auto"/>
              <w:ind w:left="200" w:right="106"/>
              <w:jc w:val="both"/>
              <w:rPr>
                <w:rFonts w:ascii="宋体" w:hAnsi="宋体" w:cs="宋体" w:eastAsia="宋体" w:hint="default"/>
                <w:sz w:val="21"/>
                <w:szCs w:val="21"/>
              </w:rPr>
            </w:pPr>
            <w:r>
              <w:rPr>
                <w:rFonts w:ascii="宋体" w:hAnsi="宋体" w:cs="宋体" w:eastAsia="宋体" w:hint="default"/>
                <w:spacing w:val="2"/>
                <w:sz w:val="21"/>
                <w:szCs w:val="21"/>
              </w:rPr>
              <w:t>因执行新租赁准则，本集团及本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公司将原计入固定资产及在建工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程的融资租入固定资产重分类至</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使用权资产项目，并将原计入长</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期应付款的应付融资租赁款重分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类至租赁负债。</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35" w:right="0"/>
              <w:jc w:val="left"/>
              <w:rPr>
                <w:rFonts w:ascii="Times New Roman" w:hAnsi="Times New Roman" w:cs="Times New Roman" w:eastAsia="Times New Roman" w:hint="default"/>
                <w:sz w:val="21"/>
                <w:szCs w:val="21"/>
              </w:rPr>
            </w:pPr>
            <w:r>
              <w:rPr>
                <w:rFonts w:ascii="Times New Roman"/>
                <w:sz w:val="21"/>
              </w:rPr>
              <w:t>548,731,094</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99,283,159</w:t>
            </w:r>
          </w:p>
        </w:tc>
      </w:tr>
      <w:tr>
        <w:trPr>
          <w:trHeight w:val="401" w:hRule="exact"/>
        </w:trPr>
        <w:tc>
          <w:tcPr>
            <w:tcW w:w="3313" w:type="dxa"/>
            <w:vMerge/>
            <w:tcBorders>
              <w:left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21"/>
                <w:szCs w:val="21"/>
              </w:rPr>
            </w:pPr>
            <w:r>
              <w:rPr>
                <w:rFonts w:ascii="Times New Roman"/>
                <w:spacing w:val="-1"/>
                <w:sz w:val="21"/>
              </w:rPr>
              <w:t>(492,137,464)</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Times New Roman" w:hAnsi="Times New Roman" w:cs="Times New Roman" w:eastAsia="Times New Roman" w:hint="default"/>
                <w:sz w:val="21"/>
                <w:szCs w:val="21"/>
              </w:rPr>
            </w:pPr>
            <w:r>
              <w:rPr>
                <w:rFonts w:ascii="Times New Roman"/>
                <w:spacing w:val="-1"/>
                <w:sz w:val="21"/>
              </w:rPr>
              <w:t>(99,283,159)</w:t>
            </w:r>
          </w:p>
        </w:tc>
      </w:tr>
      <w:tr>
        <w:trPr>
          <w:trHeight w:val="400" w:hRule="exact"/>
        </w:trPr>
        <w:tc>
          <w:tcPr>
            <w:tcW w:w="3313" w:type="dxa"/>
            <w:vMerge/>
            <w:tcBorders>
              <w:left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5"/>
              <w:jc w:val="right"/>
              <w:rPr>
                <w:rFonts w:ascii="Times New Roman" w:hAnsi="Times New Roman" w:cs="Times New Roman" w:eastAsia="Times New Roman" w:hint="default"/>
                <w:sz w:val="21"/>
                <w:szCs w:val="21"/>
              </w:rPr>
            </w:pPr>
            <w:r>
              <w:rPr>
                <w:rFonts w:ascii="Times New Roman"/>
                <w:spacing w:val="-1"/>
                <w:sz w:val="21"/>
              </w:rPr>
              <w:t>(56,593,630)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0" w:hRule="exact"/>
        </w:trPr>
        <w:tc>
          <w:tcPr>
            <w:tcW w:w="3313" w:type="dxa"/>
            <w:vMerge/>
            <w:tcBorders>
              <w:left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5"/>
              <w:jc w:val="right"/>
              <w:rPr>
                <w:rFonts w:ascii="Times New Roman" w:hAnsi="Times New Roman" w:cs="Times New Roman" w:eastAsia="Times New Roman" w:hint="default"/>
                <w:sz w:val="21"/>
                <w:szCs w:val="21"/>
              </w:rPr>
            </w:pPr>
            <w:r>
              <w:rPr>
                <w:rFonts w:ascii="Times New Roman"/>
                <w:spacing w:val="-1"/>
                <w:sz w:val="21"/>
              </w:rPr>
              <w:t>(488,716,378)</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5"/>
              <w:jc w:val="right"/>
              <w:rPr>
                <w:rFonts w:ascii="Times New Roman" w:hAnsi="Times New Roman" w:cs="Times New Roman" w:eastAsia="Times New Roman" w:hint="default"/>
                <w:sz w:val="21"/>
                <w:szCs w:val="21"/>
              </w:rPr>
            </w:pPr>
            <w:r>
              <w:rPr>
                <w:rFonts w:ascii="Times New Roman"/>
                <w:spacing w:val="-1"/>
                <w:sz w:val="21"/>
              </w:rPr>
              <w:t>(94,202,439)</w:t>
            </w:r>
          </w:p>
        </w:tc>
      </w:tr>
      <w:tr>
        <w:trPr>
          <w:trHeight w:val="401" w:hRule="exact"/>
        </w:trPr>
        <w:tc>
          <w:tcPr>
            <w:tcW w:w="3313" w:type="dxa"/>
            <w:vMerge/>
            <w:tcBorders>
              <w:left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35" w:right="0"/>
              <w:jc w:val="left"/>
              <w:rPr>
                <w:rFonts w:ascii="Times New Roman" w:hAnsi="Times New Roman" w:cs="Times New Roman" w:eastAsia="Times New Roman" w:hint="default"/>
                <w:sz w:val="21"/>
                <w:szCs w:val="21"/>
              </w:rPr>
            </w:pPr>
            <w:r>
              <w:rPr>
                <w:rFonts w:ascii="Times New Roman"/>
                <w:sz w:val="21"/>
              </w:rPr>
              <w:t>488,716,378</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79" w:right="0"/>
              <w:jc w:val="left"/>
              <w:rPr>
                <w:rFonts w:ascii="Times New Roman" w:hAnsi="Times New Roman" w:cs="Times New Roman" w:eastAsia="Times New Roman" w:hint="default"/>
                <w:sz w:val="21"/>
                <w:szCs w:val="21"/>
              </w:rPr>
            </w:pPr>
            <w:r>
              <w:rPr>
                <w:rFonts w:ascii="Times New Roman"/>
                <w:sz w:val="21"/>
              </w:rPr>
              <w:t>94,202,439</w:t>
            </w:r>
          </w:p>
        </w:tc>
      </w:tr>
      <w:tr>
        <w:trPr>
          <w:trHeight w:val="400" w:hRule="exact"/>
        </w:trPr>
        <w:tc>
          <w:tcPr>
            <w:tcW w:w="3313" w:type="dxa"/>
            <w:vMerge/>
            <w:tcBorders>
              <w:left w:val="nil" w:sz="6" w:space="0" w:color="auto"/>
              <w:bottom w:val="nil" w:sz="6" w:space="0" w:color="auto"/>
              <w:right w:val="nil" w:sz="6" w:space="0" w:color="auto"/>
            </w:tcBorders>
          </w:tcPr>
          <w:p>
            <w:pPr/>
          </w:p>
        </w:tc>
        <w:tc>
          <w:tcPr>
            <w:tcW w:w="2996" w:type="dxa"/>
            <w:vMerge w:val="restart"/>
            <w:tcBorders>
              <w:top w:val="nil" w:sz="6" w:space="0" w:color="auto"/>
              <w:left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40" w:lineRule="auto" w:before="123"/>
              <w:ind w:left="336" w:right="0"/>
              <w:jc w:val="left"/>
              <w:rPr>
                <w:rFonts w:ascii="宋体" w:hAnsi="宋体" w:cs="宋体" w:eastAsia="宋体" w:hint="default"/>
                <w:sz w:val="21"/>
                <w:szCs w:val="21"/>
              </w:rPr>
            </w:pPr>
            <w:r>
              <w:rPr>
                <w:rFonts w:ascii="宋体" w:hAnsi="宋体" w:cs="宋体" w:eastAsia="宋体" w:hint="default"/>
                <w:sz w:val="21"/>
                <w:szCs w:val="21"/>
              </w:rPr>
              <w:t>债</w:t>
            </w:r>
            <w:r>
              <w:rPr>
                <w:rFonts w:ascii="Times New Roman" w:hAnsi="Times New Roman" w:cs="Times New Roman" w:eastAsia="Times New Roman" w:hint="default"/>
                <w:sz w:val="21"/>
                <w:szCs w:val="21"/>
              </w:rPr>
              <w:t>—</w:t>
            </w:r>
            <w:r>
              <w:rPr>
                <w:rFonts w:ascii="宋体" w:hAnsi="宋体" w:cs="宋体" w:eastAsia="宋体" w:hint="default"/>
                <w:sz w:val="21"/>
                <w:szCs w:val="21"/>
              </w:rPr>
              <w:t>长期应付款</w:t>
            </w:r>
          </w:p>
        </w:tc>
        <w:tc>
          <w:tcPr>
            <w:tcW w:w="196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311" w:hRule="exact"/>
        </w:trPr>
        <w:tc>
          <w:tcPr>
            <w:tcW w:w="3313" w:type="dxa"/>
            <w:tcBorders>
              <w:top w:val="nil" w:sz="6" w:space="0" w:color="auto"/>
              <w:left w:val="nil" w:sz="6" w:space="0" w:color="auto"/>
              <w:bottom w:val="nil" w:sz="6" w:space="0" w:color="auto"/>
              <w:right w:val="nil" w:sz="6" w:space="0" w:color="auto"/>
            </w:tcBorders>
          </w:tcPr>
          <w:p>
            <w:pPr/>
          </w:p>
        </w:tc>
        <w:tc>
          <w:tcPr>
            <w:tcW w:w="2996" w:type="dxa"/>
            <w:vMerge/>
            <w:tcBorders>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5"/>
              <w:jc w:val="right"/>
              <w:rPr>
                <w:rFonts w:ascii="Times New Roman" w:hAnsi="Times New Roman" w:cs="Times New Roman" w:eastAsia="Times New Roman" w:hint="default"/>
                <w:sz w:val="21"/>
                <w:szCs w:val="21"/>
              </w:rPr>
            </w:pPr>
            <w:r>
              <w:rPr>
                <w:rFonts w:ascii="Times New Roman"/>
                <w:spacing w:val="-1"/>
                <w:sz w:val="21"/>
              </w:rPr>
              <w:t>(68,548,706)</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5"/>
              <w:jc w:val="right"/>
              <w:rPr>
                <w:rFonts w:ascii="Times New Roman" w:hAnsi="Times New Roman" w:cs="Times New Roman" w:eastAsia="Times New Roman" w:hint="default"/>
                <w:sz w:val="21"/>
                <w:szCs w:val="21"/>
              </w:rPr>
            </w:pPr>
            <w:r>
              <w:rPr>
                <w:rFonts w:ascii="Times New Roman"/>
                <w:spacing w:val="-1"/>
                <w:sz w:val="21"/>
              </w:rPr>
              <w:t>(25,843,958)</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120" w:bottom="1160" w:left="110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tbl>
      <w:tblPr>
        <w:tblW w:w="0" w:type="auto"/>
        <w:jc w:val="left"/>
        <w:tblInd w:w="3335" w:type="dxa"/>
        <w:tblLayout w:type="fixed"/>
        <w:tblCellMar>
          <w:top w:w="0" w:type="dxa"/>
          <w:left w:w="0" w:type="dxa"/>
          <w:bottom w:w="0" w:type="dxa"/>
          <w:right w:w="0" w:type="dxa"/>
        </w:tblCellMar>
        <w:tblLook w:val="01E0"/>
      </w:tblPr>
      <w:tblGrid>
        <w:gridCol w:w="3016"/>
        <w:gridCol w:w="2038"/>
        <w:gridCol w:w="1525"/>
      </w:tblGrid>
      <w:tr>
        <w:trPr>
          <w:trHeight w:val="621"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40" w:lineRule="auto" w:before="123"/>
              <w:ind w:left="427" w:right="0"/>
              <w:jc w:val="left"/>
              <w:rPr>
                <w:rFonts w:ascii="宋体" w:hAnsi="宋体" w:cs="宋体" w:eastAsia="宋体" w:hint="default"/>
                <w:sz w:val="21"/>
                <w:szCs w:val="21"/>
              </w:rPr>
            </w:pPr>
            <w:r>
              <w:rPr>
                <w:rFonts w:ascii="宋体" w:hAnsi="宋体" w:cs="宋体" w:eastAsia="宋体" w:hint="default"/>
                <w:sz w:val="21"/>
                <w:szCs w:val="21"/>
              </w:rPr>
              <w:t>债</w:t>
            </w:r>
            <w:r>
              <w:rPr>
                <w:rFonts w:ascii="Times New Roman" w:hAnsi="Times New Roman" w:cs="Times New Roman" w:eastAsia="Times New Roman" w:hint="default"/>
                <w:sz w:val="21"/>
                <w:szCs w:val="21"/>
              </w:rPr>
              <w:t>—</w:t>
            </w:r>
            <w:r>
              <w:rPr>
                <w:rFonts w:ascii="宋体" w:hAnsi="宋体" w:cs="宋体" w:eastAsia="宋体" w:hint="default"/>
                <w:sz w:val="21"/>
                <w:szCs w:val="21"/>
              </w:rPr>
              <w:t>租赁负债</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12" w:right="0"/>
              <w:jc w:val="left"/>
              <w:rPr>
                <w:rFonts w:ascii="Times New Roman" w:hAnsi="Times New Roman" w:cs="Times New Roman" w:eastAsia="Times New Roman" w:hint="default"/>
                <w:sz w:val="21"/>
                <w:szCs w:val="21"/>
              </w:rPr>
            </w:pPr>
            <w:r>
              <w:rPr>
                <w:rFonts w:ascii="Times New Roman"/>
                <w:sz w:val="21"/>
              </w:rPr>
              <w:t>68,548,706</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25,843,958</w:t>
            </w:r>
          </w:p>
        </w:tc>
      </w:tr>
    </w:tbl>
    <w:p>
      <w:pPr>
        <w:spacing w:line="240" w:lineRule="auto" w:before="3"/>
        <w:rPr>
          <w:rFonts w:ascii="宋体" w:hAnsi="宋体" w:cs="宋体" w:eastAsia="宋体" w:hint="default"/>
          <w:sz w:val="16"/>
          <w:szCs w:val="16"/>
        </w:rPr>
      </w:pPr>
    </w:p>
    <w:p>
      <w:pPr>
        <w:pStyle w:val="BodyText"/>
        <w:spacing w:line="272" w:lineRule="exact" w:before="64"/>
        <w:ind w:left="314" w:right="0"/>
        <w:jc w:val="left"/>
      </w:pPr>
      <w:r>
        <w:rPr/>
        <w:t>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5"/>
        </w:rPr>
        <w:t>日，本集团及本公司在计量租赁负债时，对于具有相似特征的租赁合同采用同一折现率，</w:t>
      </w:r>
      <w:r>
        <w:rPr>
          <w:spacing w:val="-101"/>
        </w:rPr>
        <w:t> </w:t>
      </w:r>
      <w:r>
        <w:rPr>
          <w:spacing w:val="-101"/>
        </w:rPr>
      </w:r>
      <w:r>
        <w:rPr/>
        <w:t>所采用的增量借款利率的加权平均值为</w:t>
      </w:r>
      <w:r>
        <w:rPr>
          <w:spacing w:val="-57"/>
        </w:rPr>
        <w:t> </w:t>
      </w:r>
      <w:r>
        <w:rPr>
          <w:rFonts w:ascii="Times New Roman" w:hAnsi="Times New Roman" w:cs="Times New Roman" w:eastAsia="Times New Roman" w:hint="default"/>
        </w:rPr>
        <w:t>4.75%</w:t>
      </w:r>
      <w:r>
        <w:rPr/>
        <w:t>。</w:t>
      </w:r>
    </w:p>
    <w:p>
      <w:pPr>
        <w:spacing w:line="240" w:lineRule="auto" w:before="0"/>
        <w:rPr>
          <w:rFonts w:ascii="宋体" w:hAnsi="宋体" w:cs="宋体" w:eastAsia="宋体" w:hint="default"/>
          <w:sz w:val="22"/>
          <w:szCs w:val="22"/>
        </w:rPr>
      </w:pPr>
    </w:p>
    <w:p>
      <w:pPr>
        <w:pStyle w:val="BodyText"/>
        <w:spacing w:line="331" w:lineRule="auto" w:before="192"/>
        <w:ind w:left="318" w:right="0" w:firstLine="420"/>
        <w:jc w:val="left"/>
      </w:pPr>
      <w:r>
        <w:rPr/>
        <w:t>（</w:t>
      </w:r>
      <w:r>
        <w:rPr>
          <w:rFonts w:ascii="Times New Roman" w:hAnsi="Times New Roman" w:cs="Times New Roman" w:eastAsia="Times New Roman" w:hint="default"/>
        </w:rPr>
        <w:t>ii</w:t>
      </w: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日，本集团及本公司将原租赁准则下披露的尚未支付的最低经营租赁付</w:t>
      </w:r>
      <w:r>
        <w:rPr>
          <w:w w:val="100"/>
        </w:rPr>
        <w:t> </w:t>
      </w:r>
      <w:r>
        <w:rPr/>
        <w:t>款额调整为新租赁准则下确认的租赁负债的调节表如下：</w:t>
      </w:r>
    </w:p>
    <w:p>
      <w:pPr>
        <w:spacing w:line="240" w:lineRule="auto" w:before="5"/>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5968"/>
        <w:gridCol w:w="1827"/>
        <w:gridCol w:w="1483"/>
      </w:tblGrid>
      <w:tr>
        <w:trPr>
          <w:trHeight w:val="505" w:hRule="exact"/>
        </w:trPr>
        <w:tc>
          <w:tcPr>
            <w:tcW w:w="5968" w:type="dxa"/>
            <w:tcBorders>
              <w:top w:val="nil" w:sz="6" w:space="0" w:color="auto"/>
              <w:left w:val="nil" w:sz="6" w:space="0" w:color="auto"/>
              <w:bottom w:val="nil" w:sz="6" w:space="0" w:color="auto"/>
              <w:right w:val="nil" w:sz="6" w:space="0" w:color="auto"/>
            </w:tcBorders>
          </w:tcPr>
          <w:p>
            <w:pPr/>
          </w:p>
        </w:tc>
        <w:tc>
          <w:tcPr>
            <w:tcW w:w="1827" w:type="dxa"/>
            <w:tcBorders>
              <w:top w:val="nil" w:sz="6" w:space="0" w:color="auto"/>
              <w:left w:val="nil" w:sz="6" w:space="0" w:color="auto"/>
              <w:bottom w:val="nil" w:sz="6" w:space="0" w:color="auto"/>
              <w:right w:val="nil" w:sz="6" w:space="0" w:color="auto"/>
            </w:tcBorders>
          </w:tcPr>
          <w:p>
            <w:pPr>
              <w:pStyle w:val="TableParagraph"/>
              <w:spacing w:line="211" w:lineRule="exact"/>
              <w:ind w:right="322"/>
              <w:jc w:val="right"/>
              <w:rPr>
                <w:rFonts w:ascii="宋体" w:hAnsi="宋体" w:cs="宋体" w:eastAsia="宋体" w:hint="default"/>
                <w:sz w:val="21"/>
                <w:szCs w:val="21"/>
              </w:rPr>
            </w:pPr>
            <w:r>
              <w:rPr>
                <w:rFonts w:ascii="宋体" w:hAnsi="宋体" w:cs="宋体" w:eastAsia="宋体" w:hint="default"/>
                <w:sz w:val="21"/>
                <w:szCs w:val="21"/>
              </w:rPr>
              <w:t>本集团</w:t>
            </w:r>
          </w:p>
        </w:tc>
        <w:tc>
          <w:tcPr>
            <w:tcW w:w="1483" w:type="dxa"/>
            <w:tcBorders>
              <w:top w:val="nil" w:sz="6" w:space="0" w:color="auto"/>
              <w:left w:val="nil" w:sz="6" w:space="0" w:color="auto"/>
              <w:bottom w:val="nil" w:sz="6" w:space="0" w:color="auto"/>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z w:val="21"/>
                <w:szCs w:val="21"/>
              </w:rPr>
              <w:t>本公司</w:t>
            </w:r>
          </w:p>
        </w:tc>
      </w:tr>
      <w:tr>
        <w:trPr>
          <w:trHeight w:val="606" w:hRule="exact"/>
        </w:trPr>
        <w:tc>
          <w:tcPr>
            <w:tcW w:w="59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日披露未来最低经营租赁付款额</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22"/>
              <w:jc w:val="right"/>
              <w:rPr>
                <w:rFonts w:ascii="Times New Roman" w:hAnsi="Times New Roman" w:cs="Times New Roman" w:eastAsia="Times New Roman" w:hint="default"/>
                <w:sz w:val="21"/>
                <w:szCs w:val="21"/>
              </w:rPr>
            </w:pPr>
            <w:r>
              <w:rPr>
                <w:rFonts w:ascii="Times New Roman"/>
                <w:spacing w:val="-1"/>
                <w:sz w:val="21"/>
              </w:rPr>
              <w:t>122,029,345</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99" w:hRule="exact"/>
        </w:trPr>
        <w:tc>
          <w:tcPr>
            <w:tcW w:w="5968" w:type="dxa"/>
            <w:tcBorders>
              <w:top w:val="nil" w:sz="6" w:space="0" w:color="auto"/>
              <w:left w:val="nil" w:sz="6" w:space="0" w:color="auto"/>
              <w:bottom w:val="nil" w:sz="6" w:space="0" w:color="auto"/>
              <w:right w:val="nil" w:sz="6" w:space="0" w:color="auto"/>
            </w:tcBorders>
          </w:tcPr>
          <w:p>
            <w:pPr>
              <w:pStyle w:val="TableParagraph"/>
              <w:spacing w:line="348" w:lineRule="auto" w:before="25"/>
              <w:ind w:left="425" w:right="931" w:hanging="226"/>
              <w:jc w:val="left"/>
              <w:rPr>
                <w:rFonts w:ascii="宋体" w:hAnsi="宋体" w:cs="宋体" w:eastAsia="宋体" w:hint="default"/>
                <w:sz w:val="21"/>
                <w:szCs w:val="21"/>
              </w:rPr>
            </w:pPr>
            <w:r>
              <w:rPr>
                <w:rFonts w:ascii="宋体" w:hAnsi="宋体" w:cs="宋体" w:eastAsia="宋体" w:hint="default"/>
                <w:spacing w:val="-2"/>
                <w:sz w:val="21"/>
                <w:szCs w:val="21"/>
              </w:rPr>
              <w:t>按增量借款利率折现计算的上述最低经营租赁付款额</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的现值</w:t>
            </w:r>
          </w:p>
        </w:tc>
        <w:tc>
          <w:tcPr>
            <w:tcW w:w="18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22"/>
              <w:jc w:val="right"/>
              <w:rPr>
                <w:rFonts w:ascii="Times New Roman" w:hAnsi="Times New Roman" w:cs="Times New Roman" w:eastAsia="Times New Roman" w:hint="default"/>
                <w:sz w:val="21"/>
                <w:szCs w:val="21"/>
              </w:rPr>
            </w:pPr>
            <w:r>
              <w:rPr>
                <w:rFonts w:ascii="Times New Roman"/>
                <w:spacing w:val="-1"/>
                <w:sz w:val="21"/>
              </w:rPr>
              <w:t>111,072,577</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7" w:hRule="exact"/>
        </w:trPr>
        <w:tc>
          <w:tcPr>
            <w:tcW w:w="596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宋体" w:hAnsi="宋体" w:cs="宋体" w:eastAsia="宋体" w:hint="default"/>
                <w:sz w:val="21"/>
                <w:szCs w:val="21"/>
              </w:rPr>
            </w:pPr>
            <w:r>
              <w:rPr>
                <w:rFonts w:ascii="宋体" w:hAnsi="宋体" w:cs="宋体" w:eastAsia="宋体" w:hint="default"/>
                <w:sz w:val="21"/>
                <w:szCs w:val="21"/>
              </w:rPr>
              <w:t>加：</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日应付融资租赁款</w:t>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322"/>
              <w:jc w:val="right"/>
              <w:rPr>
                <w:rFonts w:ascii="Times New Roman" w:hAnsi="Times New Roman" w:cs="Times New Roman" w:eastAsia="Times New Roman" w:hint="default"/>
                <w:sz w:val="21"/>
                <w:szCs w:val="21"/>
              </w:rPr>
            </w:pPr>
            <w:r>
              <w:rPr>
                <w:rFonts w:ascii="Times New Roman"/>
                <w:spacing w:val="-1"/>
                <w:sz w:val="21"/>
              </w:rPr>
              <w:t>557,265,084</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pacing w:val="-1"/>
                <w:sz w:val="21"/>
              </w:rPr>
              <w:t>120,046,397</w:t>
            </w:r>
          </w:p>
        </w:tc>
      </w:tr>
      <w:tr>
        <w:trPr>
          <w:trHeight w:val="821" w:hRule="exact"/>
        </w:trPr>
        <w:tc>
          <w:tcPr>
            <w:tcW w:w="5968" w:type="dxa"/>
            <w:tcBorders>
              <w:top w:val="nil" w:sz="6" w:space="0" w:color="auto"/>
              <w:left w:val="nil" w:sz="6" w:space="0" w:color="auto"/>
              <w:bottom w:val="nil" w:sz="6" w:space="0" w:color="auto"/>
              <w:right w:val="nil" w:sz="6" w:space="0" w:color="auto"/>
            </w:tcBorders>
          </w:tcPr>
          <w:p>
            <w:pPr>
              <w:pStyle w:val="TableParagraph"/>
              <w:spacing w:line="328" w:lineRule="auto" w:before="78"/>
              <w:ind w:left="440" w:right="967" w:hanging="240"/>
              <w:jc w:val="left"/>
              <w:rPr>
                <w:rFonts w:ascii="Times New Roman" w:hAnsi="Times New Roman" w:cs="Times New Roman" w:eastAsia="Times New Roman"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日确认的租赁负债</w:t>
            </w:r>
            <w:r>
              <w:rPr>
                <w:rFonts w:ascii="Times New Roman" w:hAnsi="Times New Roman" w:cs="Times New Roman" w:eastAsia="Times New Roman" w:hint="default"/>
                <w:sz w:val="21"/>
                <w:szCs w:val="21"/>
              </w:rPr>
              <w:t>(</w:t>
            </w:r>
            <w:r>
              <w:rPr>
                <w:rFonts w:ascii="宋体" w:hAnsi="宋体" w:cs="宋体" w:eastAsia="宋体" w:hint="default"/>
                <w:sz w:val="21"/>
                <w:szCs w:val="21"/>
              </w:rPr>
              <w:t>含一年内到期的</w:t>
            </w:r>
            <w:r>
              <w:rPr>
                <w:rFonts w:ascii="宋体" w:hAnsi="宋体" w:cs="宋体" w:eastAsia="宋体" w:hint="default"/>
                <w:w w:val="100"/>
                <w:sz w:val="21"/>
                <w:szCs w:val="21"/>
              </w:rPr>
              <w:t> </w:t>
            </w:r>
            <w:r>
              <w:rPr>
                <w:rFonts w:ascii="宋体" w:hAnsi="宋体" w:cs="宋体" w:eastAsia="宋体" w:hint="default"/>
                <w:sz w:val="21"/>
                <w:szCs w:val="21"/>
              </w:rPr>
              <w:t>非流动负债</w:t>
            </w:r>
            <w:r>
              <w:rPr>
                <w:rFonts w:ascii="Times New Roman" w:hAnsi="Times New Roman" w:cs="Times New Roman" w:eastAsia="Times New Roman" w:hint="default"/>
                <w:sz w:val="21"/>
                <w:szCs w:val="21"/>
              </w:rPr>
              <w:t>)</w:t>
            </w:r>
          </w:p>
        </w:tc>
        <w:tc>
          <w:tcPr>
            <w:tcW w:w="182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21"/>
                <w:szCs w:val="21"/>
              </w:rPr>
            </w:pPr>
            <w:r>
              <w:rPr>
                <w:rFonts w:ascii="Times New Roman"/>
                <w:spacing w:val="-1"/>
                <w:sz w:val="21"/>
              </w:rPr>
              <w:t>668,337,661</w:t>
            </w: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120,046,397</w:t>
            </w:r>
          </w:p>
        </w:tc>
      </w:tr>
    </w:tbl>
    <w:p>
      <w:pPr>
        <w:spacing w:line="240" w:lineRule="auto" w:before="7"/>
        <w:rPr>
          <w:rFonts w:ascii="宋体" w:hAnsi="宋体" w:cs="宋体" w:eastAsia="宋体" w:hint="default"/>
          <w:sz w:val="17"/>
          <w:szCs w:val="17"/>
        </w:rPr>
      </w:pPr>
    </w:p>
    <w:p>
      <w:pPr>
        <w:pStyle w:val="Heading5"/>
        <w:spacing w:line="240" w:lineRule="auto" w:before="36"/>
        <w:ind w:left="318" w:right="0"/>
        <w:jc w:val="left"/>
        <w:rPr>
          <w:b w:val="0"/>
          <w:bCs w:val="0"/>
        </w:rPr>
      </w:pPr>
      <w:r>
        <w:rPr>
          <w:rFonts w:ascii="宋体" w:hAnsi="宋体" w:cs="宋体" w:eastAsia="宋体" w:hint="default"/>
        </w:rPr>
        <w:t>(2).</w:t>
      </w:r>
      <w:r>
        <w:rPr/>
        <w:t>重要会计估计变更</w:t>
      </w:r>
      <w:r>
        <w:rPr>
          <w:b w:val="0"/>
          <w:bCs w:val="0"/>
        </w:rPr>
      </w:r>
    </w:p>
    <w:p>
      <w:pPr>
        <w:pStyle w:val="Heading3"/>
        <w:spacing w:line="312" w:lineRule="exact" w:before="52"/>
        <w:ind w:left="3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318" w:right="0"/>
        <w:jc w:val="left"/>
        <w:rPr>
          <w:rFonts w:ascii="宋体" w:hAnsi="宋体" w:cs="宋体" w:eastAsia="宋体" w:hint="default"/>
        </w:rPr>
      </w:pPr>
      <w:r>
        <w:rPr>
          <w:rFonts w:ascii="宋体"/>
        </w:rPr>
        <w:t> </w:t>
      </w:r>
    </w:p>
    <w:p>
      <w:pPr>
        <w:pStyle w:val="Heading5"/>
        <w:spacing w:line="274" w:lineRule="exact" w:before="90"/>
        <w:ind w:left="746" w:right="664" w:hanging="428"/>
        <w:jc w:val="left"/>
        <w:rPr>
          <w:b w:val="0"/>
          <w:bCs w:val="0"/>
        </w:rPr>
      </w:pPr>
      <w:r>
        <w:rPr>
          <w:rFonts w:ascii="宋体" w:hAnsi="宋体" w:cs="宋体" w:eastAsia="宋体" w:hint="default"/>
        </w:rPr>
        <w:t>(3).</w:t>
      </w:r>
      <w:r>
        <w:rPr>
          <w:rFonts w:ascii="Calibri" w:hAnsi="Calibri" w:cs="Calibri" w:eastAsia="Calibri" w:hint="default"/>
        </w:rPr>
        <w:t>2019</w:t>
      </w:r>
      <w:r>
        <w:rPr>
          <w:rFonts w:ascii="Calibri" w:hAnsi="Calibri" w:cs="Calibri" w:eastAsia="Calibri" w:hint="default"/>
          <w:spacing w:val="23"/>
        </w:rPr>
        <w:t> </w:t>
      </w:r>
      <w:r>
        <w:rPr>
          <w:spacing w:val="-2"/>
        </w:rPr>
        <w:t>年起执行新金融工具准则、新收入准则或新租赁准则调整执行当年年初财务报表相关项目</w:t>
      </w:r>
      <w:r>
        <w:rPr>
          <w:spacing w:val="-101"/>
        </w:rPr>
        <w:t> </w:t>
      </w:r>
      <w:r>
        <w:rPr>
          <w:spacing w:val="-101"/>
        </w:rPr>
      </w:r>
      <w:r>
        <w:rPr/>
        <w:t>情况</w:t>
      </w:r>
      <w:r>
        <w:rPr>
          <w:b w:val="0"/>
          <w:bCs w:val="0"/>
        </w:rPr>
      </w:r>
    </w:p>
    <w:p>
      <w:pPr>
        <w:pStyle w:val="BodyText"/>
        <w:spacing w:line="240" w:lineRule="auto" w:before="31"/>
        <w:ind w:left="3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4153" w:right="4403"/>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56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06" w:type="dxa"/>
        <w:tblLayout w:type="fixed"/>
        <w:tblCellMar>
          <w:top w:w="0" w:type="dxa"/>
          <w:left w:w="0" w:type="dxa"/>
          <w:bottom w:w="0" w:type="dxa"/>
          <w:right w:w="0" w:type="dxa"/>
        </w:tblCellMar>
        <w:tblLook w:val="01E0"/>
      </w:tblPr>
      <w:tblGrid>
        <w:gridCol w:w="3274"/>
        <w:gridCol w:w="2093"/>
        <w:gridCol w:w="1939"/>
        <w:gridCol w:w="197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2"/>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57"/>
              <w:jc w:val="righ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62"/>
              <w:jc w:val="righ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8,077,972,498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8,077,972,498</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875,000,000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875,000,000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65,198,592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65,198,592</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2,068,535,326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2,068,535,326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670,396,485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670,396,485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81,694,054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81,694,054</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1,782,762,150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1,782,762,150</w:t>
            </w:r>
          </w:p>
        </w:tc>
        <w:tc>
          <w:tcPr>
            <w:tcW w:w="19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974" w:top="1120" w:bottom="1160" w:left="1100" w:right="7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3274"/>
        <w:gridCol w:w="2093"/>
        <w:gridCol w:w="1939"/>
        <w:gridCol w:w="197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33,998,967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33,998,967</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174,723,066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174,723,066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280,972,522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280,972,522</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385,744,736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385,744,736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3,903,247,154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3,903,247,154</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18,366,246,583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18,366,246,583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1,606,080,481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1,606,080,481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8,825,256,813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8,825,256,813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268,580,567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268,580,567</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188,836,576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188,836,576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14,040,859,577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13,548,722,113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-492,137,464</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2,097,812,840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2,041,219,210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-56,593,630</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659,803,671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659,803,671</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2,069,854,074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2,069,854,074</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25,373,323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25,373,323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26,894,955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26,894,955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908,858,376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908,858,376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341,128,768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341,128,768</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30,399,536,350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30,510,608,927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111,072,577</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48,765,782,933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48,876,855,510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111,072,577</w:t>
            </w:r>
          </w:p>
        </w:tc>
      </w:tr>
      <w:tr>
        <w:trPr>
          <w:trHeight w:val="283"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166,712,204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166,712,204</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957,024,876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957,024,876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1,581,607,319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1,581,607,319</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209,454,071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209,454,071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134,964,090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134,964,090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2"/>
          <w:pgSz w:w="11910" w:h="16840"/>
          <w:pgMar w:footer="974" w:header="882" w:top="1120" w:bottom="116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3274"/>
        <w:gridCol w:w="2093"/>
        <w:gridCol w:w="1939"/>
        <w:gridCol w:w="197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251,347,940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251,347,940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209,314,607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209,314,607</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5,954,949,541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5,954,949,541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81,730,280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81,730,280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3,595,928,706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3,625,909,154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29,980,448</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13,061,303,354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13,091,283,802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29,980,448</w:t>
            </w:r>
          </w:p>
        </w:tc>
      </w:tr>
      <w:tr>
        <w:trPr>
          <w:trHeight w:val="284"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160,792,988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160,792,988</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569,808,507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569,808,507</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530,779,311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42,062,933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-488,716,378</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2,497,630,000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2,497,630,000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5,718,045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5,718,045</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205,830,431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205,830,431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2,884,204,561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2,884,204,561</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6,284,955,336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6,366,047,465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81,092,129</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19,346,258,690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19,457,331,267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111,072,577</w:t>
            </w:r>
          </w:p>
        </w:tc>
      </w:tr>
      <w:tr>
        <w:trPr>
          <w:trHeight w:val="283" w:hRule="exact"/>
        </w:trPr>
        <w:tc>
          <w:tcPr>
            <w:tcW w:w="92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6,036,724,000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6,036,724,000</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10,777,968,793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10,777,968,793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133,694,188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133,694,188</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3,399,949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3,399,949</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986,974,314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986,974,314</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298,283,806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298,283,806</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8,742,614,209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8,742,614,209</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归属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97"/>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东权益）合计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26,979,659,259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26,979,659,259</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2,439,864,984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2,439,864,984</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29,419,524,243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29,419,524,243</w:t>
            </w: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4"/>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权益）总计</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48,765,782,933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48,876,855,510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111,072,577</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63"/>
          <w:pgSz w:w="11910" w:h="16840"/>
          <w:pgMar w:footer="974" w:header="882" w:top="1120" w:bottom="1160" w:left="1200" w:right="1200"/>
          <w:pgNumType w:start="131"/>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200" w:right="1180"/>
        </w:sectPr>
      </w:pPr>
    </w:p>
    <w:p>
      <w:pPr>
        <w:pStyle w:val="BodyText"/>
        <w:spacing w:line="273" w:lineRule="exact" w:before="168"/>
        <w:ind w:right="0"/>
        <w:jc w:val="left"/>
        <w:rPr>
          <w:rFonts w:ascii="宋体" w:hAnsi="宋体" w:cs="宋体" w:eastAsia="宋体" w:hint="default"/>
        </w:rPr>
      </w:pPr>
      <w:r>
        <w:rPr/>
        <w:t>详见第十节</w:t>
      </w:r>
      <w:r>
        <w:rPr>
          <w:spacing w:val="-2"/>
        </w:rPr>
        <w:t> </w:t>
      </w:r>
      <w:r>
        <w:rPr>
          <w:rFonts w:ascii="宋体" w:hAnsi="宋体" w:cs="宋体" w:eastAsia="宋体" w:hint="default"/>
          <w:spacing w:val="-2"/>
        </w:rPr>
      </w:r>
      <w:r>
        <w:rPr/>
        <w:t>五、</w:t>
      </w:r>
      <w:r>
        <w:rPr>
          <w:rFonts w:ascii="宋体" w:hAnsi="宋体" w:cs="宋体" w:eastAsia="宋体" w:hint="default"/>
        </w:rPr>
        <w:t>44</w:t>
      </w:r>
      <w:r>
        <w:rPr/>
        <w:t>（</w:t>
      </w:r>
      <w:r>
        <w:rPr>
          <w:rFonts w:ascii="宋体" w:hAnsi="宋体" w:cs="宋体" w:eastAsia="宋体" w:hint="default"/>
        </w:rPr>
        <w:t>1</w:t>
      </w:r>
      <w:r>
        <w:rPr/>
        <w:t>）（</w:t>
      </w:r>
      <w:r>
        <w:rPr>
          <w:rFonts w:ascii="宋体" w:hAnsi="宋体" w:cs="宋体" w:eastAsia="宋体" w:hint="default"/>
        </w:rPr>
        <w:t>b</w:t>
      </w:r>
      <w:r>
        <w:rPr/>
        <w:t>）</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100"/>
        </w:rPr>
        <w:t> </w:t>
      </w:r>
      <w:r>
        <w:rPr>
          <w:rFonts w:ascii="宋体" w:hAnsi="宋体" w:cs="宋体" w:eastAsia="宋体" w:hint="default"/>
          <w:spacing w:val="100"/>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3" w:equalWidth="0">
            <w:col w:w="3162" w:space="532"/>
            <w:col w:w="2005" w:space="537"/>
            <w:col w:w="3294"/>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66"/>
        <w:gridCol w:w="2350"/>
        <w:gridCol w:w="1939"/>
        <w:gridCol w:w="1832"/>
      </w:tblGrid>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8,444,554,600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19" w:right="0"/>
              <w:jc w:val="left"/>
              <w:rPr>
                <w:rFonts w:ascii="Times New Roman" w:hAnsi="Times New Roman" w:cs="Times New Roman" w:eastAsia="Times New Roman" w:hint="default"/>
                <w:sz w:val="21"/>
                <w:szCs w:val="21"/>
              </w:rPr>
            </w:pPr>
            <w:r>
              <w:rPr>
                <w:rFonts w:ascii="Times New Roman"/>
                <w:sz w:val="21"/>
              </w:rPr>
              <w:t>8,444,554,600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726,398,006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75" w:right="0"/>
              <w:jc w:val="left"/>
              <w:rPr>
                <w:rFonts w:ascii="Times New Roman" w:hAnsi="Times New Roman" w:cs="Times New Roman" w:eastAsia="Times New Roman" w:hint="default"/>
                <w:sz w:val="21"/>
                <w:szCs w:val="21"/>
              </w:rPr>
            </w:pPr>
            <w:r>
              <w:rPr>
                <w:rFonts w:ascii="Times New Roman"/>
                <w:sz w:val="21"/>
              </w:rPr>
              <w:t>726,398,006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357,958,050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75" w:right="0"/>
              <w:jc w:val="left"/>
              <w:rPr>
                <w:rFonts w:ascii="Times New Roman" w:hAnsi="Times New Roman" w:cs="Times New Roman" w:eastAsia="Times New Roman" w:hint="default"/>
                <w:sz w:val="21"/>
                <w:szCs w:val="21"/>
              </w:rPr>
            </w:pPr>
            <w:r>
              <w:rPr>
                <w:rFonts w:ascii="Times New Roman"/>
                <w:sz w:val="21"/>
              </w:rPr>
              <w:t>357,958,050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9,103,345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6" w:right="0"/>
              <w:jc w:val="left"/>
              <w:rPr>
                <w:rFonts w:ascii="Times New Roman" w:hAnsi="Times New Roman" w:cs="Times New Roman" w:eastAsia="Times New Roman" w:hint="default"/>
                <w:sz w:val="21"/>
                <w:szCs w:val="21"/>
              </w:rPr>
            </w:pPr>
            <w:r>
              <w:rPr>
                <w:rFonts w:ascii="Times New Roman"/>
                <w:sz w:val="21"/>
              </w:rPr>
              <w:t>9,103,345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126,080,867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75" w:right="0"/>
              <w:jc w:val="left"/>
              <w:rPr>
                <w:rFonts w:ascii="Times New Roman" w:hAnsi="Times New Roman" w:cs="Times New Roman" w:eastAsia="Times New Roman" w:hint="default"/>
                <w:sz w:val="21"/>
                <w:szCs w:val="21"/>
              </w:rPr>
            </w:pPr>
            <w:r>
              <w:rPr>
                <w:rFonts w:ascii="Times New Roman"/>
                <w:sz w:val="21"/>
              </w:rPr>
              <w:t>126,080,867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8,041,075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6" w:right="0"/>
              <w:jc w:val="left"/>
              <w:rPr>
                <w:rFonts w:ascii="Times New Roman" w:hAnsi="Times New Roman" w:cs="Times New Roman" w:eastAsia="Times New Roman" w:hint="default"/>
                <w:sz w:val="21"/>
                <w:szCs w:val="21"/>
              </w:rPr>
            </w:pPr>
            <w:r>
              <w:rPr>
                <w:rFonts w:ascii="Times New Roman"/>
                <w:sz w:val="21"/>
              </w:rPr>
              <w:t>8,041,075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98,846,642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80" w:right="0"/>
              <w:jc w:val="left"/>
              <w:rPr>
                <w:rFonts w:ascii="Times New Roman" w:hAnsi="Times New Roman" w:cs="Times New Roman" w:eastAsia="Times New Roman" w:hint="default"/>
                <w:sz w:val="21"/>
                <w:szCs w:val="21"/>
              </w:rPr>
            </w:pPr>
            <w:r>
              <w:rPr>
                <w:rFonts w:ascii="Times New Roman"/>
                <w:sz w:val="21"/>
              </w:rPr>
              <w:t>98,846,642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124,030,811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75" w:right="0"/>
              <w:jc w:val="left"/>
              <w:rPr>
                <w:rFonts w:ascii="Times New Roman" w:hAnsi="Times New Roman" w:cs="Times New Roman" w:eastAsia="Times New Roman" w:hint="default"/>
                <w:sz w:val="21"/>
                <w:szCs w:val="21"/>
              </w:rPr>
            </w:pPr>
            <w:r>
              <w:rPr>
                <w:rFonts w:ascii="Times New Roman"/>
                <w:sz w:val="21"/>
              </w:rPr>
              <w:t>124,030,811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921,632,329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75" w:right="0"/>
              <w:jc w:val="left"/>
              <w:rPr>
                <w:rFonts w:ascii="Times New Roman" w:hAnsi="Times New Roman" w:cs="Times New Roman" w:eastAsia="Times New Roman" w:hint="default"/>
                <w:sz w:val="21"/>
                <w:szCs w:val="21"/>
              </w:rPr>
            </w:pPr>
            <w:r>
              <w:rPr>
                <w:rFonts w:ascii="Times New Roman"/>
                <w:sz w:val="21"/>
              </w:rPr>
              <w:t>921,632,329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19,905,966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80" w:right="0"/>
              <w:jc w:val="left"/>
              <w:rPr>
                <w:rFonts w:ascii="Times New Roman" w:hAnsi="Times New Roman" w:cs="Times New Roman" w:eastAsia="Times New Roman" w:hint="default"/>
                <w:sz w:val="21"/>
                <w:szCs w:val="21"/>
              </w:rPr>
            </w:pPr>
            <w:r>
              <w:rPr>
                <w:rFonts w:ascii="Times New Roman"/>
                <w:sz w:val="21"/>
              </w:rPr>
              <w:t>19,905,966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10,828,510,616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3" w:right="0"/>
              <w:jc w:val="left"/>
              <w:rPr>
                <w:rFonts w:ascii="Times New Roman" w:hAnsi="Times New Roman" w:cs="Times New Roman" w:eastAsia="Times New Roman" w:hint="default"/>
                <w:sz w:val="21"/>
                <w:szCs w:val="21"/>
              </w:rPr>
            </w:pPr>
            <w:r>
              <w:rPr>
                <w:rFonts w:ascii="Times New Roman"/>
                <w:sz w:val="21"/>
              </w:rPr>
              <w:t>10,828,510,616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1,901,808,894</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1,901,808,894</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13,353,136,972</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13,353,136,972</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71,421,487</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71,421,487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1,343,775,935</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1,343,775,935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8,125,917,130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8,026,633,971</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-99,283,159</w:t>
            </w:r>
            <w:r>
              <w:rPr>
                <w:rFonts w:ascii="宋体"/>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1,216,355,400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1,216,355,400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99,283,159</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99,283,159</w:t>
            </w:r>
            <w:r>
              <w:rPr>
                <w:rFonts w:ascii="宋体"/>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2,160,102,681</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2,160,102,681</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7,047,125</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7,047,125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37,483,036</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37,483,036</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164,722,808</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164,722,808</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28,381,771,468</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28,381,771,468</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39,210,282,084</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39,210,282,084</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159,000,000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159,000,000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3166"/>
        <w:gridCol w:w="2350"/>
        <w:gridCol w:w="1939"/>
        <w:gridCol w:w="1832"/>
      </w:tblGrid>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207,039,615</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207,039,615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578,764,979</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578,764,979</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205,757,187</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205,757,187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62,705,460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62,705,460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192,317,443</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192,317,443</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63,650,616</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63,650,616</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543,085,697</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543,085,697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69,056,398</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69,056,398</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3,525,843,957</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3,525,843,957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5,538,164,954</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5,538,164,954</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94,202,439</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94,202,439</w:t>
            </w:r>
            <w:r>
              <w:rPr>
                <w:rFonts w:ascii="宋体"/>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136,212,372</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42,009,933</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-94,202,439</w:t>
            </w:r>
            <w:r>
              <w:rPr>
                <w:rFonts w:ascii="宋体"/>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2,162,150,000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2,162,150,000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5,718,045</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5,718,045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136,336,251</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136,336,251</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2,884,200,855</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2,884,200,855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5,324,617,523</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5,324,617,523</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10,862,782,477</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10,862,782,477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6,036,724,000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6,036,724,000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14,706,766,468</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14,706,766,468</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137,710,000</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137,710,000</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986,974,314</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986,974,314</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6,479,324,825</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6,479,324,825</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28,347,499,607</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28,347,499,607</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39,210,282,084</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39,210,282,084</w:t>
            </w:r>
            <w:r>
              <w:rPr>
                <w:rFonts w:ascii="宋体"/>
                <w:sz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974" w:top="1120" w:bottom="1160" w:left="1200" w:right="1180"/>
        </w:sectPr>
      </w:pPr>
    </w:p>
    <w:p>
      <w:pPr>
        <w:spacing w:line="240" w:lineRule="auto" w:before="0"/>
        <w:rPr>
          <w:rFonts w:ascii="宋体" w:hAnsi="宋体" w:cs="宋体" w:eastAsia="宋体" w:hint="default"/>
          <w:sz w:val="20"/>
          <w:szCs w:val="20"/>
        </w:rPr>
      </w:pPr>
    </w:p>
    <w:p>
      <w:pPr>
        <w:pStyle w:val="BodyText"/>
        <w:spacing w:line="273" w:lineRule="exact" w:before="168"/>
        <w:ind w:right="0"/>
        <w:jc w:val="left"/>
        <w:rPr>
          <w:rFonts w:ascii="宋体" w:hAnsi="宋体" w:cs="宋体" w:eastAsia="宋体" w:hint="default"/>
        </w:rPr>
      </w:pPr>
      <w:r>
        <w:rPr/>
        <w:t>详见第十节</w:t>
      </w:r>
      <w:r>
        <w:rPr>
          <w:spacing w:val="-2"/>
        </w:rPr>
        <w:t> </w:t>
      </w:r>
      <w:r>
        <w:rPr>
          <w:rFonts w:ascii="宋体" w:hAnsi="宋体" w:cs="宋体" w:eastAsia="宋体" w:hint="default"/>
          <w:spacing w:val="-2"/>
        </w:rPr>
      </w:r>
      <w:r>
        <w:rPr/>
        <w:t>五、</w:t>
      </w:r>
      <w:r>
        <w:rPr>
          <w:rFonts w:ascii="宋体" w:hAnsi="宋体" w:cs="宋体" w:eastAsia="宋体" w:hint="default"/>
        </w:rPr>
        <w:t>44</w:t>
      </w:r>
      <w:r>
        <w:rPr/>
        <w:t>（</w:t>
      </w:r>
      <w:r>
        <w:rPr>
          <w:rFonts w:ascii="宋体" w:hAnsi="宋体" w:cs="宋体" w:eastAsia="宋体" w:hint="default"/>
        </w:rPr>
        <w:t>1</w:t>
      </w:r>
      <w:r>
        <w:rPr/>
        <w:t>）（</w:t>
      </w:r>
      <w:r>
        <w:rPr>
          <w:rFonts w:ascii="宋体" w:hAnsi="宋体" w:cs="宋体" w:eastAsia="宋体" w:hint="default"/>
        </w:rPr>
        <w:t>b</w:t>
      </w:r>
      <w:r>
        <w:rPr/>
        <w:t>）</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color w:val="333399"/>
          <w:w w:val="100"/>
        </w:rPr>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w w:val="100"/>
        </w:rPr>
      </w:r>
      <w:r>
        <w:rPr>
          <w:rFonts w:ascii="宋体"/>
          <w:color w:val="333399"/>
          <w:spacing w:val="-2"/>
        </w:rPr>
        <w:t> </w:t>
      </w:r>
      <w:r>
        <w:rPr>
          <w:rFonts w:ascii="宋体"/>
          <w:w w:val="100"/>
        </w:rPr>
        <w:t> </w:t>
      </w:r>
    </w:p>
    <w:p>
      <w:pPr>
        <w:pStyle w:val="Heading5"/>
        <w:spacing w:line="240" w:lineRule="auto"/>
        <w:ind w:right="0"/>
        <w:jc w:val="left"/>
        <w:rPr>
          <w:b w:val="0"/>
          <w:bCs w:val="0"/>
        </w:rPr>
      </w:pPr>
      <w:r>
        <w:rPr>
          <w:rFonts w:ascii="宋体" w:hAnsi="宋体" w:cs="宋体" w:eastAsia="宋体" w:hint="default"/>
        </w:rPr>
        <w:t>(4).</w:t>
      </w:r>
      <w:r>
        <w:rPr>
          <w:rFonts w:ascii="Calibri" w:hAnsi="Calibri" w:cs="Calibri" w:eastAsia="Calibri" w:hint="default"/>
        </w:rPr>
        <w:t>2019</w:t>
      </w:r>
      <w:r>
        <w:rPr>
          <w:rFonts w:ascii="Calibri" w:hAnsi="Calibri" w:cs="Calibri" w:eastAsia="Calibri" w:hint="default"/>
          <w:spacing w:val="7"/>
        </w:rPr>
        <w:t> </w:t>
      </w:r>
      <w:r>
        <w:rPr/>
        <w:t>年起执行新金融工具准则或新租赁准则追溯调整前期比较数据说明</w:t>
      </w:r>
      <w:r>
        <w:rPr>
          <w:b w:val="0"/>
          <w:bCs w:val="0"/>
        </w:rPr>
      </w:r>
    </w:p>
    <w:p>
      <w:pPr>
        <w:pStyle w:val="Heading3"/>
        <w:spacing w:line="312" w:lineRule="exact"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rFonts w:ascii="宋体" w:hAnsi="宋体" w:cs="宋体" w:eastAsia="宋体" w:hint="default"/>
        </w:rPr>
        <w:t>45.</w:t>
      </w:r>
      <w:r>
        <w:rPr>
          <w:rFonts w:ascii="宋体" w:hAnsi="宋体" w:cs="宋体" w:eastAsia="宋体" w:hint="default"/>
          <w:spacing w:val="2"/>
        </w:rPr>
        <w:t> </w:t>
      </w:r>
      <w:r>
        <w:rPr/>
        <w:t>其他</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t>六、</w:t>
      </w:r>
      <w:r>
        <w:rPr>
          <w:spacing w:val="-103"/>
        </w:rPr>
        <w:t> </w:t>
      </w:r>
      <w:r>
        <w:rPr>
          <w:rFonts w:ascii="宋体" w:hAnsi="宋体" w:cs="宋体" w:eastAsia="宋体" w:hint="default"/>
          <w:spacing w:val="-103"/>
        </w:rPr>
      </w:r>
      <w:r>
        <w:rPr/>
        <w:t>税项</w:t>
      </w:r>
      <w:r>
        <w:rPr>
          <w:b w:val="0"/>
          <w:bCs w:val="0"/>
        </w:rPr>
      </w:r>
    </w:p>
    <w:p>
      <w:pPr>
        <w:tabs>
          <w:tab w:pos="643" w:val="left" w:leader="none"/>
        </w:tabs>
        <w:spacing w:line="292" w:lineRule="auto" w:before="56"/>
        <w:ind w:left="218" w:right="718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5"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13"/>
        <w:gridCol w:w="3068"/>
        <w:gridCol w:w="3044"/>
      </w:tblGrid>
      <w:tr>
        <w:trPr>
          <w:trHeight w:val="329"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29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1"/>
              <w:ind w:left="103" w:right="100"/>
              <w:jc w:val="both"/>
              <w:rPr>
                <w:rFonts w:ascii="宋体" w:hAnsi="宋体" w:cs="宋体" w:eastAsia="宋体" w:hint="default"/>
                <w:sz w:val="21"/>
                <w:szCs w:val="21"/>
              </w:rPr>
            </w:pPr>
            <w:r>
              <w:rPr>
                <w:rFonts w:ascii="宋体" w:hAnsi="宋体" w:cs="宋体" w:eastAsia="宋体" w:hint="default"/>
                <w:spacing w:val="2"/>
                <w:sz w:val="21"/>
                <w:szCs w:val="21"/>
              </w:rPr>
              <w:t>应纳税增值额</w:t>
            </w:r>
            <w:r>
              <w:rPr>
                <w:rFonts w:ascii="Arial" w:hAnsi="Arial" w:cs="Arial" w:eastAsia="Arial" w:hint="default"/>
                <w:spacing w:val="2"/>
                <w:sz w:val="21"/>
                <w:szCs w:val="21"/>
              </w:rPr>
              <w:t>(</w:t>
            </w:r>
            <w:r>
              <w:rPr>
                <w:rFonts w:ascii="宋体" w:hAnsi="宋体" w:cs="宋体" w:eastAsia="宋体" w:hint="default"/>
                <w:spacing w:val="2"/>
                <w:sz w:val="21"/>
                <w:szCs w:val="21"/>
              </w:rPr>
              <w:t>应纳税额按应纳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税销售额乘以适用税率扣除当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期允许抵扣的进项税后的余额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计算</w:t>
            </w:r>
            <w:r>
              <w:rPr>
                <w:rFonts w:ascii="Arial" w:hAnsi="Arial" w:cs="Arial" w:eastAsia="Arial" w:hint="default"/>
                <w:sz w:val="21"/>
                <w:szCs w:val="21"/>
              </w:rPr>
              <w:t>)</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及</w:t>
            </w:r>
          </w:p>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16%</w:t>
            </w:r>
          </w:p>
        </w:tc>
      </w:tr>
      <w:tr>
        <w:trPr>
          <w:trHeight w:val="329"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应纳税收入额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r>
      <w:tr>
        <w:trPr>
          <w:trHeight w:val="33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缴纳的增值税等税额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7%</w:t>
            </w:r>
          </w:p>
        </w:tc>
      </w:tr>
      <w:tr>
        <w:trPr>
          <w:trHeight w:val="329"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p>
        </w:tc>
      </w:tr>
      <w:tr>
        <w:trPr>
          <w:trHeight w:val="331"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实际使用土地面积</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3.2-11.2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r>
      <w:tr>
        <w:trPr>
          <w:trHeight w:val="329"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缴纳的增值税等税额</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sz w:val="21"/>
              </w:rPr>
              <w:t>3%</w:t>
            </w:r>
          </w:p>
        </w:tc>
      </w:tr>
    </w:tbl>
    <w:p>
      <w:pPr>
        <w:pStyle w:val="BodyText"/>
        <w:spacing w:line="314" w:lineRule="auto" w:before="42"/>
        <w:ind w:left="638" w:right="0"/>
        <w:jc w:val="left"/>
        <w:rPr>
          <w:rFonts w:ascii="Arial" w:hAnsi="Arial" w:cs="Arial" w:eastAsia="Arial" w:hint="default"/>
        </w:rPr>
      </w:pPr>
      <w:r>
        <w:rPr/>
        <w:t>（</w:t>
      </w:r>
      <w:r>
        <w:rPr>
          <w:rFonts w:ascii="宋体" w:hAnsi="宋体" w:cs="宋体" w:eastAsia="宋体" w:hint="default"/>
        </w:rPr>
        <w:t>1</w:t>
      </w:r>
      <w:r>
        <w:rPr/>
        <w:t>）企业所得税</w:t>
      </w:r>
      <w:r>
        <w:rPr>
          <w:rFonts w:ascii="宋体" w:hAnsi="宋体" w:cs="宋体" w:eastAsia="宋体" w:hint="default"/>
          <w:w w:val="100"/>
        </w:rPr>
        <w:t> </w:t>
      </w:r>
      <w:r>
        <w:rPr>
          <w:spacing w:val="-5"/>
        </w:rPr>
        <w:t>根据国家税务总局颁布的《关于设备、器具扣除有关企业所得税政策的通知》</w:t>
      </w:r>
      <w:r>
        <w:rPr>
          <w:rFonts w:ascii="Arial" w:hAnsi="Arial" w:cs="Arial" w:eastAsia="Arial" w:hint="default"/>
          <w:spacing w:val="-5"/>
        </w:rPr>
        <w:t>(</w:t>
      </w:r>
      <w:r>
        <w:rPr>
          <w:spacing w:val="-5"/>
        </w:rPr>
        <w:t>财税</w:t>
      </w:r>
      <w:r>
        <w:rPr>
          <w:rFonts w:ascii="Arial" w:hAnsi="Arial" w:cs="Arial" w:eastAsia="Arial" w:hint="default"/>
          <w:spacing w:val="-5"/>
        </w:rPr>
        <w:t>[2018]54 </w:t>
      </w:r>
      <w:r>
        <w:rPr>
          <w:rFonts w:ascii="Arial" w:hAnsi="Arial" w:cs="Arial" w:eastAsia="Arial" w:hint="default"/>
          <w:spacing w:val="26"/>
        </w:rPr>
        <w:t> </w:t>
      </w:r>
      <w:r>
        <w:rPr/>
        <w:t>号</w:t>
      </w:r>
      <w:r>
        <w:rPr>
          <w:rFonts w:ascii="Arial" w:hAnsi="Arial" w:cs="Arial" w:eastAsia="Arial" w:hint="default"/>
        </w:rPr>
        <w:t>)</w:t>
      </w:r>
    </w:p>
    <w:p>
      <w:pPr>
        <w:pStyle w:val="BodyText"/>
        <w:spacing w:line="307" w:lineRule="auto"/>
        <w:ind w:right="110"/>
        <w:jc w:val="both"/>
      </w:pPr>
      <w:r>
        <w:rPr/>
        <w:t>及相关规定，本集团在</w:t>
      </w:r>
      <w:r>
        <w:rPr>
          <w:spacing w:val="-50"/>
        </w:rPr>
        <w:t> </w:t>
      </w:r>
      <w:r>
        <w:rPr>
          <w:rFonts w:ascii="Arial" w:hAnsi="Arial" w:cs="Arial" w:eastAsia="Arial" w:hint="default"/>
        </w:rPr>
        <w:t>2018</w:t>
      </w:r>
      <w:r>
        <w:rPr>
          <w:rFonts w:ascii="Arial" w:hAnsi="Arial" w:cs="Arial" w:eastAsia="Arial" w:hint="default"/>
          <w:spacing w:val="-2"/>
        </w:rPr>
        <w:t> </w:t>
      </w:r>
      <w:r>
        <w:rPr/>
        <w:t>年</w:t>
      </w:r>
      <w:r>
        <w:rPr>
          <w:spacing w:val="-50"/>
        </w:rPr>
        <w:t> </w:t>
      </w:r>
      <w:r>
        <w:rPr>
          <w:rFonts w:ascii="Arial" w:hAnsi="Arial" w:cs="Arial" w:eastAsia="Arial" w:hint="default"/>
        </w:rPr>
        <w:t>1</w:t>
      </w:r>
      <w:r>
        <w:rPr>
          <w:rFonts w:ascii="Arial" w:hAnsi="Arial" w:cs="Arial" w:eastAsia="Arial" w:hint="default"/>
          <w:spacing w:val="-2"/>
        </w:rPr>
        <w:t> </w:t>
      </w:r>
      <w:r>
        <w:rPr/>
        <w:t>月</w:t>
      </w:r>
      <w:r>
        <w:rPr>
          <w:spacing w:val="-50"/>
        </w:rPr>
        <w:t> </w:t>
      </w:r>
      <w:r>
        <w:rPr>
          <w:rFonts w:ascii="Arial" w:hAnsi="Arial" w:cs="Arial" w:eastAsia="Arial" w:hint="default"/>
        </w:rPr>
        <w:t>1</w:t>
      </w:r>
      <w:r>
        <w:rPr>
          <w:rFonts w:ascii="Arial" w:hAnsi="Arial" w:cs="Arial" w:eastAsia="Arial" w:hint="default"/>
          <w:spacing w:val="-2"/>
        </w:rPr>
        <w:t> </w:t>
      </w:r>
      <w:r>
        <w:rPr/>
        <w:t>日至</w:t>
      </w:r>
      <w:r>
        <w:rPr>
          <w:spacing w:val="-53"/>
        </w:rPr>
        <w:t> </w:t>
      </w:r>
      <w:r>
        <w:rPr>
          <w:rFonts w:ascii="Arial" w:hAnsi="Arial" w:cs="Arial" w:eastAsia="Arial" w:hint="default"/>
        </w:rPr>
        <w:t>2020</w:t>
      </w:r>
      <w:r>
        <w:rPr>
          <w:rFonts w:ascii="Arial" w:hAnsi="Arial" w:cs="Arial" w:eastAsia="Arial" w:hint="default"/>
          <w:spacing w:val="-2"/>
        </w:rPr>
        <w:t> </w:t>
      </w:r>
      <w:r>
        <w:rPr/>
        <w:t>年</w:t>
      </w:r>
      <w:r>
        <w:rPr>
          <w:spacing w:val="-53"/>
        </w:rPr>
        <w:t> </w:t>
      </w:r>
      <w:r>
        <w:rPr>
          <w:rFonts w:ascii="Arial" w:hAnsi="Arial" w:cs="Arial" w:eastAsia="Arial" w:hint="default"/>
        </w:rPr>
        <w:t>12</w:t>
      </w:r>
      <w:r>
        <w:rPr>
          <w:rFonts w:ascii="Arial" w:hAnsi="Arial" w:cs="Arial" w:eastAsia="Arial" w:hint="default"/>
          <w:spacing w:val="-2"/>
        </w:rPr>
        <w:t> </w:t>
      </w:r>
      <w:r>
        <w:rPr/>
        <w:t>月</w:t>
      </w:r>
      <w:r>
        <w:rPr>
          <w:spacing w:val="-50"/>
        </w:rPr>
        <w:t> </w:t>
      </w:r>
      <w:r>
        <w:rPr>
          <w:rFonts w:ascii="Arial" w:hAnsi="Arial" w:cs="Arial" w:eastAsia="Arial" w:hint="default"/>
        </w:rPr>
        <w:t>31</w:t>
      </w:r>
      <w:r>
        <w:rPr>
          <w:rFonts w:ascii="Arial" w:hAnsi="Arial" w:cs="Arial" w:eastAsia="Arial" w:hint="default"/>
          <w:spacing w:val="-2"/>
        </w:rPr>
        <w:t> </w:t>
      </w:r>
      <w:r>
        <w:rPr/>
        <w:t>日的期间内，新购买的低于</w:t>
      </w:r>
      <w:r>
        <w:rPr>
          <w:spacing w:val="-50"/>
        </w:rPr>
        <w:t> </w:t>
      </w:r>
      <w:r>
        <w:rPr>
          <w:rFonts w:ascii="Arial" w:hAnsi="Arial" w:cs="Arial" w:eastAsia="Arial" w:hint="default"/>
        </w:rPr>
        <w:t>500</w:t>
      </w:r>
      <w:r>
        <w:rPr>
          <w:rFonts w:ascii="Arial" w:hAnsi="Arial" w:cs="Arial" w:eastAsia="Arial" w:hint="default"/>
          <w:spacing w:val="-2"/>
        </w:rPr>
        <w:t> </w:t>
      </w:r>
      <w:r>
        <w:rPr>
          <w:spacing w:val="-3"/>
        </w:rPr>
        <w:t>万元</w:t>
      </w:r>
      <w:r>
        <w:rPr>
          <w:spacing w:val="-3"/>
          <w:w w:val="100"/>
        </w:rPr>
        <w:t> </w:t>
      </w:r>
      <w:r>
        <w:rPr>
          <w:spacing w:val="-1"/>
        </w:rPr>
        <w:t>的设备可于资产投入使用的次月一次性计入当期成本费用，在计算应纳税所得额时扣除，不再分年</w:t>
      </w:r>
      <w:r>
        <w:rPr>
          <w:spacing w:val="-20"/>
        </w:rPr>
        <w:t> </w:t>
      </w:r>
      <w:r>
        <w:rPr>
          <w:spacing w:val="-20"/>
        </w:rPr>
      </w:r>
      <w:r>
        <w:rPr/>
        <w:t>度计算折旧。</w:t>
      </w:r>
    </w:p>
    <w:p>
      <w:pPr>
        <w:pStyle w:val="BodyText"/>
        <w:spacing w:line="314" w:lineRule="auto" w:before="26"/>
        <w:ind w:left="638" w:right="0"/>
        <w:jc w:val="left"/>
      </w:pPr>
      <w:r>
        <w:rPr/>
        <w:t>（</w:t>
      </w:r>
      <w:r>
        <w:rPr>
          <w:rFonts w:ascii="宋体" w:hAnsi="宋体" w:cs="宋体" w:eastAsia="宋体" w:hint="default"/>
        </w:rPr>
        <w:t>2</w:t>
      </w:r>
      <w:r>
        <w:rPr/>
        <w:t>）增值税</w:t>
      </w:r>
      <w:r>
        <w:rPr>
          <w:rFonts w:ascii="宋体" w:hAnsi="宋体" w:cs="宋体" w:eastAsia="宋体" w:hint="default"/>
          <w:w w:val="100"/>
        </w:rPr>
        <w:t> </w:t>
      </w:r>
      <w:r>
        <w:rPr>
          <w:spacing w:val="-6"/>
        </w:rPr>
        <w:t>本公司及若干子公司除从事燃油、机电设备、混凝土、水电等销售及商品贸易外，还提供运输、</w:t>
      </w:r>
    </w:p>
    <w:p>
      <w:pPr>
        <w:pStyle w:val="BodyText"/>
        <w:spacing w:line="240" w:lineRule="auto" w:before="20"/>
        <w:ind w:right="0"/>
        <w:jc w:val="both"/>
        <w:rPr>
          <w:rFonts w:ascii="Arial" w:hAnsi="Arial" w:cs="Arial" w:eastAsia="Arial" w:hint="default"/>
        </w:rPr>
      </w:pPr>
      <w:r>
        <w:rPr>
          <w:spacing w:val="-2"/>
        </w:rPr>
        <w:t>装卸搬运、港务管理、拖驳、外轮理货及有形动产租赁等服务。上述业务均适用增值税，</w:t>
      </w:r>
      <w:r>
        <w:rPr>
          <w:rFonts w:ascii="Arial" w:hAnsi="Arial" w:cs="Arial" w:eastAsia="Arial" w:hint="default"/>
          <w:spacing w:val="-2"/>
        </w:rPr>
        <w:t>2019</w:t>
      </w:r>
      <w:r>
        <w:rPr>
          <w:rFonts w:ascii="Arial" w:hAnsi="Arial" w:cs="Arial" w:eastAsia="Arial" w:hint="default"/>
        </w:rPr>
        <w:t> </w:t>
      </w:r>
      <w:r>
        <w:rPr/>
        <w:t>年</w:t>
      </w:r>
      <w:r>
        <w:rPr>
          <w:spacing w:val="-4"/>
        </w:rPr>
        <w:t> </w:t>
      </w:r>
      <w:r>
        <w:rPr>
          <w:rFonts w:ascii="Arial" w:hAnsi="Arial" w:cs="Arial" w:eastAsia="Arial" w:hint="default"/>
        </w:rPr>
        <w:t>4</w:t>
      </w:r>
    </w:p>
    <w:p>
      <w:pPr>
        <w:pStyle w:val="BodyText"/>
        <w:spacing w:line="297" w:lineRule="auto" w:before="70"/>
        <w:ind w:right="109"/>
        <w:jc w:val="both"/>
      </w:pPr>
      <w:r>
        <w:rPr/>
        <w:t>月</w:t>
      </w:r>
      <w:r>
        <w:rPr>
          <w:spacing w:val="-42"/>
        </w:rPr>
        <w:t> </w:t>
      </w:r>
      <w:r>
        <w:rPr>
          <w:rFonts w:ascii="Arial" w:hAnsi="Arial" w:cs="Arial" w:eastAsia="Arial" w:hint="default"/>
        </w:rPr>
        <w:t>1</w:t>
      </w:r>
      <w:r>
        <w:rPr>
          <w:rFonts w:ascii="Arial" w:hAnsi="Arial" w:cs="Arial" w:eastAsia="Arial" w:hint="default"/>
          <w:spacing w:val="2"/>
        </w:rPr>
        <w:t> </w:t>
      </w:r>
      <w:r>
        <w:rPr/>
        <w:t>日前，销售燃油、机电设备及电力等产品、商品贸易及有形动产租赁服务适用的增值税税率为</w:t>
      </w:r>
      <w:r>
        <w:rPr>
          <w:w w:val="100"/>
        </w:rPr>
        <w:t> </w:t>
      </w:r>
      <w:r>
        <w:rPr>
          <w:rFonts w:ascii="Arial" w:hAnsi="Arial" w:cs="Arial" w:eastAsia="Arial" w:hint="default"/>
          <w:spacing w:val="-1"/>
        </w:rPr>
        <w:t>16%</w:t>
      </w:r>
      <w:r>
        <w:rPr>
          <w:spacing w:val="-1"/>
        </w:rPr>
        <w:t>；提供装卸搬运服务、港务管理服务、拖驳服务、外轮理货、提供贷款以及其他等服务适用的</w:t>
      </w:r>
      <w:r>
        <w:rPr>
          <w:spacing w:val="-20"/>
        </w:rPr>
        <w:t> </w:t>
      </w:r>
      <w:r>
        <w:rPr>
          <w:spacing w:val="-20"/>
        </w:rPr>
      </w:r>
      <w:r>
        <w:rPr/>
        <w:t>增值税税率为</w:t>
      </w:r>
      <w:r>
        <w:rPr>
          <w:spacing w:val="45"/>
        </w:rPr>
        <w:t> </w:t>
      </w:r>
      <w:r>
        <w:rPr>
          <w:rFonts w:ascii="Arial" w:hAnsi="Arial" w:cs="Arial" w:eastAsia="Arial" w:hint="default"/>
        </w:rPr>
        <w:t>6%</w:t>
      </w:r>
      <w:r>
        <w:rPr/>
        <w:t>；提供运输服务、提供建筑安装工程等产生的收入，转让码头、堆场、土地使用</w:t>
      </w:r>
      <w:r>
        <w:rPr>
          <w:spacing w:val="-100"/>
        </w:rPr>
        <w:t> </w:t>
      </w:r>
      <w:r>
        <w:rPr>
          <w:spacing w:val="-100"/>
        </w:rPr>
      </w:r>
      <w:r>
        <w:rPr>
          <w:spacing w:val="-2"/>
          <w:w w:val="100"/>
        </w:rPr>
        <w:t>权等不动产及租赁不动产服务适用的增值税税率为</w:t>
      </w:r>
      <w:r>
        <w:rPr>
          <w:spacing w:val="-53"/>
          <w:w w:val="100"/>
        </w:rPr>
        <w:t> </w:t>
      </w:r>
      <w:r>
        <w:rPr>
          <w:rFonts w:ascii="Arial" w:hAnsi="Arial" w:cs="Arial" w:eastAsia="Arial" w:hint="default"/>
          <w:spacing w:val="-12"/>
          <w:w w:val="100"/>
        </w:rPr>
        <w:t>10%</w:t>
      </w:r>
      <w:r>
        <w:rPr>
          <w:spacing w:val="-12"/>
          <w:w w:val="100"/>
        </w:rPr>
        <w:t>；转让或出租</w:t>
      </w:r>
      <w:r>
        <w:rPr>
          <w:spacing w:val="-51"/>
          <w:w w:val="100"/>
        </w:rPr>
        <w:t> </w:t>
      </w:r>
      <w:r>
        <w:rPr>
          <w:rFonts w:ascii="Arial" w:hAnsi="Arial" w:cs="Arial" w:eastAsia="Arial" w:hint="default"/>
          <w:spacing w:val="-1"/>
          <w:w w:val="100"/>
        </w:rPr>
        <w:t>2016</w:t>
      </w:r>
      <w:r>
        <w:rPr>
          <w:rFonts w:ascii="Arial" w:hAnsi="Arial" w:cs="Arial" w:eastAsia="Arial" w:hint="default"/>
          <w:spacing w:val="-6"/>
          <w:w w:val="100"/>
        </w:rPr>
        <w:t> </w:t>
      </w:r>
      <w:r>
        <w:rPr>
          <w:w w:val="100"/>
        </w:rPr>
        <w:t>年</w:t>
      </w:r>
      <w:r>
        <w:rPr>
          <w:spacing w:val="-53"/>
          <w:w w:val="100"/>
        </w:rPr>
        <w:t> </w:t>
      </w:r>
      <w:r>
        <w:rPr>
          <w:rFonts w:ascii="Arial" w:hAnsi="Arial" w:cs="Arial" w:eastAsia="Arial" w:hint="default"/>
          <w:w w:val="100"/>
        </w:rPr>
        <w:t>4</w:t>
      </w:r>
      <w:r>
        <w:rPr>
          <w:rFonts w:ascii="Arial" w:hAnsi="Arial" w:cs="Arial" w:eastAsia="Arial" w:hint="default"/>
          <w:spacing w:val="-4"/>
          <w:w w:val="100"/>
        </w:rPr>
        <w:t> </w:t>
      </w:r>
      <w:r>
        <w:rPr>
          <w:w w:val="100"/>
        </w:rPr>
        <w:t>月</w:t>
      </w:r>
      <w:r>
        <w:rPr>
          <w:spacing w:val="-51"/>
          <w:w w:val="100"/>
        </w:rPr>
        <w:t> </w:t>
      </w:r>
      <w:r>
        <w:rPr>
          <w:rFonts w:ascii="Arial" w:hAnsi="Arial" w:cs="Arial" w:eastAsia="Arial" w:hint="default"/>
          <w:spacing w:val="-2"/>
          <w:w w:val="100"/>
        </w:rPr>
        <w:t>30</w:t>
      </w:r>
      <w:r>
        <w:rPr>
          <w:rFonts w:ascii="Arial" w:hAnsi="Arial" w:cs="Arial" w:eastAsia="Arial" w:hint="default"/>
          <w:spacing w:val="-3"/>
          <w:w w:val="100"/>
        </w:rPr>
        <w:t> </w:t>
      </w:r>
      <w:r>
        <w:rPr>
          <w:spacing w:val="-2"/>
          <w:w w:val="100"/>
        </w:rPr>
        <w:t>日以前取得的</w:t>
      </w:r>
      <w:r>
        <w:rPr>
          <w:w w:val="100"/>
        </w:rPr>
        <w:t> </w:t>
      </w:r>
      <w:r>
        <w:rPr/>
        <w:t>不动产，按照简易计税方法计税，适用税率为</w:t>
      </w:r>
      <w:r>
        <w:rPr>
          <w:spacing w:val="-56"/>
        </w:rPr>
        <w:t> </w:t>
      </w:r>
      <w:r>
        <w:rPr>
          <w:rFonts w:ascii="Arial" w:hAnsi="Arial" w:cs="Arial" w:eastAsia="Arial" w:hint="default"/>
        </w:rPr>
        <w:t>5%</w:t>
      </w:r>
      <w:r>
        <w:rPr/>
        <w:t>；为建筑工程老项目</w:t>
      </w:r>
      <w:r>
        <w:rPr>
          <w:rFonts w:ascii="Arial" w:hAnsi="Arial" w:cs="Arial" w:eastAsia="Arial" w:hint="default"/>
        </w:rPr>
        <w:t>(2016</w:t>
      </w:r>
      <w:r>
        <w:rPr>
          <w:rFonts w:ascii="Arial" w:hAnsi="Arial" w:cs="Arial" w:eastAsia="Arial" w:hint="default"/>
          <w:spacing w:val="-7"/>
        </w:rPr>
        <w:t> </w:t>
      </w:r>
      <w:r>
        <w:rPr/>
        <w:t>年</w:t>
      </w:r>
      <w:r>
        <w:rPr>
          <w:spacing w:val="-54"/>
        </w:rPr>
        <w:t> </w:t>
      </w:r>
      <w:r>
        <w:rPr>
          <w:rFonts w:ascii="Arial" w:hAnsi="Arial" w:cs="Arial" w:eastAsia="Arial" w:hint="default"/>
        </w:rPr>
        <w:t>4</w:t>
      </w:r>
      <w:r>
        <w:rPr>
          <w:rFonts w:ascii="Arial" w:hAnsi="Arial" w:cs="Arial" w:eastAsia="Arial" w:hint="default"/>
          <w:spacing w:val="-7"/>
        </w:rPr>
        <w:t> </w:t>
      </w:r>
      <w:r>
        <w:rPr/>
        <w:t>月</w:t>
      </w:r>
      <w:r>
        <w:rPr>
          <w:spacing w:val="-53"/>
        </w:rPr>
        <w:t> </w:t>
      </w:r>
      <w:r>
        <w:rPr>
          <w:rFonts w:ascii="Arial" w:hAnsi="Arial" w:cs="Arial" w:eastAsia="Arial" w:hint="default"/>
        </w:rPr>
        <w:t>30</w:t>
      </w:r>
      <w:r>
        <w:rPr>
          <w:rFonts w:ascii="Arial" w:hAnsi="Arial" w:cs="Arial" w:eastAsia="Arial" w:hint="default"/>
          <w:spacing w:val="-7"/>
        </w:rPr>
        <w:t> </w:t>
      </w:r>
      <w:r>
        <w:rPr/>
        <w:t>日以前开工</w:t>
      </w:r>
      <w:r>
        <w:rPr>
          <w:w w:val="100"/>
        </w:rPr>
        <w:t> </w:t>
      </w:r>
      <w:r>
        <w:rPr>
          <w:spacing w:val="-3"/>
        </w:rPr>
        <w:t>的工程项目</w:t>
      </w:r>
      <w:r>
        <w:rPr>
          <w:rFonts w:ascii="Arial" w:hAnsi="Arial" w:cs="Arial" w:eastAsia="Arial" w:hint="default"/>
          <w:spacing w:val="-3"/>
        </w:rPr>
        <w:t>)</w:t>
      </w:r>
      <w:r>
        <w:rPr>
          <w:spacing w:val="-3"/>
        </w:rPr>
        <w:t>提供的建筑服务及为甲供工程提供的建筑服务以及销售混凝土，可以按照简易计税方法</w:t>
      </w:r>
      <w:r>
        <w:rPr>
          <w:spacing w:val="-11"/>
        </w:rPr>
        <w:t> </w:t>
      </w:r>
      <w:r>
        <w:rPr>
          <w:spacing w:val="-11"/>
        </w:rPr>
      </w:r>
      <w:r>
        <w:rPr>
          <w:spacing w:val="-6"/>
        </w:rPr>
        <w:t>计税，征收率为</w:t>
      </w:r>
      <w:r>
        <w:rPr>
          <w:spacing w:val="-46"/>
        </w:rPr>
        <w:t> </w:t>
      </w:r>
      <w:r>
        <w:rPr>
          <w:rFonts w:ascii="Arial" w:hAnsi="Arial" w:cs="Arial" w:eastAsia="Arial" w:hint="default"/>
          <w:spacing w:val="-8"/>
        </w:rPr>
        <w:t>3%</w:t>
      </w:r>
      <w:r>
        <w:rPr>
          <w:spacing w:val="-8"/>
        </w:rPr>
        <w:t>；转让</w:t>
      </w:r>
      <w:r>
        <w:rPr>
          <w:spacing w:val="-48"/>
        </w:rPr>
        <w:t> </w:t>
      </w:r>
      <w:r>
        <w:rPr>
          <w:rFonts w:ascii="Arial" w:hAnsi="Arial" w:cs="Arial" w:eastAsia="Arial" w:hint="default"/>
        </w:rPr>
        <w:t>2008</w:t>
      </w:r>
      <w:r>
        <w:rPr>
          <w:rFonts w:ascii="Arial" w:hAnsi="Arial" w:cs="Arial" w:eastAsia="Arial" w:hint="default"/>
          <w:spacing w:val="-1"/>
        </w:rPr>
        <w:t> </w:t>
      </w:r>
      <w:r>
        <w:rPr/>
        <w:t>年</w:t>
      </w:r>
      <w:r>
        <w:rPr>
          <w:spacing w:val="-46"/>
        </w:rPr>
        <w:t> </w:t>
      </w:r>
      <w:r>
        <w:rPr>
          <w:rFonts w:ascii="Arial" w:hAnsi="Arial" w:cs="Arial" w:eastAsia="Arial" w:hint="default"/>
        </w:rPr>
        <w:t>12</w:t>
      </w:r>
      <w:r>
        <w:rPr>
          <w:rFonts w:ascii="Arial" w:hAnsi="Arial" w:cs="Arial" w:eastAsia="Arial" w:hint="default"/>
          <w:spacing w:val="2"/>
        </w:rPr>
        <w:t> </w:t>
      </w:r>
      <w:r>
        <w:rPr/>
        <w:t>月</w:t>
      </w:r>
      <w:r>
        <w:rPr>
          <w:spacing w:val="-48"/>
        </w:rPr>
        <w:t> </w:t>
      </w:r>
      <w:r>
        <w:rPr>
          <w:rFonts w:ascii="Arial" w:hAnsi="Arial" w:cs="Arial" w:eastAsia="Arial" w:hint="default"/>
        </w:rPr>
        <w:t>31</w:t>
      </w:r>
      <w:r>
        <w:rPr>
          <w:rFonts w:ascii="Arial" w:hAnsi="Arial" w:cs="Arial" w:eastAsia="Arial" w:hint="default"/>
          <w:spacing w:val="-1"/>
        </w:rPr>
        <w:t> </w:t>
      </w:r>
      <w:r>
        <w:rPr>
          <w:spacing w:val="-3"/>
        </w:rPr>
        <w:t>日前未做进项税抵扣的装卸搬运设备、机器设备等动产</w:t>
      </w:r>
      <w:r>
        <w:rPr>
          <w:spacing w:val="-102"/>
        </w:rPr>
        <w:t> </w:t>
      </w:r>
      <w:r>
        <w:rPr>
          <w:spacing w:val="-102"/>
        </w:rPr>
      </w:r>
      <w:r>
        <w:rPr/>
        <w:t>的转让收入适用</w:t>
      </w:r>
      <w:r>
        <w:rPr>
          <w:spacing w:val="-55"/>
        </w:rPr>
        <w:t> </w:t>
      </w:r>
      <w:r>
        <w:rPr>
          <w:rFonts w:ascii="Arial" w:hAnsi="Arial" w:cs="Arial" w:eastAsia="Arial" w:hint="default"/>
        </w:rPr>
        <w:t>3%</w:t>
      </w:r>
      <w:r>
        <w:rPr/>
        <w:t>的征收率减按</w:t>
      </w:r>
      <w:r>
        <w:rPr>
          <w:spacing w:val="-54"/>
        </w:rPr>
        <w:t> </w:t>
      </w:r>
      <w:r>
        <w:rPr>
          <w:rFonts w:ascii="Arial" w:hAnsi="Arial" w:cs="Arial" w:eastAsia="Arial" w:hint="default"/>
        </w:rPr>
        <w:t>2%</w:t>
      </w:r>
      <w:r>
        <w:rPr/>
        <w:t>征收增值税。</w:t>
      </w:r>
    </w:p>
    <w:p>
      <w:pPr>
        <w:spacing w:after="0" w:line="297" w:lineRule="auto"/>
        <w:jc w:val="both"/>
        <w:sectPr>
          <w:pgSz w:w="11910" w:h="16840"/>
          <w:pgMar w:header="882" w:footer="974" w:top="1120" w:bottom="1160" w:left="120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97" w:lineRule="auto" w:before="36"/>
        <w:ind w:right="229" w:firstLine="420"/>
        <w:jc w:val="both"/>
      </w:pPr>
      <w:r>
        <w:rPr/>
        <w:t>自</w:t>
      </w:r>
      <w:r>
        <w:rPr>
          <w:spacing w:val="-41"/>
        </w:rPr>
        <w:t> </w:t>
      </w:r>
      <w:r>
        <w:rPr>
          <w:rFonts w:ascii="Arial" w:hAnsi="Arial" w:cs="Arial" w:eastAsia="Arial" w:hint="default"/>
        </w:rPr>
        <w:t>2019</w:t>
      </w:r>
      <w:r>
        <w:rPr>
          <w:rFonts w:ascii="Arial" w:hAnsi="Arial" w:cs="Arial" w:eastAsia="Arial" w:hint="default"/>
          <w:spacing w:val="6"/>
        </w:rPr>
        <w:t> </w:t>
      </w:r>
      <w:r>
        <w:rPr/>
        <w:t>年</w:t>
      </w:r>
      <w:r>
        <w:rPr>
          <w:spacing w:val="-43"/>
        </w:rPr>
        <w:t> </w:t>
      </w:r>
      <w:r>
        <w:rPr>
          <w:rFonts w:ascii="Arial" w:hAnsi="Arial" w:cs="Arial" w:eastAsia="Arial" w:hint="default"/>
        </w:rPr>
        <w:t>4</w:t>
      </w:r>
      <w:r>
        <w:rPr>
          <w:rFonts w:ascii="Arial" w:hAnsi="Arial" w:cs="Arial" w:eastAsia="Arial" w:hint="default"/>
          <w:spacing w:val="6"/>
        </w:rPr>
        <w:t> </w:t>
      </w:r>
      <w:r>
        <w:rPr/>
        <w:t>月</w:t>
      </w:r>
      <w:r>
        <w:rPr>
          <w:spacing w:val="-41"/>
        </w:rPr>
        <w:t> </w:t>
      </w:r>
      <w:r>
        <w:rPr>
          <w:rFonts w:ascii="Arial" w:hAnsi="Arial" w:cs="Arial" w:eastAsia="Arial" w:hint="default"/>
        </w:rPr>
        <w:t>1</w:t>
      </w:r>
      <w:r>
        <w:rPr>
          <w:rFonts w:ascii="Arial" w:hAnsi="Arial" w:cs="Arial" w:eastAsia="Arial" w:hint="default"/>
          <w:spacing w:val="4"/>
        </w:rPr>
        <w:t> </w:t>
      </w:r>
      <w:r>
        <w:rPr/>
        <w:t>日起，根据财政部、税务总局及海关总署颁布的《关于深化增值税改革有关</w:t>
      </w:r>
      <w:r>
        <w:rPr>
          <w:w w:val="100"/>
        </w:rPr>
        <w:t> </w:t>
      </w:r>
      <w:r>
        <w:rPr>
          <w:spacing w:val="-3"/>
        </w:rPr>
        <w:t>政策的公告》</w:t>
      </w:r>
      <w:r>
        <w:rPr>
          <w:rFonts w:ascii="Arial" w:hAnsi="Arial" w:cs="Arial" w:eastAsia="Arial" w:hint="default"/>
          <w:spacing w:val="-3"/>
        </w:rPr>
        <w:t>(</w:t>
      </w:r>
      <w:r>
        <w:rPr>
          <w:spacing w:val="-3"/>
        </w:rPr>
        <w:t>财政部 </w:t>
      </w:r>
      <w:r>
        <w:rPr/>
        <w:t>税务总局 海关总署公告</w:t>
      </w:r>
      <w:r>
        <w:rPr>
          <w:rFonts w:ascii="Arial" w:hAnsi="Arial" w:cs="Arial" w:eastAsia="Arial" w:hint="default"/>
        </w:rPr>
        <w:t>[2019] 39 </w:t>
      </w:r>
      <w:r>
        <w:rPr>
          <w:spacing w:val="-4"/>
        </w:rPr>
        <w:t>号</w:t>
      </w:r>
      <w:r>
        <w:rPr>
          <w:rFonts w:ascii="Arial" w:hAnsi="Arial" w:cs="Arial" w:eastAsia="Arial" w:hint="default"/>
          <w:spacing w:val="-4"/>
        </w:rPr>
        <w:t>)</w:t>
      </w:r>
      <w:r>
        <w:rPr>
          <w:spacing w:val="-4"/>
        </w:rPr>
        <w:t>，原适用于</w:t>
      </w:r>
      <w:r>
        <w:rPr>
          <w:spacing w:val="-40"/>
        </w:rPr>
        <w:t> </w:t>
      </w:r>
      <w:r>
        <w:rPr>
          <w:rFonts w:ascii="Arial" w:hAnsi="Arial" w:cs="Arial" w:eastAsia="Arial" w:hint="default"/>
        </w:rPr>
        <w:t>16%</w:t>
      </w:r>
      <w:r>
        <w:rPr/>
        <w:t>税率的业务的增值税税</w:t>
      </w:r>
      <w:r>
        <w:rPr>
          <w:w w:val="100"/>
        </w:rPr>
        <w:t> </w:t>
      </w:r>
      <w:r>
        <w:rPr/>
        <w:t>率调整为</w:t>
      </w:r>
      <w:r>
        <w:rPr>
          <w:spacing w:val="-55"/>
        </w:rPr>
        <w:t> </w:t>
      </w:r>
      <w:r>
        <w:rPr>
          <w:rFonts w:ascii="Arial" w:hAnsi="Arial" w:cs="Arial" w:eastAsia="Arial" w:hint="default"/>
        </w:rPr>
        <w:t>13%</w:t>
      </w:r>
      <w:r>
        <w:rPr/>
        <w:t>，原适用于</w:t>
      </w:r>
      <w:r>
        <w:rPr>
          <w:spacing w:val="-57"/>
        </w:rPr>
        <w:t> </w:t>
      </w:r>
      <w:r>
        <w:rPr>
          <w:rFonts w:ascii="Arial" w:hAnsi="Arial" w:cs="Arial" w:eastAsia="Arial" w:hint="default"/>
        </w:rPr>
        <w:t>10%</w:t>
      </w:r>
      <w:r>
        <w:rPr/>
        <w:t>税率的业务的增值税税率调整为</w:t>
      </w:r>
      <w:r>
        <w:rPr>
          <w:spacing w:val="-55"/>
        </w:rPr>
        <w:t> </w:t>
      </w:r>
      <w:r>
        <w:rPr>
          <w:rFonts w:ascii="Arial" w:hAnsi="Arial" w:cs="Arial" w:eastAsia="Arial" w:hint="default"/>
        </w:rPr>
        <w:t>9%</w:t>
      </w:r>
      <w:r>
        <w:rPr/>
        <w:t>。</w:t>
      </w:r>
    </w:p>
    <w:p>
      <w:pPr>
        <w:spacing w:line="240" w:lineRule="auto" w:before="9"/>
        <w:rPr>
          <w:rFonts w:ascii="宋体" w:hAnsi="宋体" w:cs="宋体" w:eastAsia="宋体" w:hint="default"/>
          <w:sz w:val="22"/>
          <w:szCs w:val="22"/>
        </w:rPr>
      </w:pPr>
    </w:p>
    <w:p>
      <w:pPr>
        <w:pStyle w:val="BodyText"/>
        <w:spacing w:line="270" w:lineRule="exact"/>
        <w:ind w:right="0"/>
        <w:jc w:val="left"/>
      </w:pPr>
      <w:r>
        <w:rPr/>
        <w:t>存在不同企业所得税税率纳税主体的，披露情况说明</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724"/>
        <w:gridCol w:w="4563"/>
      </w:tblGrid>
      <w:tr>
        <w:trPr>
          <w:trHeight w:val="283" w:hRule="exact"/>
        </w:trPr>
        <w:tc>
          <w:tcPr>
            <w:tcW w:w="472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56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8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6" w:hRule="exact"/>
        </w:trPr>
        <w:tc>
          <w:tcPr>
            <w:tcW w:w="4724"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青岛港科技有限公司</w:t>
            </w:r>
            <w:r>
              <w:rPr>
                <w:rFonts w:ascii="宋体" w:hAnsi="宋体" w:cs="宋体" w:eastAsia="宋体" w:hint="default"/>
                <w:sz w:val="21"/>
                <w:szCs w:val="21"/>
              </w:rPr>
              <w:t> </w:t>
            </w:r>
          </w:p>
        </w:tc>
        <w:tc>
          <w:tcPr>
            <w:tcW w:w="456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w:t>
            </w:r>
            <w:r>
              <w:rPr>
                <w:rFonts w:ascii="宋体"/>
                <w:sz w:val="21"/>
              </w:rPr>
              <w:t> </w:t>
            </w:r>
          </w:p>
        </w:tc>
      </w:tr>
    </w:tbl>
    <w:p>
      <w:pPr>
        <w:pStyle w:val="BodyText"/>
        <w:spacing w:line="240" w:lineRule="exact"/>
        <w:ind w:right="0"/>
        <w:jc w:val="both"/>
        <w:rPr>
          <w:rFonts w:ascii="宋体" w:hAnsi="宋体" w:cs="宋体" w:eastAsia="宋体" w:hint="default"/>
        </w:rPr>
      </w:pPr>
      <w:r>
        <w:rPr>
          <w:rFonts w:ascii="宋体"/>
          <w:w w:val="100"/>
        </w:rPr>
        <w:t> </w:t>
      </w:r>
    </w:p>
    <w:p>
      <w:pPr>
        <w:pStyle w:val="BodyText"/>
        <w:spacing w:line="269" w:lineRule="exact"/>
        <w:ind w:right="0"/>
        <w:jc w:val="both"/>
        <w:rPr>
          <w:rFonts w:ascii="宋体" w:hAnsi="宋体" w:cs="宋体" w:eastAsia="宋体" w:hint="default"/>
        </w:rPr>
      </w:pPr>
      <w:r>
        <w:rPr>
          <w:rFonts w:ascii="宋体"/>
          <w:w w:val="100"/>
        </w:rPr>
        <w:t> </w:t>
      </w:r>
    </w:p>
    <w:p>
      <w:pPr>
        <w:pStyle w:val="Heading3"/>
        <w:spacing w:line="309" w:lineRule="exact"/>
        <w:ind w:right="0"/>
        <w:jc w:val="both"/>
        <w:rPr>
          <w:rFonts w:ascii="宋体" w:hAnsi="宋体" w:cs="宋体" w:eastAsia="宋体" w:hint="default"/>
        </w:rPr>
      </w:pPr>
      <w:r>
        <w:rPr>
          <w:rFonts w:ascii="宋体"/>
        </w:rPr>
        <w:t> </w:t>
      </w:r>
    </w:p>
    <w:p>
      <w:pPr>
        <w:pStyle w:val="Heading5"/>
        <w:spacing w:line="240" w:lineRule="auto" w:before="64"/>
        <w:ind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Heading3"/>
        <w:spacing w:line="240" w:lineRule="auto" w:before="50"/>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81"/>
        <w:ind w:left="698" w:right="0"/>
        <w:jc w:val="left"/>
        <w:rPr>
          <w:rFonts w:ascii="宋体" w:hAnsi="宋体" w:cs="宋体" w:eastAsia="宋体" w:hint="default"/>
        </w:rPr>
      </w:pPr>
      <w:r>
        <w:rPr/>
        <w:t>（</w:t>
      </w:r>
      <w:r>
        <w:rPr>
          <w:rFonts w:ascii="宋体" w:hAnsi="宋体" w:cs="宋体" w:eastAsia="宋体" w:hint="default"/>
        </w:rPr>
        <w:t>1</w:t>
      </w:r>
      <w:r>
        <w:rPr/>
        <w:t>）企业所得税</w:t>
      </w:r>
      <w:r>
        <w:rPr>
          <w:rFonts w:ascii="宋体" w:hAnsi="宋体" w:cs="宋体" w:eastAsia="宋体" w:hint="default"/>
        </w:rPr>
        <w:t> </w:t>
      </w:r>
    </w:p>
    <w:p>
      <w:pPr>
        <w:pStyle w:val="BodyText"/>
        <w:spacing w:line="314" w:lineRule="auto" w:before="85"/>
        <w:ind w:right="229" w:firstLine="420"/>
        <w:jc w:val="both"/>
        <w:rPr>
          <w:rFonts w:ascii="宋体" w:hAnsi="宋体" w:cs="宋体" w:eastAsia="宋体" w:hint="default"/>
        </w:rPr>
      </w:pPr>
      <w:r>
        <w:rPr/>
        <w:t>于 </w:t>
      </w:r>
      <w:r>
        <w:rPr>
          <w:rFonts w:ascii="宋体" w:hAnsi="宋体" w:cs="宋体" w:eastAsia="宋体" w:hint="default"/>
        </w:rPr>
        <w:t>2019</w:t>
      </w:r>
      <w:r>
        <w:rPr>
          <w:rFonts w:ascii="宋体" w:hAnsi="宋体" w:cs="宋体" w:eastAsia="宋体" w:hint="default"/>
          <w:spacing w:val="-41"/>
        </w:rPr>
        <w:t> </w:t>
      </w:r>
      <w:r>
        <w:rPr>
          <w:spacing w:val="-4"/>
        </w:rPr>
        <w:t>年度，本公司之子公司青岛港科技有限公司(“科技公司”)取得青岛市科学技术局、青</w:t>
      </w:r>
      <w:r>
        <w:rPr>
          <w:w w:val="100"/>
        </w:rPr>
        <w:t> </w:t>
      </w:r>
      <w:r>
        <w:rPr>
          <w:spacing w:val="29"/>
        </w:rPr>
        <w:t>岛市财政局以及国家税务总局青岛市税务局颁发的《高新技术企业证书》</w:t>
      </w:r>
      <w:r>
        <w:rPr>
          <w:spacing w:val="-61"/>
        </w:rPr>
        <w:t> </w:t>
      </w:r>
      <w:r>
        <w:rPr>
          <w:rFonts w:ascii="宋体" w:hAnsi="宋体" w:cs="宋体" w:eastAsia="宋体" w:hint="default"/>
        </w:rPr>
        <w:t>(</w:t>
      </w:r>
      <w:r>
        <w:rPr>
          <w:rFonts w:ascii="宋体" w:hAnsi="宋体" w:cs="宋体" w:eastAsia="宋体" w:hint="default"/>
          <w:spacing w:val="-63"/>
        </w:rPr>
        <w:t> </w:t>
      </w:r>
      <w:r>
        <w:rPr/>
        <w:t>证</w:t>
      </w:r>
      <w:r>
        <w:rPr>
          <w:spacing w:val="-63"/>
        </w:rPr>
        <w:t> </w:t>
      </w:r>
      <w:r>
        <w:rPr/>
        <w:t>书</w:t>
      </w:r>
      <w:r>
        <w:rPr>
          <w:spacing w:val="-63"/>
        </w:rPr>
        <w:t> </w:t>
      </w:r>
      <w:r>
        <w:rPr/>
        <w:t>编</w:t>
      </w:r>
      <w:r>
        <w:rPr>
          <w:spacing w:val="-63"/>
        </w:rPr>
        <w:t> </w:t>
      </w:r>
      <w:r>
        <w:rPr/>
        <w:t>号</w:t>
      </w:r>
      <w:r>
        <w:rPr>
          <w:spacing w:val="-67"/>
        </w:rPr>
        <w:t> </w:t>
      </w:r>
      <w:r>
        <w:rPr/>
        <w:t>为</w:t>
      </w:r>
      <w:r>
        <w:rPr>
          <w:spacing w:val="-99"/>
        </w:rPr>
        <w:t> </w:t>
      </w:r>
      <w:r>
        <w:rPr>
          <w:spacing w:val="-99"/>
        </w:rPr>
      </w:r>
      <w:r>
        <w:rPr>
          <w:rFonts w:ascii="宋体" w:hAnsi="宋体" w:cs="宋体" w:eastAsia="宋体" w:hint="default"/>
        </w:rPr>
        <w:t>GR201937100906)</w:t>
      </w:r>
      <w:r>
        <w:rPr/>
        <w:t>，该证书的有效期为</w:t>
      </w:r>
      <w:r>
        <w:rPr>
          <w:spacing w:val="-40"/>
        </w:rPr>
        <w:t> </w:t>
      </w:r>
      <w:r>
        <w:rPr>
          <w:rFonts w:ascii="宋体" w:hAnsi="宋体" w:cs="宋体" w:eastAsia="宋体" w:hint="default"/>
        </w:rPr>
        <w:t>3</w:t>
      </w:r>
      <w:r>
        <w:rPr>
          <w:rFonts w:ascii="宋体" w:hAnsi="宋体" w:cs="宋体" w:eastAsia="宋体" w:hint="default"/>
          <w:spacing w:val="-41"/>
        </w:rPr>
        <w:t> </w:t>
      </w:r>
      <w:r>
        <w:rPr>
          <w:spacing w:val="-4"/>
        </w:rPr>
        <w:t>年。根据《中华人民共和国企业所得税法》第二十八条的有</w:t>
      </w:r>
      <w:r>
        <w:rPr>
          <w:spacing w:val="-100"/>
        </w:rPr>
        <w:t> </w:t>
      </w:r>
      <w:r>
        <w:rPr>
          <w:spacing w:val="-100"/>
        </w:rPr>
      </w:r>
      <w:r>
        <w:rPr/>
        <w:t>关规定，</w:t>
      </w:r>
      <w:r>
        <w:rPr>
          <w:rFonts w:ascii="宋体" w:hAnsi="宋体" w:cs="宋体" w:eastAsia="宋体" w:hint="default"/>
        </w:rPr>
        <w:t>2019</w:t>
      </w:r>
      <w:r>
        <w:rPr>
          <w:rFonts w:ascii="宋体" w:hAnsi="宋体" w:cs="宋体" w:eastAsia="宋体" w:hint="default"/>
          <w:spacing w:val="-58"/>
        </w:rPr>
        <w:t> </w:t>
      </w:r>
      <w:r>
        <w:rPr/>
        <w:t>年度科技公司适用的企业所得税税率为</w:t>
      </w:r>
      <w:r>
        <w:rPr>
          <w:spacing w:val="-56"/>
        </w:rPr>
        <w:t> </w:t>
      </w:r>
      <w:r>
        <w:rPr>
          <w:rFonts w:ascii="宋体" w:hAnsi="宋体" w:cs="宋体" w:eastAsia="宋体" w:hint="default"/>
        </w:rPr>
        <w:t>15%</w:t>
      </w:r>
      <w:r>
        <w:rPr/>
        <w:t>。</w:t>
      </w:r>
      <w:r>
        <w:rPr>
          <w:rFonts w:ascii="宋体" w:hAnsi="宋体" w:cs="宋体" w:eastAsia="宋体" w:hint="default"/>
        </w:rPr>
        <w:t> </w:t>
      </w:r>
    </w:p>
    <w:p>
      <w:pPr>
        <w:pStyle w:val="BodyText"/>
        <w:spacing w:line="314" w:lineRule="auto" w:before="20"/>
        <w:ind w:right="230" w:firstLine="420"/>
        <w:jc w:val="both"/>
        <w:rPr>
          <w:rFonts w:ascii="宋体" w:hAnsi="宋体" w:cs="宋体" w:eastAsia="宋体" w:hint="default"/>
        </w:rPr>
      </w:pPr>
      <w:r>
        <w:rPr/>
        <w:t>根据财税</w:t>
      </w:r>
      <w:r>
        <w:rPr>
          <w:rFonts w:ascii="宋体" w:hAnsi="宋体" w:cs="宋体" w:eastAsia="宋体" w:hint="default"/>
        </w:rPr>
        <w:t>[2008]116 </w:t>
      </w:r>
      <w:r>
        <w:rPr/>
        <w:t>号文件及财税</w:t>
      </w:r>
      <w:r>
        <w:rPr>
          <w:rFonts w:ascii="宋体" w:hAnsi="宋体" w:cs="宋体" w:eastAsia="宋体" w:hint="default"/>
        </w:rPr>
        <w:t>[2008]46</w:t>
      </w:r>
      <w:r>
        <w:rPr>
          <w:rFonts w:ascii="宋体" w:hAnsi="宋体" w:cs="宋体" w:eastAsia="宋体" w:hint="default"/>
          <w:spacing w:val="-78"/>
        </w:rPr>
        <w:t> </w:t>
      </w:r>
      <w:r>
        <w:rPr>
          <w:spacing w:val="-5"/>
        </w:rPr>
        <w:t>号文件，本公司之子公司大唐港务有限公司(“大唐</w:t>
      </w:r>
      <w:r>
        <w:rPr>
          <w:spacing w:val="-3"/>
          <w:w w:val="100"/>
        </w:rPr>
        <w:t> </w:t>
      </w:r>
      <w:r>
        <w:rPr/>
        <w:t>港务”)、青岛港董家口通用码头有限公司(“通用码头公司”)以及青岛海业摩科瑞物流有限公司</w:t>
      </w:r>
      <w:r>
        <w:rPr>
          <w:spacing w:val="26"/>
        </w:rPr>
        <w:t> </w:t>
      </w:r>
      <w:r>
        <w:rPr>
          <w:spacing w:val="26"/>
        </w:rPr>
      </w:r>
      <w:r>
        <w:rPr>
          <w:spacing w:val="-1"/>
        </w:rPr>
        <w:t>(“摩科瑞物流”)申报公共基础设施项目，分别获得青岛市地方税务局黄岛分局及山东省胶南市国</w:t>
      </w:r>
      <w:r>
        <w:rPr>
          <w:spacing w:val="-20"/>
        </w:rPr>
        <w:t> </w:t>
      </w:r>
      <w:r>
        <w:rPr>
          <w:spacing w:val="-20"/>
        </w:rPr>
      </w:r>
      <w:r>
        <w:rPr>
          <w:spacing w:val="-1"/>
        </w:rPr>
        <w:t>家税务局批复，自取得码头相关经营收入的第一年起享受三年免收企业所得税、三年减半征收企业</w:t>
      </w:r>
      <w:r>
        <w:rPr>
          <w:spacing w:val="-20"/>
        </w:rPr>
        <w:t> </w:t>
      </w:r>
      <w:r>
        <w:rPr>
          <w:spacing w:val="-20"/>
        </w:rPr>
      </w:r>
      <w:r>
        <w:rPr>
          <w:spacing w:val="-6"/>
        </w:rPr>
        <w:t>所得税。于</w:t>
      </w:r>
      <w:r>
        <w:rPr>
          <w:spacing w:val="-27"/>
        </w:rPr>
        <w:t> </w:t>
      </w:r>
      <w:r>
        <w:rPr>
          <w:rFonts w:ascii="宋体" w:hAnsi="宋体" w:cs="宋体" w:eastAsia="宋体" w:hint="default"/>
        </w:rPr>
        <w:t>2019</w:t>
      </w:r>
      <w:r>
        <w:rPr>
          <w:rFonts w:ascii="宋体" w:hAnsi="宋体" w:cs="宋体" w:eastAsia="宋体" w:hint="default"/>
          <w:spacing w:val="-27"/>
        </w:rPr>
        <w:t> </w:t>
      </w:r>
      <w:r>
        <w:rPr>
          <w:spacing w:val="-3"/>
        </w:rPr>
        <w:t>年度，大唐港务第一年适用减半征收企业所得税，通用码头公司以及摩科瑞物流均</w:t>
      </w:r>
      <w:r>
        <w:rPr>
          <w:spacing w:val="-94"/>
        </w:rPr>
        <w:t> </w:t>
      </w:r>
      <w:r>
        <w:rPr>
          <w:spacing w:val="-94"/>
        </w:rPr>
      </w:r>
      <w:r>
        <w:rPr/>
        <w:t>为免收企业所得税第三年。</w:t>
      </w:r>
      <w:r>
        <w:rPr>
          <w:rFonts w:ascii="宋体" w:hAnsi="宋体" w:cs="宋体" w:eastAsia="宋体" w:hint="default"/>
        </w:rPr>
        <w:t> </w:t>
      </w:r>
    </w:p>
    <w:p>
      <w:pPr>
        <w:pStyle w:val="BodyText"/>
        <w:spacing w:line="297" w:lineRule="auto" w:before="20"/>
        <w:ind w:right="0" w:firstLine="420"/>
        <w:jc w:val="left"/>
      </w:pPr>
      <w:r>
        <w:rPr/>
        <w:t>于</w:t>
      </w:r>
      <w:r>
        <w:rPr>
          <w:spacing w:val="-54"/>
        </w:rPr>
        <w:t> </w:t>
      </w:r>
      <w:r>
        <w:rPr>
          <w:rFonts w:ascii="Arial" w:hAnsi="Arial" w:cs="Arial" w:eastAsia="Arial" w:hint="default"/>
        </w:rPr>
        <w:t>2019</w:t>
      </w:r>
      <w:r>
        <w:rPr>
          <w:rFonts w:ascii="Arial" w:hAnsi="Arial" w:cs="Arial" w:eastAsia="Arial" w:hint="default"/>
          <w:spacing w:val="-9"/>
        </w:rPr>
        <w:t> </w:t>
      </w:r>
      <w:r>
        <w:rPr/>
        <w:t>年度，根据财税</w:t>
      </w:r>
      <w:r>
        <w:rPr>
          <w:rFonts w:ascii="Arial" w:hAnsi="Arial" w:cs="Arial" w:eastAsia="Arial" w:hint="default"/>
        </w:rPr>
        <w:t>[2019]13</w:t>
      </w:r>
      <w:r>
        <w:rPr>
          <w:rFonts w:ascii="Arial" w:hAnsi="Arial" w:cs="Arial" w:eastAsia="Arial" w:hint="default"/>
          <w:spacing w:val="-10"/>
        </w:rPr>
        <w:t> </w:t>
      </w:r>
      <w:r>
        <w:rPr/>
        <w:t>号文件，本公司之子公司青岛保税区港荣仓储中心有限公司</w:t>
      </w:r>
      <w:r>
        <w:rPr>
          <w:w w:val="100"/>
        </w:rPr>
        <w:t> </w:t>
      </w:r>
      <w:r>
        <w:rPr>
          <w:rFonts w:ascii="Arial" w:hAnsi="Arial" w:cs="Arial" w:eastAsia="Arial" w:hint="default"/>
          <w:spacing w:val="-5"/>
        </w:rPr>
        <w:t>(</w:t>
      </w:r>
      <w:r>
        <w:rPr>
          <w:spacing w:val="-5"/>
        </w:rPr>
        <w:t>“港荣仓储”</w:t>
      </w:r>
      <w:r>
        <w:rPr>
          <w:rFonts w:ascii="Arial" w:hAnsi="Arial" w:cs="Arial" w:eastAsia="Arial" w:hint="default"/>
          <w:spacing w:val="-5"/>
        </w:rPr>
        <w:t>)</w:t>
      </w:r>
      <w:r>
        <w:rPr>
          <w:spacing w:val="-5"/>
        </w:rPr>
        <w:t>、青岛外轮航修有限公司</w:t>
      </w:r>
      <w:r>
        <w:rPr>
          <w:rFonts w:ascii="Arial" w:hAnsi="Arial" w:cs="Arial" w:eastAsia="Arial" w:hint="default"/>
          <w:spacing w:val="-5"/>
        </w:rPr>
        <w:t>(</w:t>
      </w:r>
      <w:r>
        <w:rPr>
          <w:spacing w:val="-5"/>
        </w:rPr>
        <w:t>“外轮航修”</w:t>
      </w:r>
      <w:r>
        <w:rPr>
          <w:rFonts w:ascii="Arial" w:hAnsi="Arial" w:cs="Arial" w:eastAsia="Arial" w:hint="default"/>
          <w:spacing w:val="-5"/>
        </w:rPr>
        <w:t>)</w:t>
      </w:r>
      <w:r>
        <w:rPr>
          <w:spacing w:val="-5"/>
        </w:rPr>
        <w:t>、青岛港文化传媒有限公司</w:t>
      </w:r>
      <w:r>
        <w:rPr>
          <w:rFonts w:ascii="Arial" w:hAnsi="Arial" w:cs="Arial" w:eastAsia="Arial" w:hint="default"/>
          <w:spacing w:val="-5"/>
        </w:rPr>
        <w:t>(</w:t>
      </w:r>
      <w:r>
        <w:rPr>
          <w:spacing w:val="-5"/>
        </w:rPr>
        <w:t>“文化传媒”</w:t>
      </w:r>
      <w:r>
        <w:rPr>
          <w:rFonts w:ascii="Arial" w:hAnsi="Arial" w:cs="Arial" w:eastAsia="Arial" w:hint="default"/>
          <w:spacing w:val="-5"/>
        </w:rPr>
        <w:t>)</w:t>
      </w:r>
      <w:r>
        <w:rPr>
          <w:spacing w:val="-5"/>
        </w:rPr>
        <w:t>、</w:t>
      </w:r>
      <w:r>
        <w:rPr>
          <w:spacing w:val="-49"/>
        </w:rPr>
        <w:t> </w:t>
      </w:r>
      <w:r>
        <w:rPr>
          <w:spacing w:val="-4"/>
        </w:rPr>
        <w:t>青岛港港口工程设计院有限公司</w:t>
      </w:r>
      <w:r>
        <w:rPr>
          <w:rFonts w:ascii="Arial" w:hAnsi="Arial" w:cs="Arial" w:eastAsia="Arial" w:hint="default"/>
          <w:spacing w:val="-4"/>
        </w:rPr>
        <w:t>(</w:t>
      </w:r>
      <w:r>
        <w:rPr>
          <w:spacing w:val="-4"/>
        </w:rPr>
        <w:t>“港工设计院”</w:t>
      </w:r>
      <w:r>
        <w:rPr>
          <w:rFonts w:ascii="Arial" w:hAnsi="Arial" w:cs="Arial" w:eastAsia="Arial" w:hint="default"/>
          <w:spacing w:val="-4"/>
        </w:rPr>
        <w:t>)</w:t>
      </w:r>
      <w:r>
        <w:rPr>
          <w:spacing w:val="-4"/>
        </w:rPr>
        <w:t>及外理检验属于小型微利企业，其年应纳税所得额</w:t>
      </w:r>
      <w:r>
        <w:rPr>
          <w:spacing w:val="-33"/>
        </w:rPr>
        <w:t> </w:t>
      </w:r>
      <w:r>
        <w:rPr>
          <w:spacing w:val="-33"/>
        </w:rPr>
      </w:r>
      <w:r>
        <w:rPr/>
        <w:t>不超过</w:t>
      </w:r>
      <w:r>
        <w:rPr>
          <w:spacing w:val="-43"/>
        </w:rPr>
        <w:t> </w:t>
      </w:r>
      <w:r>
        <w:rPr>
          <w:rFonts w:ascii="Arial" w:hAnsi="Arial" w:cs="Arial" w:eastAsia="Arial" w:hint="default"/>
        </w:rPr>
        <w:t>100</w:t>
      </w:r>
      <w:r>
        <w:rPr>
          <w:rFonts w:ascii="Arial" w:hAnsi="Arial" w:cs="Arial" w:eastAsia="Arial" w:hint="default"/>
          <w:spacing w:val="4"/>
        </w:rPr>
        <w:t> </w:t>
      </w:r>
      <w:r>
        <w:rPr>
          <w:spacing w:val="-6"/>
        </w:rPr>
        <w:t>万元的部分，减按</w:t>
      </w:r>
      <w:r>
        <w:rPr>
          <w:spacing w:val="-41"/>
        </w:rPr>
        <w:t> </w:t>
      </w:r>
      <w:r>
        <w:rPr>
          <w:rFonts w:ascii="Arial" w:hAnsi="Arial" w:cs="Arial" w:eastAsia="Arial" w:hint="default"/>
          <w:spacing w:val="-4"/>
        </w:rPr>
        <w:t>25%</w:t>
      </w:r>
      <w:r>
        <w:rPr>
          <w:spacing w:val="-4"/>
        </w:rPr>
        <w:t>计入应纳税所得额，按</w:t>
      </w:r>
      <w:r>
        <w:rPr>
          <w:spacing w:val="-43"/>
        </w:rPr>
        <w:t> </w:t>
      </w:r>
      <w:r>
        <w:rPr>
          <w:rFonts w:ascii="Arial" w:hAnsi="Arial" w:cs="Arial" w:eastAsia="Arial" w:hint="default"/>
          <w:spacing w:val="-3"/>
        </w:rPr>
        <w:t>20%</w:t>
      </w:r>
      <w:r>
        <w:rPr>
          <w:spacing w:val="-3"/>
        </w:rPr>
        <w:t>的税率预缴企业所得税；对其年应纳</w:t>
      </w:r>
      <w:r>
        <w:rPr>
          <w:spacing w:val="-101"/>
        </w:rPr>
        <w:t> </w:t>
      </w:r>
      <w:r>
        <w:rPr>
          <w:spacing w:val="-101"/>
        </w:rPr>
      </w:r>
      <w:r>
        <w:rPr/>
        <w:t>税所得额超过</w:t>
      </w:r>
      <w:r>
        <w:rPr>
          <w:spacing w:val="-55"/>
        </w:rPr>
        <w:t> </w:t>
      </w:r>
      <w:r>
        <w:rPr>
          <w:rFonts w:ascii="Arial" w:hAnsi="Arial" w:cs="Arial" w:eastAsia="Arial" w:hint="default"/>
        </w:rPr>
        <w:t>100</w:t>
      </w:r>
      <w:r>
        <w:rPr>
          <w:rFonts w:ascii="Arial" w:hAnsi="Arial" w:cs="Arial" w:eastAsia="Arial" w:hint="default"/>
          <w:spacing w:val="-10"/>
        </w:rPr>
        <w:t> </w:t>
      </w:r>
      <w:r>
        <w:rPr/>
        <w:t>万元但不超过</w:t>
      </w:r>
      <w:r>
        <w:rPr>
          <w:spacing w:val="-54"/>
        </w:rPr>
        <w:t> </w:t>
      </w:r>
      <w:r>
        <w:rPr>
          <w:rFonts w:ascii="Arial" w:hAnsi="Arial" w:cs="Arial" w:eastAsia="Arial" w:hint="default"/>
        </w:rPr>
        <w:t>300</w:t>
      </w:r>
      <w:r>
        <w:rPr>
          <w:rFonts w:ascii="Arial" w:hAnsi="Arial" w:cs="Arial" w:eastAsia="Arial" w:hint="default"/>
          <w:spacing w:val="-8"/>
        </w:rPr>
        <w:t> </w:t>
      </w:r>
      <w:r>
        <w:rPr/>
        <w:t>万元的部分，减按</w:t>
      </w:r>
      <w:r>
        <w:rPr>
          <w:spacing w:val="-55"/>
        </w:rPr>
        <w:t> </w:t>
      </w:r>
      <w:r>
        <w:rPr>
          <w:rFonts w:ascii="Arial" w:hAnsi="Arial" w:cs="Arial" w:eastAsia="Arial" w:hint="default"/>
        </w:rPr>
        <w:t>50%</w:t>
      </w:r>
      <w:r>
        <w:rPr/>
        <w:t>计入应纳税所得额，按</w:t>
      </w:r>
      <w:r>
        <w:rPr>
          <w:spacing w:val="-54"/>
        </w:rPr>
        <w:t> </w:t>
      </w:r>
      <w:r>
        <w:rPr>
          <w:rFonts w:ascii="Arial" w:hAnsi="Arial" w:cs="Arial" w:eastAsia="Arial" w:hint="default"/>
        </w:rPr>
        <w:t>20%</w:t>
      </w:r>
      <w:r>
        <w:rPr/>
        <w:t>的税率预</w:t>
      </w:r>
      <w:r>
        <w:rPr>
          <w:w w:val="100"/>
        </w:rPr>
        <w:t> </w:t>
      </w:r>
      <w:r>
        <w:rPr/>
        <w:t>缴企业所得税。</w:t>
      </w:r>
    </w:p>
    <w:p>
      <w:pPr>
        <w:pStyle w:val="BodyText"/>
        <w:spacing w:line="240" w:lineRule="auto" w:before="34"/>
        <w:ind w:left="638" w:right="0"/>
        <w:jc w:val="left"/>
      </w:pPr>
      <w:r>
        <w:rPr/>
        <w:t>（</w:t>
      </w:r>
      <w:r>
        <w:rPr>
          <w:rFonts w:ascii="Arial" w:hAnsi="Arial" w:cs="Arial" w:eastAsia="Arial" w:hint="default"/>
        </w:rPr>
        <w:t>2</w:t>
      </w:r>
      <w:r>
        <w:rPr/>
        <w:t>）增值税</w:t>
      </w:r>
    </w:p>
    <w:p>
      <w:pPr>
        <w:pStyle w:val="BodyText"/>
        <w:spacing w:line="297" w:lineRule="auto" w:before="71"/>
        <w:ind w:right="229" w:firstLine="420"/>
        <w:jc w:val="both"/>
        <w:rPr>
          <w:rFonts w:ascii="Arial" w:hAnsi="Arial" w:cs="Arial" w:eastAsia="Arial" w:hint="default"/>
        </w:rPr>
      </w:pPr>
      <w:r>
        <w:rPr/>
        <w:t>根据财政部 税务总局 海关总署公告</w:t>
      </w:r>
      <w:r>
        <w:rPr>
          <w:rFonts w:ascii="Arial" w:hAnsi="Arial" w:cs="Arial" w:eastAsia="Arial" w:hint="default"/>
        </w:rPr>
        <w:t>[2019] 39</w:t>
      </w:r>
      <w:r>
        <w:rPr>
          <w:rFonts w:ascii="Arial" w:hAnsi="Arial" w:cs="Arial" w:eastAsia="Arial" w:hint="default"/>
          <w:spacing w:val="19"/>
        </w:rPr>
        <w:t> </w:t>
      </w:r>
      <w:r>
        <w:rPr>
          <w:spacing w:val="-4"/>
        </w:rPr>
        <w:t>号以及财政部和税务总局颁布的《关于明确生活</w:t>
      </w:r>
      <w:r>
        <w:rPr>
          <w:w w:val="100"/>
        </w:rPr>
        <w:t> </w:t>
      </w:r>
      <w:r>
        <w:rPr>
          <w:spacing w:val="-4"/>
        </w:rPr>
        <w:t>性服务业增值税加计抵减政策的公告》</w:t>
      </w:r>
      <w:r>
        <w:rPr>
          <w:rFonts w:ascii="Arial" w:hAnsi="Arial" w:cs="Arial" w:eastAsia="Arial" w:hint="default"/>
          <w:spacing w:val="-4"/>
        </w:rPr>
        <w:t>(</w:t>
      </w:r>
      <w:r>
        <w:rPr>
          <w:spacing w:val="-4"/>
        </w:rPr>
        <w:t>财政部</w:t>
      </w:r>
      <w:r>
        <w:rPr>
          <w:spacing w:val="26"/>
        </w:rPr>
        <w:t> </w:t>
      </w:r>
      <w:r>
        <w:rPr/>
        <w:t>税务总局公告</w:t>
      </w:r>
      <w:r>
        <w:rPr>
          <w:rFonts w:ascii="Arial" w:hAnsi="Arial" w:cs="Arial" w:eastAsia="Arial" w:hint="default"/>
        </w:rPr>
        <w:t>[2019]</w:t>
      </w:r>
      <w:r>
        <w:rPr>
          <w:rFonts w:ascii="Arial" w:hAnsi="Arial" w:cs="Arial" w:eastAsia="Arial" w:hint="default"/>
          <w:spacing w:val="7"/>
        </w:rPr>
        <w:t> </w:t>
      </w:r>
      <w:r>
        <w:rPr>
          <w:rFonts w:ascii="Arial" w:hAnsi="Arial" w:cs="Arial" w:eastAsia="Arial" w:hint="default"/>
        </w:rPr>
        <w:t>87</w:t>
      </w:r>
      <w:r>
        <w:rPr>
          <w:rFonts w:ascii="Arial" w:hAnsi="Arial" w:cs="Arial" w:eastAsia="Arial" w:hint="default"/>
          <w:spacing w:val="8"/>
        </w:rPr>
        <w:t> </w:t>
      </w:r>
      <w:r>
        <w:rPr>
          <w:spacing w:val="-5"/>
        </w:rPr>
        <w:t>号</w:t>
      </w:r>
      <w:r>
        <w:rPr>
          <w:rFonts w:ascii="Arial" w:hAnsi="Arial" w:cs="Arial" w:eastAsia="Arial" w:hint="default"/>
          <w:spacing w:val="-5"/>
        </w:rPr>
        <w:t>)</w:t>
      </w:r>
      <w:r>
        <w:rPr>
          <w:spacing w:val="-5"/>
        </w:rPr>
        <w:t>的相关规定，本公司的子</w:t>
      </w:r>
      <w:r>
        <w:rPr>
          <w:spacing w:val="-99"/>
        </w:rPr>
        <w:t> </w:t>
      </w:r>
      <w:r>
        <w:rPr>
          <w:spacing w:val="-99"/>
        </w:rPr>
      </w:r>
      <w:r>
        <w:rPr/>
        <w:t>公司青岛港物业管理有限公司公司</w:t>
      </w:r>
      <w:r>
        <w:rPr>
          <w:rFonts w:ascii="Arial" w:hAnsi="Arial" w:cs="Arial" w:eastAsia="Arial" w:hint="default"/>
        </w:rPr>
        <w:t>(“</w:t>
      </w:r>
      <w:r>
        <w:rPr/>
        <w:t>物业公司</w:t>
      </w:r>
      <w:r>
        <w:rPr>
          <w:rFonts w:ascii="Arial" w:hAnsi="Arial" w:cs="Arial" w:eastAsia="Arial" w:hint="default"/>
        </w:rPr>
        <w:t>”)</w:t>
      </w:r>
      <w:r>
        <w:rPr/>
        <w:t>作为生活性服务企业，自</w:t>
      </w:r>
      <w:r>
        <w:rPr>
          <w:spacing w:val="-54"/>
        </w:rPr>
        <w:t> </w:t>
      </w:r>
      <w:r>
        <w:rPr>
          <w:rFonts w:ascii="Arial" w:hAnsi="Arial" w:cs="Arial" w:eastAsia="Arial" w:hint="default"/>
        </w:rPr>
        <w:t>2019</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7"/>
        </w:rPr>
        <w:t> </w:t>
      </w:r>
      <w:r>
        <w:rPr/>
        <w:t>月</w:t>
      </w:r>
      <w:r>
        <w:rPr>
          <w:spacing w:val="-55"/>
        </w:rPr>
        <w:t> </w:t>
      </w:r>
      <w:r>
        <w:rPr>
          <w:rFonts w:ascii="Arial" w:hAnsi="Arial" w:cs="Arial" w:eastAsia="Arial" w:hint="default"/>
        </w:rPr>
        <w:t>1</w:t>
      </w:r>
      <w:r>
        <w:rPr>
          <w:rFonts w:ascii="Arial" w:hAnsi="Arial" w:cs="Arial" w:eastAsia="Arial" w:hint="default"/>
          <w:spacing w:val="-7"/>
        </w:rPr>
        <w:t> </w:t>
      </w:r>
      <w:r>
        <w:rPr/>
        <w:t>日至</w:t>
      </w:r>
      <w:r>
        <w:rPr>
          <w:spacing w:val="-54"/>
        </w:rPr>
        <w:t> </w:t>
      </w:r>
      <w:r>
        <w:rPr>
          <w:rFonts w:ascii="Arial" w:hAnsi="Arial" w:cs="Arial" w:eastAsia="Arial" w:hint="default"/>
        </w:rPr>
        <w:t>2019</w:t>
      </w:r>
    </w:p>
    <w:p>
      <w:pPr>
        <w:pStyle w:val="BodyText"/>
        <w:spacing w:line="240" w:lineRule="auto" w:before="14"/>
        <w:ind w:right="0"/>
        <w:jc w:val="both"/>
      </w:pPr>
      <w:r>
        <w:rPr/>
        <w:t>年</w:t>
      </w:r>
      <w:r>
        <w:rPr>
          <w:spacing w:val="-47"/>
        </w:rPr>
        <w:t> </w:t>
      </w:r>
      <w:r>
        <w:rPr>
          <w:rFonts w:ascii="Arial" w:hAnsi="Arial" w:cs="Arial" w:eastAsia="Arial" w:hint="default"/>
        </w:rPr>
        <w:t>9</w:t>
      </w:r>
      <w:r>
        <w:rPr>
          <w:rFonts w:ascii="Arial" w:hAnsi="Arial" w:cs="Arial" w:eastAsia="Arial" w:hint="default"/>
          <w:spacing w:val="-3"/>
        </w:rPr>
        <w:t> </w:t>
      </w:r>
      <w:r>
        <w:rPr/>
        <w:t>月</w:t>
      </w:r>
      <w:r>
        <w:rPr>
          <w:spacing w:val="-47"/>
        </w:rPr>
        <w:t> </w:t>
      </w:r>
      <w:r>
        <w:rPr>
          <w:rFonts w:ascii="Arial" w:hAnsi="Arial" w:cs="Arial" w:eastAsia="Arial" w:hint="default"/>
        </w:rPr>
        <w:t>30</w:t>
      </w:r>
      <w:r>
        <w:rPr>
          <w:rFonts w:ascii="Arial" w:hAnsi="Arial" w:cs="Arial" w:eastAsia="Arial" w:hint="default"/>
          <w:spacing w:val="-3"/>
        </w:rPr>
        <w:t> </w:t>
      </w:r>
      <w:r>
        <w:rPr>
          <w:spacing w:val="-3"/>
        </w:rPr>
        <w:t>日，按照当期可抵扣进项税额加计</w:t>
      </w:r>
      <w:r>
        <w:rPr>
          <w:spacing w:val="-47"/>
        </w:rPr>
        <w:t> </w:t>
      </w:r>
      <w:r>
        <w:rPr>
          <w:rFonts w:ascii="Arial" w:hAnsi="Arial" w:cs="Arial" w:eastAsia="Arial" w:hint="default"/>
          <w:spacing w:val="-3"/>
        </w:rPr>
        <w:t>10%</w:t>
      </w:r>
      <w:r>
        <w:rPr>
          <w:spacing w:val="-3"/>
        </w:rPr>
        <w:t>，抵减增值税应纳税额；自</w:t>
      </w:r>
      <w:r>
        <w:rPr>
          <w:spacing w:val="-50"/>
        </w:rPr>
        <w:t> </w:t>
      </w:r>
      <w:r>
        <w:rPr>
          <w:rFonts w:ascii="Arial" w:hAnsi="Arial" w:cs="Arial" w:eastAsia="Arial" w:hint="default"/>
        </w:rPr>
        <w:t>2019</w:t>
      </w:r>
      <w:r>
        <w:rPr>
          <w:rFonts w:ascii="Arial" w:hAnsi="Arial" w:cs="Arial" w:eastAsia="Arial" w:hint="default"/>
          <w:spacing w:val="-3"/>
        </w:rPr>
        <w:t> </w:t>
      </w:r>
      <w:r>
        <w:rPr/>
        <w:t>年</w:t>
      </w:r>
      <w:r>
        <w:rPr>
          <w:spacing w:val="-47"/>
        </w:rPr>
        <w:t> </w:t>
      </w:r>
      <w:r>
        <w:rPr>
          <w:rFonts w:ascii="Arial" w:hAnsi="Arial" w:cs="Arial" w:eastAsia="Arial" w:hint="default"/>
        </w:rPr>
        <w:t>10 </w:t>
      </w:r>
      <w:r>
        <w:rPr/>
        <w:t>月</w:t>
      </w:r>
      <w:r>
        <w:rPr>
          <w:spacing w:val="-50"/>
        </w:rPr>
        <w:t> </w:t>
      </w:r>
      <w:r>
        <w:rPr>
          <w:rFonts w:ascii="Arial" w:hAnsi="Arial" w:cs="Arial" w:eastAsia="Arial" w:hint="default"/>
        </w:rPr>
        <w:t>1 </w:t>
      </w:r>
      <w:r>
        <w:rPr>
          <w:spacing w:val="-3"/>
        </w:rPr>
        <w:t>日至</w:t>
      </w:r>
      <w:r>
        <w:rPr/>
      </w:r>
    </w:p>
    <w:p>
      <w:pPr>
        <w:pStyle w:val="BodyText"/>
        <w:spacing w:line="297" w:lineRule="auto" w:before="70"/>
        <w:ind w:right="229"/>
        <w:jc w:val="both"/>
      </w:pPr>
      <w:r>
        <w:rPr>
          <w:rFonts w:ascii="Arial" w:hAnsi="Arial" w:cs="Arial" w:eastAsia="Arial" w:hint="default"/>
        </w:rPr>
        <w:t>2021</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9"/>
        </w:rPr>
        <w:t> </w:t>
      </w:r>
      <w:r>
        <w:rPr/>
        <w:t>日，按照当期可抵扣进项税额加计</w:t>
      </w:r>
      <w:r>
        <w:rPr>
          <w:spacing w:val="-54"/>
        </w:rPr>
        <w:t> </w:t>
      </w:r>
      <w:r>
        <w:rPr>
          <w:rFonts w:ascii="Arial" w:hAnsi="Arial" w:cs="Arial" w:eastAsia="Arial" w:hint="default"/>
        </w:rPr>
        <w:t>15%</w:t>
      </w:r>
      <w:r>
        <w:rPr/>
        <w:t>，抵减增值税应纳税额；本公司及本公司</w:t>
      </w:r>
      <w:r>
        <w:rPr>
          <w:w w:val="100"/>
        </w:rPr>
        <w:t> </w:t>
      </w:r>
      <w:r>
        <w:rPr>
          <w:spacing w:val="-2"/>
        </w:rPr>
        <w:t>的子公司青岛港国际物流有限公司</w:t>
      </w:r>
      <w:r>
        <w:rPr>
          <w:rFonts w:ascii="Arial" w:hAnsi="Arial" w:cs="Arial" w:eastAsia="Arial" w:hint="default"/>
          <w:spacing w:val="-2"/>
        </w:rPr>
        <w:t>(“</w:t>
      </w:r>
      <w:r>
        <w:rPr>
          <w:spacing w:val="-2"/>
        </w:rPr>
        <w:t>青港物流”</w:t>
      </w:r>
      <w:r>
        <w:rPr>
          <w:rFonts w:ascii="Arial" w:hAnsi="Arial" w:cs="Arial" w:eastAsia="Arial" w:hint="default"/>
          <w:spacing w:val="-2"/>
        </w:rPr>
        <w:t>)</w:t>
      </w:r>
      <w:r>
        <w:rPr>
          <w:spacing w:val="-2"/>
        </w:rPr>
        <w:t>、青岛港捷运通物流有限公司</w:t>
      </w:r>
      <w:r>
        <w:rPr>
          <w:rFonts w:ascii="Arial" w:hAnsi="Arial" w:cs="Arial" w:eastAsia="Arial" w:hint="default"/>
          <w:spacing w:val="-2"/>
        </w:rPr>
        <w:t>(“</w:t>
      </w:r>
      <w:r>
        <w:rPr>
          <w:spacing w:val="-2"/>
        </w:rPr>
        <w:t>捷运通物流</w:t>
      </w:r>
      <w:r>
        <w:rPr>
          <w:rFonts w:ascii="Arial" w:hAnsi="Arial" w:cs="Arial" w:eastAsia="Arial" w:hint="default"/>
          <w:spacing w:val="-2"/>
        </w:rPr>
        <w:t>”)</w:t>
      </w:r>
      <w:r>
        <w:rPr>
          <w:spacing w:val="-2"/>
        </w:rPr>
        <w:t>、青岛</w:t>
      </w:r>
      <w:r>
        <w:rPr>
          <w:spacing w:val="-49"/>
        </w:rPr>
        <w:t> </w:t>
      </w:r>
      <w:r>
        <w:rPr>
          <w:spacing w:val="-49"/>
        </w:rPr>
      </w:r>
      <w:r>
        <w:rPr>
          <w:spacing w:val="-4"/>
        </w:rPr>
        <w:t>港联捷国际物流有限公司</w:t>
      </w:r>
      <w:r>
        <w:rPr>
          <w:rFonts w:ascii="Arial" w:hAnsi="Arial" w:cs="Arial" w:eastAsia="Arial" w:hint="default"/>
          <w:spacing w:val="-4"/>
        </w:rPr>
        <w:t>(“</w:t>
      </w:r>
      <w:r>
        <w:rPr>
          <w:spacing w:val="-4"/>
        </w:rPr>
        <w:t>联捷物流</w:t>
      </w:r>
      <w:r>
        <w:rPr>
          <w:rFonts w:ascii="Arial" w:hAnsi="Arial" w:cs="Arial" w:eastAsia="Arial" w:hint="default"/>
          <w:spacing w:val="-4"/>
        </w:rPr>
        <w:t>”)</w:t>
      </w:r>
      <w:r>
        <w:rPr>
          <w:spacing w:val="-4"/>
        </w:rPr>
        <w:t>、青岛胜狮国际物流有限公司</w:t>
      </w:r>
      <w:r>
        <w:rPr>
          <w:rFonts w:ascii="Arial" w:hAnsi="Arial" w:cs="Arial" w:eastAsia="Arial" w:hint="default"/>
          <w:spacing w:val="-4"/>
        </w:rPr>
        <w:t>(“</w:t>
      </w:r>
      <w:r>
        <w:rPr>
          <w:spacing w:val="-4"/>
        </w:rPr>
        <w:t>胜狮物流</w:t>
      </w:r>
      <w:r>
        <w:rPr>
          <w:rFonts w:ascii="Arial" w:hAnsi="Arial" w:cs="Arial" w:eastAsia="Arial" w:hint="default"/>
          <w:spacing w:val="-4"/>
        </w:rPr>
        <w:t>”)</w:t>
      </w:r>
      <w:r>
        <w:rPr>
          <w:spacing w:val="-4"/>
        </w:rPr>
        <w:t>、青岛外轮理货有限</w:t>
      </w:r>
      <w:r>
        <w:rPr>
          <w:spacing w:val="-20"/>
        </w:rPr>
        <w:t> </w:t>
      </w:r>
      <w:r>
        <w:rPr>
          <w:spacing w:val="-20"/>
        </w:rPr>
      </w:r>
      <w:r>
        <w:rPr>
          <w:spacing w:val="-2"/>
        </w:rPr>
        <w:t>公司</w:t>
      </w:r>
      <w:r>
        <w:rPr>
          <w:rFonts w:ascii="Arial" w:hAnsi="Arial" w:cs="Arial" w:eastAsia="Arial" w:hint="default"/>
          <w:spacing w:val="-2"/>
        </w:rPr>
        <w:t>(“</w:t>
      </w:r>
      <w:r>
        <w:rPr>
          <w:spacing w:val="-2"/>
        </w:rPr>
        <w:t>青岛外理</w:t>
      </w:r>
      <w:r>
        <w:rPr>
          <w:rFonts w:ascii="Arial" w:hAnsi="Arial" w:cs="Arial" w:eastAsia="Arial" w:hint="default"/>
          <w:spacing w:val="-2"/>
        </w:rPr>
        <w:t>”)</w:t>
      </w:r>
      <w:r>
        <w:rPr>
          <w:spacing w:val="-2"/>
        </w:rPr>
        <w:t>、青岛外理检验检测有限公司</w:t>
      </w:r>
      <w:r>
        <w:rPr>
          <w:rFonts w:ascii="Arial" w:hAnsi="Arial" w:cs="Arial" w:eastAsia="Arial" w:hint="default"/>
          <w:spacing w:val="-2"/>
        </w:rPr>
        <w:t>(“</w:t>
      </w:r>
      <w:r>
        <w:rPr>
          <w:spacing w:val="-2"/>
        </w:rPr>
        <w:t>外理检验</w:t>
      </w:r>
      <w:r>
        <w:rPr>
          <w:rFonts w:ascii="Arial" w:hAnsi="Arial" w:cs="Arial" w:eastAsia="Arial" w:hint="default"/>
          <w:spacing w:val="-2"/>
        </w:rPr>
        <w:t>”)</w:t>
      </w:r>
      <w:r>
        <w:rPr>
          <w:spacing w:val="-2"/>
        </w:rPr>
        <w:t>、青岛港怡之航冷链物流有限公司</w:t>
      </w:r>
      <w:r>
        <w:rPr>
          <w:rFonts w:ascii="Arial" w:hAnsi="Arial" w:cs="Arial" w:eastAsia="Arial" w:hint="default"/>
          <w:spacing w:val="-2"/>
        </w:rPr>
        <w:t>(“</w:t>
      </w:r>
      <w:r>
        <w:rPr>
          <w:spacing w:val="-2"/>
        </w:rPr>
        <w:t>怡之</w:t>
      </w:r>
      <w:r>
        <w:rPr/>
      </w:r>
    </w:p>
    <w:p>
      <w:pPr>
        <w:spacing w:after="0" w:line="297" w:lineRule="auto"/>
        <w:jc w:val="both"/>
        <w:sectPr>
          <w:pgSz w:w="11910" w:h="16840"/>
          <w:pgMar w:header="882" w:footer="974" w:top="1120" w:bottom="1160" w:left="120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97" w:lineRule="auto" w:before="36"/>
        <w:ind w:right="209"/>
        <w:jc w:val="both"/>
      </w:pPr>
      <w:r>
        <w:rPr>
          <w:spacing w:val="-4"/>
        </w:rPr>
        <w:t>航冷链</w:t>
      </w:r>
      <w:r>
        <w:rPr>
          <w:rFonts w:ascii="Arial" w:hAnsi="Arial" w:cs="Arial" w:eastAsia="Arial" w:hint="default"/>
          <w:spacing w:val="-4"/>
        </w:rPr>
        <w:t>”)</w:t>
      </w:r>
      <w:r>
        <w:rPr>
          <w:spacing w:val="-4"/>
        </w:rPr>
        <w:t>、青岛永利保险代理有限公司</w:t>
      </w:r>
      <w:r>
        <w:rPr>
          <w:rFonts w:ascii="Arial" w:hAnsi="Arial" w:cs="Arial" w:eastAsia="Arial" w:hint="default"/>
          <w:spacing w:val="-4"/>
        </w:rPr>
        <w:t>(“</w:t>
      </w:r>
      <w:r>
        <w:rPr>
          <w:spacing w:val="-4"/>
        </w:rPr>
        <w:t>永利保险</w:t>
      </w:r>
      <w:r>
        <w:rPr>
          <w:rFonts w:ascii="Arial" w:hAnsi="Arial" w:cs="Arial" w:eastAsia="Arial" w:hint="default"/>
          <w:spacing w:val="-4"/>
        </w:rPr>
        <w:t>”)</w:t>
      </w:r>
      <w:r>
        <w:rPr>
          <w:spacing w:val="-4"/>
        </w:rPr>
        <w:t>、科技公司、青岛港通安保安服务有限公司</w:t>
      </w:r>
      <w:r>
        <w:rPr>
          <w:rFonts w:ascii="Arial" w:hAnsi="Arial" w:cs="Arial" w:eastAsia="Arial" w:hint="default"/>
          <w:spacing w:val="-4"/>
        </w:rPr>
        <w:t>(“</w:t>
      </w:r>
      <w:r>
        <w:rPr>
          <w:spacing w:val="-4"/>
        </w:rPr>
        <w:t>通安</w:t>
      </w:r>
      <w:r>
        <w:rPr>
          <w:spacing w:val="-18"/>
        </w:rPr>
        <w:t> </w:t>
      </w:r>
      <w:r>
        <w:rPr>
          <w:spacing w:val="-4"/>
        </w:rPr>
        <w:t>保安</w:t>
      </w:r>
      <w:r>
        <w:rPr>
          <w:rFonts w:ascii="Arial" w:hAnsi="Arial" w:cs="Arial" w:eastAsia="Arial" w:hint="default"/>
          <w:spacing w:val="-4"/>
        </w:rPr>
        <w:t>”)</w:t>
      </w:r>
      <w:r>
        <w:rPr>
          <w:spacing w:val="-4"/>
        </w:rPr>
        <w:t>作为生产性服务企业，自</w:t>
      </w:r>
      <w:r>
        <w:rPr>
          <w:spacing w:val="-49"/>
        </w:rPr>
        <w:t> </w:t>
      </w:r>
      <w:r>
        <w:rPr>
          <w:rFonts w:ascii="Arial" w:hAnsi="Arial" w:cs="Arial" w:eastAsia="Arial" w:hint="default"/>
        </w:rPr>
        <w:t>2019</w:t>
      </w:r>
      <w:r>
        <w:rPr>
          <w:rFonts w:ascii="Arial" w:hAnsi="Arial" w:cs="Arial" w:eastAsia="Arial" w:hint="default"/>
          <w:spacing w:val="-4"/>
        </w:rPr>
        <w:t> </w:t>
      </w:r>
      <w:r>
        <w:rPr/>
        <w:t>年</w:t>
      </w:r>
      <w:r>
        <w:rPr>
          <w:spacing w:val="-49"/>
        </w:rPr>
        <w:t> </w:t>
      </w:r>
      <w:r>
        <w:rPr>
          <w:rFonts w:ascii="Arial" w:hAnsi="Arial" w:cs="Arial" w:eastAsia="Arial" w:hint="default"/>
        </w:rPr>
        <w:t>4</w:t>
      </w:r>
      <w:r>
        <w:rPr>
          <w:rFonts w:ascii="Arial" w:hAnsi="Arial" w:cs="Arial" w:eastAsia="Arial" w:hint="default"/>
          <w:spacing w:val="-4"/>
        </w:rPr>
        <w:t> </w:t>
      </w:r>
      <w:r>
        <w:rPr/>
        <w:t>月</w:t>
      </w:r>
      <w:r>
        <w:rPr>
          <w:spacing w:val="-49"/>
        </w:rPr>
        <w:t> </w:t>
      </w:r>
      <w:r>
        <w:rPr>
          <w:rFonts w:ascii="Arial" w:hAnsi="Arial" w:cs="Arial" w:eastAsia="Arial" w:hint="default"/>
        </w:rPr>
        <w:t>1</w:t>
      </w:r>
      <w:r>
        <w:rPr>
          <w:rFonts w:ascii="Arial" w:hAnsi="Arial" w:cs="Arial" w:eastAsia="Arial" w:hint="default"/>
          <w:spacing w:val="-4"/>
        </w:rPr>
        <w:t> </w:t>
      </w:r>
      <w:r>
        <w:rPr/>
        <w:t>日至</w:t>
      </w:r>
      <w:r>
        <w:rPr>
          <w:spacing w:val="-51"/>
        </w:rPr>
        <w:t> </w:t>
      </w:r>
      <w:r>
        <w:rPr>
          <w:rFonts w:ascii="Arial" w:hAnsi="Arial" w:cs="Arial" w:eastAsia="Arial" w:hint="default"/>
        </w:rPr>
        <w:t>2021</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2"/>
        </w:rPr>
        <w:t> </w:t>
      </w:r>
      <w:r>
        <w:rPr/>
        <w:t>月</w:t>
      </w:r>
      <w:r>
        <w:rPr>
          <w:spacing w:val="-49"/>
        </w:rPr>
        <w:t> </w:t>
      </w:r>
      <w:r>
        <w:rPr>
          <w:rFonts w:ascii="Arial" w:hAnsi="Arial" w:cs="Arial" w:eastAsia="Arial" w:hint="default"/>
        </w:rPr>
        <w:t>31</w:t>
      </w:r>
      <w:r>
        <w:rPr>
          <w:rFonts w:ascii="Arial" w:hAnsi="Arial" w:cs="Arial" w:eastAsia="Arial" w:hint="default"/>
          <w:spacing w:val="-2"/>
        </w:rPr>
        <w:t> </w:t>
      </w:r>
      <w:r>
        <w:rPr>
          <w:spacing w:val="-4"/>
        </w:rPr>
        <w:t>日，按照当期可抵扣进项税额</w:t>
      </w:r>
      <w:r>
        <w:rPr>
          <w:spacing w:val="-103"/>
        </w:rPr>
        <w:t> </w:t>
      </w:r>
      <w:r>
        <w:rPr>
          <w:spacing w:val="-103"/>
        </w:rPr>
      </w:r>
      <w:r>
        <w:rPr/>
        <w:t>加计</w:t>
      </w:r>
      <w:r>
        <w:rPr>
          <w:spacing w:val="-55"/>
        </w:rPr>
        <w:t> </w:t>
      </w:r>
      <w:r>
        <w:rPr>
          <w:rFonts w:ascii="Arial" w:hAnsi="Arial" w:cs="Arial" w:eastAsia="Arial" w:hint="default"/>
        </w:rPr>
        <w:t>10%</w:t>
      </w:r>
      <w:r>
        <w:rPr/>
        <w:t>，抵减增值税应纳税额。</w:t>
      </w:r>
    </w:p>
    <w:p>
      <w:pPr>
        <w:pStyle w:val="BodyText"/>
        <w:spacing w:line="240" w:lineRule="auto" w:before="14"/>
        <w:ind w:left="638" w:right="0"/>
        <w:jc w:val="left"/>
      </w:pPr>
      <w:r>
        <w:rPr/>
        <w:t>（</w:t>
      </w:r>
      <w:r>
        <w:rPr>
          <w:rFonts w:ascii="Arial" w:hAnsi="Arial" w:cs="Arial" w:eastAsia="Arial" w:hint="default"/>
        </w:rPr>
        <w:t>3</w:t>
      </w:r>
      <w:r>
        <w:rPr/>
        <w:t>）土地使用税</w:t>
      </w:r>
    </w:p>
    <w:p>
      <w:pPr>
        <w:pStyle w:val="BodyText"/>
        <w:spacing w:line="297" w:lineRule="auto" w:before="70"/>
        <w:ind w:right="0" w:firstLine="420"/>
        <w:jc w:val="left"/>
        <w:rPr>
          <w:rFonts w:ascii="宋体" w:hAnsi="宋体" w:cs="宋体" w:eastAsia="宋体" w:hint="default"/>
        </w:rPr>
      </w:pPr>
      <w:r>
        <w:rPr/>
        <w:t>于</w:t>
      </w:r>
      <w:r>
        <w:rPr>
          <w:spacing w:val="-54"/>
        </w:rPr>
        <w:t> </w:t>
      </w:r>
      <w:r>
        <w:rPr>
          <w:rFonts w:ascii="Arial" w:hAnsi="Arial" w:cs="Arial" w:eastAsia="Arial" w:hint="default"/>
        </w:rPr>
        <w:t>2019</w:t>
      </w:r>
      <w:r>
        <w:rPr>
          <w:rFonts w:ascii="Arial" w:hAnsi="Arial" w:cs="Arial" w:eastAsia="Arial" w:hint="default"/>
          <w:spacing w:val="-9"/>
        </w:rPr>
        <w:t> </w:t>
      </w:r>
      <w:r>
        <w:rPr/>
        <w:t>年度，根据财税</w:t>
      </w:r>
      <w:r>
        <w:rPr>
          <w:rFonts w:ascii="Arial" w:hAnsi="Arial" w:cs="Arial" w:eastAsia="Arial" w:hint="default"/>
        </w:rPr>
        <w:t>[2017]33</w:t>
      </w:r>
      <w:r>
        <w:rPr>
          <w:rFonts w:ascii="Arial" w:hAnsi="Arial" w:cs="Arial" w:eastAsia="Arial" w:hint="default"/>
          <w:spacing w:val="-9"/>
        </w:rPr>
        <w:t> </w:t>
      </w:r>
      <w:r>
        <w:rPr/>
        <w:t>号文件，本集团土地中大宗商品仓储设施用地减半征收土地</w:t>
      </w:r>
      <w:r>
        <w:rPr>
          <w:w w:val="100"/>
        </w:rPr>
        <w:t> </w:t>
      </w:r>
      <w:r>
        <w:rPr/>
        <w:t>使用税；根据《中华人民共和国城镇土地使用税暂行条例》，本集团土地中属于港口码头</w:t>
      </w:r>
      <w:r>
        <w:rPr>
          <w:rFonts w:ascii="Arial" w:hAnsi="Arial" w:cs="Arial" w:eastAsia="Arial" w:hint="default"/>
        </w:rPr>
        <w:t>(</w:t>
      </w:r>
      <w:r>
        <w:rPr/>
        <w:t>即泊位，</w:t>
      </w:r>
      <w:r>
        <w:rPr>
          <w:spacing w:val="-37"/>
        </w:rPr>
        <w:t> </w:t>
      </w:r>
      <w:r>
        <w:rPr>
          <w:spacing w:val="-37"/>
        </w:rPr>
      </w:r>
      <w:r>
        <w:rPr/>
        <w:t>包括岸边码头、深入水中浮码头、堤岸、堤坝等</w:t>
      </w:r>
      <w:r>
        <w:rPr>
          <w:rFonts w:ascii="Arial" w:hAnsi="Arial" w:cs="Arial" w:eastAsia="Arial" w:hint="default"/>
        </w:rPr>
        <w:t>)</w:t>
      </w:r>
      <w:r>
        <w:rPr/>
        <w:t>用地，免交土地使用税。</w:t>
      </w:r>
      <w:r>
        <w:rPr>
          <w:rFonts w:ascii="宋体" w:hAnsi="宋体" w:cs="宋体" w:eastAsia="宋体" w:hint="default"/>
        </w:rPr>
        <w:t> </w:t>
      </w:r>
    </w:p>
    <w:p>
      <w:pPr>
        <w:pStyle w:val="Heading3"/>
        <w:spacing w:line="245" w:lineRule="exact"/>
        <w:ind w:right="0"/>
        <w:jc w:val="both"/>
        <w:rPr>
          <w:rFonts w:ascii="宋体" w:hAnsi="宋体" w:cs="宋体" w:eastAsia="宋体" w:hint="default"/>
        </w:rPr>
      </w:pPr>
      <w:r>
        <w:rPr>
          <w:rFonts w:ascii="宋体"/>
        </w:rPr>
        <w:t> </w:t>
      </w:r>
    </w:p>
    <w:p>
      <w:pPr>
        <w:pStyle w:val="Heading5"/>
        <w:spacing w:line="240" w:lineRule="auto" w:before="61"/>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Heading3"/>
        <w:spacing w:line="240" w:lineRule="auto" w:before="52"/>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right="0"/>
        <w:jc w:val="both"/>
        <w:rPr>
          <w:rFonts w:ascii="宋体" w:hAnsi="宋体" w:cs="宋体" w:eastAsia="宋体" w:hint="default"/>
        </w:rPr>
      </w:pPr>
      <w:r>
        <w:rPr>
          <w:rFonts w:ascii="宋体"/>
          <w:w w:val="100"/>
        </w:rPr>
        <w:t> </w:t>
      </w:r>
    </w:p>
    <w:p>
      <w:pPr>
        <w:pStyle w:val="Heading5"/>
        <w:spacing w:line="290" w:lineRule="auto"/>
        <w:ind w:right="6675"/>
        <w:jc w:val="left"/>
        <w:rPr>
          <w:b w:val="0"/>
          <w:bCs w:val="0"/>
        </w:rPr>
      </w:pPr>
      <w:r>
        <w:rPr/>
        <w:t>七、</w:t>
      </w:r>
      <w:r>
        <w:rPr>
          <w:spacing w:val="-105"/>
        </w:rPr>
        <w:t> </w:t>
      </w:r>
      <w:r>
        <w:rPr>
          <w:rFonts w:ascii="宋体" w:hAnsi="宋体" w:cs="宋体" w:eastAsia="宋体" w:hint="default"/>
          <w:spacing w:val="-105"/>
        </w:rPr>
      </w:r>
      <w:r>
        <w:rPr/>
        <w:t>合并财务报表项目注释</w:t>
      </w:r>
      <w:r>
        <w:rPr>
          <w:rFonts w:ascii="宋体" w:hAnsi="宋体" w:cs="宋体" w:eastAsia="宋体" w:hint="default"/>
          <w:w w:val="99"/>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941"/>
        <w:gridCol w:w="2693"/>
        <w:gridCol w:w="2552"/>
      </w:tblGrid>
      <w:tr>
        <w:trPr>
          <w:trHeight w:val="329"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69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z w:val="21"/>
              </w:rPr>
              <w:t>5,049</w:t>
            </w:r>
          </w:p>
        </w:tc>
      </w:tr>
      <w:tr>
        <w:trPr>
          <w:trHeight w:val="329"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6,124,022,081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7,143,019,665</w:t>
            </w:r>
          </w:p>
        </w:tc>
      </w:tr>
      <w:tr>
        <w:trPr>
          <w:trHeight w:val="33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722,377,766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934,947,784</w:t>
            </w:r>
          </w:p>
        </w:tc>
      </w:tr>
      <w:tr>
        <w:trPr>
          <w:trHeight w:val="329"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6,846,399,847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8,077,972,498</w:t>
            </w:r>
          </w:p>
        </w:tc>
      </w:tr>
      <w:tr>
        <w:trPr>
          <w:trHeight w:val="331" w:hRule="exact"/>
        </w:trPr>
        <w:tc>
          <w:tcPr>
            <w:tcW w:w="3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0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195,570,450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161,984,217</w:t>
            </w:r>
          </w:p>
        </w:tc>
      </w:tr>
    </w:tbl>
    <w:p>
      <w:pPr>
        <w:pStyle w:val="BodyText"/>
        <w:spacing w:line="240" w:lineRule="auto" w:before="12"/>
        <w:ind w:right="0"/>
        <w:jc w:val="left"/>
      </w:pPr>
      <w:r>
        <w:rPr/>
        <w:t>其他说明</w:t>
      </w:r>
    </w:p>
    <w:p>
      <w:pPr>
        <w:pStyle w:val="BodyText"/>
        <w:spacing w:line="240" w:lineRule="auto" w:before="75"/>
        <w:ind w:left="638" w:right="0"/>
        <w:jc w:val="left"/>
      </w:pPr>
      <w:r>
        <w:rPr/>
        <w:t>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日，其他货币资金包括本公司之子公司青港财务公司根据相关规定存入中国</w:t>
      </w:r>
    </w:p>
    <w:p>
      <w:pPr>
        <w:pStyle w:val="BodyText"/>
        <w:spacing w:line="240" w:lineRule="auto" w:before="69"/>
        <w:ind w:right="0"/>
        <w:jc w:val="left"/>
      </w:pPr>
      <w:r>
        <w:rPr/>
        <w:t>人民银行的存款准备金</w:t>
      </w:r>
      <w:r>
        <w:rPr>
          <w:spacing w:val="-49"/>
        </w:rPr>
        <w:t> </w:t>
      </w:r>
      <w:r>
        <w:rPr>
          <w:rFonts w:ascii="Times New Roman" w:hAnsi="Times New Roman" w:cs="Times New Roman" w:eastAsia="Times New Roman" w:hint="default"/>
        </w:rPr>
        <w:t>645,601,882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w:t>
      </w:r>
      <w:r>
        <w:rPr>
          <w:rFonts w:ascii="Times New Roman" w:hAnsi="Times New Roman" w:cs="Times New Roman" w:eastAsia="Times New Roman" w:hint="default"/>
          <w:spacing w:val="-5"/>
        </w:rPr>
        <w:t>865,122,560</w:t>
      </w:r>
      <w:r>
        <w:rPr>
          <w:rFonts w:ascii="Times New Roman" w:hAnsi="Times New Roman" w:cs="Times New Roman" w:eastAsia="Times New Roman" w:hint="default"/>
          <w:spacing w:val="4"/>
        </w:rPr>
        <w:t> </w:t>
      </w:r>
      <w:r>
        <w:rPr>
          <w:spacing w:val="-6"/>
        </w:rPr>
        <w:t>元</w:t>
      </w:r>
      <w:r>
        <w:rPr>
          <w:rFonts w:ascii="Times New Roman" w:hAnsi="Times New Roman" w:cs="Times New Roman" w:eastAsia="Times New Roman" w:hint="default"/>
          <w:spacing w:val="-6"/>
        </w:rPr>
        <w:t>)</w:t>
      </w:r>
      <w:r>
        <w:rPr>
          <w:spacing w:val="-6"/>
        </w:rPr>
        <w:t>，本集团向银行申请开具</w:t>
      </w:r>
    </w:p>
    <w:p>
      <w:pPr>
        <w:pStyle w:val="BodyText"/>
        <w:spacing w:line="240" w:lineRule="auto" w:before="69"/>
        <w:ind w:right="0"/>
        <w:jc w:val="left"/>
      </w:pPr>
      <w:r>
        <w:rPr/>
        <w:t>承兑汇票所存入的保证金</w:t>
      </w:r>
      <w:r>
        <w:rPr>
          <w:spacing w:val="-51"/>
        </w:rPr>
        <w:t> </w:t>
      </w:r>
      <w:r>
        <w:rPr>
          <w:rFonts w:ascii="Times New Roman" w:hAnsi="Times New Roman" w:cs="Times New Roman" w:eastAsia="Times New Roman" w:hint="default"/>
        </w:rPr>
        <w:t>44,867,230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w:t>
      </w:r>
      <w:r>
        <w:rPr>
          <w:rFonts w:ascii="Times New Roman" w:hAnsi="Times New Roman" w:cs="Times New Roman" w:eastAsia="Times New Roman" w:hint="default"/>
          <w:spacing w:val="-5"/>
        </w:rPr>
        <w:t>35,444,084</w:t>
      </w:r>
      <w:r>
        <w:rPr>
          <w:rFonts w:ascii="Times New Roman" w:hAnsi="Times New Roman" w:cs="Times New Roman" w:eastAsia="Times New Roman" w:hint="default"/>
          <w:spacing w:val="2"/>
        </w:rPr>
        <w:t> </w:t>
      </w:r>
      <w:r>
        <w:rPr>
          <w:spacing w:val="-6"/>
        </w:rPr>
        <w:t>元</w:t>
      </w:r>
      <w:r>
        <w:rPr>
          <w:rFonts w:ascii="Times New Roman" w:hAnsi="Times New Roman" w:cs="Times New Roman" w:eastAsia="Times New Roman" w:hint="default"/>
          <w:spacing w:val="-6"/>
        </w:rPr>
        <w:t>)</w:t>
      </w:r>
      <w:r>
        <w:rPr>
          <w:spacing w:val="-6"/>
        </w:rPr>
        <w:t>，本集团向银行申请开具</w:t>
      </w:r>
    </w:p>
    <w:p>
      <w:pPr>
        <w:pStyle w:val="BodyText"/>
        <w:spacing w:line="240" w:lineRule="auto" w:before="69"/>
        <w:ind w:right="0"/>
        <w:jc w:val="left"/>
      </w:pPr>
      <w:r>
        <w:rPr>
          <w:w w:val="100"/>
        </w:rPr>
        <w:t>信用</w:t>
      </w:r>
      <w:r>
        <w:rPr>
          <w:spacing w:val="-3"/>
          <w:w w:val="100"/>
        </w:rPr>
        <w:t>证</w:t>
      </w:r>
      <w:r>
        <w:rPr>
          <w:w w:val="100"/>
        </w:rPr>
        <w:t>所</w:t>
      </w:r>
      <w:r>
        <w:rPr>
          <w:spacing w:val="-3"/>
          <w:w w:val="100"/>
        </w:rPr>
        <w:t>存</w:t>
      </w:r>
      <w:r>
        <w:rPr>
          <w:w w:val="100"/>
        </w:rPr>
        <w:t>入</w:t>
      </w:r>
      <w:r>
        <w:rPr>
          <w:spacing w:val="-3"/>
          <w:w w:val="100"/>
        </w:rPr>
        <w:t>的</w:t>
      </w:r>
      <w:r>
        <w:rPr>
          <w:w w:val="100"/>
        </w:rPr>
        <w:t>保</w:t>
      </w:r>
      <w:r>
        <w:rPr>
          <w:spacing w:val="-3"/>
          <w:w w:val="100"/>
        </w:rPr>
        <w:t>证</w:t>
      </w:r>
      <w:r>
        <w:rPr>
          <w:w w:val="100"/>
        </w:rPr>
        <w:t>金</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210,4</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元</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日</w:t>
      </w:r>
      <w:r>
        <w:rPr>
          <w:spacing w:val="-10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,694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560</w:t>
      </w:r>
      <w:r>
        <w:rPr>
          <w:rFonts w:ascii="Times New Roman" w:hAnsi="Times New Roman" w:cs="Times New Roman" w:eastAsia="Times New Roman" w:hint="default"/>
          <w:spacing w:val="-3"/>
        </w:rPr>
        <w:t> </w:t>
      </w:r>
      <w:r>
        <w:rPr>
          <w:w w:val="100"/>
        </w:rPr>
        <w:t>元</w:t>
      </w:r>
      <w:r>
        <w:rPr>
          <w:rFonts w:ascii="Times New Roman" w:hAnsi="Times New Roman" w:cs="Times New Roman" w:eastAsia="Times New Roman" w:hint="default"/>
          <w:spacing w:val="-1"/>
          <w:w w:val="100"/>
        </w:rPr>
        <w:t>)</w:t>
      </w:r>
      <w:r>
        <w:rPr>
          <w:spacing w:val="-3"/>
          <w:w w:val="100"/>
        </w:rPr>
        <w:t>以</w:t>
      </w:r>
      <w:r>
        <w:rPr>
          <w:w w:val="100"/>
        </w:rPr>
        <w:t>及</w:t>
      </w:r>
      <w:r>
        <w:rPr>
          <w:spacing w:val="-3"/>
          <w:w w:val="100"/>
        </w:rPr>
        <w:t>本</w:t>
      </w:r>
      <w:r>
        <w:rPr>
          <w:w w:val="100"/>
        </w:rPr>
        <w:t>集团</w:t>
      </w:r>
      <w:r>
        <w:rPr>
          <w:spacing w:val="-3"/>
          <w:w w:val="100"/>
        </w:rPr>
        <w:t>向</w:t>
      </w:r>
      <w:r>
        <w:rPr>
          <w:w w:val="100"/>
        </w:rPr>
        <w:t>银</w:t>
      </w:r>
      <w:r>
        <w:rPr>
          <w:spacing w:val="-3"/>
          <w:w w:val="100"/>
        </w:rPr>
        <w:t>行</w:t>
      </w:r>
      <w:r>
        <w:rPr>
          <w:w w:val="100"/>
        </w:rPr>
        <w:t>申</w:t>
      </w:r>
      <w:r>
        <w:rPr>
          <w:spacing w:val="-3"/>
          <w:w w:val="100"/>
        </w:rPr>
        <w:t>请</w:t>
      </w:r>
      <w:r>
        <w:rPr>
          <w:w w:val="100"/>
        </w:rPr>
        <w:t>开具</w:t>
      </w:r>
    </w:p>
    <w:p>
      <w:pPr>
        <w:pStyle w:val="BodyText"/>
        <w:spacing w:line="240" w:lineRule="auto" w:before="69"/>
        <w:ind w:right="0"/>
        <w:jc w:val="left"/>
      </w:pPr>
      <w:r>
        <w:rPr/>
        <w:t>保函所存入的保证金</w:t>
      </w:r>
      <w:r>
        <w:rPr>
          <w:spacing w:val="-54"/>
        </w:rPr>
        <w:t> </w:t>
      </w:r>
      <w:r>
        <w:rPr>
          <w:rFonts w:ascii="Times New Roman" w:hAnsi="Times New Roman" w:cs="Times New Roman" w:eastAsia="Times New Roman" w:hint="default"/>
        </w:rPr>
        <w:t>698,238</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10,686,580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974" w:top="1120" w:bottom="1160" w:left="1200" w:right="1200"/>
        </w:sectPr>
      </w:pPr>
    </w:p>
    <w:p>
      <w:pPr>
        <w:pStyle w:val="Heading5"/>
        <w:spacing w:line="240" w:lineRule="auto" w:before="36"/>
        <w:ind w:right="-1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right="-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2118" w:space="4598"/>
            <w:col w:w="2794"/>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437"/>
        <w:gridCol w:w="1759"/>
        <w:gridCol w:w="1985"/>
      </w:tblGrid>
      <w:tr>
        <w:trPr>
          <w:trHeight w:val="329"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31"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952,673,153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875,000,000</w:t>
            </w:r>
          </w:p>
        </w:tc>
      </w:tr>
      <w:tr>
        <w:trPr>
          <w:trHeight w:val="329" w:hRule="exact"/>
        </w:trPr>
        <w:tc>
          <w:tcPr>
            <w:tcW w:w="9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31"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理财产品</w:t>
            </w:r>
            <w:r>
              <w:rPr>
                <w:rFonts w:ascii="Times New Roman" w:hAnsi="Times New Roman" w:cs="Times New Roman" w:eastAsia="Times New Roman" w:hint="default"/>
                <w:sz w:val="21"/>
                <w:szCs w:val="21"/>
              </w:rPr>
              <w:t>(1)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900,997,200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875,000,000</w:t>
            </w:r>
          </w:p>
        </w:tc>
      </w:tr>
      <w:tr>
        <w:trPr>
          <w:trHeight w:val="329"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金融债券</w:t>
            </w:r>
            <w:r>
              <w:rPr>
                <w:rFonts w:ascii="Times New Roman" w:hAnsi="Times New Roman" w:cs="Times New Roman" w:eastAsia="Times New Roman" w:hint="default"/>
                <w:sz w:val="21"/>
                <w:szCs w:val="21"/>
              </w:rPr>
              <w:t>(2)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51,675,953</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952,673,153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875,000,000</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75"/>
        <w:ind w:left="230" w:right="0" w:firstLine="420"/>
        <w:jc w:val="left"/>
      </w:pPr>
      <w:r>
        <w:rPr>
          <w:rFonts w:ascii="Times New Roman" w:hAnsi="Times New Roman" w:cs="Times New Roman" w:eastAsia="Times New Roman" w:hint="default"/>
        </w:rPr>
        <w:t>(1)</w:t>
      </w:r>
      <w:r>
        <w:rPr/>
        <w:t>于</w:t>
      </w:r>
      <w:r>
        <w:rPr>
          <w:spacing w:val="-53"/>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日及</w:t>
      </w:r>
      <w:r>
        <w:rPr>
          <w:spacing w:val="-53"/>
        </w:rPr>
        <w:t> </w:t>
      </w:r>
      <w:r>
        <w:rPr>
          <w:rFonts w:ascii="Times New Roman" w:hAnsi="Times New Roman" w:cs="Times New Roman" w:eastAsia="Times New Roman" w:hint="default"/>
        </w:rPr>
        <w:t>2018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日，理财产品系本集团购买的商业银行及其他金融</w:t>
      </w:r>
      <w:r>
        <w:rPr>
          <w:w w:val="100"/>
        </w:rPr>
        <w:t> </w:t>
      </w:r>
      <w:r>
        <w:rPr/>
        <w:t>机构发行的非保本浮动收益理财产品。</w:t>
      </w:r>
    </w:p>
    <w:p>
      <w:pPr>
        <w:spacing w:after="0" w:line="297" w:lineRule="auto"/>
        <w:jc w:val="left"/>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97" w:lineRule="auto" w:before="36"/>
        <w:ind w:left="230" w:right="0" w:firstLine="420"/>
        <w:jc w:val="left"/>
      </w:pPr>
      <w:r>
        <w:rPr>
          <w:rFonts w:ascii="Times New Roman" w:hAnsi="Times New Roman" w:cs="Times New Roman" w:eastAsia="Times New Roman" w:hint="default"/>
          <w:spacing w:val="-1"/>
          <w:w w:val="100"/>
        </w:rPr>
        <w:t>(2)</w:t>
      </w:r>
      <w:r>
        <w:rPr>
          <w:spacing w:val="-1"/>
          <w:w w:val="100"/>
        </w:rPr>
        <w:t>于</w:t>
      </w:r>
      <w:r>
        <w:rPr>
          <w:spacing w:val="-51"/>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31 </w:t>
      </w:r>
      <w:r>
        <w:rPr>
          <w:spacing w:val="-15"/>
          <w:w w:val="100"/>
        </w:rPr>
        <w:t>日，账面价值为</w:t>
      </w:r>
      <w:r>
        <w:rPr>
          <w:spacing w:val="-51"/>
          <w:w w:val="100"/>
        </w:rPr>
        <w:t> </w:t>
      </w:r>
      <w:r>
        <w:rPr>
          <w:rFonts w:ascii="Times New Roman" w:hAnsi="Times New Roman" w:cs="Times New Roman" w:eastAsia="Times New Roman" w:hint="default"/>
          <w:spacing w:val="-1"/>
          <w:w w:val="100"/>
        </w:rPr>
        <w:t>51,675,953</w:t>
      </w:r>
      <w:r>
        <w:rPr>
          <w:rFonts w:ascii="Times New Roman" w:hAnsi="Times New Roman" w:cs="Times New Roman" w:eastAsia="Times New Roman" w:hint="default"/>
          <w:spacing w:val="2"/>
          <w:w w:val="100"/>
        </w:rPr>
        <w:t> </w:t>
      </w:r>
      <w:r>
        <w:rPr>
          <w:spacing w:val="-2"/>
          <w:w w:val="100"/>
        </w:rPr>
        <w:t>元的交易性金融资产系本公司之子公司青港财</w:t>
      </w:r>
      <w:r>
        <w:rPr>
          <w:w w:val="100"/>
        </w:rPr>
        <w:t> </w:t>
      </w:r>
      <w:r>
        <w:rPr/>
        <w:t>务公司购买的国家开发银行发行的金融债券，将于一年以内到期。</w:t>
      </w:r>
    </w:p>
    <w:p>
      <w:pPr>
        <w:pStyle w:val="BodyText"/>
        <w:spacing w:line="314" w:lineRule="auto" w:before="34"/>
        <w:ind w:right="0" w:firstLine="420"/>
        <w:jc w:val="left"/>
      </w:pPr>
      <w:r>
        <w:rPr>
          <w:spacing w:val="-2"/>
        </w:rPr>
        <w:t>本集团经评估认为，所持款项不存在重大信用风险，不会因银行及其他金融机构违约产生重大</w:t>
      </w:r>
      <w:r>
        <w:rPr>
          <w:w w:val="100"/>
        </w:rPr>
        <w:t> </w:t>
      </w:r>
      <w:r>
        <w:rPr/>
        <w:t>信用损失。</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0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14"/>
        <w:gridCol w:w="3048"/>
        <w:gridCol w:w="3224"/>
      </w:tblGrid>
      <w:tr>
        <w:trPr>
          <w:trHeight w:val="33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13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9"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18"/>
              <w:jc w:val="right"/>
              <w:rPr>
                <w:rFonts w:ascii="Times New Roman" w:hAnsi="Times New Roman" w:cs="Times New Roman" w:eastAsia="Times New Roman" w:hint="default"/>
                <w:sz w:val="21"/>
                <w:szCs w:val="21"/>
              </w:rPr>
            </w:pPr>
            <w:r>
              <w:rPr>
                <w:rFonts w:ascii="Times New Roman"/>
                <w:spacing w:val="-1"/>
                <w:sz w:val="21"/>
              </w:rPr>
              <w:t>93,903,294</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17"/>
              <w:jc w:val="right"/>
              <w:rPr>
                <w:rFonts w:ascii="Times New Roman" w:hAnsi="Times New Roman" w:cs="Times New Roman" w:eastAsia="Times New Roman" w:hint="default"/>
                <w:sz w:val="21"/>
                <w:szCs w:val="21"/>
              </w:rPr>
            </w:pPr>
            <w:r>
              <w:rPr>
                <w:rFonts w:ascii="Times New Roman"/>
                <w:spacing w:val="-1"/>
                <w:sz w:val="21"/>
              </w:rPr>
              <w:t>68,630,097</w:t>
            </w:r>
          </w:p>
        </w:tc>
      </w:tr>
      <w:tr>
        <w:trPr>
          <w:trHeight w:val="33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减：坏账准备</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8"/>
              <w:jc w:val="right"/>
              <w:rPr>
                <w:rFonts w:ascii="Times New Roman" w:hAnsi="Times New Roman" w:cs="Times New Roman" w:eastAsia="Times New Roman" w:hint="default"/>
                <w:sz w:val="21"/>
                <w:szCs w:val="21"/>
              </w:rPr>
            </w:pPr>
            <w:r>
              <w:rPr>
                <w:rFonts w:ascii="Times New Roman"/>
                <w:spacing w:val="-1"/>
                <w:sz w:val="21"/>
              </w:rPr>
              <w:t>-4,695,165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9"/>
              <w:jc w:val="right"/>
              <w:rPr>
                <w:rFonts w:ascii="Times New Roman" w:hAnsi="Times New Roman" w:cs="Times New Roman" w:eastAsia="Times New Roman" w:hint="default"/>
                <w:sz w:val="21"/>
                <w:szCs w:val="21"/>
              </w:rPr>
            </w:pPr>
            <w:r>
              <w:rPr>
                <w:rFonts w:ascii="Times New Roman"/>
                <w:spacing w:val="-1"/>
                <w:sz w:val="21"/>
              </w:rPr>
              <w:t>-3,431,505</w:t>
            </w:r>
          </w:p>
        </w:tc>
      </w:tr>
      <w:tr>
        <w:trPr>
          <w:trHeight w:val="33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89,208,129</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65,198,592</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974" w:top="1120" w:bottom="1160" w:left="1200" w:right="1200"/>
        </w:sectPr>
      </w:pPr>
    </w:p>
    <w:p>
      <w:pPr>
        <w:spacing w:before="20"/>
        <w:ind w:left="6455" w:right="645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4"/>
          <w:footerReference w:type="default" r:id="rId65"/>
          <w:pgSz w:w="16840" w:h="11910" w:orient="landscape"/>
          <w:pgMar w:header="0" w:footer="0" w:top="800" w:bottom="280" w:left="1280" w:right="1300"/>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5"/>
        <w:spacing w:line="240" w:lineRule="auto"/>
        <w:ind w:left="1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t>币种：人民币</w:t>
      </w:r>
    </w:p>
    <w:p>
      <w:pPr>
        <w:spacing w:after="0" w:line="240" w:lineRule="auto"/>
        <w:jc w:val="left"/>
        <w:sectPr>
          <w:type w:val="continuous"/>
          <w:pgSz w:w="16840" w:h="11910" w:orient="landscape"/>
          <w:pgMar w:top="1120" w:bottom="1160" w:left="1280" w:right="1300"/>
          <w:cols w:num="2" w:equalWidth="0">
            <w:col w:w="3091" w:space="8495"/>
            <w:col w:w="26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80"/>
        <w:gridCol w:w="1418"/>
        <w:gridCol w:w="992"/>
        <w:gridCol w:w="1082"/>
        <w:gridCol w:w="850"/>
        <w:gridCol w:w="1277"/>
        <w:gridCol w:w="1560"/>
        <w:gridCol w:w="850"/>
        <w:gridCol w:w="1275"/>
        <w:gridCol w:w="852"/>
        <w:gridCol w:w="1702"/>
      </w:tblGrid>
      <w:tr>
        <w:trPr>
          <w:trHeight w:val="463"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63" w:hRule="exact"/>
        </w:trPr>
        <w:tc>
          <w:tcPr>
            <w:tcW w:w="1980"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422"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2" w:lineRule="exact"/>
              <w:ind w:left="636" w:right="631"/>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98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5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77"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702" w:type="dxa"/>
            <w:vMerge/>
            <w:tcBorders>
              <w:left w:val="single" w:sz="4" w:space="0" w:color="000000"/>
              <w:bottom w:val="single" w:sz="4" w:space="0" w:color="000000"/>
              <w:right w:val="single" w:sz="4" w:space="0" w:color="000000"/>
            </w:tcBorders>
          </w:tcPr>
          <w:p>
            <w:pPr/>
          </w:p>
        </w:tc>
      </w:tr>
      <w:tr>
        <w:trPr>
          <w:trHeight w:val="4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38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6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36" w:right="0"/>
              <w:jc w:val="left"/>
              <w:rPr>
                <w:rFonts w:ascii="Times New Roman" w:hAnsi="Times New Roman" w:cs="Times New Roman" w:eastAsia="Times New Roman" w:hint="default"/>
                <w:sz w:val="21"/>
                <w:szCs w:val="21"/>
              </w:rPr>
            </w:pPr>
            <w:r>
              <w:rPr>
                <w:rFonts w:ascii="Times New Roman"/>
                <w:sz w:val="21"/>
              </w:rPr>
              <w:t>93,903,294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sz w:val="21"/>
              </w:rPr>
              <w:t>100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4,695,165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21"/>
                <w:szCs w:val="21"/>
              </w:rPr>
            </w:pPr>
            <w:r>
              <w:rPr>
                <w:rFonts w:ascii="Times New Roman"/>
                <w:w w:val="100"/>
                <w:sz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89,208,129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78" w:right="0"/>
              <w:jc w:val="left"/>
              <w:rPr>
                <w:rFonts w:ascii="Times New Roman" w:hAnsi="Times New Roman" w:cs="Times New Roman" w:eastAsia="Times New Roman" w:hint="default"/>
                <w:sz w:val="21"/>
                <w:szCs w:val="21"/>
              </w:rPr>
            </w:pPr>
            <w:r>
              <w:rPr>
                <w:rFonts w:ascii="Times New Roman"/>
                <w:sz w:val="21"/>
              </w:rPr>
              <w:t>68,630,097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8" w:right="0"/>
              <w:jc w:val="left"/>
              <w:rPr>
                <w:rFonts w:ascii="Times New Roman" w:hAnsi="Times New Roman" w:cs="Times New Roman" w:eastAsia="Times New Roman" w:hint="default"/>
                <w:sz w:val="21"/>
                <w:szCs w:val="21"/>
              </w:rPr>
            </w:pPr>
            <w:r>
              <w:rPr>
                <w:rFonts w:ascii="Times New Roman"/>
                <w:sz w:val="21"/>
              </w:rPr>
              <w:t>3,431,505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21"/>
                <w:szCs w:val="21"/>
              </w:rPr>
            </w:pPr>
            <w:r>
              <w:rPr>
                <w:rFonts w:ascii="Times New Roman"/>
                <w:w w:val="100"/>
                <w:sz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65,198,592</w:t>
            </w:r>
          </w:p>
        </w:tc>
      </w:tr>
      <w:tr>
        <w:trPr>
          <w:trHeight w:val="466" w:hRule="exact"/>
        </w:trPr>
        <w:tc>
          <w:tcPr>
            <w:tcW w:w="138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6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36" w:right="0"/>
              <w:jc w:val="left"/>
              <w:rPr>
                <w:rFonts w:ascii="Times New Roman" w:hAnsi="Times New Roman" w:cs="Times New Roman" w:eastAsia="Times New Roman" w:hint="default"/>
                <w:sz w:val="21"/>
                <w:szCs w:val="21"/>
              </w:rPr>
            </w:pPr>
            <w:r>
              <w:rPr>
                <w:rFonts w:ascii="Times New Roman"/>
                <w:sz w:val="21"/>
              </w:rPr>
              <w:t>93,903,294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sz w:val="21"/>
              </w:rPr>
              <w:t>100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4,695,165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21"/>
                <w:szCs w:val="21"/>
              </w:rPr>
            </w:pPr>
            <w:r>
              <w:rPr>
                <w:rFonts w:ascii="Times New Roman"/>
                <w:w w:val="100"/>
                <w:sz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89,208,129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78" w:right="0"/>
              <w:jc w:val="left"/>
              <w:rPr>
                <w:rFonts w:ascii="Times New Roman" w:hAnsi="Times New Roman" w:cs="Times New Roman" w:eastAsia="Times New Roman" w:hint="default"/>
                <w:sz w:val="21"/>
                <w:szCs w:val="21"/>
              </w:rPr>
            </w:pPr>
            <w:r>
              <w:rPr>
                <w:rFonts w:ascii="Times New Roman"/>
                <w:sz w:val="21"/>
              </w:rPr>
              <w:t>68,630,097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8" w:right="0"/>
              <w:jc w:val="left"/>
              <w:rPr>
                <w:rFonts w:ascii="Times New Roman" w:hAnsi="Times New Roman" w:cs="Times New Roman" w:eastAsia="Times New Roman" w:hint="default"/>
                <w:sz w:val="21"/>
                <w:szCs w:val="21"/>
              </w:rPr>
            </w:pPr>
            <w:r>
              <w:rPr>
                <w:rFonts w:ascii="Times New Roman"/>
                <w:sz w:val="21"/>
              </w:rPr>
              <w:t>3,431,505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21"/>
                <w:szCs w:val="21"/>
              </w:rPr>
            </w:pPr>
            <w:r>
              <w:rPr>
                <w:rFonts w:ascii="Times New Roman"/>
                <w:w w:val="100"/>
                <w:sz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65,198,592</w:t>
            </w:r>
          </w:p>
        </w:tc>
      </w:tr>
      <w:tr>
        <w:trPr>
          <w:trHeight w:val="46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36" w:right="0"/>
              <w:jc w:val="left"/>
              <w:rPr>
                <w:rFonts w:ascii="Times New Roman" w:hAnsi="Times New Roman" w:cs="Times New Roman" w:eastAsia="Times New Roman" w:hint="default"/>
                <w:sz w:val="21"/>
                <w:szCs w:val="21"/>
              </w:rPr>
            </w:pPr>
            <w:r>
              <w:rPr>
                <w:rFonts w:ascii="Times New Roman"/>
                <w:sz w:val="21"/>
              </w:rPr>
              <w:t>93,903,294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100"/>
                <w:sz w:val="21"/>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4,695,165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89,208,129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578" w:right="0"/>
              <w:jc w:val="left"/>
              <w:rPr>
                <w:rFonts w:ascii="Times New Roman" w:hAnsi="Times New Roman" w:cs="Times New Roman" w:eastAsia="Times New Roman" w:hint="default"/>
                <w:sz w:val="21"/>
                <w:szCs w:val="21"/>
              </w:rPr>
            </w:pPr>
            <w:r>
              <w:rPr>
                <w:rFonts w:ascii="Times New Roman"/>
                <w:sz w:val="21"/>
              </w:rPr>
              <w:t>68,630,097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98" w:right="0"/>
              <w:jc w:val="left"/>
              <w:rPr>
                <w:rFonts w:ascii="Times New Roman" w:hAnsi="Times New Roman" w:cs="Times New Roman" w:eastAsia="Times New Roman" w:hint="default"/>
                <w:sz w:val="21"/>
                <w:szCs w:val="21"/>
              </w:rPr>
            </w:pPr>
            <w:r>
              <w:rPr>
                <w:rFonts w:ascii="Times New Roman"/>
                <w:sz w:val="21"/>
              </w:rPr>
              <w:t>3,431,505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65,198,592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6455" w:right="6436" w:firstLine="0"/>
        <w:jc w:val="center"/>
        <w:rPr>
          <w:rFonts w:ascii="Calibri" w:hAnsi="Calibri" w:cs="Calibri" w:eastAsia="Calibri" w:hint="default"/>
          <w:sz w:val="18"/>
          <w:szCs w:val="18"/>
        </w:rPr>
      </w:pPr>
      <w:r>
        <w:rPr>
          <w:rFonts w:ascii="Calibri"/>
          <w:b/>
          <w:sz w:val="18"/>
        </w:rPr>
        <w:t>138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8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6"/>
          <w:pgSz w:w="11910" w:h="16840"/>
          <w:pgMar w:footer="974" w:header="0" w:top="1120" w:bottom="1160" w:left="1200" w:right="1180"/>
          <w:pgNumType w:start="13"/>
        </w:sectPr>
      </w:pPr>
    </w:p>
    <w:p>
      <w:pPr>
        <w:spacing w:line="240" w:lineRule="auto" w:before="6"/>
        <w:rPr>
          <w:rFonts w:ascii="Calibri" w:hAnsi="Calibri" w:cs="Calibri" w:eastAsia="Calibri" w:hint="default"/>
          <w:b/>
          <w:bCs/>
          <w:sz w:val="17"/>
          <w:szCs w:val="17"/>
        </w:rPr>
      </w:pPr>
    </w:p>
    <w:p>
      <w:pPr>
        <w:pStyle w:val="BodyText"/>
        <w:spacing w:line="272" w:lineRule="exact"/>
        <w:ind w:right="508"/>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7" w:lineRule="exact"/>
        <w:ind w:right="50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508"/>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4" w:lineRule="exact" w:before="22"/>
        <w:ind w:right="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组合计提项目：商业承兑汇票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953" w:space="3701"/>
            <w:col w:w="2876"/>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50"/>
        <w:gridCol w:w="2369"/>
        <w:gridCol w:w="2415"/>
        <w:gridCol w:w="2353"/>
      </w:tblGrid>
      <w:tr>
        <w:trPr>
          <w:trHeight w:val="295" w:hRule="exact"/>
        </w:trPr>
        <w:tc>
          <w:tcPr>
            <w:tcW w:w="2150"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1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3" w:hRule="exact"/>
        </w:trPr>
        <w:tc>
          <w:tcPr>
            <w:tcW w:w="2150"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5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8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72"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93,903,294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4,695,165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42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93,903,294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pacing w:val="-1"/>
                <w:sz w:val="21"/>
              </w:rPr>
              <w:t>4,695,165</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w w:val="100"/>
                <w:sz w:val="21"/>
              </w:rPr>
              <w:t>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应收票据无论是否存在重大融资成分，本集团均按照整个存续期的预期信用损失计量损失准备。</w:t>
      </w:r>
    </w:p>
    <w:p>
      <w:pPr>
        <w:pStyle w:val="BodyText"/>
        <w:spacing w:line="249" w:lineRule="exact"/>
        <w:ind w:right="0"/>
        <w:jc w:val="left"/>
        <w:rPr>
          <w:rFonts w:ascii="宋体" w:hAnsi="宋体" w:cs="宋体" w:eastAsia="宋体" w:hint="default"/>
        </w:rPr>
      </w:pP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日，本集团不存在单项计提减值准备的应收票据。</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4"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200" w:right="1180"/>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160" w:left="1200" w:right="1180"/>
          <w:cols w:num="2" w:equalWidth="0">
            <w:col w:w="2329" w:space="4430"/>
            <w:col w:w="2771"/>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55"/>
        <w:gridCol w:w="1522"/>
        <w:gridCol w:w="1526"/>
        <w:gridCol w:w="1409"/>
        <w:gridCol w:w="1404"/>
        <w:gridCol w:w="1769"/>
      </w:tblGrid>
      <w:tr>
        <w:trPr>
          <w:trHeight w:val="284" w:hRule="exact"/>
        </w:trPr>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39"/>
              <w:ind w:left="3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769" w:type="dxa"/>
            <w:vMerge w:val="restart"/>
            <w:tcBorders>
              <w:top w:val="single" w:sz="4" w:space="0" w:color="000000"/>
              <w:left w:val="single" w:sz="4" w:space="0" w:color="000000"/>
              <w:right w:val="single" w:sz="4" w:space="0" w:color="000000"/>
            </w:tcBorders>
          </w:tcPr>
          <w:p>
            <w:pPr>
              <w:pStyle w:val="TableParagraph"/>
              <w:spacing w:line="240" w:lineRule="auto" w:before="139"/>
              <w:ind w:left="4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1" w:hRule="exact"/>
        </w:trPr>
        <w:tc>
          <w:tcPr>
            <w:tcW w:w="1555"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47"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2"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0" w:right="0"/>
              <w:jc w:val="left"/>
              <w:rPr>
                <w:rFonts w:ascii="宋体" w:hAnsi="宋体" w:cs="宋体" w:eastAsia="宋体" w:hint="default"/>
                <w:sz w:val="21"/>
                <w:szCs w:val="21"/>
              </w:rPr>
            </w:pPr>
            <w:r>
              <w:rPr>
                <w:rFonts w:ascii="宋体" w:hAnsi="宋体" w:cs="宋体" w:eastAsia="宋体" w:hint="default"/>
                <w:sz w:val="21"/>
                <w:szCs w:val="21"/>
              </w:rPr>
              <w:t>转销或核销</w:t>
            </w:r>
          </w:p>
        </w:tc>
        <w:tc>
          <w:tcPr>
            <w:tcW w:w="1769" w:type="dxa"/>
            <w:vMerge/>
            <w:tcBorders>
              <w:left w:val="single" w:sz="4" w:space="0" w:color="000000"/>
              <w:bottom w:val="single" w:sz="4" w:space="0" w:color="000000"/>
              <w:right w:val="single" w:sz="4" w:space="0" w:color="000000"/>
            </w:tcBorders>
          </w:tcPr>
          <w:p>
            <w:pPr/>
          </w:p>
        </w:tc>
      </w:tr>
      <w:tr>
        <w:trPr>
          <w:trHeight w:val="34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4"/>
              <w:jc w:val="right"/>
              <w:rPr>
                <w:rFonts w:ascii="Times New Roman" w:hAnsi="Times New Roman" w:cs="Times New Roman" w:eastAsia="Times New Roman" w:hint="default"/>
                <w:sz w:val="21"/>
                <w:szCs w:val="21"/>
              </w:rPr>
            </w:pPr>
            <w:r>
              <w:rPr>
                <w:rFonts w:ascii="Times New Roman"/>
                <w:spacing w:val="-1"/>
                <w:sz w:val="21"/>
              </w:rPr>
              <w:t>3,431,505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66" w:right="0"/>
              <w:jc w:val="left"/>
              <w:rPr>
                <w:rFonts w:ascii="Times New Roman" w:hAnsi="Times New Roman" w:cs="Times New Roman" w:eastAsia="Times New Roman" w:hint="default"/>
                <w:sz w:val="21"/>
                <w:szCs w:val="21"/>
              </w:rPr>
            </w:pPr>
            <w:r>
              <w:rPr>
                <w:rFonts w:ascii="Times New Roman"/>
                <w:sz w:val="21"/>
              </w:rPr>
              <w:t>1,263,660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4,695,165</w:t>
            </w:r>
          </w:p>
        </w:tc>
      </w:tr>
      <w:tr>
        <w:trPr>
          <w:trHeight w:val="353"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spacing w:val="-1"/>
                <w:sz w:val="21"/>
              </w:rPr>
              <w:t>3,431,505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66" w:right="0"/>
              <w:jc w:val="left"/>
              <w:rPr>
                <w:rFonts w:ascii="Times New Roman" w:hAnsi="Times New Roman" w:cs="Times New Roman" w:eastAsia="Times New Roman" w:hint="default"/>
                <w:sz w:val="21"/>
                <w:szCs w:val="21"/>
              </w:rPr>
            </w:pPr>
            <w:r>
              <w:rPr>
                <w:rFonts w:ascii="Times New Roman"/>
                <w:sz w:val="21"/>
              </w:rPr>
              <w:t>1,263,660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4,695,165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5"/>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160" w:left="1200" w:right="1180"/>
        </w:sectPr>
      </w:pPr>
    </w:p>
    <w:p>
      <w:pPr>
        <w:pStyle w:val="BodyText"/>
        <w:spacing w:line="274" w:lineRule="exact" w:before="36"/>
        <w:ind w:right="128"/>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12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tabs>
          <w:tab w:pos="1058" w:val="left" w:leader="none"/>
        </w:tabs>
        <w:spacing w:line="240" w:lineRule="auto" w:before="14"/>
        <w:ind w:right="0"/>
        <w:jc w:val="left"/>
        <w:rPr>
          <w:rFonts w:ascii="宋体" w:hAnsi="宋体" w:cs="宋体" w:eastAsia="宋体" w:hint="default"/>
          <w:b w:val="0"/>
          <w:bCs w:val="0"/>
        </w:rPr>
      </w:pPr>
      <w:r>
        <w:rPr>
          <w:rFonts w:ascii="宋体" w:hAnsi="宋体" w:cs="宋体" w:eastAsia="宋体" w:hint="default"/>
          <w:w w:val="95"/>
        </w:rPr>
        <w:t>(1).</w:t>
        <w:tab/>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219" w:space="4541"/>
            <w:col w:w="277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35"/>
        <w:gridCol w:w="4770"/>
      </w:tblGrid>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50" w:hRule="exact"/>
        </w:trPr>
        <w:tc>
          <w:tcPr>
            <w:tcW w:w="9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348" w:hRule="exact"/>
        </w:trPr>
        <w:tc>
          <w:tcPr>
            <w:tcW w:w="9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2,302,958,916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4335"/>
        <w:gridCol w:w="4770"/>
      </w:tblGrid>
      <w:tr>
        <w:trPr>
          <w:trHeight w:val="348"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21"/>
                <w:szCs w:val="21"/>
              </w:rPr>
            </w:pPr>
            <w:r>
              <w:rPr>
                <w:rFonts w:ascii="Times New Roman"/>
                <w:spacing w:val="-1"/>
                <w:sz w:val="21"/>
              </w:rPr>
              <w:t>2,302,958,916</w:t>
            </w: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173,084,593</w:t>
            </w: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16,776,392</w:t>
            </w: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7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7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1,320,814</w:t>
            </w:r>
          </w:p>
        </w:tc>
      </w:tr>
      <w:tr>
        <w:trPr>
          <w:trHeight w:val="348"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10,008,195</w:t>
            </w:r>
          </w:p>
        </w:tc>
      </w:tr>
      <w:tr>
        <w:trPr>
          <w:trHeight w:val="350" w:hRule="exact"/>
        </w:trPr>
        <w:tc>
          <w:tcPr>
            <w:tcW w:w="4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Times New Roman" w:hAnsi="Times New Roman" w:cs="Times New Roman" w:eastAsia="Times New Roman" w:hint="default"/>
                <w:sz w:val="21"/>
                <w:szCs w:val="21"/>
              </w:rPr>
            </w:pPr>
            <w:r>
              <w:rPr>
                <w:rFonts w:ascii="Times New Roman"/>
                <w:spacing w:val="-1"/>
                <w:sz w:val="21"/>
              </w:rPr>
              <w:t>2,504,148,910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120" w:bottom="1160" w:left="1280" w:right="1300"/>
        </w:sectPr>
      </w:pPr>
    </w:p>
    <w:p>
      <w:pPr>
        <w:spacing w:before="20"/>
        <w:ind w:left="6455" w:right="645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7"/>
          <w:footerReference w:type="default" r:id="rId68"/>
          <w:pgSz w:w="16840" w:h="11910" w:orient="landscape"/>
          <w:pgMar w:header="0" w:footer="0" w:top="800" w:bottom="280" w:left="1280" w:right="1300"/>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5"/>
        <w:tabs>
          <w:tab w:pos="978"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(2).</w:t>
        <w:tab/>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t>币种：人民币</w:t>
      </w:r>
    </w:p>
    <w:p>
      <w:pPr>
        <w:spacing w:after="0" w:line="240" w:lineRule="auto"/>
        <w:jc w:val="left"/>
        <w:sectPr>
          <w:type w:val="continuous"/>
          <w:pgSz w:w="16840" w:h="11910" w:orient="landscape"/>
          <w:pgMar w:top="1120" w:bottom="1160" w:left="1280" w:right="1300"/>
          <w:cols w:num="2" w:equalWidth="0">
            <w:col w:w="3403" w:space="8183"/>
            <w:col w:w="267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71"/>
        <w:gridCol w:w="1459"/>
        <w:gridCol w:w="852"/>
        <w:gridCol w:w="1417"/>
        <w:gridCol w:w="994"/>
        <w:gridCol w:w="1560"/>
        <w:gridCol w:w="1558"/>
        <w:gridCol w:w="852"/>
        <w:gridCol w:w="1417"/>
        <w:gridCol w:w="852"/>
        <w:gridCol w:w="1558"/>
      </w:tblGrid>
      <w:tr>
        <w:trPr>
          <w:trHeight w:val="281"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2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71" w:type="dxa"/>
            <w:vMerge/>
            <w:tcBorders>
              <w:left w:val="single" w:sz="4" w:space="0" w:color="000000"/>
              <w:right w:val="single" w:sz="4" w:space="0" w:color="000000"/>
            </w:tcBorders>
          </w:tcPr>
          <w:p>
            <w:pP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7"/>
              <w:ind w:left="563" w:right="56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7"/>
              <w:ind w:left="564" w:right="559"/>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371" w:type="dxa"/>
            <w:vMerge/>
            <w:tcBorders>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560"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58" w:type="dxa"/>
            <w:vMerge/>
            <w:tcBorders>
              <w:left w:val="single" w:sz="4" w:space="0" w:color="000000"/>
              <w:bottom w:val="single" w:sz="4" w:space="0" w:color="000000"/>
              <w:right w:val="single" w:sz="4" w:space="0" w:color="000000"/>
            </w:tcBorders>
          </w:tcPr>
          <w:p>
            <w:pP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按单项计提坏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23,563,043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20,317,373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86.23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3,245,670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1,320,814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463" w:hRule="exact"/>
        </w:trPr>
        <w:tc>
          <w:tcPr>
            <w:tcW w:w="138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6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lef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21"/>
                <w:szCs w:val="21"/>
              </w:rPr>
            </w:pPr>
            <w:r>
              <w:rPr>
                <w:rFonts w:ascii="Times New Roman"/>
                <w:spacing w:val="-1"/>
                <w:sz w:val="21"/>
              </w:rPr>
              <w:t>23,563,043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0.94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21"/>
                <w:szCs w:val="21"/>
              </w:rPr>
            </w:pPr>
            <w:r>
              <w:rPr>
                <w:rFonts w:ascii="Times New Roman"/>
                <w:spacing w:val="-1"/>
                <w:sz w:val="21"/>
              </w:rPr>
              <w:t>20,317,373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86.23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21"/>
                <w:szCs w:val="21"/>
              </w:rPr>
            </w:pPr>
            <w:r>
              <w:rPr>
                <w:rFonts w:ascii="Times New Roman"/>
                <w:spacing w:val="-1"/>
                <w:sz w:val="21"/>
              </w:rPr>
              <w:t>3,245,670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21"/>
                <w:szCs w:val="21"/>
              </w:rPr>
            </w:pPr>
            <w:r>
              <w:rPr>
                <w:rFonts w:ascii="Times New Roman"/>
                <w:spacing w:val="-1"/>
                <w:sz w:val="21"/>
              </w:rPr>
              <w:t>1,320,814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0.06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21"/>
                <w:szCs w:val="21"/>
              </w:rPr>
            </w:pPr>
            <w:r>
              <w:rPr>
                <w:rFonts w:ascii="Times New Roman"/>
                <w:spacing w:val="-1"/>
                <w:sz w:val="21"/>
              </w:rPr>
              <w:t>1,320,814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sz w:val="21"/>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2,480,585,867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99.06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146,098,461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2,334,487,406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2,196,320,214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99.94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127,784,888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2,068,535,326</w:t>
            </w:r>
          </w:p>
        </w:tc>
      </w:tr>
      <w:tr>
        <w:trPr>
          <w:trHeight w:val="463" w:hRule="exact"/>
        </w:trPr>
        <w:tc>
          <w:tcPr>
            <w:tcW w:w="1388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6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D</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21"/>
                <w:szCs w:val="21"/>
              </w:rPr>
            </w:pPr>
            <w:r>
              <w:rPr>
                <w:rFonts w:ascii="Times New Roman"/>
                <w:spacing w:val="-1"/>
                <w:sz w:val="21"/>
              </w:rPr>
              <w:t>2,480,585,867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21"/>
                <w:szCs w:val="21"/>
              </w:rPr>
            </w:pPr>
            <w:r>
              <w:rPr>
                <w:rFonts w:ascii="Times New Roman"/>
                <w:sz w:val="21"/>
              </w:rPr>
              <w:t>99.06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21"/>
                <w:szCs w:val="21"/>
              </w:rPr>
            </w:pPr>
            <w:r>
              <w:rPr>
                <w:rFonts w:ascii="Times New Roman"/>
                <w:spacing w:val="-1"/>
                <w:sz w:val="21"/>
              </w:rPr>
              <w:t>146,098,461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21"/>
                <w:szCs w:val="21"/>
              </w:rPr>
            </w:pPr>
            <w:r>
              <w:rPr>
                <w:rFonts w:ascii="Times New Roman"/>
                <w:sz w:val="21"/>
              </w:rPr>
              <w:t>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21"/>
                <w:szCs w:val="21"/>
              </w:rPr>
            </w:pPr>
            <w:r>
              <w:rPr>
                <w:rFonts w:ascii="Times New Roman"/>
                <w:spacing w:val="-1"/>
                <w:sz w:val="21"/>
              </w:rPr>
              <w:t>2,334,487,406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21"/>
                <w:szCs w:val="21"/>
              </w:rPr>
            </w:pPr>
            <w:r>
              <w:rPr>
                <w:rFonts w:ascii="Times New Roman"/>
                <w:spacing w:val="-1"/>
                <w:sz w:val="21"/>
              </w:rPr>
              <w:t>2,196,320,214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21"/>
                <w:szCs w:val="21"/>
              </w:rPr>
            </w:pPr>
            <w:r>
              <w:rPr>
                <w:rFonts w:ascii="Times New Roman"/>
                <w:sz w:val="21"/>
              </w:rPr>
              <w:t>99.94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21"/>
                <w:szCs w:val="21"/>
              </w:rPr>
            </w:pPr>
            <w:r>
              <w:rPr>
                <w:rFonts w:ascii="Times New Roman"/>
                <w:spacing w:val="-1"/>
                <w:sz w:val="21"/>
              </w:rPr>
              <w:t>127,784,888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21"/>
                <w:szCs w:val="21"/>
              </w:rPr>
            </w:pPr>
            <w:r>
              <w:rPr>
                <w:rFonts w:ascii="Times New Roman"/>
                <w:sz w:val="21"/>
              </w:rPr>
              <w:t>5.82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21"/>
                <w:szCs w:val="21"/>
              </w:rPr>
            </w:pPr>
            <w:r>
              <w:rPr>
                <w:rFonts w:ascii="Times New Roman"/>
                <w:spacing w:val="-1"/>
                <w:sz w:val="21"/>
              </w:rPr>
              <w:t>2,068,535,326</w:t>
            </w:r>
          </w:p>
        </w:tc>
      </w:tr>
      <w:tr>
        <w:trPr>
          <w:trHeight w:val="4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2,504,148,910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166,415,834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2,337,733,076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21"/>
                <w:szCs w:val="21"/>
              </w:rPr>
            </w:pPr>
            <w:r>
              <w:rPr>
                <w:rFonts w:ascii="Times New Roman"/>
                <w:spacing w:val="-1"/>
                <w:sz w:val="21"/>
              </w:rPr>
              <w:t>2,197,641,028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21"/>
                <w:szCs w:val="21"/>
              </w:rPr>
            </w:pPr>
            <w:r>
              <w:rPr>
                <w:rFonts w:ascii="Times New Roman"/>
                <w:spacing w:val="-1"/>
                <w:sz w:val="21"/>
              </w:rPr>
              <w:t>129,105,702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21"/>
                <w:szCs w:val="21"/>
              </w:rPr>
            </w:pPr>
            <w:r>
              <w:rPr>
                <w:rFonts w:ascii="Times New Roman"/>
                <w:spacing w:val="-1"/>
                <w:sz w:val="21"/>
              </w:rPr>
              <w:t>2,068,535,326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6455" w:right="6436" w:firstLine="0"/>
        <w:jc w:val="center"/>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8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9"/>
          <w:pgSz w:w="11910" w:h="16840"/>
          <w:pgMar w:footer="974" w:header="0" w:top="1120" w:bottom="1160" w:left="1200" w:right="1120"/>
          <w:pgNumType w:start="142"/>
        </w:sectPr>
      </w:pPr>
    </w:p>
    <w:p>
      <w:pPr>
        <w:spacing w:line="240" w:lineRule="auto" w:before="2"/>
        <w:rPr>
          <w:rFonts w:ascii="Calibri" w:hAnsi="Calibri" w:cs="Calibri" w:eastAsia="Calibri" w:hint="default"/>
          <w:b/>
          <w:bCs/>
          <w:sz w:val="15"/>
          <w:szCs w:val="15"/>
        </w:rPr>
      </w:pPr>
    </w:p>
    <w:p>
      <w:pPr>
        <w:pStyle w:val="BodyText"/>
        <w:spacing w:line="273" w:lineRule="exact"/>
        <w:ind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20"/>
          <w:cols w:num="2" w:equalWidth="0">
            <w:col w:w="2425" w:space="4229"/>
            <w:col w:w="2936"/>
          </w:cols>
        </w:sectPr>
      </w:pPr>
    </w:p>
    <w:p>
      <w:pPr>
        <w:spacing w:line="240" w:lineRule="auto" w:before="4"/>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126"/>
        <w:gridCol w:w="1419"/>
        <w:gridCol w:w="1418"/>
        <w:gridCol w:w="1700"/>
        <w:gridCol w:w="2410"/>
      </w:tblGrid>
      <w:tr>
        <w:trPr>
          <w:trHeight w:val="283"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126"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应收海口南青集装箱</w:t>
            </w:r>
          </w:p>
          <w:p>
            <w:pPr>
              <w:pStyle w:val="TableParagraph"/>
              <w:spacing w:line="274" w:lineRule="exact" w:before="24"/>
              <w:ind w:left="103" w:right="168"/>
              <w:jc w:val="left"/>
              <w:rPr>
                <w:rFonts w:ascii="宋体" w:hAnsi="宋体" w:cs="宋体" w:eastAsia="宋体" w:hint="default"/>
                <w:sz w:val="21"/>
                <w:szCs w:val="21"/>
              </w:rPr>
            </w:pPr>
            <w:r>
              <w:rPr>
                <w:rFonts w:ascii="宋体" w:hAnsi="宋体" w:cs="宋体" w:eastAsia="宋体" w:hint="default"/>
                <w:spacing w:val="-2"/>
                <w:sz w:val="21"/>
                <w:szCs w:val="21"/>
              </w:rPr>
              <w:t>班轮有限公司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海口</w:t>
            </w:r>
            <w:r>
              <w:rPr>
                <w:rFonts w:ascii="宋体" w:hAnsi="宋体" w:cs="宋体" w:eastAsia="宋体" w:hint="default"/>
                <w:spacing w:val="-90"/>
                <w:sz w:val="21"/>
                <w:szCs w:val="21"/>
              </w:rPr>
              <w:t> </w:t>
            </w:r>
            <w:r>
              <w:rPr>
                <w:rFonts w:ascii="宋体" w:hAnsi="宋体" w:cs="宋体" w:eastAsia="宋体" w:hint="default"/>
                <w:sz w:val="21"/>
                <w:szCs w:val="21"/>
              </w:rPr>
              <w:t>南青</w:t>
            </w:r>
            <w:r>
              <w:rPr>
                <w:rFonts w:ascii="Times New Roman" w:hAnsi="Times New Roman" w:cs="Times New Roman" w:eastAsia="Times New Roman" w:hint="default"/>
                <w:sz w:val="21"/>
                <w:szCs w:val="21"/>
              </w:rPr>
              <w:t>”)</w:t>
            </w:r>
            <w:r>
              <w:rPr>
                <w:rFonts w:ascii="宋体" w:hAnsi="宋体" w:cs="宋体" w:eastAsia="宋体" w:hint="default"/>
                <w:sz w:val="21"/>
                <w:szCs w:val="21"/>
              </w:rPr>
              <w:t>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1,320,814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1,320,814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已宣告破产</w:t>
            </w:r>
          </w:p>
        </w:tc>
      </w:tr>
      <w:tr>
        <w:trPr>
          <w:trHeight w:val="1099"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2"/>
              <w:ind w:left="103" w:right="189"/>
              <w:jc w:val="left"/>
              <w:rPr>
                <w:rFonts w:ascii="宋体" w:hAnsi="宋体" w:cs="宋体" w:eastAsia="宋体" w:hint="default"/>
                <w:sz w:val="21"/>
                <w:szCs w:val="21"/>
              </w:rPr>
            </w:pPr>
            <w:r>
              <w:rPr>
                <w:rFonts w:ascii="宋体" w:hAnsi="宋体" w:cs="宋体" w:eastAsia="宋体" w:hint="default"/>
                <w:spacing w:val="-2"/>
                <w:sz w:val="21"/>
                <w:szCs w:val="21"/>
              </w:rPr>
              <w:t>应收中商建开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青岛</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科技发展有限公司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中商建开</w:t>
            </w:r>
            <w:r>
              <w:rPr>
                <w:rFonts w:ascii="Times New Roman" w:hAnsi="Times New Roman" w:cs="Times New Roman" w:eastAsia="Times New Roman" w:hint="default"/>
                <w:sz w:val="21"/>
                <w:szCs w:val="21"/>
              </w:rPr>
              <w:t>”)</w:t>
            </w:r>
            <w:r>
              <w:rPr>
                <w:rFonts w:ascii="宋体" w:hAnsi="宋体" w:cs="宋体" w:eastAsia="宋体" w:hint="default"/>
                <w:sz w:val="21"/>
                <w:szCs w:val="21"/>
              </w:rPr>
              <w:t>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22,242,229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18,996,559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85.41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已出现明显经营困难迹</w:t>
            </w:r>
          </w:p>
          <w:p>
            <w:pPr>
              <w:pStyle w:val="TableParagraph"/>
              <w:spacing w:line="237" w:lineRule="auto" w:before="2"/>
              <w:ind w:left="103" w:right="192"/>
              <w:jc w:val="left"/>
              <w:rPr>
                <w:rFonts w:ascii="宋体" w:hAnsi="宋体" w:cs="宋体" w:eastAsia="宋体" w:hint="default"/>
                <w:sz w:val="21"/>
                <w:szCs w:val="21"/>
              </w:rPr>
            </w:pPr>
            <w:r>
              <w:rPr>
                <w:rFonts w:ascii="宋体" w:hAnsi="宋体" w:cs="宋体" w:eastAsia="宋体" w:hint="default"/>
                <w:spacing w:val="-2"/>
                <w:sz w:val="21"/>
                <w:szCs w:val="21"/>
              </w:rPr>
              <w:t>象，因此对预计无法收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回的部分计提坏账准</w:t>
            </w:r>
            <w:r>
              <w:rPr>
                <w:rFonts w:ascii="宋体" w:hAnsi="宋体" w:cs="宋体" w:eastAsia="宋体" w:hint="default"/>
                <w:w w:val="100"/>
                <w:sz w:val="21"/>
                <w:szCs w:val="21"/>
              </w:rPr>
              <w:t> </w:t>
            </w:r>
            <w:r>
              <w:rPr>
                <w:rFonts w:ascii="宋体" w:hAnsi="宋体" w:cs="宋体" w:eastAsia="宋体" w:hint="default"/>
                <w:sz w:val="21"/>
                <w:szCs w:val="21"/>
              </w:rPr>
              <w:t>备。</w:t>
            </w:r>
          </w:p>
        </w:tc>
      </w:tr>
      <w:tr>
        <w:trPr>
          <w:trHeight w:val="50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23,563,043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pacing w:val="-1"/>
                <w:sz w:val="21"/>
              </w:rPr>
              <w:t>20,317,373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z w:val="21"/>
              </w:rPr>
              <w:t>86.23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638" w:right="0"/>
        <w:jc w:val="left"/>
      </w:pPr>
      <w:r>
        <w:rPr/>
        <w:t>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日，应收海口南青集装箱班轮有限公司</w:t>
      </w:r>
      <w:r>
        <w:rPr>
          <w:rFonts w:ascii="Times New Roman" w:hAnsi="Times New Roman" w:cs="Times New Roman" w:eastAsia="Times New Roman" w:hint="default"/>
          <w:spacing w:val="-5"/>
        </w:rPr>
        <w:t>(“</w:t>
      </w:r>
      <w:r>
        <w:rPr>
          <w:spacing w:val="-5"/>
        </w:rPr>
        <w:t>海口南青</w:t>
      </w:r>
      <w:r>
        <w:rPr>
          <w:rFonts w:ascii="Times New Roman" w:hAnsi="Times New Roman" w:cs="Times New Roman" w:eastAsia="Times New Roman" w:hint="default"/>
          <w:spacing w:val="-5"/>
        </w:rPr>
        <w:t>”)</w:t>
      </w:r>
      <w:r>
        <w:rPr>
          <w:spacing w:val="-5"/>
        </w:rPr>
        <w:t>款项</w:t>
      </w:r>
      <w:r>
        <w:rPr>
          <w:spacing w:val="-46"/>
        </w:rPr>
        <w:t> </w:t>
      </w:r>
      <w:r>
        <w:rPr>
          <w:rFonts w:ascii="Times New Roman" w:hAnsi="Times New Roman" w:cs="Times New Roman" w:eastAsia="Times New Roman" w:hint="default"/>
        </w:rPr>
        <w:t>1,320,814</w:t>
      </w:r>
      <w:r>
        <w:rPr>
          <w:rFonts w:ascii="Times New Roman" w:hAnsi="Times New Roman" w:cs="Times New Roman" w:eastAsia="Times New Roman" w:hint="default"/>
          <w:spacing w:val="7"/>
        </w:rPr>
        <w:t> </w:t>
      </w:r>
      <w:r>
        <w:rPr/>
        <w:t>元以及应</w:t>
      </w:r>
    </w:p>
    <w:p>
      <w:pPr>
        <w:pStyle w:val="BodyText"/>
        <w:spacing w:line="240" w:lineRule="auto" w:before="69"/>
        <w:ind w:right="0"/>
        <w:jc w:val="left"/>
      </w:pPr>
      <w:r>
        <w:rPr>
          <w:spacing w:val="-2"/>
        </w:rPr>
        <w:t>收中商建开</w:t>
      </w:r>
      <w:r>
        <w:rPr>
          <w:rFonts w:ascii="Times New Roman" w:hAnsi="Times New Roman" w:cs="Times New Roman" w:eastAsia="Times New Roman" w:hint="default"/>
          <w:spacing w:val="-2"/>
        </w:rPr>
        <w:t>(</w:t>
      </w:r>
      <w:r>
        <w:rPr>
          <w:spacing w:val="-2"/>
        </w:rPr>
        <w:t>青岛</w:t>
      </w:r>
      <w:r>
        <w:rPr>
          <w:rFonts w:ascii="Times New Roman" w:hAnsi="Times New Roman" w:cs="Times New Roman" w:eastAsia="Times New Roman" w:hint="default"/>
          <w:spacing w:val="-2"/>
        </w:rPr>
        <w:t>)</w:t>
      </w:r>
      <w:r>
        <w:rPr>
          <w:spacing w:val="-2"/>
        </w:rPr>
        <w:t>科技发展有限公司</w:t>
      </w:r>
      <w:r>
        <w:rPr>
          <w:rFonts w:ascii="Times New Roman" w:hAnsi="Times New Roman" w:cs="Times New Roman" w:eastAsia="Times New Roman" w:hint="default"/>
          <w:spacing w:val="-2"/>
        </w:rPr>
        <w:t>(“</w:t>
      </w:r>
      <w:r>
        <w:rPr>
          <w:spacing w:val="-2"/>
        </w:rPr>
        <w:t>中商建开</w:t>
      </w:r>
      <w:r>
        <w:rPr>
          <w:rFonts w:ascii="Times New Roman" w:hAnsi="Times New Roman" w:cs="Times New Roman" w:eastAsia="Times New Roman" w:hint="default"/>
          <w:spacing w:val="-2"/>
        </w:rPr>
        <w:t>”)</w:t>
      </w:r>
      <w:r>
        <w:rPr>
          <w:spacing w:val="-2"/>
        </w:rPr>
        <w:t>款项</w:t>
      </w:r>
      <w:r>
        <w:rPr/>
        <w:t> </w:t>
      </w:r>
      <w:r>
        <w:rPr>
          <w:rFonts w:ascii="Times New Roman" w:hAnsi="Times New Roman" w:cs="Times New Roman" w:eastAsia="Times New Roman" w:hint="default"/>
          <w:spacing w:val="-1"/>
        </w:rPr>
        <w:t>22,242,229</w:t>
      </w:r>
      <w:r>
        <w:rPr>
          <w:rFonts w:ascii="Times New Roman" w:hAnsi="Times New Roman" w:cs="Times New Roman" w:eastAsia="Times New Roman" w:hint="default"/>
          <w:spacing w:val="22"/>
        </w:rPr>
        <w:t> </w:t>
      </w:r>
      <w:r>
        <w:rPr>
          <w:spacing w:val="-2"/>
        </w:rPr>
        <w:t>元，因上述公司已宣告破产或出现</w:t>
      </w:r>
    </w:p>
    <w:p>
      <w:pPr>
        <w:pStyle w:val="BodyText"/>
        <w:spacing w:line="247" w:lineRule="auto" w:before="69"/>
        <w:ind w:right="0"/>
        <w:jc w:val="left"/>
        <w:rPr>
          <w:rFonts w:ascii="宋体" w:hAnsi="宋体" w:cs="宋体" w:eastAsia="宋体" w:hint="default"/>
        </w:rPr>
      </w:pPr>
      <w:r>
        <w:rPr>
          <w:spacing w:val="-6"/>
          <w:w w:val="100"/>
        </w:rPr>
        <w:t>明显经营困难迹象，本集团认为上述应收款项难以收回，因此对预计无法收回的部分计提坏账准备。</w:t>
      </w:r>
      <w:r>
        <w:rPr>
          <w:spacing w:val="-76"/>
          <w:w w:val="100"/>
        </w:rPr>
        <w:t> </w:t>
      </w:r>
      <w:r>
        <w:rPr>
          <w:spacing w:val="-76"/>
          <w:w w:val="100"/>
        </w:rPr>
      </w:r>
      <w:r>
        <w:rPr/>
        <w:t>按组合计提坏账准备：</w:t>
      </w:r>
      <w:r>
        <w:rPr>
          <w:rFonts w:ascii="宋体" w:hAnsi="宋体" w:cs="宋体" w:eastAsia="宋体" w:hint="default"/>
        </w:rPr>
        <w:t> </w:t>
      </w:r>
    </w:p>
    <w:p>
      <w:pPr>
        <w:pStyle w:val="BodyText"/>
        <w:spacing w:line="274" w:lineRule="exact" w:before="16"/>
        <w:ind w:right="605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组合计提项目：组合</w:t>
      </w:r>
      <w:r>
        <w:rPr>
          <w:spacing w:val="-54"/>
        </w:rPr>
        <w:t> </w:t>
      </w:r>
      <w:r>
        <w:rPr>
          <w:rFonts w:ascii="宋体" w:hAnsi="宋体" w:cs="宋体" w:eastAsia="宋体" w:hint="default"/>
          <w:spacing w:val="-3"/>
        </w:rPr>
        <w:t>D</w:t>
      </w:r>
      <w:r>
        <w:rPr>
          <w:rFonts w:ascii="宋体" w:hAnsi="宋体" w:cs="宋体" w:eastAsia="宋体" w:hint="default"/>
        </w:rPr>
        <w:t> </w:t>
      </w:r>
    </w:p>
    <w:p>
      <w:pPr>
        <w:pStyle w:val="BodyText"/>
        <w:spacing w:line="246" w:lineRule="exact"/>
        <w:ind w:left="0" w:right="294"/>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42"/>
        <w:gridCol w:w="2254"/>
        <w:gridCol w:w="2292"/>
        <w:gridCol w:w="2451"/>
      </w:tblGrid>
      <w:tr>
        <w:trPr>
          <w:trHeight w:val="351" w:hRule="exact"/>
        </w:trPr>
        <w:tc>
          <w:tcPr>
            <w:tcW w:w="2042" w:type="dxa"/>
            <w:vMerge w:val="restart"/>
            <w:tcBorders>
              <w:top w:val="single" w:sz="4" w:space="0" w:color="000000"/>
              <w:left w:val="single" w:sz="4" w:space="0" w:color="000000"/>
              <w:right w:val="single" w:sz="4" w:space="0" w:color="000000"/>
            </w:tcBorders>
          </w:tcPr>
          <w:p>
            <w:pPr>
              <w:pStyle w:val="TableParagraph"/>
              <w:spacing w:line="240" w:lineRule="auto" w:before="175"/>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48" w:hRule="exact"/>
        </w:trPr>
        <w:tc>
          <w:tcPr>
            <w:tcW w:w="2042" w:type="dxa"/>
            <w:vMerge/>
            <w:tcBorders>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2,286,455,617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85,338,513</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3.73</w:t>
            </w:r>
          </w:p>
        </w:tc>
      </w:tr>
      <w:tr>
        <w:trPr>
          <w:trHeight w:val="3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一到二年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167,345,663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38,582,849</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23.06</w:t>
            </w:r>
          </w:p>
        </w:tc>
      </w:tr>
      <w:tr>
        <w:trPr>
          <w:trHeight w:val="3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二年以上</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26,784,587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22,177,099</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82.80</w:t>
            </w:r>
          </w:p>
        </w:tc>
      </w:tr>
      <w:tr>
        <w:trPr>
          <w:trHeight w:val="35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2,480,585,867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146,098,461</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5.89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384" w:lineRule="auto"/>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对于划分为组合的应收账款，本集团参考历史信用损失经验，结合当前状况以及对未来经济状</w:t>
      </w:r>
    </w:p>
    <w:p>
      <w:pPr>
        <w:pStyle w:val="BodyText"/>
        <w:spacing w:line="240" w:lineRule="auto"/>
        <w:ind w:right="0"/>
        <w:jc w:val="left"/>
        <w:rPr>
          <w:rFonts w:ascii="宋体" w:hAnsi="宋体" w:cs="宋体" w:eastAsia="宋体" w:hint="default"/>
        </w:rPr>
      </w:pPr>
      <w:r>
        <w:rPr/>
        <w:t>况的预测，通过违约风险敞口和整个存续期预期信用损失率，计算预期信用损失。</w:t>
      </w:r>
      <w:r>
        <w:rPr>
          <w:rFonts w:ascii="宋体" w:hAnsi="宋体" w:cs="宋体" w:eastAsia="宋体" w:hint="default"/>
        </w:rPr>
        <w:t> </w:t>
      </w:r>
    </w:p>
    <w:p>
      <w:pPr>
        <w:pStyle w:val="BodyText"/>
        <w:spacing w:line="272" w:lineRule="exact" w:before="106"/>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tabs>
          <w:tab w:pos="1051" w:val="left" w:leader="none"/>
        </w:tabs>
        <w:spacing w:line="240" w:lineRule="auto"/>
        <w:ind w:left="0" w:right="29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1702"/>
        <w:gridCol w:w="1702"/>
        <w:gridCol w:w="1560"/>
        <w:gridCol w:w="992"/>
        <w:gridCol w:w="994"/>
        <w:gridCol w:w="709"/>
        <w:gridCol w:w="1598"/>
      </w:tblGrid>
      <w:tr>
        <w:trPr>
          <w:trHeight w:val="283"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9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20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214" w:type="dxa"/>
        <w:tblLayout w:type="fixed"/>
        <w:tblCellMar>
          <w:top w:w="0" w:type="dxa"/>
          <w:left w:w="0" w:type="dxa"/>
          <w:bottom w:w="0" w:type="dxa"/>
          <w:right w:w="0" w:type="dxa"/>
        </w:tblCellMar>
        <w:tblLook w:val="01E0"/>
      </w:tblPr>
      <w:tblGrid>
        <w:gridCol w:w="1702"/>
        <w:gridCol w:w="1702"/>
        <w:gridCol w:w="1560"/>
        <w:gridCol w:w="992"/>
        <w:gridCol w:w="994"/>
        <w:gridCol w:w="709"/>
        <w:gridCol w:w="1598"/>
      </w:tblGrid>
      <w:tr>
        <w:trPr>
          <w:trHeight w:val="55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
                <w:sz w:val="21"/>
              </w:rPr>
              <w:t>1,320,814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18,996,559</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20,317,373</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按组合计提坏账</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127,784,888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18,313,573</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146,098,461</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129,105,702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37,310,132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166,415,834</w:t>
            </w:r>
          </w:p>
        </w:tc>
      </w:tr>
    </w:tbl>
    <w:p>
      <w:pPr>
        <w:spacing w:line="240" w:lineRule="auto" w:before="3"/>
        <w:rPr>
          <w:rFonts w:ascii="宋体" w:hAnsi="宋体" w:cs="宋体" w:eastAsia="宋体" w:hint="default"/>
          <w:sz w:val="14"/>
          <w:szCs w:val="14"/>
        </w:r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7"/>
        <w:ind w:right="0"/>
        <w:jc w:val="left"/>
        <w:rPr>
          <w:rFonts w:ascii="宋体" w:hAnsi="宋体" w:cs="宋体" w:eastAsia="宋体" w:hint="default"/>
          <w:b w:val="0"/>
          <w:bCs w:val="0"/>
        </w:rPr>
      </w:pPr>
      <w:r>
        <w:rPr>
          <w:rFonts w:ascii="宋体" w:hAnsi="宋体" w:cs="宋体" w:eastAsia="宋体" w:hint="default"/>
          <w:w w:val="95"/>
        </w:rPr>
        <w:t>(5).</w:t>
        <w:tab/>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1" w:lineRule="auto" w:before="164"/>
        <w:ind w:right="0" w:firstLine="420"/>
        <w:jc w:val="left"/>
      </w:pPr>
      <w:r>
        <w:rPr/>
        <w:t>按欠款方归集的期末余额前五名应收账款汇总金额为</w:t>
      </w:r>
      <w:r>
        <w:rPr>
          <w:spacing w:val="-47"/>
        </w:rPr>
        <w:t> </w:t>
      </w:r>
      <w:r>
        <w:rPr>
          <w:rFonts w:ascii="Times New Roman" w:hAnsi="Times New Roman" w:cs="Times New Roman" w:eastAsia="Times New Roman" w:hint="default"/>
        </w:rPr>
        <w:t>1,207,938,413</w:t>
      </w:r>
      <w:r>
        <w:rPr>
          <w:rFonts w:ascii="Times New Roman" w:hAnsi="Times New Roman" w:cs="Times New Roman" w:eastAsia="Times New Roman" w:hint="default"/>
          <w:spacing w:val="6"/>
        </w:rPr>
        <w:t> </w:t>
      </w:r>
      <w:r>
        <w:rPr>
          <w:spacing w:val="-3"/>
        </w:rPr>
        <w:t>元，占应收账款期末余额合</w:t>
      </w:r>
      <w:r>
        <w:rPr>
          <w:w w:val="100"/>
        </w:rPr>
        <w:t> </w:t>
      </w:r>
      <w:r>
        <w:rPr/>
        <w:t>计数的比例为</w:t>
      </w:r>
      <w:r>
        <w:rPr>
          <w:spacing w:val="-54"/>
        </w:rPr>
        <w:t> </w:t>
      </w:r>
      <w:r>
        <w:rPr>
          <w:rFonts w:ascii="Times New Roman" w:hAnsi="Times New Roman" w:cs="Times New Roman" w:eastAsia="Times New Roman" w:hint="default"/>
        </w:rPr>
        <w:t>48.24%</w:t>
      </w:r>
      <w:r>
        <w:rPr/>
        <w:t>，相应计提的坏账准备期末余额汇总金额为</w:t>
      </w:r>
      <w:r>
        <w:rPr>
          <w:spacing w:val="-53"/>
        </w:rPr>
        <w:t> </w:t>
      </w:r>
      <w:r>
        <w:rPr>
          <w:rFonts w:ascii="Times New Roman" w:hAnsi="Times New Roman" w:cs="Times New Roman" w:eastAsia="Times New Roman" w:hint="default"/>
        </w:rPr>
        <w:t>63,395,926</w:t>
      </w:r>
      <w:r>
        <w:rPr>
          <w:rFonts w:ascii="Times New Roman" w:hAnsi="Times New Roman" w:cs="Times New Roman" w:eastAsia="Times New Roman" w:hint="default"/>
          <w:spacing w:val="-4"/>
        </w:rPr>
        <w:t> </w:t>
      </w:r>
      <w:r>
        <w:rPr/>
        <w:t>元。</w:t>
      </w:r>
    </w:p>
    <w:p>
      <w:pPr>
        <w:pStyle w:val="BodyText"/>
        <w:spacing w:line="249"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(6).</w:t>
        <w:tab/>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5"/>
        <w:tabs>
          <w:tab w:pos="1058"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(7).</w:t>
        <w:tab/>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74" w:top="1120" w:bottom="1160" w:left="1200" w:right="1100"/>
        </w:sect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00"/>
          <w:cols w:num="2" w:equalWidth="0">
            <w:col w:w="2111" w:space="4747"/>
            <w:col w:w="2752"/>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64"/>
        <w:gridCol w:w="2825"/>
        <w:gridCol w:w="3193"/>
      </w:tblGrid>
      <w:tr>
        <w:trPr>
          <w:trHeight w:val="286" w:hRule="exact"/>
        </w:trPr>
        <w:tc>
          <w:tcPr>
            <w:tcW w:w="316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9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1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8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705,149,454</w:t>
            </w:r>
          </w:p>
        </w:tc>
        <w:tc>
          <w:tcPr>
            <w:tcW w:w="3193"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670,396,485</w:t>
            </w:r>
          </w:p>
        </w:tc>
      </w:tr>
      <w:tr>
        <w:trPr>
          <w:trHeight w:val="283" w:hRule="exact"/>
        </w:trPr>
        <w:tc>
          <w:tcPr>
            <w:tcW w:w="316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705,149,454</w:t>
            </w:r>
          </w:p>
        </w:tc>
        <w:tc>
          <w:tcPr>
            <w:tcW w:w="3193"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670,396,485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307" w:lineRule="auto"/>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本集团视日常资金管理的需要将一部分银行承兑汇票进行背书或贴现，且符合终止确认的条件，</w:t>
      </w:r>
    </w:p>
    <w:p>
      <w:pPr>
        <w:pStyle w:val="BodyText"/>
        <w:spacing w:line="314" w:lineRule="auto" w:before="26"/>
        <w:ind w:right="0"/>
        <w:jc w:val="left"/>
      </w:pPr>
      <w:r>
        <w:rPr>
          <w:spacing w:val="-1"/>
        </w:rPr>
        <w:t>故将银行承兑汇票分类为以公允价值计量且其变动计入其他综合收益的金融资产。本集团认为所持</w:t>
      </w:r>
      <w:r>
        <w:rPr>
          <w:spacing w:val="-20"/>
        </w:rPr>
        <w:t> </w:t>
      </w:r>
      <w:r>
        <w:rPr>
          <w:spacing w:val="-20"/>
        </w:rPr>
      </w:r>
      <w:r>
        <w:rPr/>
        <w:t>有的银行承兑汇票不存在重大信用风险，不会因银行违约而产生重大损失。</w:t>
      </w:r>
    </w:p>
    <w:p>
      <w:pPr>
        <w:pStyle w:val="BodyText"/>
        <w:spacing w:line="216"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638" w:right="0"/>
        <w:jc w:val="left"/>
      </w:pPr>
      <w:r>
        <w:rPr/>
        <w:t>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日及</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日，本集团无银行承兑汇票质押。</w:t>
      </w:r>
    </w:p>
    <w:p>
      <w:pPr>
        <w:spacing w:after="0" w:line="240" w:lineRule="auto"/>
        <w:jc w:val="left"/>
        <w:sectPr>
          <w:type w:val="continuous"/>
          <w:pgSz w:w="11910" w:h="16840"/>
          <w:pgMar w:top="1120" w:bottom="1160" w:left="1200" w:right="1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638" w:right="0"/>
        <w:jc w:val="left"/>
        <w:rPr>
          <w:rFonts w:ascii="Times New Roman" w:hAnsi="Times New Roman" w:cs="Times New Roman" w:eastAsia="Times New Roman" w:hint="default"/>
        </w:rPr>
      </w:pPr>
      <w:r>
        <w:rPr>
          <w:w w:val="100"/>
        </w:rPr>
        <w:t>于</w:t>
      </w:r>
      <w:r>
        <w:rPr>
          <w:spacing w:val="-58"/>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5"/>
        </w:rPr>
        <w:t> </w:t>
      </w:r>
      <w:r>
        <w:rPr>
          <w:w w:val="100"/>
        </w:rPr>
        <w:t>年</w:t>
      </w:r>
      <w:r>
        <w:rPr>
          <w:spacing w:val="-57"/>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6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5"/>
        </w:rPr>
        <w:t> </w:t>
      </w:r>
      <w:r>
        <w:rPr>
          <w:w w:val="100"/>
        </w:rPr>
        <w:t>日</w:t>
      </w:r>
      <w:r>
        <w:rPr>
          <w:spacing w:val="-108"/>
          <w:w w:val="100"/>
        </w:rPr>
        <w:t>，</w:t>
      </w:r>
      <w:r>
        <w:rPr>
          <w:spacing w:val="-3"/>
          <w:w w:val="100"/>
        </w:rPr>
        <w:t>本</w:t>
      </w:r>
      <w:r>
        <w:rPr>
          <w:w w:val="100"/>
        </w:rPr>
        <w:t>集团</w:t>
      </w:r>
      <w:r>
        <w:rPr>
          <w:spacing w:val="-3"/>
          <w:w w:val="100"/>
        </w:rPr>
        <w:t>已</w:t>
      </w:r>
      <w:r>
        <w:rPr>
          <w:w w:val="100"/>
        </w:rPr>
        <w:t>背</w:t>
      </w:r>
      <w:r>
        <w:rPr>
          <w:spacing w:val="-3"/>
          <w:w w:val="100"/>
        </w:rPr>
        <w:t>书</w:t>
      </w:r>
      <w:r>
        <w:rPr>
          <w:w w:val="100"/>
        </w:rPr>
        <w:t>或</w:t>
      </w:r>
      <w:r>
        <w:rPr>
          <w:spacing w:val="-3"/>
          <w:w w:val="100"/>
        </w:rPr>
        <w:t>贴</w:t>
      </w:r>
      <w:r>
        <w:rPr>
          <w:w w:val="100"/>
        </w:rPr>
        <w:t>现</w:t>
      </w:r>
      <w:r>
        <w:rPr>
          <w:spacing w:val="-3"/>
          <w:w w:val="100"/>
        </w:rPr>
        <w:t>但</w:t>
      </w:r>
      <w:r>
        <w:rPr>
          <w:w w:val="100"/>
        </w:rPr>
        <w:t>尚</w:t>
      </w:r>
      <w:r>
        <w:rPr>
          <w:spacing w:val="-3"/>
          <w:w w:val="100"/>
        </w:rPr>
        <w:t>未</w:t>
      </w:r>
      <w:r>
        <w:rPr>
          <w:w w:val="100"/>
        </w:rPr>
        <w:t>到期</w:t>
      </w:r>
      <w:r>
        <w:rPr>
          <w:spacing w:val="-3"/>
          <w:w w:val="100"/>
        </w:rPr>
        <w:t>的</w:t>
      </w:r>
      <w:r>
        <w:rPr>
          <w:w w:val="100"/>
        </w:rPr>
        <w:t>银</w:t>
      </w:r>
      <w:r>
        <w:rPr>
          <w:spacing w:val="-3"/>
          <w:w w:val="100"/>
        </w:rPr>
        <w:t>行</w:t>
      </w:r>
      <w:r>
        <w:rPr>
          <w:w w:val="100"/>
        </w:rPr>
        <w:t>承</w:t>
      </w:r>
      <w:r>
        <w:rPr>
          <w:spacing w:val="-3"/>
          <w:w w:val="100"/>
        </w:rPr>
        <w:t>兑</w:t>
      </w:r>
      <w:r>
        <w:rPr>
          <w:w w:val="100"/>
        </w:rPr>
        <w:t>汇</w:t>
      </w:r>
      <w:r>
        <w:rPr>
          <w:spacing w:val="-3"/>
          <w:w w:val="100"/>
        </w:rPr>
        <w:t>票</w:t>
      </w:r>
      <w:r>
        <w:rPr>
          <w:w w:val="100"/>
        </w:rPr>
        <w:t>为</w:t>
      </w:r>
      <w:r>
        <w:rPr>
          <w:spacing w:val="-57"/>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6,590,</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85</w:t>
      </w:r>
      <w:r>
        <w:rPr>
          <w:rFonts w:ascii="Times New Roman" w:hAnsi="Times New Roman" w:cs="Times New Roman" w:eastAsia="Times New Roman" w:hint="default"/>
          <w:spacing w:val="-5"/>
        </w:rPr>
        <w:t> </w:t>
      </w:r>
      <w:r>
        <w:rPr>
          <w:w w:val="100"/>
        </w:rPr>
        <w:t>元</w:t>
      </w:r>
      <w:r>
        <w:rPr/>
        <w:t> </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2018</w:t>
      </w:r>
    </w:p>
    <w:p>
      <w:pPr>
        <w:pStyle w:val="BodyText"/>
        <w:spacing w:line="287" w:lineRule="exact" w:before="69"/>
        <w:ind w:right="0"/>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609,199,949 </w:t>
      </w:r>
      <w:r>
        <w:rPr/>
        <w:t>元</w:t>
      </w:r>
      <w:r>
        <w:rPr>
          <w:rFonts w:ascii="Times New Roman" w:hAnsi="Times New Roman" w:cs="Times New Roman" w:eastAsia="Times New Roman" w:hint="default"/>
        </w:rPr>
        <w:t>)</w:t>
      </w:r>
      <w:r>
        <w:rPr/>
        <w:t>，已终止确认。</w:t>
      </w:r>
    </w:p>
    <w:p>
      <w:pPr>
        <w:pStyle w:val="BodyText"/>
        <w:spacing w:line="27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7</w:t>
      </w:r>
      <w:r>
        <w:rPr/>
        <w:t>、</w:t>
      </w:r>
      <w:r>
        <w:rPr>
          <w:spacing w:val="-2"/>
        </w:rPr>
        <w:t> </w:t>
      </w:r>
      <w:r>
        <w:rPr/>
        <w:t>预付款项</w:t>
      </w:r>
      <w:r>
        <w:rPr>
          <w:b w:val="0"/>
          <w:bCs w:val="0"/>
        </w:rPr>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1349"/>
        <w:gridCol w:w="1877"/>
        <w:gridCol w:w="1862"/>
        <w:gridCol w:w="1860"/>
        <w:gridCol w:w="2237"/>
      </w:tblGrid>
      <w:tr>
        <w:trPr>
          <w:trHeight w:val="283" w:hRule="exact"/>
        </w:trPr>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49"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39"/>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1"/>
              <w:jc w:val="right"/>
              <w:rPr>
                <w:rFonts w:ascii="Times New Roman" w:hAnsi="Times New Roman" w:cs="Times New Roman" w:eastAsia="Times New Roman" w:hint="default"/>
                <w:sz w:val="21"/>
                <w:szCs w:val="21"/>
              </w:rPr>
            </w:pPr>
            <w:r>
              <w:rPr>
                <w:rFonts w:ascii="Times New Roman"/>
                <w:spacing w:val="-1"/>
                <w:sz w:val="21"/>
              </w:rPr>
              <w:t>65,477,940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81,694,054</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8"/>
              <w:jc w:val="right"/>
              <w:rPr>
                <w:rFonts w:ascii="宋体" w:hAnsi="宋体" w:cs="宋体" w:eastAsia="宋体" w:hint="default"/>
                <w:sz w:val="21"/>
                <w:szCs w:val="21"/>
              </w:rPr>
            </w:pPr>
            <w:r>
              <w:rPr>
                <w:rFonts w:ascii="宋体" w:hAnsi="宋体" w:cs="宋体" w:eastAsia="宋体" w:hint="default"/>
                <w:sz w:val="21"/>
                <w:szCs w:val="21"/>
              </w:rPr>
              <w:t>合计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65,477,940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81,694,054</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7"/>
        <w:ind w:right="0"/>
        <w:jc w:val="left"/>
        <w:rPr>
          <w:rFonts w:ascii="宋体" w:hAnsi="宋体" w:cs="宋体" w:eastAsia="宋体" w:hint="default"/>
          <w:b w:val="0"/>
          <w:bCs w:val="0"/>
        </w:rPr>
      </w:pPr>
      <w:r>
        <w:rPr>
          <w:rFonts w:ascii="宋体" w:hAnsi="宋体" w:cs="宋体" w:eastAsia="宋体" w:hint="default"/>
          <w:w w:val="95"/>
        </w:rPr>
        <w:t>(2).</w:t>
        <w:tab/>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164"/>
        <w:ind w:right="0" w:firstLine="420"/>
        <w:jc w:val="left"/>
        <w:rPr>
          <w:rFonts w:ascii="宋体" w:hAnsi="宋体" w:cs="宋体" w:eastAsia="宋体" w:hint="default"/>
        </w:rPr>
      </w:pPr>
      <w:r>
        <w:rPr>
          <w:spacing w:val="-2"/>
          <w:w w:val="100"/>
        </w:rPr>
        <w:t>按欠款方归集的余额前五名的预付款项总额为</w:t>
      </w:r>
      <w:r>
        <w:rPr>
          <w:w w:val="100"/>
        </w:rPr>
        <w:t> </w:t>
      </w:r>
      <w:r>
        <w:rPr>
          <w:rFonts w:ascii="Times New Roman" w:hAnsi="Times New Roman" w:cs="Times New Roman" w:eastAsia="Times New Roman" w:hint="default"/>
          <w:spacing w:val="1"/>
          <w:w w:val="100"/>
        </w:rPr>
        <w:t>35,542,066</w:t>
      </w:r>
      <w:r>
        <w:rPr>
          <w:rFonts w:ascii="Times New Roman" w:hAnsi="Times New Roman" w:cs="Times New Roman" w:eastAsia="Times New Roman" w:hint="default"/>
          <w:w w:val="100"/>
        </w:rPr>
        <w:t> </w:t>
      </w:r>
      <w:r>
        <w:rPr>
          <w:w w:val="100"/>
        </w:rPr>
        <w:t>元，占预付账款总额比例为</w:t>
      </w:r>
      <w:r>
        <w:rPr>
          <w:spacing w:val="-81"/>
          <w:w w:val="100"/>
        </w:rPr>
        <w:t> </w:t>
      </w:r>
      <w:r>
        <w:rPr>
          <w:rFonts w:ascii="Times New Roman" w:hAnsi="Times New Roman" w:cs="Times New Roman" w:eastAsia="Times New Roman" w:hint="default"/>
          <w:spacing w:val="-14"/>
          <w:w w:val="100"/>
        </w:rPr>
        <w:t>54.28%</w:t>
      </w:r>
      <w:r>
        <w:rPr>
          <w:spacing w:val="-14"/>
          <w:w w:val="100"/>
        </w:rPr>
        <w:t>。</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26"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90" w:lineRule="auto"/>
        <w:ind w:right="7793"/>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13"/>
        <w:gridCol w:w="2864"/>
        <w:gridCol w:w="3209"/>
      </w:tblGrid>
      <w:tr>
        <w:trPr>
          <w:trHeight w:val="28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42,728,648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33,998,967</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1,782,956,513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1,748,763,183</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1,825,685,161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1,782,762,150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974" w:top="1120" w:bottom="1160" w:left="1200" w:right="120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tabs>
          <w:tab w:pos="1058" w:val="left" w:leader="none"/>
        </w:tabs>
        <w:spacing w:line="240" w:lineRule="auto" w:before="12"/>
        <w:ind w:right="0"/>
        <w:jc w:val="left"/>
        <w:rPr>
          <w:rFonts w:ascii="宋体" w:hAnsi="宋体" w:cs="宋体" w:eastAsia="宋体" w:hint="default"/>
          <w:b w:val="0"/>
          <w:bCs w:val="0"/>
        </w:rPr>
      </w:pPr>
      <w:r>
        <w:rPr>
          <w:rFonts w:ascii="宋体" w:hAnsi="宋体" w:cs="宋体" w:eastAsia="宋体" w:hint="default"/>
          <w:w w:val="95"/>
        </w:rPr>
        <w:t>(1).</w:t>
        <w:tab/>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2430" w:space="4330"/>
            <w:col w:w="275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58"/>
        <w:gridCol w:w="3024"/>
        <w:gridCol w:w="3322"/>
      </w:tblGrid>
      <w:tr>
        <w:trPr>
          <w:trHeight w:val="28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42,591,471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21,139,773</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24"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449,931</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024"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7,844,773</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自营贷款</w:t>
            </w:r>
          </w:p>
        </w:tc>
        <w:tc>
          <w:tcPr>
            <w:tcW w:w="3024"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5"/>
              <w:jc w:val="right"/>
              <w:rPr>
                <w:rFonts w:ascii="Times New Roman" w:hAnsi="Times New Roman" w:cs="Times New Roman" w:eastAsia="Times New Roman" w:hint="default"/>
                <w:sz w:val="21"/>
                <w:szCs w:val="21"/>
              </w:rPr>
            </w:pPr>
            <w:r>
              <w:rPr>
                <w:rFonts w:ascii="Times New Roman"/>
                <w:spacing w:val="-1"/>
                <w:sz w:val="21"/>
              </w:rPr>
              <w:t>3,211,033</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137,177</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1,206,615</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保理贷款</w:t>
            </w:r>
          </w:p>
        </w:tc>
        <w:tc>
          <w:tcPr>
            <w:tcW w:w="3024"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146,842</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5"/>
              <w:jc w:val="right"/>
              <w:rPr>
                <w:rFonts w:ascii="Times New Roman" w:hAnsi="Times New Roman" w:cs="Times New Roman" w:eastAsia="Times New Roman" w:hint="default"/>
                <w:sz w:val="21"/>
                <w:szCs w:val="21"/>
              </w:rPr>
            </w:pPr>
            <w:r>
              <w:rPr>
                <w:rFonts w:ascii="Times New Roman"/>
                <w:spacing w:val="-1"/>
                <w:sz w:val="21"/>
              </w:rPr>
              <w:t>42,728,648</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5"/>
              <w:jc w:val="right"/>
              <w:rPr>
                <w:rFonts w:ascii="Times New Roman" w:hAnsi="Times New Roman" w:cs="Times New Roman" w:eastAsia="Times New Roman" w:hint="default"/>
                <w:sz w:val="21"/>
                <w:szCs w:val="21"/>
              </w:rPr>
            </w:pPr>
            <w:r>
              <w:rPr>
                <w:rFonts w:ascii="Times New Roman"/>
                <w:spacing w:val="-1"/>
                <w:sz w:val="21"/>
              </w:rPr>
              <w:t>33,998,967</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200" w:right="1200"/>
        </w:sectPr>
      </w:pPr>
    </w:p>
    <w:p>
      <w:pPr>
        <w:pStyle w:val="BodyText"/>
        <w:spacing w:line="240" w:lineRule="auto" w:before="168"/>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重要的账龄超过</w:t>
      </w:r>
      <w:r>
        <w:rPr>
          <w:spacing w:val="-54"/>
        </w:rPr>
        <w:t> </w:t>
      </w:r>
      <w:r>
        <w:rPr>
          <w:rFonts w:ascii="宋体" w:hAnsi="宋体" w:cs="宋体" w:eastAsia="宋体" w:hint="default"/>
        </w:rPr>
        <w:t>1</w:t>
      </w:r>
      <w:r>
        <w:rPr>
          <w:rFonts w:ascii="宋体" w:hAnsi="宋体" w:cs="宋体" w:eastAsia="宋体" w:hint="default"/>
          <w:spacing w:val="-53"/>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(6).</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tabs>
          <w:tab w:pos="1058" w:val="left" w:leader="none"/>
        </w:tabs>
        <w:spacing w:line="240" w:lineRule="auto" w:before="12"/>
        <w:ind w:right="0"/>
        <w:jc w:val="left"/>
        <w:rPr>
          <w:rFonts w:ascii="宋体" w:hAnsi="宋体" w:cs="宋体" w:eastAsia="宋体" w:hint="default"/>
          <w:b w:val="0"/>
          <w:bCs w:val="0"/>
        </w:rPr>
      </w:pPr>
      <w:r>
        <w:rPr>
          <w:rFonts w:ascii="宋体" w:hAnsi="宋体" w:cs="宋体" w:eastAsia="宋体" w:hint="default"/>
          <w:w w:val="95"/>
        </w:rPr>
        <w:t>(7).</w:t>
        <w:tab/>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4120" w:space="2639"/>
            <w:col w:w="2751"/>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469"/>
        <w:gridCol w:w="4717"/>
      </w:tblGrid>
      <w:tr>
        <w:trPr>
          <w:trHeight w:val="281"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8"/>
              <w:jc w:val="right"/>
              <w:rPr>
                <w:rFonts w:ascii="宋体" w:hAnsi="宋体" w:cs="宋体" w:eastAsia="宋体" w:hint="default"/>
                <w:sz w:val="21"/>
                <w:szCs w:val="21"/>
              </w:rPr>
            </w:pPr>
            <w:r>
              <w:rPr>
                <w:rFonts w:ascii="宋体" w:hAnsi="宋体" w:cs="宋体" w:eastAsia="宋体" w:hint="default"/>
                <w:sz w:val="21"/>
                <w:szCs w:val="21"/>
              </w:rPr>
              <w:t>账龄</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9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3" w:hRule="exact"/>
        </w:trPr>
        <w:tc>
          <w:tcPr>
            <w:tcW w:w="9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1"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1,801,432,858</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1,801,432,858</w:t>
            </w:r>
          </w:p>
        </w:tc>
      </w:tr>
      <w:tr>
        <w:trPr>
          <w:trHeight w:val="281"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5,522,124</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2,847,658</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2,776,149</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1,237,126</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159,980</w:t>
            </w:r>
          </w:p>
        </w:tc>
      </w:tr>
      <w:tr>
        <w:trPr>
          <w:trHeight w:val="283"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8"/>
              <w:jc w:val="right"/>
              <w:rPr>
                <w:rFonts w:ascii="宋体" w:hAnsi="宋体" w:cs="宋体" w:eastAsia="宋体" w:hint="default"/>
                <w:sz w:val="21"/>
                <w:szCs w:val="21"/>
              </w:rPr>
            </w:pPr>
            <w:r>
              <w:rPr>
                <w:rFonts w:ascii="宋体" w:hAnsi="宋体" w:cs="宋体" w:eastAsia="宋体" w:hint="default"/>
                <w:sz w:val="21"/>
                <w:szCs w:val="21"/>
              </w:rPr>
              <w:t>合计</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1,813,975,895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20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7"/>
        <w:ind w:right="0"/>
        <w:jc w:val="left"/>
        <w:rPr>
          <w:rFonts w:ascii="宋体" w:hAnsi="宋体" w:cs="宋体" w:eastAsia="宋体" w:hint="default"/>
          <w:b w:val="0"/>
          <w:bCs w:val="0"/>
        </w:rPr>
      </w:pPr>
      <w:r>
        <w:rPr>
          <w:rFonts w:ascii="宋体" w:hAnsi="宋体" w:cs="宋体" w:eastAsia="宋体" w:hint="default"/>
          <w:w w:val="95"/>
        </w:rPr>
        <w:t>(8).</w:t>
        <w:tab/>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3064" w:space="3448"/>
            <w:col w:w="299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01"/>
        <w:gridCol w:w="2907"/>
        <w:gridCol w:w="3133"/>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5"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1"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代理业务应收及垫付款项</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1,113,252,681</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949,837,560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向关联方及第三方提供贷款</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573,511,898</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697,589,806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应收港口建设费(“港建费”)</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65,504,377</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51,560,550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26,290,528</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44,367,187</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35,416,411</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42,329,320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1,813,975,895</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1,785,684,423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14" w:lineRule="auto" w:before="36"/>
        <w:ind w:left="638" w:right="0"/>
        <w:jc w:val="left"/>
      </w:pPr>
      <w:r>
        <w:rPr/>
        <w:t>代理业务应收及垫付款项系本集团船舶代理业务应收的款项及代理采购业务垫付的款项。</w:t>
      </w:r>
      <w:r>
        <w:rPr>
          <w:w w:val="100"/>
        </w:rPr>
        <w:t> </w:t>
      </w:r>
      <w:r>
        <w:rPr>
          <w:spacing w:val="-2"/>
        </w:rPr>
        <w:t>向关联方及第三方提供贷款为本公司提供的短期委托贷款及本公司之子公司青港财务公司发放</w:t>
      </w:r>
    </w:p>
    <w:p>
      <w:pPr>
        <w:pStyle w:val="BodyText"/>
        <w:spacing w:line="240" w:lineRule="auto" w:before="20"/>
        <w:ind w:right="0"/>
        <w:jc w:val="left"/>
        <w:rPr>
          <w:rFonts w:ascii="宋体" w:hAnsi="宋体" w:cs="宋体" w:eastAsia="宋体" w:hint="default"/>
        </w:rPr>
      </w:pPr>
      <w:r>
        <w:rPr/>
        <w:t>的短期贷款。</w:t>
      </w:r>
      <w:r>
        <w:rPr>
          <w:rFonts w:ascii="宋体" w:hAnsi="宋体" w:cs="宋体" w:eastAsia="宋体" w:hint="default"/>
        </w:rPr>
        <w:t> </w:t>
      </w:r>
    </w:p>
    <w:p>
      <w:pPr>
        <w:pStyle w:val="BodyText"/>
        <w:spacing w:line="314" w:lineRule="auto" w:before="85"/>
        <w:ind w:right="0" w:firstLine="420"/>
        <w:jc w:val="left"/>
        <w:rPr>
          <w:rFonts w:ascii="宋体" w:hAnsi="宋体" w:cs="宋体" w:eastAsia="宋体" w:hint="default"/>
        </w:rPr>
      </w:pPr>
      <w:r>
        <w:rPr>
          <w:spacing w:val="-2"/>
        </w:rPr>
        <w:t>应收港建费主要系依据财政部、交通部联合发布的《港口建设费征收使用管理办法》的有关代</w:t>
      </w:r>
      <w:r>
        <w:rPr>
          <w:w w:val="100"/>
        </w:rPr>
        <w:t> </w:t>
      </w:r>
      <w:r>
        <w:rPr/>
        <w:t>征代缴规定而应向客户收取的港建费。</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(9).</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34"/>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66"/>
        <w:gridCol w:w="2307"/>
        <w:gridCol w:w="1937"/>
        <w:gridCol w:w="1935"/>
        <w:gridCol w:w="1342"/>
      </w:tblGrid>
      <w:tr>
        <w:trPr>
          <w:trHeight w:val="281" w:hRule="exact"/>
        </w:trPr>
        <w:tc>
          <w:tcPr>
            <w:tcW w:w="17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9" w:hRule="exact"/>
        </w:trPr>
        <w:tc>
          <w:tcPr>
            <w:tcW w:w="1766" w:type="dxa"/>
            <w:vMerge/>
            <w:tcBorders>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01" w:right="0"/>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个月预期信用</w:t>
            </w:r>
          </w:p>
          <w:p>
            <w:pPr>
              <w:pStyle w:val="TableParagraph"/>
              <w:spacing w:line="267" w:lineRule="exact"/>
              <w:ind w:left="1157"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hanging="500"/>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21" w:right="17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w:t>
            </w:r>
            <w:r>
              <w:rPr>
                <w:rFonts w:ascii="宋体" w:hAnsi="宋体" w:cs="宋体" w:eastAsia="宋体" w:hint="default"/>
                <w:spacing w:val="-103"/>
                <w:sz w:val="21"/>
                <w:szCs w:val="21"/>
              </w:rPr>
              <w:t> </w:t>
            </w:r>
            <w:r>
              <w:rPr>
                <w:rFonts w:ascii="宋体" w:hAnsi="宋体" w:cs="宋体" w:eastAsia="宋体" w:hint="default"/>
                <w:sz w:val="21"/>
                <w:szCs w:val="21"/>
              </w:rPr>
              <w:t>生信用减值</w:t>
            </w:r>
            <w:r>
              <w:rPr>
                <w:rFonts w:ascii="Times New Roman" w:hAnsi="Times New Roman" w:cs="Times New Roman" w:eastAsia="Times New Roman" w:hint="default"/>
                <w:sz w:val="21"/>
                <w:szCs w:val="21"/>
              </w:rPr>
              <w:t>)</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hanging="500"/>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621" w:right="177"/>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w:t>
            </w:r>
            <w:r>
              <w:rPr>
                <w:rFonts w:ascii="宋体" w:hAnsi="宋体" w:cs="宋体" w:eastAsia="宋体" w:hint="default"/>
                <w:spacing w:val="-103"/>
                <w:sz w:val="21"/>
                <w:szCs w:val="21"/>
              </w:rPr>
              <w:t> </w:t>
            </w:r>
            <w:r>
              <w:rPr>
                <w:rFonts w:ascii="宋体" w:hAnsi="宋体" w:cs="宋体" w:eastAsia="宋体" w:hint="default"/>
                <w:sz w:val="21"/>
                <w:szCs w:val="21"/>
              </w:rPr>
              <w:t>生信用减值</w:t>
            </w:r>
            <w:r>
              <w:rPr>
                <w:rFonts w:ascii="Times New Roman" w:hAnsi="Times New Roman" w:cs="Times New Roman" w:eastAsia="Times New Roman" w:hint="default"/>
                <w:sz w:val="21"/>
                <w:szCs w:val="21"/>
              </w:rPr>
              <w:t>)</w:t>
            </w:r>
          </w:p>
        </w:tc>
        <w:tc>
          <w:tcPr>
            <w:tcW w:w="1342" w:type="dxa"/>
            <w:vMerge/>
            <w:tcBorders>
              <w:left w:val="single" w:sz="4" w:space="0" w:color="000000"/>
              <w:bottom w:val="single" w:sz="4" w:space="0" w:color="000000"/>
              <w:right w:val="single" w:sz="4" w:space="0" w:color="000000"/>
            </w:tcBorders>
          </w:tcPr>
          <w:p>
            <w:pP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2019</w:t>
            </w:r>
            <w:r>
              <w:rPr>
                <w:rFonts w:ascii="宋体" w:hAnsi="宋体" w:cs="宋体" w:eastAsia="宋体" w:hint="default"/>
                <w:spacing w:val="8"/>
                <w:sz w:val="21"/>
                <w:szCs w:val="21"/>
              </w:rPr>
              <w:t>年</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月</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65"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36,921,240</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36,921,240</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2019</w:t>
            </w:r>
            <w:r>
              <w:rPr>
                <w:rFonts w:ascii="宋体" w:hAnsi="宋体" w:cs="宋体" w:eastAsia="宋体" w:hint="default"/>
                <w:spacing w:val="8"/>
                <w:sz w:val="21"/>
                <w:szCs w:val="21"/>
              </w:rPr>
              <w:t>年</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月</w:t>
            </w: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日余</w:t>
            </w:r>
            <w:r>
              <w:rPr>
                <w:rFonts w:ascii="宋体" w:hAnsi="宋体" w:cs="宋体" w:eastAsia="宋体" w:hint="default"/>
                <w:sz w:val="21"/>
                <w:szCs w:val="21"/>
              </w:rPr>
            </w:r>
          </w:p>
          <w:p>
            <w:pPr>
              <w:pStyle w:val="TableParagraph"/>
              <w:spacing w:line="266" w:lineRule="exact"/>
              <w:ind w:left="542" w:right="0"/>
              <w:jc w:val="left"/>
              <w:rPr>
                <w:rFonts w:ascii="宋体" w:hAnsi="宋体" w:cs="宋体" w:eastAsia="宋体" w:hint="default"/>
                <w:sz w:val="21"/>
                <w:szCs w:val="21"/>
              </w:rPr>
            </w:pPr>
            <w:r>
              <w:rPr>
                <w:rFonts w:ascii="宋体" w:hAnsi="宋体" w:cs="宋体" w:eastAsia="宋体" w:hint="default"/>
                <w:sz w:val="21"/>
                <w:szCs w:val="21"/>
              </w:rPr>
              <w:t>额在本期</w:t>
            </w:r>
          </w:p>
        </w:tc>
        <w:tc>
          <w:tcPr>
            <w:tcW w:w="2307"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5,901,858</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5,901,858</w:t>
            </w:r>
          </w:p>
        </w:tc>
      </w:tr>
      <w:tr>
        <w:trPr>
          <w:trHeight w:val="55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p>
            <w:pPr>
              <w:pStyle w:val="TableParagraph"/>
              <w:spacing w:line="265" w:lineRule="exact"/>
              <w:ind w:right="247"/>
              <w:jc w:val="center"/>
              <w:rPr>
                <w:rFonts w:ascii="宋体" w:hAnsi="宋体" w:cs="宋体" w:eastAsia="宋体" w:hint="default"/>
                <w:sz w:val="21"/>
                <w:szCs w:val="21"/>
              </w:rPr>
            </w:pPr>
            <w:r>
              <w:rPr>
                <w:rFonts w:ascii="宋体" w:hAnsi="宋体" w:cs="宋体" w:eastAsia="宋体" w:hint="default"/>
                <w:sz w:val="21"/>
                <w:szCs w:val="21"/>
              </w:rPr>
              <w:t>余额</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31,019,382</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31,019,382</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05"/>
        <w:gridCol w:w="1205"/>
        <w:gridCol w:w="1303"/>
        <w:gridCol w:w="1203"/>
        <w:gridCol w:w="1205"/>
        <w:gridCol w:w="1202"/>
        <w:gridCol w:w="1201"/>
      </w:tblGrid>
      <w:tr>
        <w:trPr>
          <w:trHeight w:val="281" w:hRule="exact"/>
        </w:trPr>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5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201" w:type="dxa"/>
            <w:vMerge/>
            <w:tcBorders>
              <w:left w:val="single" w:sz="4" w:space="0" w:color="000000"/>
              <w:bottom w:val="single" w:sz="4" w:space="0" w:color="000000"/>
              <w:right w:val="single" w:sz="4" w:space="0" w:color="000000"/>
            </w:tcBorders>
          </w:tcPr>
          <w:p>
            <w:pP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14,257,223</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3,221,272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7" w:right="0"/>
              <w:jc w:val="left"/>
              <w:rPr>
                <w:rFonts w:ascii="Times New Roman" w:hAnsi="Times New Roman" w:cs="Times New Roman" w:eastAsia="Times New Roman" w:hint="default"/>
                <w:sz w:val="21"/>
                <w:szCs w:val="21"/>
              </w:rPr>
            </w:pPr>
            <w:r>
              <w:rPr>
                <w:rFonts w:ascii="Times New Roman"/>
                <w:sz w:val="21"/>
              </w:rPr>
              <w:t>11,035,951</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22,664,017</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2,680,586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7" w:right="0"/>
              <w:jc w:val="left"/>
              <w:rPr>
                <w:rFonts w:ascii="Times New Roman" w:hAnsi="Times New Roman" w:cs="Times New Roman" w:eastAsia="Times New Roman" w:hint="default"/>
                <w:sz w:val="21"/>
                <w:szCs w:val="21"/>
              </w:rPr>
            </w:pPr>
            <w:r>
              <w:rPr>
                <w:rFonts w:ascii="Times New Roman"/>
                <w:sz w:val="21"/>
              </w:rPr>
              <w:t>19,983,431</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36,921,240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5,901,858</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7" w:right="0"/>
              <w:jc w:val="left"/>
              <w:rPr>
                <w:rFonts w:ascii="Times New Roman" w:hAnsi="Times New Roman" w:cs="Times New Roman" w:eastAsia="Times New Roman" w:hint="default"/>
                <w:sz w:val="21"/>
                <w:szCs w:val="21"/>
              </w:rPr>
            </w:pPr>
            <w:r>
              <w:rPr>
                <w:rFonts w:ascii="Times New Roman"/>
                <w:sz w:val="21"/>
              </w:rPr>
              <w:t>31,019,382</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9"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0" w:footer="974"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280" w:right="1120"/>
        </w:sectPr>
      </w:pPr>
    </w:p>
    <w:p>
      <w:pPr>
        <w:pStyle w:val="Heading5"/>
        <w:tabs>
          <w:tab w:pos="978" w:val="left" w:leader="none"/>
        </w:tabs>
        <w:spacing w:line="240" w:lineRule="auto" w:before="168"/>
        <w:ind w:left="138"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20"/>
          <w:cols w:num="2" w:equalWidth="0">
            <w:col w:w="5723" w:space="1037"/>
            <w:col w:w="275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38"/>
        <w:gridCol w:w="1419"/>
        <w:gridCol w:w="1416"/>
        <w:gridCol w:w="994"/>
        <w:gridCol w:w="1877"/>
        <w:gridCol w:w="1702"/>
      </w:tblGrid>
      <w:tr>
        <w:trPr>
          <w:trHeight w:val="79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账龄</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425" w:right="42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79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青岛港董家口矿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石码头有限公司</w:t>
            </w:r>
          </w:p>
          <w:p>
            <w:pPr>
              <w:pStyle w:val="TableParagraph"/>
              <w:spacing w:line="240" w:lineRule="auto" w:before="26"/>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(“QDOT”)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贷款及其他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327,049,959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-6,852,672</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青岛中焦瑞驰国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际贸易有限公司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代理采购货款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21"/>
                <w:szCs w:val="21"/>
              </w:rPr>
            </w:pPr>
            <w:r>
              <w:rPr>
                <w:rFonts w:ascii="Times New Roman"/>
                <w:sz w:val="21"/>
              </w:rPr>
              <w:t>130,271,063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7.02%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-321,900</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江苏和瑞升金属</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资源有限公司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代理采购货款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4" w:right="0"/>
              <w:jc w:val="left"/>
              <w:rPr>
                <w:rFonts w:ascii="Times New Roman" w:hAnsi="Times New Roman" w:cs="Times New Roman" w:eastAsia="Times New Roman" w:hint="default"/>
                <w:sz w:val="21"/>
                <w:szCs w:val="21"/>
              </w:rPr>
            </w:pPr>
            <w:r>
              <w:rPr>
                <w:rFonts w:ascii="Times New Roman"/>
                <w:sz w:val="21"/>
              </w:rPr>
              <w:t>113,282,730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z w:val="21"/>
              </w:rPr>
              <w:t>6.10%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-279,922</w:t>
            </w:r>
          </w:p>
        </w:tc>
      </w:tr>
      <w:tr>
        <w:trPr>
          <w:trHeight w:val="82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青岛新前湾集装</w:t>
            </w:r>
          </w:p>
          <w:p>
            <w:pPr>
              <w:pStyle w:val="TableParagraph"/>
              <w:spacing w:line="240" w:lineRule="auto"/>
              <w:ind w:left="26" w:right="326"/>
              <w:jc w:val="left"/>
              <w:rPr>
                <w:rFonts w:ascii="Times New Roman" w:hAnsi="Times New Roman" w:cs="Times New Roman" w:eastAsia="Times New Roman" w:hint="default"/>
                <w:sz w:val="21"/>
                <w:szCs w:val="21"/>
              </w:rPr>
            </w:pPr>
            <w:r>
              <w:rPr>
                <w:rFonts w:ascii="宋体" w:hAnsi="宋体" w:cs="宋体" w:eastAsia="宋体" w:hint="default"/>
                <w:sz w:val="21"/>
                <w:szCs w:val="21"/>
              </w:rPr>
              <w:t>箱码头有限责任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Times New Roman" w:hAnsi="Times New Roman" w:cs="Times New Roman" w:eastAsia="Times New Roman" w:hint="default"/>
                <w:sz w:val="21"/>
                <w:szCs w:val="21"/>
              </w:rPr>
              <w:t>(“QQCTN”)</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贷款及其他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103,766,162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-1,417,498</w:t>
            </w:r>
          </w:p>
        </w:tc>
      </w:tr>
      <w:tr>
        <w:trPr>
          <w:trHeight w:val="55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东营鲁方金属材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代理采购货款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9" w:right="0"/>
              <w:jc w:val="left"/>
              <w:rPr>
                <w:rFonts w:ascii="Times New Roman" w:hAnsi="Times New Roman" w:cs="Times New Roman" w:eastAsia="Times New Roman" w:hint="default"/>
                <w:sz w:val="21"/>
                <w:szCs w:val="21"/>
              </w:rPr>
            </w:pPr>
            <w:r>
              <w:rPr>
                <w:rFonts w:ascii="Times New Roman"/>
                <w:sz w:val="21"/>
              </w:rPr>
              <w:t>86,518,469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z w:val="21"/>
              </w:rPr>
              <w:t>4.66%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-213,787</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
              <w:jc w:val="center"/>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8" w:right="0"/>
              <w:jc w:val="left"/>
              <w:rPr>
                <w:rFonts w:ascii="Times New Roman" w:hAnsi="Times New Roman" w:cs="Times New Roman" w:eastAsia="Times New Roman" w:hint="default"/>
                <w:sz w:val="21"/>
                <w:szCs w:val="21"/>
              </w:rPr>
            </w:pPr>
            <w:r>
              <w:rPr>
                <w:rFonts w:ascii="Times New Roman"/>
                <w:sz w:val="21"/>
              </w:rPr>
              <w:t>760,888,383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3"/>
              <w:jc w:val="center"/>
              <w:rPr>
                <w:rFonts w:ascii="Times New Roman" w:hAnsi="Times New Roman" w:cs="Times New Roman" w:eastAsia="Times New Roman" w:hint="default"/>
                <w:sz w:val="21"/>
                <w:szCs w:val="21"/>
              </w:rPr>
            </w:pPr>
            <w:r>
              <w:rPr>
                <w:rFonts w:ascii="Times New Roman"/>
                <w:w w:val="100"/>
                <w:sz w:val="21"/>
              </w:rPr>
              <w: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z w:val="21"/>
              </w:rPr>
              <w:t>40.98%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-9,085,779</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5"/>
        <w:tabs>
          <w:tab w:pos="978"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tabs>
          <w:tab w:pos="978"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5"/>
        <w:tabs>
          <w:tab w:pos="978"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8" w:right="0"/>
        <w:jc w:val="left"/>
      </w:pPr>
      <w:r>
        <w:rPr>
          <w:w w:val="100"/>
        </w:rPr>
        <w:t>于</w:t>
      </w:r>
      <w:r>
        <w:rPr>
          <w:spacing w:val="-62"/>
        </w:rPr>
        <w:t> </w:t>
      </w:r>
      <w:r>
        <w:rPr>
          <w:rFonts w:ascii="宋体" w:hAnsi="宋体" w:cs="宋体" w:eastAsia="宋体" w:hint="default"/>
          <w:w w:val="100"/>
        </w:rPr>
        <w:t>2019</w:t>
      </w:r>
      <w:r>
        <w:rPr>
          <w:rFonts w:ascii="宋体" w:hAnsi="宋体" w:cs="宋体" w:eastAsia="宋体" w:hint="default"/>
          <w:spacing w:val="-65"/>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2"/>
        </w:rPr>
        <w:t> </w:t>
      </w:r>
      <w:r>
        <w:rPr>
          <w:spacing w:val="-3"/>
          <w:w w:val="100"/>
        </w:rPr>
        <w:t>日</w:t>
      </w:r>
      <w:r>
        <w:rPr>
          <w:spacing w:val="-106"/>
          <w:w w:val="100"/>
        </w:rPr>
        <w:t>，</w:t>
      </w:r>
      <w:r>
        <w:rPr>
          <w:spacing w:val="-3"/>
          <w:w w:val="100"/>
        </w:rPr>
        <w:t>本</w:t>
      </w:r>
      <w:r>
        <w:rPr>
          <w:w w:val="100"/>
        </w:rPr>
        <w:t>集团</w:t>
      </w:r>
      <w:r>
        <w:rPr>
          <w:spacing w:val="-3"/>
          <w:w w:val="100"/>
        </w:rPr>
        <w:t>共</w:t>
      </w:r>
      <w:r>
        <w:rPr>
          <w:w w:val="100"/>
        </w:rPr>
        <w:t>有</w:t>
      </w:r>
      <w:r>
        <w:rPr>
          <w:spacing w:val="-3"/>
          <w:w w:val="100"/>
        </w:rPr>
        <w:t>账</w:t>
      </w:r>
      <w:r>
        <w:rPr>
          <w:w w:val="100"/>
        </w:rPr>
        <w:t>面</w:t>
      </w:r>
      <w:r>
        <w:rPr>
          <w:spacing w:val="-3"/>
          <w:w w:val="100"/>
        </w:rPr>
        <w:t>价</w:t>
      </w:r>
      <w:r>
        <w:rPr>
          <w:w w:val="100"/>
        </w:rPr>
        <w:t>值为</w:t>
      </w:r>
      <w:r>
        <w:rPr>
          <w:spacing w:val="-64"/>
        </w:rPr>
        <w:t> </w:t>
      </w:r>
      <w:r>
        <w:rPr>
          <w:rFonts w:ascii="宋体" w:hAnsi="宋体" w:cs="宋体" w:eastAsia="宋体" w:hint="default"/>
          <w:w w:val="100"/>
        </w:rPr>
        <w:t>8,7</w:t>
      </w:r>
      <w:r>
        <w:rPr>
          <w:rFonts w:ascii="宋体" w:hAnsi="宋体" w:cs="宋体" w:eastAsia="宋体" w:hint="default"/>
          <w:spacing w:val="-3"/>
          <w:w w:val="100"/>
        </w:rPr>
        <w:t>4</w:t>
      </w:r>
      <w:r>
        <w:rPr>
          <w:rFonts w:ascii="宋体" w:hAnsi="宋体" w:cs="宋体" w:eastAsia="宋体" w:hint="default"/>
          <w:w w:val="100"/>
        </w:rPr>
        <w:t>7,455</w:t>
      </w:r>
      <w:r>
        <w:rPr>
          <w:rFonts w:ascii="宋体" w:hAnsi="宋体" w:cs="宋体" w:eastAsia="宋体" w:hint="default"/>
          <w:spacing w:val="-64"/>
        </w:rPr>
        <w:t> </w:t>
      </w:r>
      <w:r>
        <w:rPr>
          <w:w w:val="100"/>
        </w:rPr>
        <w:t>元</w:t>
      </w:r>
      <w:r>
        <w:rPr>
          <w:spacing w:val="-3"/>
          <w:w w:val="100"/>
        </w:rPr>
        <w:t>的</w:t>
      </w:r>
      <w:r>
        <w:rPr>
          <w:w w:val="100"/>
        </w:rPr>
        <w:t>其</w:t>
      </w:r>
      <w:r>
        <w:rPr>
          <w:spacing w:val="-3"/>
          <w:w w:val="100"/>
        </w:rPr>
        <w:t>他</w:t>
      </w:r>
      <w:r>
        <w:rPr>
          <w:w w:val="100"/>
        </w:rPr>
        <w:t>应</w:t>
      </w:r>
      <w:r>
        <w:rPr>
          <w:spacing w:val="-3"/>
          <w:w w:val="100"/>
        </w:rPr>
        <w:t>收</w:t>
      </w:r>
      <w:r>
        <w:rPr>
          <w:spacing w:val="-1"/>
          <w:w w:val="100"/>
        </w:rPr>
        <w:t>款</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2"/>
        </w:rPr>
        <w:t> </w:t>
      </w:r>
      <w:r>
        <w:rPr>
          <w:rFonts w:ascii="宋体" w:hAnsi="宋体" w:cs="宋体" w:eastAsia="宋体" w:hint="default"/>
          <w:w w:val="100"/>
        </w:rPr>
        <w:t>31</w:t>
      </w:r>
      <w:r>
        <w:rPr>
          <w:rFonts w:ascii="宋体" w:hAnsi="宋体" w:cs="宋体" w:eastAsia="宋体" w:hint="default"/>
          <w:spacing w:val="-62"/>
        </w:rPr>
        <w:t> </w:t>
      </w:r>
      <w:r>
        <w:rPr>
          <w:spacing w:val="-3"/>
          <w:w w:val="100"/>
        </w:rPr>
        <w:t>日：</w:t>
      </w:r>
      <w:r>
        <w:rPr>
          <w:w w:val="100"/>
        </w:rPr>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37,577,600</w:t>
      </w:r>
      <w:r>
        <w:rPr>
          <w:rFonts w:ascii="宋体" w:hAnsi="宋体" w:cs="宋体" w:eastAsia="宋体" w:hint="default"/>
          <w:spacing w:val="-54"/>
        </w:rPr>
        <w:t> </w:t>
      </w:r>
      <w:r>
        <w:rPr/>
        <w:t>元</w:t>
      </w:r>
      <w:r>
        <w:rPr>
          <w:rFonts w:ascii="宋体" w:hAnsi="宋体" w:cs="宋体" w:eastAsia="宋体" w:hint="default"/>
        </w:rPr>
        <w:t>) </w:t>
      </w:r>
      <w:r>
        <w:rPr/>
        <w:t>质押作为取得短期借款</w:t>
      </w:r>
      <w:r>
        <w:rPr>
          <w:spacing w:val="-53"/>
        </w:rPr>
        <w:t> </w:t>
      </w:r>
      <w:r>
        <w:rPr>
          <w:rFonts w:ascii="宋体" w:hAnsi="宋体" w:cs="宋体" w:eastAsia="宋体" w:hint="default"/>
        </w:rPr>
        <w:t>6,970,000</w:t>
      </w:r>
      <w:r>
        <w:rPr>
          <w:rFonts w:ascii="宋体" w:hAnsi="宋体" w:cs="宋体" w:eastAsia="宋体" w:hint="default"/>
          <w:spacing w:val="-56"/>
        </w:rPr>
        <w:t> </w:t>
      </w:r>
      <w:r>
        <w:rPr/>
        <w:t>元的担保</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23,778,780</w:t>
      </w:r>
      <w:r>
        <w:rPr>
          <w:rFonts w:ascii="宋体" w:hAnsi="宋体" w:cs="宋体" w:eastAsia="宋体" w:hint="default"/>
          <w:spacing w:val="-53"/>
        </w:rPr>
        <w:t> </w:t>
      </w:r>
      <w:r>
        <w:rPr>
          <w:spacing w:val="-3"/>
        </w:rPr>
        <w:t>元</w:t>
      </w:r>
      <w:r>
        <w:rPr>
          <w:rFonts w:ascii="宋体" w:hAnsi="宋体" w:cs="宋体" w:eastAsia="宋体" w:hint="default"/>
          <w:spacing w:val="-3"/>
        </w:rPr>
        <w:t>)</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5"/>
        <w:spacing w:line="240" w:lineRule="auto"/>
        <w:ind w:left="138" w:right="0"/>
        <w:jc w:val="left"/>
        <w:rPr>
          <w:b w:val="0"/>
          <w:bCs w:val="0"/>
        </w:rPr>
      </w:pPr>
      <w:r>
        <w:rPr>
          <w:rFonts w:ascii="宋体" w:hAnsi="宋体" w:cs="宋体" w:eastAsia="宋体" w:hint="default"/>
        </w:rPr>
        <w:t>9</w:t>
      </w:r>
      <w:r>
        <w:rPr/>
        <w:t>、</w:t>
      </w:r>
      <w:r>
        <w:rPr>
          <w:spacing w:val="59"/>
        </w:rPr>
        <w:t> </w:t>
      </w:r>
      <w:r>
        <w:rPr/>
        <w:t>存货</w:t>
      </w:r>
      <w:r>
        <w:rPr>
          <w:b w:val="0"/>
          <w:bCs w:val="0"/>
        </w:rPr>
      </w:r>
    </w:p>
    <w:p>
      <w:pPr>
        <w:pStyle w:val="Heading5"/>
        <w:tabs>
          <w:tab w:pos="978"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w:t>
        <w:tab/>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8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30"/>
        <w:gridCol w:w="1561"/>
        <w:gridCol w:w="1166"/>
        <w:gridCol w:w="1527"/>
        <w:gridCol w:w="1416"/>
        <w:gridCol w:w="1172"/>
        <w:gridCol w:w="1313"/>
      </w:tblGrid>
      <w:tr>
        <w:trPr>
          <w:trHeight w:val="283"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2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130"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存货跌价准</w:t>
            </w:r>
          </w:p>
          <w:p>
            <w:pPr>
              <w:pStyle w:val="TableParagraph"/>
              <w:spacing w:line="237" w:lineRule="auto" w:before="2"/>
              <w:ind w:left="47" w:right="53"/>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合同履</w:t>
            </w:r>
            <w:r>
              <w:rPr>
                <w:rFonts w:ascii="宋体" w:hAnsi="宋体" w:cs="宋体" w:eastAsia="宋体" w:hint="default"/>
                <w:w w:val="100"/>
                <w:sz w:val="21"/>
                <w:szCs w:val="21"/>
              </w:rPr>
              <w:t> </w:t>
            </w:r>
            <w:r>
              <w:rPr>
                <w:rFonts w:ascii="宋体" w:hAnsi="宋体" w:cs="宋体" w:eastAsia="宋体" w:hint="default"/>
                <w:sz w:val="21"/>
                <w:szCs w:val="21"/>
              </w:rPr>
              <w:t>约成本减值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存货跌价准</w:t>
            </w:r>
          </w:p>
          <w:p>
            <w:pPr>
              <w:pStyle w:val="TableParagraph"/>
              <w:spacing w:line="237" w:lineRule="auto" w:before="2"/>
              <w:ind w:left="52" w:right="53"/>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w:t>
            </w:r>
            <w:r>
              <w:rPr>
                <w:rFonts w:ascii="宋体" w:hAnsi="宋体" w:cs="宋体" w:eastAsia="宋体" w:hint="default"/>
                <w:sz w:val="21"/>
                <w:szCs w:val="21"/>
              </w:rPr>
              <w:t>合同履</w:t>
            </w:r>
            <w:r>
              <w:rPr>
                <w:rFonts w:ascii="宋体" w:hAnsi="宋体" w:cs="宋体" w:eastAsia="宋体" w:hint="default"/>
                <w:w w:val="100"/>
                <w:sz w:val="21"/>
                <w:szCs w:val="21"/>
              </w:rPr>
              <w:t> </w:t>
            </w:r>
            <w:r>
              <w:rPr>
                <w:rFonts w:ascii="宋体" w:hAnsi="宋体" w:cs="宋体" w:eastAsia="宋体" w:hint="default"/>
                <w:sz w:val="21"/>
                <w:szCs w:val="21"/>
              </w:rPr>
              <w:t>约成本减值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173,162,964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173,162,964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153,752,740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153,752,740</w:t>
            </w:r>
          </w:p>
        </w:tc>
      </w:tr>
      <w:tr>
        <w:trPr>
          <w:trHeight w:val="28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备品备件</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4,784,354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4,784,354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4,709,242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4,709,242</w:t>
            </w:r>
          </w:p>
        </w:tc>
      </w:tr>
      <w:tr>
        <w:trPr>
          <w:trHeight w:val="283"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燃料</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25,363,816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25,363,816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3,958,862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3,958,862</w:t>
            </w:r>
          </w:p>
        </w:tc>
      </w:tr>
      <w:tr>
        <w:trPr>
          <w:trHeight w:val="283"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5,449,752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5,449,752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12,302,222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12,302,222</w:t>
            </w:r>
          </w:p>
        </w:tc>
      </w:tr>
      <w:tr>
        <w:trPr>
          <w:trHeight w:val="28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208,760,886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208,760,886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174,723,066</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174,723,066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80" w:right="1120"/>
        </w:sectPr>
      </w:pPr>
    </w:p>
    <w:p>
      <w:pPr>
        <w:spacing w:line="240" w:lineRule="auto" w:before="0"/>
        <w:rPr>
          <w:rFonts w:ascii="宋体" w:hAnsi="宋体" w:cs="宋体" w:eastAsia="宋体" w:hint="default"/>
          <w:sz w:val="20"/>
          <w:szCs w:val="20"/>
        </w:rPr>
      </w:pPr>
    </w:p>
    <w:p>
      <w:pPr>
        <w:spacing w:line="290" w:lineRule="auto" w:before="168"/>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4"/>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Heading5"/>
        <w:spacing w:line="240" w:lineRule="auto" w:before="14"/>
        <w:ind w:right="0"/>
        <w:jc w:val="left"/>
        <w:rPr>
          <w:rFonts w:ascii="宋体" w:hAnsi="宋体" w:cs="宋体" w:eastAsia="宋体" w:hint="default"/>
          <w:b w:val="0"/>
          <w:bCs w:val="0"/>
        </w:rPr>
      </w:pP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存货期末余额含有</w:t>
      </w:r>
      <w:r>
        <w:rPr>
          <w:spacing w:val="-3"/>
          <w:w w:val="100"/>
        </w:rPr>
        <w:t>借</w:t>
      </w:r>
      <w:r>
        <w:rPr>
          <w:w w:val="100"/>
        </w:rPr>
        <w:t>款</w:t>
      </w:r>
      <w:r>
        <w:rPr>
          <w:spacing w:val="-3"/>
          <w:w w:val="100"/>
        </w:rPr>
        <w:t>费</w:t>
      </w:r>
      <w:r>
        <w:rPr>
          <w:w w:val="100"/>
        </w:rPr>
        <w:t>用资本化金额的说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合同履约成本本期</w:t>
      </w:r>
      <w:r>
        <w:rPr>
          <w:spacing w:val="-3"/>
          <w:w w:val="100"/>
        </w:rPr>
        <w:t>摊</w:t>
      </w:r>
      <w:r>
        <w:rPr>
          <w:w w:val="100"/>
        </w:rPr>
        <w:t>销</w:t>
      </w:r>
      <w:r>
        <w:rPr>
          <w:spacing w:val="-3"/>
          <w:w w:val="100"/>
        </w:rPr>
        <w:t>金</w:t>
      </w:r>
      <w:r>
        <w:rPr>
          <w:w w:val="100"/>
        </w:rPr>
        <w:t>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200" w:right="1180"/>
        </w:sectPr>
      </w:pPr>
    </w:p>
    <w:p>
      <w:pPr>
        <w:pStyle w:val="Heading5"/>
        <w:spacing w:line="240" w:lineRule="auto" w:before="36"/>
        <w:ind w:right="0"/>
        <w:jc w:val="left"/>
        <w:rPr>
          <w:b w:val="0"/>
          <w:bCs w:val="0"/>
        </w:rPr>
      </w:pPr>
      <w:r>
        <w:rPr>
          <w:rFonts w:ascii="宋体" w:hAnsi="宋体" w:cs="宋体" w:eastAsia="宋体" w:hint="default"/>
        </w:rPr>
        <w:t>10</w:t>
      </w:r>
      <w:r>
        <w:rPr/>
        <w:t>、</w:t>
      </w:r>
      <w:r>
        <w:rPr>
          <w:spacing w:val="-24"/>
        </w:rPr>
        <w:t> </w:t>
      </w:r>
      <w:r>
        <w:rPr/>
        <w:t>合同资产</w:t>
      </w:r>
      <w:r>
        <w:rPr>
          <w:b w:val="0"/>
          <w:bCs w:val="0"/>
        </w:rPr>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合同资产情况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072" w:space="4687"/>
            <w:col w:w="27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90"/>
        <w:gridCol w:w="1184"/>
        <w:gridCol w:w="1238"/>
        <w:gridCol w:w="1239"/>
        <w:gridCol w:w="1219"/>
        <w:gridCol w:w="1229"/>
        <w:gridCol w:w="1505"/>
      </w:tblGrid>
      <w:tr>
        <w:trPr>
          <w:trHeight w:val="283" w:hRule="exact"/>
        </w:trPr>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90"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已完工尚未结</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算款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1" w:right="0"/>
              <w:jc w:val="center"/>
              <w:rPr>
                <w:rFonts w:ascii="Times New Roman" w:hAnsi="Times New Roman" w:cs="Times New Roman" w:eastAsia="Times New Roman" w:hint="default"/>
                <w:sz w:val="21"/>
                <w:szCs w:val="21"/>
              </w:rPr>
            </w:pPr>
            <w:r>
              <w:rPr>
                <w:rFonts w:ascii="Times New Roman"/>
                <w:sz w:val="21"/>
              </w:rPr>
              <w:t>208,607,428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13,984,735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51" w:right="0"/>
              <w:jc w:val="left"/>
              <w:rPr>
                <w:rFonts w:ascii="Times New Roman" w:hAnsi="Times New Roman" w:cs="Times New Roman" w:eastAsia="Times New Roman" w:hint="default"/>
                <w:sz w:val="21"/>
                <w:szCs w:val="21"/>
              </w:rPr>
            </w:pPr>
            <w:r>
              <w:rPr>
                <w:rFonts w:ascii="Times New Roman"/>
                <w:sz w:val="21"/>
              </w:rPr>
              <w:t>194,622,693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302,144,963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21,172,441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280,972,522</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 w:right="0"/>
              <w:jc w:val="center"/>
              <w:rPr>
                <w:rFonts w:ascii="Times New Roman" w:hAnsi="Times New Roman" w:cs="Times New Roman" w:eastAsia="Times New Roman" w:hint="default"/>
                <w:sz w:val="21"/>
                <w:szCs w:val="21"/>
              </w:rPr>
            </w:pPr>
            <w:r>
              <w:rPr>
                <w:rFonts w:ascii="Times New Roman"/>
                <w:sz w:val="21"/>
              </w:rPr>
              <w:t>208,607,428</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13,984,735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Times New Roman" w:hAnsi="Times New Roman" w:cs="Times New Roman" w:eastAsia="Times New Roman" w:hint="default"/>
                <w:sz w:val="21"/>
                <w:szCs w:val="21"/>
              </w:rPr>
            </w:pPr>
            <w:r>
              <w:rPr>
                <w:rFonts w:ascii="Times New Roman"/>
                <w:sz w:val="21"/>
              </w:rPr>
              <w:t>194,622,693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302,144,963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21,172,441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280,972,522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报告期内账面价值发生重大变动的金额和原因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本期合同资产计提减值准备情况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5383" w:space="1271"/>
            <w:col w:w="287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03"/>
        <w:gridCol w:w="1659"/>
        <w:gridCol w:w="1620"/>
        <w:gridCol w:w="1997"/>
        <w:gridCol w:w="1714"/>
      </w:tblGrid>
      <w:tr>
        <w:trPr>
          <w:trHeight w:val="283" w:hRule="exact"/>
        </w:trPr>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w:t>
            </w:r>
            <w:r>
              <w:rPr>
                <w:rFonts w:ascii="宋体" w:hAnsi="宋体" w:cs="宋体" w:eastAsia="宋体" w:hint="default"/>
                <w:sz w:val="21"/>
                <w:szCs w:val="21"/>
              </w:rPr>
              <w:t>核销</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281" w:hRule="exact"/>
        </w:trPr>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已完工尚未结算款</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7,187,706</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r>
        <w:trPr>
          <w:trHeight w:val="283" w:hRule="exact"/>
        </w:trPr>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7,187,706</w:t>
            </w:r>
          </w:p>
        </w:tc>
        <w:tc>
          <w:tcPr>
            <w:tcW w:w="1997"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34"/>
        <w:gridCol w:w="1417"/>
        <w:gridCol w:w="1851"/>
        <w:gridCol w:w="2038"/>
        <w:gridCol w:w="1748"/>
      </w:tblGrid>
      <w:tr>
        <w:trPr>
          <w:trHeight w:val="283" w:hRule="exact"/>
        </w:trPr>
        <w:tc>
          <w:tcPr>
            <w:tcW w:w="2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099" w:hRule="exact"/>
        </w:trPr>
        <w:tc>
          <w:tcPr>
            <w:tcW w:w="2234"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0"/>
              <w:ind w:left="103" w:right="62"/>
              <w:jc w:val="both"/>
              <w:rPr>
                <w:rFonts w:ascii="宋体" w:hAnsi="宋体" w:cs="宋体" w:eastAsia="宋体" w:hint="default"/>
                <w:sz w:val="21"/>
                <w:szCs w:val="21"/>
              </w:rPr>
            </w:pPr>
            <w:r>
              <w:rPr>
                <w:rFonts w:ascii="宋体" w:hAnsi="宋体" w:cs="宋体" w:eastAsia="宋体" w:hint="default"/>
                <w:spacing w:val="17"/>
                <w:sz w:val="21"/>
                <w:szCs w:val="21"/>
              </w:rPr>
              <w:t>未来</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pacing w:val="17"/>
                <w:sz w:val="21"/>
                <w:szCs w:val="21"/>
              </w:rPr>
              <w:t>个月</w:t>
            </w:r>
            <w:r>
              <w:rPr>
                <w:rFonts w:ascii="宋体" w:hAnsi="宋体" w:cs="宋体" w:eastAsia="宋体" w:hint="default"/>
                <w:spacing w:val="-102"/>
                <w:sz w:val="21"/>
                <w:szCs w:val="21"/>
              </w:rPr>
              <w:t> </w:t>
            </w:r>
            <w:r>
              <w:rPr>
                <w:rFonts w:ascii="宋体" w:hAnsi="宋体" w:cs="宋体" w:eastAsia="宋体" w:hint="default"/>
                <w:sz w:val="21"/>
                <w:szCs w:val="21"/>
              </w:rPr>
              <w:t>预</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用</w:t>
            </w:r>
            <w:r>
              <w:rPr>
                <w:rFonts w:ascii="宋体" w:hAnsi="宋体" w:cs="宋体" w:eastAsia="宋体" w:hint="default"/>
                <w:spacing w:val="-69"/>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失</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68" w:right="0" w:hanging="384"/>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30" w:lineRule="auto" w:before="8"/>
              <w:ind w:left="568" w:right="147"/>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信用损失</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发生信用减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Times New Roman" w:hAnsi="Times New Roman" w:cs="Times New Roman" w:eastAsia="Times New Roman" w:hint="default"/>
                <w:sz w:val="21"/>
                <w:szCs w:val="21"/>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9" w:right="134" w:hanging="387"/>
              <w:jc w:val="left"/>
              <w:rPr>
                <w:rFonts w:ascii="宋体" w:hAnsi="宋体" w:cs="宋体" w:eastAsia="宋体" w:hint="default"/>
                <w:sz w:val="21"/>
                <w:szCs w:val="21"/>
              </w:rPr>
            </w:pPr>
            <w:r>
              <w:rPr>
                <w:rFonts w:ascii="宋体" w:hAnsi="宋体" w:cs="宋体" w:eastAsia="宋体" w:hint="default"/>
                <w:sz w:val="21"/>
                <w:szCs w:val="21"/>
              </w:rPr>
              <w:t>整个存续期预期信</w:t>
            </w:r>
            <w:r>
              <w:rPr>
                <w:rFonts w:ascii="宋体" w:hAnsi="宋体" w:cs="宋体" w:eastAsia="宋体" w:hint="default"/>
                <w:w w:val="100"/>
                <w:sz w:val="21"/>
                <w:szCs w:val="21"/>
              </w:rPr>
              <w:t> </w:t>
            </w: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w:t>
            </w:r>
          </w:p>
          <w:p>
            <w:pPr>
              <w:pStyle w:val="TableParagraph"/>
              <w:spacing w:line="271" w:lineRule="exact"/>
              <w:ind w:left="7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信用减值</w:t>
            </w:r>
            <w:r>
              <w:rPr>
                <w:rFonts w:ascii="Times New Roman" w:hAnsi="Times New Roman" w:cs="Times New Roman" w:eastAsia="Times New Roman" w:hint="default"/>
                <w:sz w:val="21"/>
                <w:szCs w:val="21"/>
              </w:rPr>
              <w:t>)</w:t>
            </w:r>
          </w:p>
        </w:tc>
        <w:tc>
          <w:tcPr>
            <w:tcW w:w="1748" w:type="dxa"/>
            <w:vMerge/>
            <w:tcBorders>
              <w:left w:val="single" w:sz="4" w:space="0" w:color="000000"/>
              <w:bottom w:val="single" w:sz="4" w:space="0" w:color="000000"/>
              <w:right w:val="single" w:sz="4" w:space="0" w:color="000000"/>
            </w:tcBorders>
          </w:tcPr>
          <w:p>
            <w:pPr/>
          </w:p>
        </w:tc>
      </w:tr>
      <w:tr>
        <w:trPr>
          <w:trHeight w:val="28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21,172,441</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21,172,441</w:t>
            </w:r>
          </w:p>
        </w:tc>
      </w:tr>
      <w:tr>
        <w:trPr>
          <w:trHeight w:val="55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2019</w:t>
            </w: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月</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日余额在</w:t>
            </w:r>
          </w:p>
          <w:p>
            <w:pPr>
              <w:pStyle w:val="TableParagraph"/>
              <w:spacing w:line="266" w:lineRule="exact"/>
              <w:ind w:left="523"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7,187,706</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7,187,706</w:t>
            </w:r>
          </w:p>
        </w:tc>
      </w:tr>
      <w:tr>
        <w:trPr>
          <w:trHeight w:val="28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13,984,735</w:t>
            </w:r>
          </w:p>
        </w:tc>
        <w:tc>
          <w:tcPr>
            <w:tcW w:w="1851"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13,984,735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120" w:bottom="1160" w:left="1200" w:right="1200"/>
        </w:sectPr>
      </w:pPr>
    </w:p>
    <w:p>
      <w:pPr>
        <w:spacing w:line="240" w:lineRule="auto" w:before="12"/>
        <w:rPr>
          <w:rFonts w:ascii="宋体" w:hAnsi="宋体" w:cs="宋体" w:eastAsia="宋体" w:hint="default"/>
          <w:sz w:val="14"/>
          <w:szCs w:val="14"/>
        </w:rPr>
      </w:pPr>
    </w:p>
    <w:p>
      <w:pPr>
        <w:pStyle w:val="BodyText"/>
        <w:spacing w:line="272" w:lineRule="exact"/>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18"/>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3044" w:space="3506"/>
            <w:col w:w="296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05"/>
        <w:gridCol w:w="2828"/>
        <w:gridCol w:w="3008"/>
      </w:tblGrid>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一年内到期的债权投资</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一年内到期的其他债权投资</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60" w:right="0"/>
              <w:jc w:val="left"/>
              <w:rPr>
                <w:rFonts w:ascii="Times New Roman" w:hAnsi="Times New Roman" w:cs="Times New Roman" w:eastAsia="Times New Roman" w:hint="default"/>
                <w:sz w:val="21"/>
                <w:szCs w:val="21"/>
              </w:rPr>
            </w:pPr>
            <w:r>
              <w:rPr>
                <w:rFonts w:ascii="Times New Roman"/>
                <w:sz w:val="21"/>
              </w:rPr>
              <w:t>445,754,126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374,112,407</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一年内到期的其他非流动资产</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11,632,329</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60" w:right="0"/>
              <w:jc w:val="left"/>
              <w:rPr>
                <w:rFonts w:ascii="Times New Roman" w:hAnsi="Times New Roman" w:cs="Times New Roman" w:eastAsia="Times New Roman" w:hint="default"/>
                <w:sz w:val="21"/>
                <w:szCs w:val="21"/>
              </w:rPr>
            </w:pPr>
            <w:r>
              <w:rPr>
                <w:rFonts w:ascii="Times New Roman"/>
                <w:sz w:val="21"/>
              </w:rPr>
              <w:t>445,754,126</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385,744,736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20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期末重要的债权投资和其他债权投资：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3897" w:space="2863"/>
            <w:col w:w="275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05"/>
        <w:gridCol w:w="2844"/>
        <w:gridCol w:w="3133"/>
      </w:tblGrid>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买入返售金融资产款项</w:t>
            </w:r>
            <w:r>
              <w:rPr>
                <w:rFonts w:ascii="宋体" w:hAnsi="宋体" w:cs="宋体" w:eastAsia="宋体" w:hint="default"/>
                <w:sz w:val="21"/>
                <w:szCs w:val="21"/>
              </w:rPr>
              <w:t>(1)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1,601,446,334</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994,160,000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同业存单</w:t>
            </w:r>
            <w:r>
              <w:rPr>
                <w:rFonts w:ascii="宋体" w:hAnsi="宋体" w:cs="宋体" w:eastAsia="宋体" w:hint="default"/>
                <w:sz w:val="21"/>
                <w:szCs w:val="21"/>
              </w:rPr>
              <w:t>(2)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4,382,429,400</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2,379,192,650</w:t>
            </w:r>
          </w:p>
        </w:tc>
      </w:tr>
      <w:tr>
        <w:trPr>
          <w:trHeight w:val="281"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待抵扣进项税额</w:t>
            </w:r>
            <w:r>
              <w:rPr>
                <w:rFonts w:ascii="宋体" w:hAnsi="宋体" w:cs="宋体" w:eastAsia="宋体" w:hint="default"/>
                <w:sz w:val="21"/>
                <w:szCs w:val="21"/>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230,330,634</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399,894,504</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收益凭证</w:t>
            </w:r>
            <w:r>
              <w:rPr>
                <w:rFonts w:ascii="宋体" w:hAnsi="宋体" w:cs="宋体" w:eastAsia="宋体" w:hint="default"/>
                <w:sz w:val="21"/>
                <w:szCs w:val="21"/>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130,000,000</w:t>
            </w:r>
          </w:p>
        </w:tc>
      </w:tr>
      <w:tr>
        <w:trPr>
          <w:trHeight w:val="283" w:hRule="exact"/>
        </w:trPr>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6,214,206,368</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3,903,247,154</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75"/>
        <w:ind w:left="14" w:right="0"/>
        <w:jc w:val="center"/>
      </w:pPr>
      <w:r>
        <w:rPr/>
        <w:t>（</w:t>
      </w:r>
      <w:r>
        <w:rPr>
          <w:rFonts w:ascii="Times New Roman" w:hAnsi="Times New Roman" w:cs="Times New Roman" w:eastAsia="Times New Roman" w:hint="default"/>
        </w:rPr>
        <w:t>1</w:t>
      </w:r>
      <w:r>
        <w:rPr/>
        <w:t>）该款项为本公司之子公司青港财务公司本年分别以</w:t>
      </w:r>
      <w:r>
        <w:rPr>
          <w:spacing w:val="-55"/>
        </w:rPr>
        <w:t> </w:t>
      </w:r>
      <w:r>
        <w:rPr>
          <w:rFonts w:ascii="Times New Roman" w:hAnsi="Times New Roman" w:cs="Times New Roman" w:eastAsia="Times New Roman" w:hint="default"/>
        </w:rPr>
        <w:t>899,996,000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200,200,000</w:t>
      </w:r>
      <w:r>
        <w:rPr>
          <w:rFonts w:ascii="Times New Roman" w:hAnsi="Times New Roman" w:cs="Times New Roman" w:eastAsia="Times New Roman" w:hint="default"/>
          <w:spacing w:val="-3"/>
        </w:rPr>
        <w:t> </w:t>
      </w:r>
      <w:r>
        <w:rPr>
          <w:spacing w:val="-3"/>
        </w:rPr>
        <w:t>元、</w:t>
      </w:r>
      <w:r>
        <w:rPr/>
      </w:r>
    </w:p>
    <w:p>
      <w:pPr>
        <w:pStyle w:val="BodyText"/>
        <w:spacing w:line="240" w:lineRule="auto" w:before="69"/>
        <w:ind w:right="0"/>
        <w:jc w:val="both"/>
      </w:pPr>
      <w:r>
        <w:rPr>
          <w:rFonts w:ascii="Times New Roman" w:hAnsi="Times New Roman" w:cs="Times New Roman" w:eastAsia="Times New Roman" w:hint="default"/>
        </w:rPr>
        <w:t>299,700,000</w:t>
      </w:r>
      <w:r>
        <w:rPr>
          <w:rFonts w:ascii="Times New Roman" w:hAnsi="Times New Roman" w:cs="Times New Roman" w:eastAsia="Times New Roman" w:hint="default"/>
          <w:spacing w:val="-4"/>
        </w:rPr>
        <w:t> </w:t>
      </w:r>
      <w:r>
        <w:rPr/>
        <w:t>元和</w:t>
      </w:r>
      <w:r>
        <w:rPr>
          <w:spacing w:val="-57"/>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4"/>
        </w:rPr>
        <w:t> </w:t>
      </w:r>
      <w:r>
        <w:rPr/>
        <w:t>从平安银行股份有限公司、工银瑞信货币市场基金、浦发银行天添盈</w:t>
      </w:r>
    </w:p>
    <w:p>
      <w:pPr>
        <w:pStyle w:val="BodyText"/>
        <w:spacing w:line="309" w:lineRule="auto" w:before="69"/>
        <w:ind w:right="209"/>
        <w:jc w:val="both"/>
      </w:pPr>
      <w:r>
        <w:rPr/>
        <w:t>增利</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号理财计划和贵阳银行购入的债券，并在约定时间返售给上述机构，本集团持有该款项以获</w:t>
      </w:r>
      <w:r>
        <w:rPr>
          <w:w w:val="100"/>
        </w:rPr>
        <w:t> </w:t>
      </w:r>
      <w:r>
        <w:rPr>
          <w:spacing w:val="-2"/>
        </w:rPr>
        <w:t>取合同现金流为目的，且其合同现金流特征与基本借贷安排一致，故将其分类为以摊余成本计量的</w:t>
      </w:r>
      <w:r>
        <w:rPr>
          <w:spacing w:val="-25"/>
        </w:rPr>
        <w:t> </w:t>
      </w:r>
      <w:r>
        <w:rPr>
          <w:spacing w:val="-25"/>
        </w:rPr>
      </w:r>
      <w:r>
        <w:rPr>
          <w:spacing w:val="-6"/>
        </w:rPr>
        <w:t>金融资产。本集团经评估认为，所持款项不存在重大信用风险，不会因银行违约产生重大信用损失。</w:t>
      </w:r>
      <w:r>
        <w:rPr>
          <w:spacing w:val="-17"/>
        </w:rPr>
        <w:t> </w:t>
      </w:r>
      <w:r>
        <w:rPr>
          <w:spacing w:val="-17"/>
        </w:rPr>
      </w:r>
      <w:r>
        <w:rPr/>
        <w:t>买入返售金融资产款项包含其基于实际利率法计提的利息。</w:t>
      </w:r>
    </w:p>
    <w:p>
      <w:pPr>
        <w:pStyle w:val="BodyText"/>
        <w:spacing w:line="309" w:lineRule="auto" w:before="24"/>
        <w:ind w:right="209" w:firstLine="420"/>
        <w:jc w:val="both"/>
      </w:pPr>
      <w:r>
        <w:rPr>
          <w:spacing w:val="-3"/>
        </w:rPr>
        <w:t>（</w:t>
      </w:r>
      <w:r>
        <w:rPr>
          <w:rFonts w:ascii="Times New Roman" w:hAnsi="Times New Roman" w:cs="Times New Roman" w:eastAsia="Times New Roman" w:hint="default"/>
          <w:spacing w:val="-3"/>
        </w:rPr>
        <w:t>2</w:t>
      </w:r>
      <w:r>
        <w:rPr>
          <w:spacing w:val="-3"/>
        </w:rPr>
        <w:t>）该款项为本公司之子公司青港财务公司本年从银行及其他金融机构购入并在约定时间返售</w:t>
      </w:r>
      <w:r>
        <w:rPr>
          <w:w w:val="100"/>
        </w:rPr>
        <w:t> </w:t>
      </w:r>
      <w:r>
        <w:rPr>
          <w:spacing w:val="-2"/>
        </w:rPr>
        <w:t>给上述机构的金融资产，本集团持有该款项以获取合同现金流为目的，且其合同现金流特征与基本</w:t>
      </w:r>
      <w:r>
        <w:rPr>
          <w:spacing w:val="-25"/>
        </w:rPr>
        <w:t> </w:t>
      </w:r>
      <w:r>
        <w:rPr>
          <w:spacing w:val="-25"/>
        </w:rPr>
      </w:r>
      <w:r>
        <w:rPr>
          <w:spacing w:val="-2"/>
        </w:rPr>
        <w:t>借贷安排一致，故将其分类为以摊余成本计量的金融资产。本集团经评估认为，所持款项不存在重</w:t>
      </w:r>
      <w:r>
        <w:rPr>
          <w:spacing w:val="-25"/>
        </w:rPr>
        <w:t> </w:t>
      </w:r>
      <w:r>
        <w:rPr>
          <w:spacing w:val="-25"/>
        </w:rPr>
      </w:r>
      <w:r>
        <w:rPr>
          <w:spacing w:val="-2"/>
        </w:rPr>
        <w:t>大信用风险，不会因银行及其他金融机构违约产生重大信用损失。买入返售金融资产款项包含其基</w:t>
      </w:r>
      <w:r>
        <w:rPr>
          <w:spacing w:val="-25"/>
        </w:rPr>
        <w:t> </w:t>
      </w:r>
      <w:r>
        <w:rPr>
          <w:spacing w:val="-25"/>
        </w:rPr>
      </w:r>
      <w:r>
        <w:rPr/>
        <w:t>于实际利率法计提的利息。</w:t>
      </w:r>
    </w:p>
    <w:p>
      <w:pPr>
        <w:pStyle w:val="BodyText"/>
        <w:spacing w:line="222" w:lineRule="exact"/>
        <w:ind w:right="0"/>
        <w:jc w:val="both"/>
        <w:rPr>
          <w:rFonts w:ascii="宋体" w:hAnsi="宋体" w:cs="宋体" w:eastAsia="宋体" w:hint="default"/>
        </w:rPr>
      </w:pPr>
      <w:r>
        <w:rPr>
          <w:rFonts w:ascii="宋体"/>
          <w:w w:val="100"/>
        </w:rPr>
        <w:t> </w:t>
      </w:r>
    </w:p>
    <w:p>
      <w:pPr>
        <w:spacing w:after="0" w:line="222" w:lineRule="exact"/>
        <w:jc w:val="both"/>
        <w:rPr>
          <w:rFonts w:ascii="宋体" w:hAnsi="宋体" w:cs="宋体" w:eastAsia="宋体" w:hint="default"/>
        </w:rPr>
        <w:sectPr>
          <w:type w:val="continuous"/>
          <w:pgSz w:w="11910" w:h="16840"/>
          <w:pgMar w:top="1120" w:bottom="1160" w:left="1200" w:right="1200"/>
        </w:sectPr>
      </w:pPr>
    </w:p>
    <w:p>
      <w:pPr>
        <w:spacing w:line="240" w:lineRule="auto" w:before="0"/>
        <w:rPr>
          <w:rFonts w:ascii="宋体" w:hAnsi="宋体" w:cs="宋体" w:eastAsia="宋体" w:hint="default"/>
          <w:sz w:val="20"/>
          <w:szCs w:val="20"/>
        </w:rPr>
      </w:pPr>
    </w:p>
    <w:p>
      <w:pPr>
        <w:pStyle w:val="Heading5"/>
        <w:spacing w:line="240" w:lineRule="auto" w:before="168"/>
        <w:ind w:left="138" w:right="192"/>
        <w:jc w:val="left"/>
        <w:rPr>
          <w:b w:val="0"/>
          <w:bCs w:val="0"/>
        </w:rPr>
      </w:pPr>
      <w:r>
        <w:rPr>
          <w:rFonts w:ascii="宋体" w:hAnsi="宋体" w:cs="宋体" w:eastAsia="宋体" w:hint="default"/>
        </w:rPr>
        <w:t>14</w:t>
      </w:r>
      <w:r>
        <w:rPr/>
        <w:t>、</w:t>
      </w:r>
      <w:r>
        <w:rPr>
          <w:spacing w:val="-24"/>
        </w:rPr>
        <w:t> </w:t>
      </w:r>
      <w:r>
        <w:rPr/>
        <w:t>债权投资</w:t>
      </w:r>
      <w:r>
        <w:rPr>
          <w:b w:val="0"/>
          <w:bCs w:val="0"/>
        </w:rPr>
      </w:r>
    </w:p>
    <w:p>
      <w:pPr>
        <w:pStyle w:val="Heading5"/>
        <w:spacing w:line="240" w:lineRule="auto"/>
        <w:ind w:left="138" w:right="19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期末重要的债权投</w:t>
      </w:r>
      <w:r>
        <w:rPr>
          <w:spacing w:val="-3"/>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1927"/>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19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b w:val="0"/>
          <w:bCs w:val="0"/>
        </w:rPr>
      </w:pPr>
      <w:r>
        <w:rPr>
          <w:rFonts w:ascii="宋体" w:hAnsi="宋体" w:cs="宋体" w:eastAsia="宋体" w:hint="default"/>
        </w:rPr>
        <w:t>15</w:t>
      </w:r>
      <w:r>
        <w:rPr/>
        <w:t>、</w:t>
      </w:r>
      <w:r>
        <w:rPr>
          <w:spacing w:val="-23"/>
        </w:rPr>
        <w:t> </w:t>
      </w:r>
      <w:r>
        <w:rPr/>
        <w:t>其他债权投资</w:t>
      </w:r>
      <w:r>
        <w:rPr>
          <w:b w:val="0"/>
          <w:bCs w:val="0"/>
        </w:rPr>
      </w:r>
    </w:p>
    <w:p>
      <w:pPr>
        <w:pStyle w:val="Heading5"/>
        <w:spacing w:line="240" w:lineRule="auto" w:before="58"/>
        <w:ind w:left="138" w:right="19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7"/>
        </w:rPr>
        <w:t> </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期末重要的其他债</w:t>
      </w:r>
      <w:r>
        <w:rPr>
          <w:spacing w:val="-3"/>
          <w:w w:val="100"/>
        </w:rPr>
        <w:t>权</w:t>
      </w:r>
      <w:r>
        <w:rPr>
          <w:w w:val="100"/>
        </w:rPr>
        <w:t>投</w:t>
      </w:r>
      <w:r>
        <w:rPr>
          <w:spacing w:val="-2"/>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2"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1927"/>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38" w:right="19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9" w:lineRule="exact"/>
        <w:jc w:val="left"/>
        <w:rPr>
          <w:rFonts w:ascii="宋体" w:hAnsi="宋体" w:cs="宋体" w:eastAsia="宋体" w:hint="default"/>
        </w:rPr>
        <w:sectPr>
          <w:footerReference w:type="default" r:id="rId70"/>
          <w:pgSz w:w="11910" w:h="16840"/>
          <w:pgMar w:footer="974" w:header="0" w:top="1120" w:bottom="1160" w:left="1280" w:right="1300"/>
        </w:sectPr>
      </w:pPr>
    </w:p>
    <w:p>
      <w:pPr>
        <w:spacing w:before="20"/>
        <w:ind w:left="6535" w:right="657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1"/>
          <w:footerReference w:type="default" r:id="rId72"/>
          <w:pgSz w:w="16840" w:h="11910" w:orient="landscape"/>
          <w:pgMar w:header="0" w:footer="0" w:top="800" w:bottom="280" w:left="1200" w:right="118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16</w:t>
      </w:r>
      <w:r>
        <w:rPr/>
        <w:t>、</w:t>
      </w:r>
      <w:r>
        <w:rPr>
          <w:spacing w:val="-48"/>
        </w:rPr>
        <w:t> </w:t>
      </w:r>
      <w:r>
        <w:rPr/>
        <w:t>长期应收款</w:t>
      </w:r>
      <w:r>
        <w:rPr>
          <w:rFonts w:ascii="宋体" w:hAnsi="宋体" w:cs="宋体" w:eastAsia="宋体" w:hint="default"/>
          <w:w w:val="99"/>
        </w:rPr>
        <w:t> </w:t>
      </w:r>
      <w:r>
        <w:rPr>
          <w:rFonts w:ascii="宋体" w:hAnsi="宋体" w:cs="宋体" w:eastAsia="宋体" w:hint="default"/>
          <w:b w:val="0"/>
          <w:bCs w:val="0"/>
        </w:rPr>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2641" w:space="905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60"/>
        <w:gridCol w:w="1599"/>
        <w:gridCol w:w="1454"/>
        <w:gridCol w:w="1601"/>
        <w:gridCol w:w="1887"/>
        <w:gridCol w:w="1457"/>
        <w:gridCol w:w="1892"/>
        <w:gridCol w:w="1570"/>
      </w:tblGrid>
      <w:tr>
        <w:trPr>
          <w:trHeight w:val="286" w:hRule="exact"/>
        </w:trPr>
        <w:tc>
          <w:tcPr>
            <w:tcW w:w="2760" w:type="dxa"/>
            <w:vMerge w:val="restart"/>
            <w:tcBorders>
              <w:top w:val="single" w:sz="4" w:space="0" w:color="000000"/>
              <w:left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5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23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110"/>
              <w:ind w:left="254" w:right="0"/>
              <w:jc w:val="left"/>
              <w:rPr>
                <w:rFonts w:ascii="宋体" w:hAnsi="宋体" w:cs="宋体" w:eastAsia="宋体" w:hint="default"/>
                <w:sz w:val="21"/>
                <w:szCs w:val="21"/>
              </w:rPr>
            </w:pPr>
            <w:r>
              <w:rPr>
                <w:rFonts w:ascii="宋体" w:hAnsi="宋体" w:cs="宋体" w:eastAsia="宋体" w:hint="default"/>
                <w:sz w:val="21"/>
                <w:szCs w:val="21"/>
              </w:rPr>
              <w:t>折现率区间</w:t>
            </w:r>
            <w:r>
              <w:rPr>
                <w:rFonts w:ascii="宋体" w:hAnsi="宋体" w:cs="宋体" w:eastAsia="宋体" w:hint="default"/>
                <w:sz w:val="21"/>
                <w:szCs w:val="21"/>
              </w:rPr>
              <w:t> </w:t>
            </w:r>
          </w:p>
        </w:tc>
      </w:tr>
      <w:tr>
        <w:trPr>
          <w:trHeight w:val="286" w:hRule="exact"/>
        </w:trPr>
        <w:tc>
          <w:tcPr>
            <w:tcW w:w="2760" w:type="dxa"/>
            <w:vMerge/>
            <w:tcBorders>
              <w:left w:val="single" w:sz="4" w:space="0" w:color="000000"/>
              <w:bottom w:val="single" w:sz="6" w:space="0" w:color="000000"/>
              <w:right w:val="single" w:sz="4" w:space="0" w:color="000000"/>
            </w:tcBorders>
          </w:tcPr>
          <w:p>
            <w:pPr/>
          </w:p>
        </w:tc>
        <w:tc>
          <w:tcPr>
            <w:tcW w:w="159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9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70" w:type="dxa"/>
            <w:vMerge/>
            <w:tcBorders>
              <w:left w:val="single" w:sz="4" w:space="0" w:color="000000"/>
              <w:bottom w:val="single" w:sz="6" w:space="0" w:color="000000"/>
              <w:right w:val="single" w:sz="4" w:space="0" w:color="000000"/>
            </w:tcBorders>
          </w:tcPr>
          <w:p>
            <w:pPr/>
          </w:p>
        </w:tc>
      </w:tr>
      <w:tr>
        <w:trPr>
          <w:trHeight w:val="289" w:hRule="exact"/>
        </w:trPr>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向关联方提供贷款</w:t>
            </w:r>
            <w:r>
              <w:rPr>
                <w:rFonts w:ascii="宋体" w:hAnsi="宋体" w:cs="宋体" w:eastAsia="宋体" w:hint="default"/>
                <w:sz w:val="21"/>
                <w:szCs w:val="21"/>
              </w:rPr>
              <w:t> </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1,336,799,281</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33,926,274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1,302,873,007</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2,035,653,884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57,181,649</w:t>
            </w:r>
          </w:p>
        </w:tc>
        <w:tc>
          <w:tcPr>
            <w:tcW w:w="189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spacing w:val="-1"/>
                <w:sz w:val="21"/>
              </w:rPr>
              <w:t>1,978,472,235</w:t>
            </w:r>
          </w:p>
        </w:tc>
        <w:tc>
          <w:tcPr>
            <w:tcW w:w="157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向关联方提供融资租赁</w:t>
            </w:r>
            <w:r>
              <w:rPr>
                <w:rFonts w:ascii="宋体" w:hAnsi="宋体" w:cs="宋体" w:eastAsia="宋体" w:hint="default"/>
                <w:sz w:val="21"/>
                <w:szCs w:val="21"/>
              </w:rPr>
              <w:t> </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688,998,556</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17,485,911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671,512,645</w:t>
            </w:r>
          </w:p>
        </w:tc>
        <w:tc>
          <w:tcPr>
            <w:tcW w:w="18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4" w:space="0" w:color="000000"/>
            </w:tcBorders>
          </w:tcPr>
          <w:p>
            <w:pPr/>
          </w:p>
        </w:tc>
        <w:tc>
          <w:tcPr>
            <w:tcW w:w="157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其中：一年内到期的部分</w:t>
            </w:r>
            <w:r>
              <w:rPr>
                <w:rFonts w:ascii="宋体" w:hAnsi="宋体" w:cs="宋体" w:eastAsia="宋体" w:hint="default"/>
                <w:sz w:val="21"/>
                <w:szCs w:val="21"/>
              </w:rPr>
              <w:t> </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-457,290,407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-11,536,281</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-445,754,126</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-383,189,720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-9,077,313</w:t>
            </w:r>
          </w:p>
        </w:tc>
        <w:tc>
          <w:tcPr>
            <w:tcW w:w="189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-374,112,407</w:t>
            </w:r>
          </w:p>
        </w:tc>
        <w:tc>
          <w:tcPr>
            <w:tcW w:w="1570"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99"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1,720,653</w:t>
            </w:r>
          </w:p>
        </w:tc>
        <w:tc>
          <w:tcPr>
            <w:tcW w:w="1457"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1,720,653</w:t>
            </w:r>
          </w:p>
        </w:tc>
        <w:tc>
          <w:tcPr>
            <w:tcW w:w="1570"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1,568,507,430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39,875,904</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1,528,631,526</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1,654,184,817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48,104,336</w:t>
            </w:r>
          </w:p>
        </w:tc>
        <w:tc>
          <w:tcPr>
            <w:tcW w:w="1892"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1,606,080,481</w:t>
            </w:r>
          </w:p>
        </w:tc>
        <w:tc>
          <w:tcPr>
            <w:tcW w:w="1570"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63"/>
        <w:ind w:left="6535" w:right="6553" w:firstLine="0"/>
        <w:jc w:val="center"/>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00" w:right="11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3"/>
          <w:footerReference w:type="default" r:id="rId74"/>
          <w:pgSz w:w="11910" w:h="16840"/>
          <w:pgMar w:header="882" w:footer="0" w:top="1120" w:bottom="280" w:left="1200" w:right="1180"/>
        </w:sectPr>
      </w:pPr>
    </w:p>
    <w:p>
      <w:pPr>
        <w:spacing w:line="240" w:lineRule="auto" w:before="2"/>
        <w:rPr>
          <w:rFonts w:ascii="Calibri" w:hAnsi="Calibri" w:cs="Calibri" w:eastAsia="Calibri" w:hint="default"/>
          <w:b/>
          <w:bCs/>
          <w:sz w:val="15"/>
          <w:szCs w:val="15"/>
        </w:rPr>
      </w:pPr>
    </w:p>
    <w:p>
      <w:pPr>
        <w:pStyle w:val="BodyText"/>
        <w:spacing w:line="240" w:lineRule="auto"/>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853" w:space="3801"/>
            <w:col w:w="287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23"/>
        <w:gridCol w:w="1957"/>
        <w:gridCol w:w="1988"/>
        <w:gridCol w:w="1990"/>
        <w:gridCol w:w="1930"/>
      </w:tblGrid>
      <w:tr>
        <w:trPr>
          <w:trHeight w:val="281" w:hRule="exact"/>
        </w:trPr>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828" w:hRule="exact"/>
        </w:trPr>
        <w:tc>
          <w:tcPr>
            <w:tcW w:w="1423" w:type="dxa"/>
            <w:vMerge/>
            <w:tcBorders>
              <w:left w:val="single" w:sz="4" w:space="0" w:color="000000"/>
              <w:bottom w:val="single" w:sz="4" w:space="0" w:color="000000"/>
              <w:right w:val="single" w:sz="4" w:space="0" w:color="000000"/>
            </w:tcBorders>
          </w:tcPr>
          <w:p>
            <w:pP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9"/>
              <w:ind w:left="655" w:right="101" w:hanging="555"/>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个月预期信</w:t>
            </w:r>
            <w:r>
              <w:rPr>
                <w:rFonts w:ascii="宋体" w:hAnsi="宋体" w:cs="宋体" w:eastAsia="宋体" w:hint="default"/>
                <w:w w:val="100"/>
                <w:sz w:val="21"/>
                <w:szCs w:val="21"/>
              </w:rPr>
              <w:t> </w:t>
            </w:r>
            <w:r>
              <w:rPr>
                <w:rFonts w:ascii="宋体" w:hAnsi="宋体" w:cs="宋体" w:eastAsia="宋体" w:hint="default"/>
                <w:sz w:val="21"/>
                <w:szCs w:val="21"/>
              </w:rPr>
              <w:t>用损失</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1" w:right="111" w:hanging="62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未发生信用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firstLine="3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743" w:right="110" w:hanging="629"/>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930" w:type="dxa"/>
            <w:vMerge/>
            <w:tcBorders>
              <w:left w:val="single" w:sz="4" w:space="0" w:color="000000"/>
              <w:bottom w:val="single" w:sz="4" w:space="0" w:color="000000"/>
              <w:right w:val="single" w:sz="4" w:space="0" w:color="000000"/>
            </w:tcBorders>
          </w:tcPr>
          <w:p>
            <w:pPr/>
          </w:p>
        </w:tc>
      </w:tr>
      <w:tr>
        <w:trPr>
          <w:trHeight w:val="650"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p>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日余额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57,181,649</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57,181,649</w:t>
            </w:r>
          </w:p>
        </w:tc>
      </w:tr>
      <w:tr>
        <w:trPr>
          <w:trHeight w:val="329"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5,769,464</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5,769,464</w:t>
            </w:r>
          </w:p>
        </w:tc>
      </w:tr>
      <w:tr>
        <w:trPr>
          <w:trHeight w:val="651" w:hRule="exact"/>
        </w:trPr>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3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日余额</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51,412,185</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51,412,185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对本期发生损失准备变动的长期应收款账面余额显著变动的情况说明：</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047"/>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(4).</w:t>
        <w:tab/>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2" w:lineRule="exact" w:before="1"/>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向关联方提供贷款为本公司向关联方提供的长期委托贷款、本公司之子公司青港财务公司向关</w:t>
      </w:r>
    </w:p>
    <w:p>
      <w:pPr>
        <w:pStyle w:val="BodyText"/>
        <w:spacing w:line="272" w:lineRule="exact" w:before="1"/>
        <w:ind w:right="0"/>
        <w:jc w:val="left"/>
        <w:rPr>
          <w:rFonts w:ascii="宋体" w:hAnsi="宋体" w:cs="宋体" w:eastAsia="宋体" w:hint="default"/>
        </w:rPr>
      </w:pPr>
      <w:r>
        <w:rPr>
          <w:spacing w:val="-2"/>
        </w:rPr>
        <w:t>联方发放的长期贷款。其中，将于一年内收回的贷款及相关贷款减值准备列示为一年内到期的非流</w:t>
      </w:r>
      <w:r>
        <w:rPr>
          <w:spacing w:val="-25"/>
        </w:rPr>
        <w:t> </w:t>
      </w:r>
      <w:r>
        <w:rPr>
          <w:spacing w:val="-25"/>
        </w:rPr>
      </w:r>
      <w:r>
        <w:rPr/>
        <w:t>动资产。</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63"/>
        <w:ind w:left="0" w:right="16" w:firstLine="0"/>
        <w:jc w:val="center"/>
        <w:rPr>
          <w:rFonts w:ascii="Calibri" w:hAnsi="Calibri" w:cs="Calibri" w:eastAsia="Calibri" w:hint="default"/>
          <w:sz w:val="18"/>
          <w:szCs w:val="18"/>
        </w:rPr>
      </w:pPr>
      <w:r>
        <w:rPr>
          <w:rFonts w:ascii="Calibri"/>
          <w:b/>
          <w:sz w:val="18"/>
        </w:rPr>
        <w:t>152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160" w:left="1200" w:right="11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5"/>
          <w:footerReference w:type="default" r:id="rId76"/>
          <w:pgSz w:w="16840" w:h="11910" w:orient="landscape"/>
          <w:pgMar w:header="882" w:footer="975" w:top="1120" w:bottom="1160" w:left="880" w:right="1100"/>
          <w:pgNumType w:start="153"/>
        </w:sectPr>
      </w:pPr>
    </w:p>
    <w:p>
      <w:pPr>
        <w:spacing w:line="240" w:lineRule="auto" w:before="2"/>
        <w:rPr>
          <w:rFonts w:ascii="Calibri" w:hAnsi="Calibri" w:cs="Calibri" w:eastAsia="Calibri" w:hint="default"/>
          <w:b/>
          <w:bCs/>
          <w:sz w:val="15"/>
          <w:szCs w:val="15"/>
        </w:rPr>
      </w:pPr>
    </w:p>
    <w:p>
      <w:pPr>
        <w:pStyle w:val="BodyText"/>
        <w:spacing w:line="240" w:lineRule="auto"/>
        <w:ind w:left="538" w:right="0"/>
        <w:jc w:val="left"/>
        <w:rPr>
          <w:rFonts w:ascii="宋体" w:hAnsi="宋体" w:cs="宋体" w:eastAsia="宋体" w:hint="default"/>
        </w:rPr>
      </w:pPr>
      <w:r>
        <w:rPr>
          <w:rFonts w:ascii="宋体"/>
          <w:w w:val="100"/>
        </w:rPr>
        <w:t> </w:t>
      </w:r>
    </w:p>
    <w:p>
      <w:pPr>
        <w:pStyle w:val="Heading5"/>
        <w:spacing w:line="240" w:lineRule="auto"/>
        <w:ind w:left="538" w:right="0"/>
        <w:jc w:val="left"/>
        <w:rPr>
          <w:rFonts w:ascii="宋体" w:hAnsi="宋体" w:cs="宋体" w:eastAsia="宋体" w:hint="default"/>
          <w:b w:val="0"/>
          <w:bCs w:val="0"/>
        </w:rPr>
      </w:pPr>
      <w:r>
        <w:rPr>
          <w:rFonts w:ascii="宋体" w:hAnsi="宋体" w:cs="宋体" w:eastAsia="宋体" w:hint="default"/>
        </w:rPr>
        <w:t>17</w:t>
      </w:r>
      <w:r>
        <w:rPr/>
        <w:t>、</w:t>
      </w:r>
      <w:r>
        <w:rPr>
          <w:spacing w:val="-47"/>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ind w:left="5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880" w:right="1100"/>
          <w:cols w:num="2" w:equalWidth="0">
            <w:col w:w="2392" w:space="9300"/>
            <w:col w:w="316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29"/>
        <w:gridCol w:w="1430"/>
        <w:gridCol w:w="1277"/>
        <w:gridCol w:w="425"/>
        <w:gridCol w:w="1418"/>
        <w:gridCol w:w="708"/>
        <w:gridCol w:w="1277"/>
        <w:gridCol w:w="1560"/>
        <w:gridCol w:w="991"/>
        <w:gridCol w:w="1133"/>
        <w:gridCol w:w="1418"/>
        <w:gridCol w:w="850"/>
      </w:tblGrid>
      <w:tr>
        <w:trPr>
          <w:trHeight w:val="242"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30" w:right="52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7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523"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944" w:hRule="exact"/>
        </w:trPr>
        <w:tc>
          <w:tcPr>
            <w:tcW w:w="2129"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sz w:val="18"/>
                <w:szCs w:val="18"/>
              </w:rPr>
              <w:t>少 投 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4" w:right="16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2" w:right="183"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2"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7" w:right="1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331" w:hRule="exact"/>
        </w:trPr>
        <w:tc>
          <w:tcPr>
            <w:tcW w:w="1461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9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青岛前湾集装箱码头有 限责任公司</w:t>
            </w:r>
            <w:r>
              <w:rPr>
                <w:rFonts w:ascii="Times New Roman" w:hAnsi="Times New Roman" w:cs="Times New Roman" w:eastAsia="Times New Roman" w:hint="default"/>
                <w:sz w:val="18"/>
                <w:szCs w:val="18"/>
              </w:rPr>
              <w:t>(“QQCT”)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5,369,989,265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861,706,208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8,195,995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792,889,894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-28,302,346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5,418,699,228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青岛实华原油码头有限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青岛实华</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1,357,662,527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391,092,378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1,751,933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1,350,506,838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青岛前湾西港联合码头 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西联</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378,022,867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29,879,936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10,200,000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-1,633,137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396,069,666</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威海青威集装箱码头有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青威集装箱</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116,204,442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22,662,491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138,817,933</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青岛长荣集装箱储运有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长荣集装箱</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50,692,300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15,695,562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437,829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21,457,807</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45,367,884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214"/>
              <w:jc w:val="both"/>
              <w:rPr>
                <w:rFonts w:ascii="Times New Roman" w:hAnsi="Times New Roman" w:cs="Times New Roman" w:eastAsia="Times New Roman" w:hint="default"/>
                <w:sz w:val="18"/>
                <w:szCs w:val="18"/>
              </w:rPr>
            </w:pPr>
            <w:r>
              <w:rPr>
                <w:rFonts w:ascii="宋体" w:hAnsi="宋体" w:cs="宋体" w:eastAsia="宋体" w:hint="default"/>
                <w:sz w:val="18"/>
                <w:szCs w:val="18"/>
              </w:rPr>
              <w:t>青岛东港国际集装箱储 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东港集装 箱</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45,637,143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4,647,191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7,254,681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43,029,653</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7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4"/>
              <w:jc w:val="both"/>
              <w:rPr>
                <w:rFonts w:ascii="Times New Roman" w:hAnsi="Times New Roman" w:cs="Times New Roman" w:eastAsia="Times New Roman" w:hint="default"/>
                <w:sz w:val="18"/>
                <w:szCs w:val="18"/>
              </w:rPr>
            </w:pPr>
            <w:r>
              <w:rPr>
                <w:rFonts w:ascii="宋体" w:hAnsi="宋体" w:cs="宋体" w:eastAsia="宋体" w:hint="default"/>
                <w:sz w:val="18"/>
                <w:szCs w:val="18"/>
              </w:rPr>
              <w:t>青岛海湾液体化工港务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海湾液体化 工</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148,950,063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6,540,771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155,490,834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青岛港海国际物流有限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港海物流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34,431,315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8,775,290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43,206,605</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880" w:right="11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129"/>
        <w:gridCol w:w="1430"/>
        <w:gridCol w:w="1277"/>
        <w:gridCol w:w="425"/>
        <w:gridCol w:w="1418"/>
        <w:gridCol w:w="708"/>
        <w:gridCol w:w="1277"/>
        <w:gridCol w:w="1560"/>
        <w:gridCol w:w="991"/>
        <w:gridCol w:w="1133"/>
        <w:gridCol w:w="1418"/>
        <w:gridCol w:w="850"/>
      </w:tblGrid>
      <w:tr>
        <w:trPr>
          <w:trHeight w:val="242"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530" w:right="52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7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523"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943" w:hRule="exact"/>
        </w:trPr>
        <w:tc>
          <w:tcPr>
            <w:tcW w:w="2129"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15" w:right="119"/>
              <w:jc w:val="both"/>
              <w:rPr>
                <w:rFonts w:ascii="宋体" w:hAnsi="宋体" w:cs="宋体" w:eastAsia="宋体" w:hint="default"/>
                <w:sz w:val="18"/>
                <w:szCs w:val="18"/>
              </w:rPr>
            </w:pPr>
            <w:r>
              <w:rPr>
                <w:rFonts w:ascii="宋体" w:hAnsi="宋体" w:cs="宋体" w:eastAsia="宋体" w:hint="default"/>
                <w:sz w:val="18"/>
                <w:szCs w:val="18"/>
              </w:rPr>
              <w:t>少 投 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54" w:right="16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67"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42" w:right="183"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412"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307" w:right="1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9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214"/>
              <w:jc w:val="both"/>
              <w:rPr>
                <w:rFonts w:ascii="Times New Roman" w:hAnsi="Times New Roman" w:cs="Times New Roman" w:eastAsia="Times New Roman" w:hint="default"/>
                <w:sz w:val="18"/>
                <w:szCs w:val="18"/>
              </w:rPr>
            </w:pPr>
            <w:r>
              <w:rPr>
                <w:rFonts w:ascii="宋体" w:hAnsi="宋体" w:cs="宋体" w:eastAsia="宋体" w:hint="default"/>
                <w:sz w:val="18"/>
                <w:szCs w:val="18"/>
              </w:rPr>
              <w:t>青岛神州行国际货运代 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神州行货 代</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20,044,682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7,270,472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27,315,154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青岛中海船务代理有限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中海船代</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8,468,407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896,336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9,364,743</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青岛联合国际船舶代理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联合船代</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28,581,166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1,597,314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1,121,560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29,056,920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华能青岛港务有限公司</w:t>
            </w:r>
          </w:p>
          <w:p>
            <w:pPr>
              <w:pStyle w:val="TableParagraph"/>
              <w:spacing w:line="240" w:lineRule="auto" w:before="8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华能青岛</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141,366,590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-13,414,669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127,951,921</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214"/>
              <w:jc w:val="both"/>
              <w:rPr>
                <w:rFonts w:ascii="Times New Roman" w:hAnsi="Times New Roman" w:cs="Times New Roman" w:eastAsia="Times New Roman" w:hint="default"/>
                <w:sz w:val="18"/>
                <w:szCs w:val="18"/>
              </w:rPr>
            </w:pPr>
            <w:r>
              <w:rPr>
                <w:rFonts w:ascii="宋体" w:hAnsi="宋体" w:cs="宋体" w:eastAsia="宋体" w:hint="default"/>
                <w:sz w:val="18"/>
                <w:szCs w:val="18"/>
              </w:rPr>
              <w:t>青岛港董家口万邦物流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董家口万邦 物流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70,351,717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25,019,484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95,371,201</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青岛港董家口矿石码头 有限公司</w:t>
            </w:r>
            <w:r>
              <w:rPr>
                <w:rFonts w:ascii="Times New Roman" w:hAnsi="Times New Roman" w:cs="Times New Roman" w:eastAsia="Times New Roman" w:hint="default"/>
                <w:sz w:val="18"/>
                <w:szCs w:val="18"/>
              </w:rPr>
              <w:t>(“QDOT”)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691,031,486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22,248,425</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-6,630,946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706,648,965</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6"/>
              <w:ind w:left="103" w:right="275"/>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青岛港</w:t>
            </w:r>
            <w:r>
              <w:rPr>
                <w:rFonts w:ascii="Times New Roman" w:hAnsi="Times New Roman" w:cs="Times New Roman" w:eastAsia="Times New Roman" w:hint="default"/>
                <w:sz w:val="18"/>
                <w:szCs w:val="18"/>
              </w:rPr>
              <w:t>(</w:t>
            </w:r>
            <w:r>
              <w:rPr>
                <w:rFonts w:ascii="宋体" w:hAnsi="宋体" w:cs="宋体" w:eastAsia="宋体" w:hint="default"/>
                <w:sz w:val="18"/>
                <w:szCs w:val="18"/>
              </w:rPr>
              <w:t>临沂</w:t>
            </w:r>
            <w:r>
              <w:rPr>
                <w:rFonts w:ascii="Times New Roman" w:hAnsi="Times New Roman" w:cs="Times New Roman" w:eastAsia="Times New Roman" w:hint="default"/>
                <w:sz w:val="18"/>
                <w:szCs w:val="18"/>
              </w:rPr>
              <w:t>)</w:t>
            </w:r>
            <w:r>
              <w:rPr>
                <w:rFonts w:ascii="宋体" w:hAnsi="宋体" w:cs="宋体" w:eastAsia="宋体" w:hint="default"/>
                <w:sz w:val="18"/>
                <w:szCs w:val="18"/>
              </w:rPr>
              <w:t>高速物流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临沂高速</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4,143,513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48,270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4,191,783</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214"/>
              <w:jc w:val="both"/>
              <w:rPr>
                <w:rFonts w:ascii="Times New Roman" w:hAnsi="Times New Roman" w:cs="Times New Roman" w:eastAsia="Times New Roman" w:hint="default"/>
                <w:sz w:val="18"/>
                <w:szCs w:val="18"/>
              </w:rPr>
            </w:pPr>
            <w:r>
              <w:rPr>
                <w:rFonts w:ascii="宋体" w:hAnsi="宋体" w:cs="宋体" w:eastAsia="宋体" w:hint="default"/>
                <w:sz w:val="18"/>
                <w:szCs w:val="18"/>
              </w:rPr>
              <w:t>青岛港董家口中外运物 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董家口中 外运物流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50,496,966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1,011,069</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51,508,035</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青岛港联荣国际物流有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港联荣物流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8,586,060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2,743,672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3,245,384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8,084,348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6"/>
              <w:ind w:left="103" w:right="214"/>
              <w:jc w:val="left"/>
              <w:rPr>
                <w:rFonts w:ascii="宋体" w:hAnsi="宋体" w:cs="宋体" w:eastAsia="宋体" w:hint="default"/>
                <w:sz w:val="18"/>
                <w:szCs w:val="18"/>
              </w:rPr>
            </w:pPr>
            <w:r>
              <w:rPr>
                <w:rFonts w:ascii="宋体" w:hAnsi="宋体" w:cs="宋体" w:eastAsia="宋体" w:hint="default"/>
                <w:sz w:val="18"/>
                <w:szCs w:val="18"/>
              </w:rPr>
              <w:t>滨洲港青港国际码头有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滨州港青港国</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13,333,523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7,145,853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8,296,045</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12,183,331</w:t>
            </w: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975" w:top="1120" w:bottom="1160" w:left="880" w:right="11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129"/>
        <w:gridCol w:w="1430"/>
        <w:gridCol w:w="1277"/>
        <w:gridCol w:w="425"/>
        <w:gridCol w:w="1418"/>
        <w:gridCol w:w="708"/>
        <w:gridCol w:w="1277"/>
        <w:gridCol w:w="1560"/>
        <w:gridCol w:w="991"/>
        <w:gridCol w:w="1133"/>
        <w:gridCol w:w="1418"/>
        <w:gridCol w:w="850"/>
      </w:tblGrid>
      <w:tr>
        <w:trPr>
          <w:trHeight w:val="242"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530" w:right="52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87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523" w:right="52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7" w:lineRule="auto"/>
              <w:ind w:left="148" w:right="149"/>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943" w:hRule="exact"/>
        </w:trPr>
        <w:tc>
          <w:tcPr>
            <w:tcW w:w="2129"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15" w:right="119"/>
              <w:jc w:val="both"/>
              <w:rPr>
                <w:rFonts w:ascii="宋体" w:hAnsi="宋体" w:cs="宋体" w:eastAsia="宋体" w:hint="default"/>
                <w:sz w:val="18"/>
                <w:szCs w:val="18"/>
              </w:rPr>
            </w:pPr>
            <w:r>
              <w:rPr>
                <w:rFonts w:ascii="宋体" w:hAnsi="宋体" w:cs="宋体" w:eastAsia="宋体" w:hint="default"/>
                <w:sz w:val="18"/>
                <w:szCs w:val="18"/>
              </w:rPr>
              <w:t>少 投 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54" w:right="163"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67" w:right="168"/>
              <w:jc w:val="both"/>
              <w:rPr>
                <w:rFonts w:ascii="宋体" w:hAnsi="宋体" w:cs="宋体" w:eastAsia="宋体" w:hint="default"/>
                <w:sz w:val="18"/>
                <w:szCs w:val="18"/>
              </w:rPr>
            </w:pPr>
            <w:r>
              <w:rPr>
                <w:rFonts w:ascii="宋体" w:hAnsi="宋体" w:cs="宋体" w:eastAsia="宋体" w:hint="default"/>
                <w:sz w:val="18"/>
                <w:szCs w:val="18"/>
              </w:rPr>
              <w:t>综合 收益 调整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542" w:right="183"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412"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307" w:right="1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33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际码头</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青岛中石油仓储有限公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中石油仓储</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93,415,311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53,584,689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-311,796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146,688,204</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4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海路国际港口运营管理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海路国际</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429,749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905,283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1,335,032</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8,631,839,092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53,584,689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1,396,159,540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8,584,824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1,244,465,371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-34,814,496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8,810,888,278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461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青岛港华物流有限公司</w:t>
            </w:r>
          </w:p>
          <w:p>
            <w:pPr>
              <w:pStyle w:val="TableParagraph"/>
              <w:spacing w:line="240" w:lineRule="auto" w:before="8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港华物流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7,809,545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-5,001,656</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-1,242,047</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1,565,842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6"/>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青岛青银金融租赁有限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青银租赁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94,322,008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9,262,412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103,584,420</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青岛港联海国际物流有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港联海物流</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16,292,971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1,984,072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1,163,674</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17,113,369</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瓦多投资公司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74,993,197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74,993,197</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103"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中联运通控股集团有限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中联运通</w:t>
            </w:r>
            <w:r>
              <w:rPr>
                <w:rFonts w:ascii="Times New Roman" w:hAnsi="Times New Roman" w:cs="Times New Roman" w:eastAsia="Times New Roman"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128,218,100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9,858,335</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5,525,503</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132,550,932</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193,417,721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123,216,444</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19,862,772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8,255,019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328,241,918</w:t>
            </w: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8,825,256,813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176,801,133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1,416,022,312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8,584,824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1,252,720,390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w w:val="95"/>
                <w:sz w:val="18"/>
              </w:rPr>
              <w:t>-34,814,496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9,139,130,196</w:t>
            </w:r>
          </w:p>
        </w:tc>
        <w:tc>
          <w:tcPr>
            <w:tcW w:w="85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538" w:right="0"/>
        <w:jc w:val="left"/>
        <w:rPr>
          <w:rFonts w:ascii="宋体" w:hAnsi="宋体" w:cs="宋体" w:eastAsia="宋体" w:hint="default"/>
        </w:rPr>
      </w:pPr>
      <w:r>
        <w:rPr>
          <w:rFonts w:ascii="宋体"/>
          <w:w w:val="100"/>
        </w:rPr>
        <w:t> </w:t>
      </w:r>
    </w:p>
    <w:p>
      <w:pPr>
        <w:pStyle w:val="BodyText"/>
        <w:spacing w:line="275" w:lineRule="exact"/>
        <w:ind w:left="5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6" w:lineRule="auto" w:before="42"/>
        <w:ind w:left="538" w:right="0" w:firstLine="420"/>
        <w:jc w:val="left"/>
      </w:pPr>
      <w:r>
        <w:rPr>
          <w:rFonts w:ascii="Times New Roman" w:hAnsi="Times New Roman" w:cs="Times New Roman" w:eastAsia="Times New Roman" w:hint="default"/>
        </w:rPr>
        <w:t>(1)</w:t>
      </w:r>
      <w:r>
        <w:rPr/>
        <w:t>本公司对</w:t>
      </w:r>
      <w:r>
        <w:rPr>
          <w:spacing w:val="-51"/>
        </w:rPr>
        <w:t> </w:t>
      </w:r>
      <w:r>
        <w:rPr>
          <w:rFonts w:ascii="Times New Roman" w:hAnsi="Times New Roman" w:cs="Times New Roman" w:eastAsia="Times New Roman" w:hint="default"/>
        </w:rPr>
        <w:t>QQCT</w:t>
      </w:r>
      <w:r>
        <w:rPr>
          <w:rFonts w:ascii="Times New Roman" w:hAnsi="Times New Roman" w:cs="Times New Roman" w:eastAsia="Times New Roman" w:hint="default"/>
          <w:spacing w:val="5"/>
        </w:rPr>
        <w:t> </w:t>
      </w:r>
      <w:r>
        <w:rPr/>
        <w:t>的持股比例为</w:t>
      </w:r>
      <w:r>
        <w:rPr>
          <w:spacing w:val="-49"/>
        </w:rPr>
        <w:t> </w:t>
      </w:r>
      <w:r>
        <w:rPr>
          <w:rFonts w:ascii="Times New Roman" w:hAnsi="Times New Roman" w:cs="Times New Roman" w:eastAsia="Times New Roman" w:hint="default"/>
          <w:spacing w:val="-5"/>
        </w:rPr>
        <w:t>51%</w:t>
      </w:r>
      <w:r>
        <w:rPr>
          <w:spacing w:val="-5"/>
        </w:rPr>
        <w:t>。</w:t>
      </w:r>
      <w:r>
        <w:rPr>
          <w:rFonts w:ascii="Times New Roman" w:hAnsi="Times New Roman" w:cs="Times New Roman" w:eastAsia="Times New Roman" w:hint="default"/>
          <w:spacing w:val="-5"/>
        </w:rPr>
        <w:t>QQCT</w:t>
      </w:r>
      <w:r>
        <w:rPr>
          <w:rFonts w:ascii="Times New Roman" w:hAnsi="Times New Roman" w:cs="Times New Roman" w:eastAsia="Times New Roman" w:hint="default"/>
          <w:spacing w:val="5"/>
        </w:rPr>
        <w:t> </w:t>
      </w:r>
      <w:r>
        <w:rPr/>
        <w:t>董事会成员共</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spacing w:val="-5"/>
        </w:rPr>
        <w:t>名，其中本公司派出</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8"/>
        </w:rPr>
        <w:t>名，根据</w:t>
      </w:r>
      <w:r>
        <w:rPr>
          <w:spacing w:val="-51"/>
        </w:rPr>
        <w:t> </w:t>
      </w:r>
      <w:r>
        <w:rPr>
          <w:rFonts w:ascii="Times New Roman" w:hAnsi="Times New Roman" w:cs="Times New Roman" w:eastAsia="Times New Roman" w:hint="default"/>
        </w:rPr>
        <w:t>QQCT</w:t>
      </w:r>
      <w:r>
        <w:rPr>
          <w:rFonts w:ascii="Times New Roman" w:hAnsi="Times New Roman" w:cs="Times New Roman" w:eastAsia="Times New Roman" w:hint="default"/>
          <w:spacing w:val="2"/>
        </w:rPr>
        <w:t> </w:t>
      </w:r>
      <w:r>
        <w:rPr>
          <w:spacing w:val="-4"/>
        </w:rPr>
        <w:t>公司章程规定，</w:t>
      </w:r>
      <w:r>
        <w:rPr>
          <w:rFonts w:ascii="Times New Roman" w:hAnsi="Times New Roman" w:cs="Times New Roman" w:eastAsia="Times New Roman" w:hint="default"/>
          <w:spacing w:val="-4"/>
        </w:rPr>
        <w:t>QQCT</w:t>
      </w:r>
      <w:r>
        <w:rPr>
          <w:rFonts w:ascii="Times New Roman" w:hAnsi="Times New Roman" w:cs="Times New Roman" w:eastAsia="Times New Roman" w:hint="default"/>
          <w:spacing w:val="2"/>
        </w:rPr>
        <w:t> </w:t>
      </w:r>
      <w:r>
        <w:rPr/>
        <w:t>的重大财务及经营决策</w:t>
      </w:r>
      <w:r>
        <w:rPr>
          <w:w w:val="100"/>
        </w:rPr>
        <w:t> </w:t>
      </w:r>
      <w:r>
        <w:rPr/>
        <w:t>需要经过</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名以上董事会成员通过，本公司仍不能单方面对</w:t>
      </w:r>
      <w:r>
        <w:rPr>
          <w:spacing w:val="-56"/>
        </w:rPr>
        <w:t> </w:t>
      </w:r>
      <w:r>
        <w:rPr>
          <w:rFonts w:ascii="Times New Roman" w:hAnsi="Times New Roman" w:cs="Times New Roman" w:eastAsia="Times New Roman" w:hint="default"/>
        </w:rPr>
        <w:t>QQCT</w:t>
      </w:r>
      <w:r>
        <w:rPr>
          <w:rFonts w:ascii="Times New Roman" w:hAnsi="Times New Roman" w:cs="Times New Roman" w:eastAsia="Times New Roman" w:hint="default"/>
          <w:spacing w:val="-3"/>
        </w:rPr>
        <w:t> </w:t>
      </w:r>
      <w:r>
        <w:rPr/>
        <w:t>实施控制，故仍将</w:t>
      </w:r>
      <w:r>
        <w:rPr>
          <w:spacing w:val="-56"/>
        </w:rPr>
        <w:t> </w:t>
      </w:r>
      <w:r>
        <w:rPr>
          <w:rFonts w:ascii="Times New Roman" w:hAnsi="Times New Roman" w:cs="Times New Roman" w:eastAsia="Times New Roman" w:hint="default"/>
        </w:rPr>
        <w:t>QQCT</w:t>
      </w:r>
      <w:r>
        <w:rPr>
          <w:rFonts w:ascii="Times New Roman" w:hAnsi="Times New Roman" w:cs="Times New Roman" w:eastAsia="Times New Roman" w:hint="default"/>
          <w:spacing w:val="-3"/>
        </w:rPr>
        <w:t> </w:t>
      </w:r>
      <w:r>
        <w:rPr/>
        <w:t>作为合营公司核算。</w:t>
      </w:r>
    </w:p>
    <w:p>
      <w:pPr>
        <w:spacing w:after="0" w:line="266" w:lineRule="auto"/>
        <w:jc w:val="left"/>
        <w:sectPr>
          <w:pgSz w:w="16840" w:h="11910" w:orient="landscape"/>
          <w:pgMar w:header="882" w:footer="975" w:top="1120" w:bottom="1160" w:left="88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64" w:lineRule="auto"/>
        <w:ind w:right="0" w:firstLine="420"/>
        <w:jc w:val="left"/>
      </w:pPr>
      <w:r>
        <w:rPr>
          <w:rFonts w:ascii="Times New Roman" w:hAnsi="Times New Roman" w:cs="Times New Roman" w:eastAsia="Times New Roman" w:hint="default"/>
        </w:rPr>
        <w:t>(2)</w:t>
      </w:r>
      <w:r>
        <w:rPr/>
        <w:t>本公司对西联的持股比例为</w:t>
      </w:r>
      <w:r>
        <w:rPr>
          <w:spacing w:val="-57"/>
        </w:rPr>
        <w:t> </w:t>
      </w:r>
      <w:r>
        <w:rPr>
          <w:rFonts w:ascii="Times New Roman" w:hAnsi="Times New Roman" w:cs="Times New Roman" w:eastAsia="Times New Roman" w:hint="default"/>
        </w:rPr>
        <w:t>51%</w:t>
      </w:r>
      <w:r>
        <w:rPr/>
        <w:t>，根据西联公司章程规定，最高权力机构为股东会，但主要经营决策由股东会授权董事会进行表决。西联董事会</w:t>
      </w:r>
      <w:r>
        <w:rPr>
          <w:w w:val="100"/>
        </w:rPr>
        <w:t> </w:t>
      </w:r>
      <w:r>
        <w:rPr/>
        <w:t>成员共</w:t>
      </w:r>
      <w:r>
        <w:rPr>
          <w:spacing w:val="-28"/>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spacing w:val="-4"/>
        </w:rPr>
        <w:t>名，其中本公司派出</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3"/>
        </w:rPr>
        <w:t>名。西联的重大财务及经营决策需要经过全体董事一致通过，本公司不能单方面对西联实施控制，故将西联作为合营公司</w:t>
      </w:r>
      <w:r>
        <w:rPr>
          <w:spacing w:val="-92"/>
        </w:rPr>
        <w:t> </w:t>
      </w:r>
      <w:r>
        <w:rPr>
          <w:spacing w:val="-92"/>
        </w:rPr>
      </w:r>
      <w:r>
        <w:rPr/>
        <w:t>核算。</w:t>
      </w:r>
    </w:p>
    <w:p>
      <w:pPr>
        <w:pStyle w:val="BodyText"/>
        <w:spacing w:line="264" w:lineRule="auto" w:before="25"/>
        <w:ind w:right="0" w:firstLine="420"/>
        <w:jc w:val="left"/>
      </w:pPr>
      <w:r>
        <w:rPr>
          <w:rFonts w:ascii="Times New Roman" w:hAnsi="Times New Roman" w:cs="Times New Roman" w:eastAsia="Times New Roman" w:hint="default"/>
        </w:rPr>
        <w:t>(3)</w:t>
      </w:r>
      <w:r>
        <w:rPr/>
        <w:t>本公司对董家口万邦物流的持股比例为</w:t>
      </w:r>
      <w:r>
        <w:rPr>
          <w:spacing w:val="-55"/>
        </w:rPr>
        <w:t> </w:t>
      </w:r>
      <w:r>
        <w:rPr>
          <w:rFonts w:ascii="Times New Roman" w:hAnsi="Times New Roman" w:cs="Times New Roman" w:eastAsia="Times New Roman" w:hint="default"/>
        </w:rPr>
        <w:t>51%</w:t>
      </w:r>
      <w:r>
        <w:rPr/>
        <w:t>，根据董家口万邦物流公司章程规定，最高权力机构为董事会。董家口万邦物流董事会成员共</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名，</w:t>
      </w:r>
      <w:r>
        <w:rPr>
          <w:w w:val="100"/>
        </w:rPr>
        <w:t> </w:t>
      </w:r>
      <w:r>
        <w:rPr/>
        <w:t>其中本公司派出 </w:t>
      </w:r>
      <w:r>
        <w:rPr>
          <w:rFonts w:ascii="Times New Roman" w:hAnsi="Times New Roman" w:cs="Times New Roman" w:eastAsia="Times New Roman" w:hint="default"/>
        </w:rPr>
        <w:t>4 </w:t>
      </w:r>
      <w:r>
        <w:rPr>
          <w:spacing w:val="-3"/>
        </w:rPr>
        <w:t>名。董家口万邦物流的重大财务及经营决策需要经过全体董事一致通过，本公司不能单方面对董家口万邦物流实施控制，故将董家口万</w:t>
      </w:r>
      <w:r>
        <w:rPr>
          <w:spacing w:val="-69"/>
        </w:rPr>
        <w:t> </w:t>
      </w:r>
      <w:r>
        <w:rPr>
          <w:spacing w:val="-69"/>
        </w:rPr>
      </w:r>
      <w:r>
        <w:rPr/>
        <w:t>邦物流作为合营公司核算。</w:t>
      </w:r>
    </w:p>
    <w:p>
      <w:pPr>
        <w:pStyle w:val="BodyText"/>
        <w:spacing w:line="240" w:lineRule="auto" w:before="25"/>
        <w:ind w:left="638" w:right="0"/>
        <w:jc w:val="left"/>
      </w:pPr>
      <w:r>
        <w:rPr>
          <w:rFonts w:ascii="Times New Roman" w:hAnsi="Times New Roman" w:cs="Times New Roman" w:eastAsia="Times New Roman" w:hint="default"/>
        </w:rPr>
        <w:t>(4)</w:t>
      </w: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月，港华物流已完成注销清算，长期股权投资终止确认。</w:t>
      </w:r>
    </w:p>
    <w:p>
      <w:pPr>
        <w:pStyle w:val="BodyText"/>
        <w:spacing w:line="264" w:lineRule="auto" w:before="29"/>
        <w:ind w:right="0" w:firstLine="420"/>
        <w:jc w:val="left"/>
      </w:pPr>
      <w:r>
        <w:rPr>
          <w:rFonts w:ascii="Times New Roman" w:hAnsi="Times New Roman" w:cs="Times New Roman" w:eastAsia="Times New Roman" w:hint="default"/>
        </w:rPr>
        <w:t>(5)</w:t>
      </w:r>
      <w:r>
        <w:rPr/>
        <w:t>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日，本公司之子公司青港物流与青岛中远海运物流有限公司</w:t>
      </w:r>
      <w:r>
        <w:rPr>
          <w:rFonts w:ascii="Times New Roman" w:hAnsi="Times New Roman" w:cs="Times New Roman" w:eastAsia="Times New Roman" w:hint="default"/>
        </w:rPr>
        <w:t>“</w:t>
      </w:r>
      <w:r>
        <w:rPr/>
        <w:t>中远海运物流</w:t>
      </w:r>
      <w:r>
        <w:rPr>
          <w:rFonts w:ascii="Times New Roman" w:hAnsi="Times New Roman" w:cs="Times New Roman" w:eastAsia="Times New Roman" w:hint="default"/>
        </w:rPr>
        <w:t>”</w:t>
      </w:r>
      <w:r>
        <w:rPr/>
        <w:t>共同成立港联海物流，注册资本</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万，青港物流</w:t>
      </w:r>
      <w:r>
        <w:rPr>
          <w:w w:val="100"/>
        </w:rPr>
        <w:t> </w:t>
      </w:r>
      <w:r>
        <w:rPr/>
        <w:t>持股</w:t>
      </w:r>
      <w:r>
        <w:rPr>
          <w:spacing w:val="-56"/>
        </w:rPr>
        <w:t> </w:t>
      </w:r>
      <w:r>
        <w:rPr>
          <w:rFonts w:ascii="Times New Roman" w:hAnsi="Times New Roman" w:cs="Times New Roman" w:eastAsia="Times New Roman" w:hint="default"/>
        </w:rPr>
        <w:t>50</w:t>
      </w:r>
      <w:r>
        <w:rPr/>
        <w:t>，中远海运物流持股</w:t>
      </w:r>
      <w:r>
        <w:rPr>
          <w:spacing w:val="-56"/>
        </w:rPr>
        <w:t> </w:t>
      </w:r>
      <w:r>
        <w:rPr>
          <w:rFonts w:ascii="Times New Roman" w:hAnsi="Times New Roman" w:cs="Times New Roman" w:eastAsia="Times New Roman" w:hint="default"/>
        </w:rPr>
        <w:t>50%</w:t>
      </w:r>
      <w:r>
        <w:rPr/>
        <w:t>。根据港联海公司章程，本公司在</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年及</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年仅对港联海物流具有重大影响，本公司将其作为联营公司核算。</w:t>
      </w:r>
    </w:p>
    <w:p>
      <w:pPr>
        <w:pStyle w:val="BodyText"/>
        <w:spacing w:line="240" w:lineRule="auto" w:before="7"/>
        <w:ind w:left="638" w:right="0"/>
        <w:jc w:val="left"/>
      </w:pPr>
      <w:r>
        <w:rPr>
          <w:rFonts w:ascii="Times New Roman" w:hAnsi="Times New Roman" w:cs="Times New Roman" w:eastAsia="Times New Roman" w:hint="default"/>
        </w:rPr>
        <w:t>(6)</w:t>
      </w: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日，本公司之子公司青港物流以货币资金</w:t>
      </w:r>
      <w:r>
        <w:rPr>
          <w:spacing w:val="-54"/>
        </w:rPr>
        <w:t> </w:t>
      </w:r>
      <w:r>
        <w:rPr>
          <w:rFonts w:ascii="Times New Roman" w:hAnsi="Times New Roman" w:cs="Times New Roman" w:eastAsia="Times New Roman" w:hint="default"/>
        </w:rPr>
        <w:t>128,218,100</w:t>
      </w:r>
      <w:r>
        <w:rPr>
          <w:rFonts w:ascii="Times New Roman" w:hAnsi="Times New Roman" w:cs="Times New Roman" w:eastAsia="Times New Roman" w:hint="default"/>
          <w:spacing w:val="-4"/>
        </w:rPr>
        <w:t> </w:t>
      </w:r>
      <w:r>
        <w:rPr/>
        <w:t>元受让交通运输部机关服务局持有的中联运通</w:t>
      </w:r>
      <w:r>
        <w:rPr>
          <w:spacing w:val="-53"/>
        </w:rPr>
        <w:t> </w:t>
      </w:r>
      <w:r>
        <w:rPr>
          <w:rFonts w:ascii="Times New Roman" w:hAnsi="Times New Roman" w:cs="Times New Roman" w:eastAsia="Times New Roman" w:hint="default"/>
        </w:rPr>
        <w:t>27.2%</w:t>
      </w:r>
      <w:r>
        <w:rPr/>
        <w:t>的股权，中联运通董</w:t>
      </w:r>
    </w:p>
    <w:p>
      <w:pPr>
        <w:pStyle w:val="BodyText"/>
        <w:spacing w:line="282" w:lineRule="exact" w:before="28"/>
        <w:ind w:right="0"/>
        <w:jc w:val="left"/>
        <w:rPr>
          <w:rFonts w:ascii="宋体" w:hAnsi="宋体" w:cs="宋体" w:eastAsia="宋体" w:hint="default"/>
        </w:rPr>
      </w:pPr>
      <w:r>
        <w:rPr/>
        <w:t>事会共有</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人，青港物流派驻董事</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人，对中联运通具有重大影响，本公司将其作为联营公司核算。</w:t>
      </w:r>
      <w:r>
        <w:rPr>
          <w:rFonts w:ascii="宋体" w:hAnsi="宋体" w:cs="宋体" w:eastAsia="宋体" w:hint="default"/>
        </w:rPr>
        <w:t> </w:t>
      </w:r>
    </w:p>
    <w:p>
      <w:pPr>
        <w:pStyle w:val="BodyText"/>
        <w:spacing w:line="266"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18</w:t>
      </w:r>
      <w:r>
        <w:rPr/>
        <w:t>、</w:t>
      </w:r>
      <w:r>
        <w:rPr>
          <w:spacing w:val="-21"/>
        </w:rPr>
        <w:t> </w:t>
      </w:r>
      <w:r>
        <w:rPr/>
        <w:t>其他权益工具投资</w:t>
      </w:r>
      <w:r>
        <w:rPr>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0"/>
        </w:rPr>
        <w:t> </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非交易性权益工具</w:t>
      </w:r>
      <w:r>
        <w:rPr>
          <w:spacing w:val="-3"/>
          <w:w w:val="100"/>
        </w:rPr>
        <w:t>投</w:t>
      </w:r>
      <w:r>
        <w:rPr>
          <w:w w:val="100"/>
        </w:rPr>
        <w:t>资</w:t>
      </w:r>
      <w:r>
        <w:rPr>
          <w:spacing w:val="-3"/>
          <w:w w:val="100"/>
        </w:rPr>
        <w:t>的</w:t>
      </w:r>
      <w:r>
        <w:rPr>
          <w:w w:val="100"/>
        </w:rPr>
        <w:t>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color w:val="333333"/>
        </w:rPr>
        <w:t> </w:t>
      </w:r>
      <w:r>
        <w:rPr>
          <w:rFonts w:ascii="宋体" w:hAnsi="宋体" w:cs="宋体" w:eastAsia="宋体" w:hint="default"/>
        </w:rPr>
      </w:r>
    </w:p>
    <w:p>
      <w:pPr>
        <w:pStyle w:val="BodyText"/>
        <w:spacing w:line="272" w:lineRule="exact" w:before="27"/>
        <w:ind w:right="0"/>
        <w:jc w:val="left"/>
        <w:rPr>
          <w:rFonts w:ascii="宋体" w:hAnsi="宋体" w:cs="宋体" w:eastAsia="宋体" w:hint="default"/>
        </w:rPr>
      </w:pPr>
      <w:r>
        <w:rPr>
          <w:rFonts w:ascii="宋体" w:hAnsi="宋体" w:cs="宋体" w:eastAsia="宋体" w:hint="default"/>
          <w:color w:val="333333"/>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19</w:t>
      </w:r>
      <w:r>
        <w:rPr/>
        <w:t>、</w:t>
      </w:r>
      <w:r>
        <w:rPr>
          <w:spacing w:val="-21"/>
        </w:rPr>
        <w:t> </w:t>
      </w:r>
      <w:r>
        <w:rPr/>
        <w:t>其他非流动金融资产</w:t>
      </w:r>
      <w:r>
        <w:rPr>
          <w:b w:val="0"/>
          <w:bCs w:val="0"/>
        </w:rPr>
      </w:r>
    </w:p>
    <w:p>
      <w:pPr>
        <w:pStyle w:val="BodyText"/>
        <w:spacing w:line="240" w:lineRule="auto" w:before="5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5185"/>
        <w:gridCol w:w="5381"/>
      </w:tblGrid>
      <w:tr>
        <w:trPr>
          <w:trHeight w:val="286" w:hRule="exact"/>
        </w:trPr>
        <w:tc>
          <w:tcPr>
            <w:tcW w:w="3653"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8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38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金融债券</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465,888,977</w:t>
            </w:r>
          </w:p>
        </w:tc>
        <w:tc>
          <w:tcPr>
            <w:tcW w:w="538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135,372,690</w:t>
            </w:r>
          </w:p>
        </w:tc>
      </w:tr>
      <w:tr>
        <w:trPr>
          <w:trHeight w:val="288" w:hRule="exact"/>
        </w:trPr>
        <w:tc>
          <w:tcPr>
            <w:tcW w:w="3653"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72,207,877</w:t>
            </w:r>
          </w:p>
        </w:tc>
        <w:tc>
          <w:tcPr>
            <w:tcW w:w="5381"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72,207,877</w:t>
            </w:r>
          </w:p>
        </w:tc>
      </w:tr>
    </w:tbl>
    <w:p>
      <w:pPr>
        <w:spacing w:after="0" w:line="237" w:lineRule="exact"/>
        <w:jc w:val="right"/>
        <w:rPr>
          <w:rFonts w:ascii="Times New Roman" w:hAnsi="Times New Roman" w:cs="Times New Roman" w:eastAsia="Times New Roman" w:hint="default"/>
          <w:sz w:val="21"/>
          <w:szCs w:val="21"/>
        </w:rPr>
        <w:sectPr>
          <w:pgSz w:w="16840" w:h="11910" w:orient="landscape"/>
          <w:pgMar w:header="882" w:footer="975" w:top="1120" w:bottom="116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53"/>
        <w:gridCol w:w="5185"/>
        <w:gridCol w:w="5381"/>
      </w:tblGrid>
      <w:tr>
        <w:trPr>
          <w:trHeight w:val="286" w:hRule="exact"/>
        </w:trPr>
        <w:tc>
          <w:tcPr>
            <w:tcW w:w="3653"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非保本浮动收益理财产品</w:t>
            </w:r>
          </w:p>
        </w:tc>
        <w:tc>
          <w:tcPr>
            <w:tcW w:w="51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5381" w:type="dxa"/>
            <w:tcBorders>
              <w:top w:val="single" w:sz="4"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61,000,000</w:t>
            </w:r>
          </w:p>
        </w:tc>
      </w:tr>
      <w:tr>
        <w:trPr>
          <w:trHeight w:val="286" w:hRule="exact"/>
        </w:trPr>
        <w:tc>
          <w:tcPr>
            <w:tcW w:w="3653"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185"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538,096,854</w:t>
            </w:r>
          </w:p>
        </w:tc>
        <w:tc>
          <w:tcPr>
            <w:tcW w:w="5381"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268,580,567</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75"/>
        <w:ind w:right="229" w:firstLine="420"/>
        <w:jc w:val="both"/>
      </w:pPr>
      <w:r>
        <w:rPr>
          <w:rFonts w:ascii="Times New Roman" w:hAnsi="Times New Roman" w:cs="Times New Roman" w:eastAsia="Times New Roman" w:hint="default"/>
        </w:rPr>
        <w:t>(1) </w:t>
      </w:r>
      <w:r>
        <w:rPr>
          <w:rFonts w:ascii="宋体" w:hAnsi="宋体" w:cs="宋体" w:eastAsia="宋体" w:hint="default"/>
        </w:rPr>
      </w:r>
      <w:r>
        <w:rPr/>
        <w:t>账面价值为 </w:t>
      </w:r>
      <w:r>
        <w:rPr>
          <w:rFonts w:ascii="Times New Roman" w:hAnsi="Times New Roman" w:cs="Times New Roman" w:eastAsia="Times New Roman" w:hint="default"/>
        </w:rPr>
        <w:t>465,888,977</w:t>
      </w:r>
      <w:r>
        <w:rPr>
          <w:rFonts w:ascii="Times New Roman" w:hAnsi="Times New Roman" w:cs="Times New Roman" w:eastAsia="Times New Roman" w:hint="default"/>
          <w:spacing w:val="-24"/>
        </w:rPr>
        <w:t> </w:t>
      </w:r>
      <w:r>
        <w:rPr>
          <w:spacing w:val="-4"/>
        </w:rPr>
        <w:t>元的其他非流动金融资产主要系本公司之子公司青港财务公司购买的银行金融债券。本集团经评估认为，所持款项不存在</w:t>
      </w:r>
      <w:r>
        <w:rPr>
          <w:w w:val="100"/>
        </w:rPr>
        <w:t> </w:t>
      </w:r>
      <w:r>
        <w:rPr/>
        <w:t>重大信用风险，不会因银行违约产生重大信用损失。</w:t>
      </w:r>
    </w:p>
    <w:p>
      <w:pPr>
        <w:pStyle w:val="BodyText"/>
        <w:spacing w:line="297" w:lineRule="auto" w:before="35"/>
        <w:ind w:right="248" w:firstLine="420"/>
        <w:jc w:val="both"/>
      </w:pPr>
      <w:r>
        <w:rPr>
          <w:rFonts w:ascii="Times New Roman" w:hAnsi="Times New Roman" w:cs="Times New Roman" w:eastAsia="Times New Roman" w:hint="default"/>
        </w:rPr>
        <w:t>(2) </w:t>
      </w:r>
      <w:r>
        <w:rPr>
          <w:rFonts w:ascii="宋体" w:hAnsi="宋体" w:cs="宋体" w:eastAsia="宋体" w:hint="default"/>
        </w:rPr>
      </w:r>
      <w:r>
        <w:rPr/>
        <w:t>账面价值为 </w:t>
      </w:r>
      <w:r>
        <w:rPr>
          <w:rFonts w:ascii="Times New Roman" w:hAnsi="Times New Roman" w:cs="Times New Roman" w:eastAsia="Times New Roman" w:hint="default"/>
        </w:rPr>
        <w:t>72,207,877</w:t>
      </w:r>
      <w:r>
        <w:rPr>
          <w:rFonts w:ascii="Times New Roman" w:hAnsi="Times New Roman" w:cs="Times New Roman" w:eastAsia="Times New Roman" w:hint="default"/>
          <w:spacing w:val="-9"/>
        </w:rPr>
        <w:t> </w:t>
      </w:r>
      <w:r>
        <w:rPr/>
        <w:t>元的股权投资系本集团持有的山东滨海弘润管道物流股份有限公司、中国石化青岛液化天然气有限责任公司</w:t>
      </w:r>
      <w:r>
        <w:rPr>
          <w:rFonts w:ascii="Times New Roman" w:hAnsi="Times New Roman" w:cs="Times New Roman" w:eastAsia="Times New Roman" w:hint="default"/>
        </w:rPr>
        <w:t>(“</w:t>
      </w:r>
      <w:r>
        <w:rPr/>
        <w:t>中石化青岛</w:t>
      </w:r>
      <w:r>
        <w:rPr>
          <w:w w:val="100"/>
        </w:rPr>
        <w:t> </w:t>
      </w:r>
      <w:r>
        <w:rPr>
          <w:spacing w:val="-2"/>
        </w:rPr>
        <w:t>液化天然气</w:t>
      </w:r>
      <w:r>
        <w:rPr>
          <w:rFonts w:ascii="Times New Roman" w:hAnsi="Times New Roman" w:cs="Times New Roman" w:eastAsia="Times New Roman" w:hint="default"/>
          <w:spacing w:val="-2"/>
        </w:rPr>
        <w:t>”)</w:t>
      </w:r>
      <w:r>
        <w:rPr>
          <w:spacing w:val="-2"/>
        </w:rPr>
        <w:t>及三亚亚龙湾开发股份公司</w:t>
      </w:r>
      <w:r>
        <w:rPr>
          <w:rFonts w:ascii="Times New Roman" w:hAnsi="Times New Roman" w:cs="Times New Roman" w:eastAsia="Times New Roman" w:hint="default"/>
          <w:spacing w:val="-2"/>
        </w:rPr>
        <w:t>(“</w:t>
      </w:r>
      <w:r>
        <w:rPr>
          <w:spacing w:val="-2"/>
        </w:rPr>
        <w:t>三亚亚龙湾</w:t>
      </w:r>
      <w:r>
        <w:rPr>
          <w:rFonts w:ascii="Times New Roman" w:hAnsi="Times New Roman" w:cs="Times New Roman" w:eastAsia="Times New Roman" w:hint="default"/>
          <w:spacing w:val="-2"/>
        </w:rPr>
        <w:t>”)</w:t>
      </w:r>
      <w:r>
        <w:rPr>
          <w:spacing w:val="-2"/>
        </w:rPr>
        <w:t>等非上市股权投资，持股比例分别为</w:t>
      </w:r>
      <w:r>
        <w:rPr/>
        <w:t>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1%</w:t>
      </w:r>
      <w:r>
        <w:rPr>
          <w:spacing w:val="-2"/>
        </w:rPr>
        <w:t>及</w:t>
      </w:r>
      <w:r>
        <w:rPr/>
        <w:t> </w:t>
      </w:r>
      <w:r>
        <w:rPr>
          <w:rFonts w:ascii="Times New Roman" w:hAnsi="Times New Roman" w:cs="Times New Roman" w:eastAsia="Times New Roman" w:hint="default"/>
          <w:spacing w:val="-2"/>
        </w:rPr>
        <w:t>0.06%</w:t>
      </w:r>
      <w:r>
        <w:rPr>
          <w:spacing w:val="-2"/>
        </w:rPr>
        <w:t>，本集团对其无控制权、共同控制权或重</w:t>
      </w:r>
      <w:r>
        <w:rPr>
          <w:spacing w:val="-80"/>
        </w:rPr>
        <w:t> </w:t>
      </w:r>
      <w:r>
        <w:rPr>
          <w:spacing w:val="-80"/>
        </w:rPr>
      </w:r>
      <w:r>
        <w:rPr>
          <w:spacing w:val="-2"/>
        </w:rPr>
        <w:t>大影响。本集团尚无处置这些投资的计划，其公允价值变动计入当期损益。于</w:t>
      </w:r>
      <w:r>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spacing w:val="-2"/>
        </w:rPr>
        <w:t>年度，本公司收到中石化青岛液化天然气及三亚亚龙湾现金分红分别</w:t>
      </w:r>
    </w:p>
    <w:p>
      <w:pPr>
        <w:pStyle w:val="BodyText"/>
        <w:spacing w:line="287" w:lineRule="exact" w:before="13"/>
        <w:ind w:right="0"/>
        <w:jc w:val="left"/>
      </w:pPr>
      <w:r>
        <w:rPr/>
        <w:t>为</w:t>
      </w:r>
      <w:r>
        <w:rPr>
          <w:spacing w:val="-54"/>
        </w:rPr>
        <w:t> </w:t>
      </w:r>
      <w:r>
        <w:rPr>
          <w:rFonts w:ascii="Times New Roman" w:hAnsi="Times New Roman" w:cs="Times New Roman" w:eastAsia="Times New Roman" w:hint="default"/>
        </w:rPr>
        <w:t>11,214,100</w:t>
      </w:r>
      <w:r>
        <w:rPr>
          <w:rFonts w:ascii="Times New Roman" w:hAnsi="Times New Roman" w:cs="Times New Roman" w:eastAsia="Times New Roman" w:hint="default"/>
          <w:spacing w:val="-1"/>
        </w:rPr>
        <w:t> </w:t>
      </w:r>
      <w:r>
        <w:rPr/>
        <w:t>元及</w:t>
      </w:r>
      <w:r>
        <w:rPr>
          <w:spacing w:val="-54"/>
        </w:rPr>
        <w:t> </w:t>
      </w:r>
      <w:r>
        <w:rPr>
          <w:rFonts w:ascii="Times New Roman" w:hAnsi="Times New Roman" w:cs="Times New Roman" w:eastAsia="Times New Roman" w:hint="default"/>
        </w:rPr>
        <w:t>58,500</w:t>
      </w:r>
      <w:r>
        <w:rPr>
          <w:rFonts w:ascii="Times New Roman" w:hAnsi="Times New Roman" w:cs="Times New Roman" w:eastAsia="Times New Roman" w:hint="default"/>
          <w:spacing w:val="-4"/>
        </w:rPr>
        <w:t> </w:t>
      </w:r>
      <w:r>
        <w:rPr/>
        <w:t>元</w:t>
      </w:r>
      <w:r>
        <w:rPr>
          <w:spacing w:val="-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3,640,000</w:t>
      </w:r>
      <w:r>
        <w:rPr>
          <w:rFonts w:ascii="Times New Roman" w:hAnsi="Times New Roman" w:cs="Times New Roman" w:eastAsia="Times New Roman" w:hint="default"/>
          <w:spacing w:val="-4"/>
        </w:rPr>
        <w:t> </w:t>
      </w:r>
      <w:r>
        <w:rPr/>
        <w:t>元及</w:t>
      </w:r>
      <w:r>
        <w:rPr>
          <w:spacing w:val="-54"/>
        </w:rPr>
        <w:t> </w:t>
      </w:r>
      <w:r>
        <w:rPr>
          <w:rFonts w:ascii="Times New Roman" w:hAnsi="Times New Roman" w:cs="Times New Roman" w:eastAsia="Times New Roman" w:hint="default"/>
        </w:rPr>
        <w:t>58,500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p>
    <w:p>
      <w:pPr>
        <w:pStyle w:val="BodyText"/>
        <w:spacing w:line="271" w:lineRule="exact"/>
        <w:ind w:right="0"/>
        <w:jc w:val="left"/>
        <w:rPr>
          <w:rFonts w:ascii="宋体" w:hAnsi="宋体" w:cs="宋体" w:eastAsia="宋体" w:hint="default"/>
        </w:rPr>
      </w:pPr>
      <w:r>
        <w:rPr>
          <w:rFonts w:ascii="宋体"/>
          <w:w w:val="100"/>
        </w:rPr>
        <w:t> </w:t>
      </w:r>
    </w:p>
    <w:p>
      <w:pPr>
        <w:spacing w:line="290" w:lineRule="auto" w:before="56"/>
        <w:ind w:left="218" w:right="12027"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47"/>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sz w:val="21"/>
          <w:szCs w:val="21"/>
        </w:rPr>
        <w:t> </w:t>
      </w:r>
    </w:p>
    <w:p>
      <w:pPr>
        <w:pStyle w:val="Heading5"/>
        <w:tabs>
          <w:tab w:pos="1058" w:val="left" w:leader="none"/>
        </w:tabs>
        <w:spacing w:line="240" w:lineRule="auto" w:before="12"/>
        <w:ind w:right="0"/>
        <w:jc w:val="left"/>
        <w:rPr>
          <w:rFonts w:ascii="宋体" w:hAnsi="宋体" w:cs="宋体" w:eastAsia="宋体" w:hint="default"/>
          <w:b w:val="0"/>
          <w:bCs w:val="0"/>
        </w:rPr>
      </w:pPr>
      <w:r>
        <w:rPr>
          <w:rFonts w:ascii="宋体" w:hAnsi="宋体" w:cs="宋体" w:eastAsia="宋体" w:hint="default"/>
          <w:w w:val="95"/>
        </w:rPr>
        <w:t>(1).</w:t>
        <w:tab/>
      </w:r>
      <w:r>
        <w:rPr/>
        <w:t>采用成本计量模式的投资性房地产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1"/>
        <w:gridCol w:w="3240"/>
        <w:gridCol w:w="3241"/>
        <w:gridCol w:w="3238"/>
      </w:tblGrid>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3240"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38,250,915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175,111,934</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213,362,849</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6,560,347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6,560,347</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在建工程转入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6,560,347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6,560,347</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14,691,302</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14,691,302</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）其他转出</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14,691,302</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14,691,302</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44,811,262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160,420,632</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205,231,894</w:t>
            </w:r>
          </w:p>
        </w:tc>
      </w:tr>
      <w:tr>
        <w:trPr>
          <w:trHeight w:val="284"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3240"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6,563,368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17,962,905</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24,526,273</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1,862,029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3,240,266</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5,102,295</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1,357,424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3,240,266</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4,597,690</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）固定资产转入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504,605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504,605</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82" w:footer="975" w:top="1120" w:bottom="116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501"/>
        <w:gridCol w:w="3240"/>
        <w:gridCol w:w="3241"/>
        <w:gridCol w:w="3238"/>
      </w:tblGrid>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1,491,559</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1,491,559</w:t>
            </w: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1,491,559</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1,491,559</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8,425,397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19,711,612</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28,137,009</w:t>
            </w: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3240"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3240"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
        </w:tc>
        <w:tc>
          <w:tcPr>
            <w:tcW w:w="32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36,385,865</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140,709,020</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177,094,885</w:t>
            </w:r>
          </w:p>
        </w:tc>
      </w:tr>
      <w:tr>
        <w:trPr>
          <w:trHeight w:val="302"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31,687,547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157,149,029</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188,836,576</w:t>
            </w:r>
          </w:p>
        </w:tc>
      </w:tr>
    </w:tbl>
    <w:p>
      <w:pPr>
        <w:spacing w:after="0" w:line="237" w:lineRule="exact"/>
        <w:jc w:val="right"/>
        <w:rPr>
          <w:rFonts w:ascii="Times New Roman" w:hAnsi="Times New Roman" w:cs="Times New Roman" w:eastAsia="Times New Roman" w:hint="default"/>
          <w:sz w:val="21"/>
          <w:szCs w:val="21"/>
        </w:rPr>
        <w:sectPr>
          <w:pgSz w:w="16840" w:h="11910" w:orient="landscape"/>
          <w:pgMar w:header="882" w:footer="975"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0"/>
        </w:rPr>
        <w:t> </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4180" w:space="751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52"/>
        <w:gridCol w:w="5185"/>
        <w:gridCol w:w="5182"/>
      </w:tblGrid>
      <w:tr>
        <w:trPr>
          <w:trHeight w:val="283" w:hRule="exact"/>
        </w:trPr>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5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39"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r>
              <w:rPr>
                <w:rFonts w:ascii="宋体" w:hAnsi="宋体" w:cs="宋体" w:eastAsia="宋体" w:hint="default"/>
                <w:sz w:val="21"/>
                <w:szCs w:val="21"/>
              </w:rPr>
              <w:t> </w:t>
            </w:r>
          </w:p>
        </w:tc>
      </w:tr>
      <w:tr>
        <w:trPr>
          <w:trHeight w:val="283" w:hRule="exact"/>
        </w:trPr>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房屋及土地使用权</w:t>
            </w:r>
            <w:r>
              <w:rPr>
                <w:rFonts w:ascii="宋体" w:hAnsi="宋体" w:cs="宋体" w:eastAsia="宋体" w:hint="default"/>
                <w:sz w:val="21"/>
                <w:szCs w:val="21"/>
              </w:rPr>
              <w:t> </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6,055,742</w:t>
            </w:r>
          </w:p>
        </w:tc>
        <w:tc>
          <w:tcPr>
            <w:tcW w:w="5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房产位于非自有土地上</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160" w:left="1200" w:right="11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left="17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90" w:lineRule="auto" w:before="59"/>
        <w:ind w:right="0"/>
        <w:jc w:val="left"/>
        <w:rPr>
          <w:rFonts w:ascii="宋体" w:hAnsi="宋体" w:cs="宋体" w:eastAsia="宋体" w:hint="default"/>
          <w:b w:val="0"/>
          <w:bCs w:val="0"/>
        </w:rPr>
      </w:pPr>
      <w:r>
        <w:rPr>
          <w:rFonts w:ascii="宋体" w:hAnsi="宋体" w:cs="宋体" w:eastAsia="宋体" w:hint="default"/>
        </w:rPr>
        <w:t>21</w:t>
      </w:r>
      <w:r>
        <w:rPr/>
        <w:t>、</w:t>
      </w:r>
      <w:r>
        <w:rPr>
          <w:spacing w:val="-25"/>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175"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2005" w:space="9731"/>
            <w:col w:w="272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52"/>
        <w:gridCol w:w="5185"/>
        <w:gridCol w:w="5182"/>
      </w:tblGrid>
      <w:tr>
        <w:trPr>
          <w:trHeight w:val="281" w:hRule="exact"/>
        </w:trPr>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6"/>
              <w:jc w:val="right"/>
              <w:rPr>
                <w:rFonts w:ascii="宋体" w:hAnsi="宋体" w:cs="宋体" w:eastAsia="宋体" w:hint="default"/>
                <w:sz w:val="21"/>
                <w:szCs w:val="21"/>
              </w:rPr>
            </w:pPr>
            <w:r>
              <w:rPr>
                <w:rFonts w:ascii="宋体" w:hAnsi="宋体" w:cs="宋体" w:eastAsia="宋体" w:hint="default"/>
                <w:sz w:val="21"/>
                <w:szCs w:val="21"/>
              </w:rPr>
              <w:t>项目</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14,341,335,334</w:t>
            </w:r>
          </w:p>
        </w:tc>
        <w:tc>
          <w:tcPr>
            <w:tcW w:w="5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13,548,722,113</w:t>
            </w:r>
          </w:p>
        </w:tc>
      </w:tr>
      <w:tr>
        <w:trPr>
          <w:trHeight w:val="283" w:hRule="exact"/>
        </w:trPr>
        <w:tc>
          <w:tcPr>
            <w:tcW w:w="3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6"/>
              <w:jc w:val="right"/>
              <w:rPr>
                <w:rFonts w:ascii="宋体" w:hAnsi="宋体" w:cs="宋体" w:eastAsia="宋体" w:hint="default"/>
                <w:sz w:val="21"/>
                <w:szCs w:val="21"/>
              </w:rPr>
            </w:pPr>
            <w:r>
              <w:rPr>
                <w:rFonts w:ascii="宋体" w:hAnsi="宋体" w:cs="宋体" w:eastAsia="宋体" w:hint="default"/>
                <w:sz w:val="21"/>
                <w:szCs w:val="21"/>
              </w:rPr>
              <w:t>合计</w:t>
            </w:r>
          </w:p>
        </w:tc>
        <w:tc>
          <w:tcPr>
            <w:tcW w:w="51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14,341,335,334</w:t>
            </w:r>
          </w:p>
        </w:tc>
        <w:tc>
          <w:tcPr>
            <w:tcW w:w="5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13,548,722,113</w:t>
            </w:r>
          </w:p>
        </w:tc>
      </w:tr>
    </w:tbl>
    <w:p>
      <w:pPr>
        <w:pStyle w:val="Heading5"/>
        <w:spacing w:line="239"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tabs>
          <w:tab w:pos="1058" w:val="left" w:leader="none"/>
        </w:tabs>
        <w:spacing w:line="290" w:lineRule="auto" w:before="0"/>
        <w:ind w:left="218" w:right="1202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sectPr>
      </w:pPr>
    </w:p>
    <w:p>
      <w:pPr>
        <w:spacing w:line="240" w:lineRule="auto" w:before="0"/>
        <w:rPr>
          <w:rFonts w:ascii="宋体" w:hAnsi="宋体" w:cs="宋体" w:eastAsia="宋体" w:hint="default"/>
          <w:sz w:val="20"/>
          <w:szCs w:val="20"/>
        </w:rPr>
      </w:pPr>
    </w:p>
    <w:p>
      <w:pPr>
        <w:pStyle w:val="BodyText"/>
        <w:spacing w:line="240" w:lineRule="auto" w:before="168"/>
        <w:ind w:left="0" w:right="208"/>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96"/>
        <w:gridCol w:w="1133"/>
        <w:gridCol w:w="1419"/>
        <w:gridCol w:w="1274"/>
        <w:gridCol w:w="1277"/>
        <w:gridCol w:w="1136"/>
        <w:gridCol w:w="1274"/>
        <w:gridCol w:w="1135"/>
        <w:gridCol w:w="1275"/>
        <w:gridCol w:w="1135"/>
        <w:gridCol w:w="1416"/>
      </w:tblGrid>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房屋及建筑</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港务设施</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库场设施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装卸搬运设</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船舶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通信设施</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办公及其他</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586,623,108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9,332,275,041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5,171,491,552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2,772,222,189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799,174,384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1,472,736,470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115,314,438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160,220,359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72,283,098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20,482,340,639</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243,702,202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1,044,763,845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145,397,283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114,880,387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34,970,933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2,427,601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9,218,500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14,409,812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6,772,088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1,616,542,651</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1,354,253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7,776,080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68,509,026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29,525,605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9,218,500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7,579,309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6,772,088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130,734,861</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243,702,202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978,589,602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126,624,676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38,238,190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5,445,328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2,427,601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6,830,503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1,401,858,102</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）使用权资产转入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64,819,990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10,996,527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8,133,171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83,949,688</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11,755,760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14,997,453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86,691,056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12,352,405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4,139,936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4,545,030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1,884,024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18"/>
                <w:szCs w:val="18"/>
              </w:rPr>
            </w:pPr>
            <w:r>
              <w:rPr>
                <w:rFonts w:ascii="Times New Roman"/>
                <w:spacing w:val="-1"/>
                <w:sz w:val="18"/>
              </w:rPr>
              <w:t>1,031,963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137,397,627</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5,195,413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479,845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167,569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12,352,405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4,139,936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4,545,030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1,884,024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1,031,963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29,796,185</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）转出至投资性房地产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6,560,347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6,560,347</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14,517,608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86,523,487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101,041,095</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818,569,550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10,362,041,433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5,230,197,779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2,874,750,171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830,005,381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1,475,164,071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119,987,908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172,746,147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78,023,223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21,961,485,663</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210,474,790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2,097,623,667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849,046,362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2,359,259,227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572,906,141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627,782,842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79,259,628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100,503,086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36,762,783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6,933,618,526</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22,010,915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245,325,568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188,134,677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106,414,690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51,812,892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63,770,287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7,865,209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22,175,034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4,176,826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711,686,098</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22,010,915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240,982,628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185,979,358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104,580,649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51,812,892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63,770,287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7,865,209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22,175,034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4,176,826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703,353,798</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）使用权资产转入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4,342,940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2,155,319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1,834,041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8,332,300</w:t>
            </w:r>
          </w:p>
        </w:tc>
      </w:tr>
      <w:tr>
        <w:trPr>
          <w:trHeight w:val="2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948,002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792,462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3,471,079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10,455,258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3,750,905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3,809,800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1,018,365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908,424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25,154,295</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443,397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34,841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47,716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10,455,258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3,750,905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3,809,800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1,018,365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7"/>
              <w:jc w:val="right"/>
              <w:rPr>
                <w:rFonts w:ascii="Times New Roman" w:hAnsi="Times New Roman" w:cs="Times New Roman" w:eastAsia="Times New Roman" w:hint="default"/>
                <w:sz w:val="18"/>
                <w:szCs w:val="18"/>
              </w:rPr>
            </w:pPr>
            <w:r>
              <w:rPr>
                <w:rFonts w:ascii="Times New Roman"/>
                <w:spacing w:val="-1"/>
                <w:sz w:val="18"/>
              </w:rPr>
              <w:t>908,424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20,468,706</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）转出至投资性房地产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504,605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504,605</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757,621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3,423,363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4,180,984</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231,537,703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2,342,156,773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1,033,709,960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2,455,218,659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620,968,128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691,553,129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83,315,037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121,659,755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40,031,185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7,620,150,329</w:t>
            </w: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587,031,847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8,019,884,660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4,196,487,819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419,531,512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209,037,253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783,610,942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36,672,871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51,086,392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8"/>
                <w:szCs w:val="18"/>
              </w:rPr>
            </w:pPr>
            <w:r>
              <w:rPr>
                <w:rFonts w:ascii="Times New Roman"/>
                <w:spacing w:val="-1"/>
                <w:sz w:val="18"/>
              </w:rPr>
              <w:t>37,992,038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14,341,335,334</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376,148,318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7,234,651,374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4,322,445,190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412,962,962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226,268,243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844,953,628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36,054,810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59,717,273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35,520,315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13,548,722,113</w:t>
            </w:r>
          </w:p>
        </w:tc>
      </w:tr>
    </w:tbl>
    <w:p>
      <w:pPr>
        <w:pStyle w:val="BodyText"/>
        <w:spacing w:line="314" w:lineRule="auto" w:before="42"/>
        <w:ind w:left="1078" w:right="0" w:firstLine="420"/>
        <w:jc w:val="left"/>
        <w:rPr>
          <w:rFonts w:ascii="宋体" w:hAnsi="宋体" w:cs="宋体" w:eastAsia="宋体" w:hint="default"/>
        </w:rPr>
      </w:pPr>
      <w:r>
        <w:rPr>
          <w:spacing w:val="-5"/>
          <w:w w:val="100"/>
        </w:rPr>
        <w:t>本集团于以前年度获取了青岛港部分青岛董家口港区海域使用权并进行了土地回填，相应填海造地成本及海域使用权出让金分别计入“固定资产</w:t>
      </w:r>
      <w:r>
        <w:rPr>
          <w:spacing w:val="-4"/>
          <w:w w:val="100"/>
        </w:rPr>
        <w:t> </w:t>
      </w:r>
      <w:r>
        <w:rPr>
          <w:rFonts w:ascii="宋体" w:hAnsi="宋体" w:cs="宋体" w:eastAsia="宋体" w:hint="default"/>
          <w:spacing w:val="-4"/>
          <w:w w:val="100"/>
        </w:rPr>
      </w:r>
      <w:r>
        <w:rPr>
          <w:rFonts w:ascii="宋体" w:hAnsi="宋体" w:cs="宋体" w:eastAsia="宋体" w:hint="default"/>
          <w:spacing w:val="-3"/>
          <w:w w:val="100"/>
        </w:rPr>
        <w:t>-</w:t>
      </w:r>
      <w:r>
        <w:rPr>
          <w:rFonts w:ascii="宋体" w:hAnsi="宋体" w:cs="宋体" w:eastAsia="宋体" w:hint="default"/>
          <w:spacing w:val="35"/>
          <w:w w:val="100"/>
        </w:rPr>
        <w:t> </w:t>
      </w:r>
      <w:r>
        <w:rPr>
          <w:w w:val="100"/>
        </w:rPr>
        <w:t>港 </w:t>
      </w:r>
      <w:r>
        <w:rPr/>
        <w:t>务设施”、“固定资产 </w:t>
      </w:r>
      <w:r>
        <w:rPr>
          <w:rFonts w:ascii="宋体" w:hAnsi="宋体" w:cs="宋体" w:eastAsia="宋体" w:hint="default"/>
        </w:rPr>
      </w:r>
      <w:r>
        <w:rPr>
          <w:rFonts w:ascii="宋体" w:hAnsi="宋体" w:cs="宋体" w:eastAsia="宋体" w:hint="default"/>
          <w:spacing w:val="-3"/>
        </w:rPr>
        <w:t>- </w:t>
      </w:r>
      <w:r>
        <w:rPr/>
        <w:t>库场设施”“固定资产 </w:t>
      </w:r>
      <w:r>
        <w:rPr>
          <w:rFonts w:ascii="宋体" w:hAnsi="宋体" w:cs="宋体" w:eastAsia="宋体" w:hint="default"/>
        </w:rPr>
      </w:r>
      <w:r>
        <w:rPr/>
        <w:t>”、“在建工程”及“无形资产 </w:t>
      </w:r>
      <w:r>
        <w:rPr>
          <w:rFonts w:ascii="宋体" w:hAnsi="宋体" w:cs="宋体" w:eastAsia="宋体" w:hint="default"/>
        </w:rPr>
      </w:r>
      <w:r>
        <w:rPr>
          <w:rFonts w:ascii="宋体" w:hAnsi="宋体" w:cs="宋体" w:eastAsia="宋体" w:hint="default"/>
          <w:spacing w:val="-3"/>
        </w:rPr>
        <w:t>- </w:t>
      </w:r>
      <w:r>
        <w:rPr/>
        <w:t>海域使用权”，并已取得上述区域的土地使用权证。于 </w:t>
      </w:r>
      <w:r>
        <w:rPr>
          <w:rFonts w:ascii="宋体" w:hAnsi="宋体" w:cs="宋体" w:eastAsia="宋体" w:hint="default"/>
        </w:rPr>
        <w:t>2019</w:t>
      </w:r>
      <w:r>
        <w:rPr>
          <w:rFonts w:ascii="宋体" w:hAnsi="宋体" w:cs="宋体" w:eastAsia="宋体" w:hint="default"/>
          <w:spacing w:val="-76"/>
        </w:rPr>
        <w:t> </w:t>
      </w:r>
      <w:r>
        <w:rPr/>
        <w:t>年度，</w:t>
      </w:r>
      <w:r>
        <w:rPr>
          <w:w w:val="100"/>
        </w:rPr>
        <w:t> </w:t>
      </w:r>
      <w:r>
        <w:rPr>
          <w:spacing w:val="-3"/>
        </w:rPr>
        <w:t>本集团收到土地回填补偿款。本集团与青岛市黄岛区国土资源和房屋管理局</w:t>
      </w:r>
      <w:r>
        <w:rPr>
          <w:rFonts w:ascii="宋体" w:hAnsi="宋体" w:cs="宋体" w:eastAsia="宋体" w:hint="default"/>
          <w:spacing w:val="-3"/>
        </w:rPr>
        <w:t>(</w:t>
      </w:r>
      <w:r>
        <w:rPr>
          <w:spacing w:val="-3"/>
        </w:rPr>
        <w:t>以下简称“国土资源局”)签署了《收回填海土地协议书》。根据该协议，国</w:t>
      </w:r>
      <w:r>
        <w:rPr>
          <w:spacing w:val="15"/>
        </w:rPr>
        <w:t> </w:t>
      </w:r>
      <w:r>
        <w:rPr>
          <w:spacing w:val="15"/>
        </w:rPr>
      </w:r>
      <w:r>
        <w:rPr/>
        <w:t>土资源局将收回本集团已回填的海域使用权并转换成土地使用权出让予本集团，因此另外征收土地出让金并对本集团的填海造地成本予以补偿。于</w:t>
      </w:r>
      <w:r>
        <w:rPr>
          <w:spacing w:val="-56"/>
        </w:rPr>
        <w:t> </w:t>
      </w:r>
      <w:r>
        <w:rPr>
          <w:rFonts w:ascii="宋体" w:hAnsi="宋体" w:cs="宋体" w:eastAsia="宋体" w:hint="default"/>
        </w:rPr>
        <w:t>2019</w:t>
      </w:r>
      <w:r>
        <w:rPr>
          <w:rFonts w:ascii="宋体" w:hAnsi="宋体" w:cs="宋体" w:eastAsia="宋体" w:hint="default"/>
          <w:w w:val="100"/>
        </w:rPr>
        <w:t> </w:t>
      </w:r>
      <w:r>
        <w:rPr/>
        <w:t>年度，本集团已取得上述区域的土地使用权证并收到返还的填海造地成本。</w:t>
      </w:r>
      <w:r>
        <w:rPr>
          <w:rFonts w:ascii="宋体" w:hAnsi="宋体" w:cs="宋体" w:eastAsia="宋体" w:hint="default"/>
        </w:rPr>
        <w:t> </w:t>
      </w:r>
    </w:p>
    <w:p>
      <w:pPr>
        <w:spacing w:after="0" w:line="314" w:lineRule="auto"/>
        <w:jc w:val="left"/>
        <w:rPr>
          <w:rFonts w:ascii="宋体" w:hAnsi="宋体" w:cs="宋体" w:eastAsia="宋体" w:hint="default"/>
        </w:rPr>
        <w:sectPr>
          <w:pgSz w:w="16840" w:h="11910" w:orient="landscape"/>
          <w:pgMar w:header="882" w:footer="975" w:top="1120" w:bottom="1160" w:left="340" w:right="1100"/>
        </w:sectPr>
      </w:pPr>
    </w:p>
    <w:p>
      <w:pPr>
        <w:spacing w:before="28"/>
        <w:ind w:left="0" w:right="37"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56.1pt;height:.75pt;mso-position-horizontal-relative:char;mso-position-vertical-relative:line" coordorigin="0,0" coordsize="9122,15">
            <v:group style="position:absolute;left:7;top:7;width:9107;height:2" coordorigin="7,7" coordsize="9107,2">
              <v:shape style="position:absolute;left:7;top:7;width:9107;height:2" coordorigin="7,7" coordsize="9107,0" path="m7,7l9114,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77"/>
          <w:footerReference w:type="default" r:id="rId78"/>
          <w:pgSz w:w="11910" w:h="16840"/>
          <w:pgMar w:header="0" w:footer="0" w:top="780" w:bottom="280" w:left="1200" w:right="118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4326" w:space="2433"/>
            <w:col w:w="27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48"/>
        <w:gridCol w:w="5139"/>
      </w:tblGrid>
      <w:tr>
        <w:trPr>
          <w:trHeight w:val="283"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r>
      <w:tr>
        <w:trPr>
          <w:trHeight w:val="283"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19,029,849</w:t>
            </w:r>
          </w:p>
        </w:tc>
      </w:tr>
      <w:tr>
        <w:trPr>
          <w:trHeight w:val="281"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r>
              <w:rPr>
                <w:rFonts w:ascii="宋体" w:hAnsi="宋体" w:cs="宋体" w:eastAsia="宋体" w:hint="default"/>
                <w:sz w:val="21"/>
                <w:szCs w:val="21"/>
              </w:rPr>
              <w:t> </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1,824,969,079</w:t>
            </w:r>
          </w:p>
        </w:tc>
      </w:tr>
      <w:tr>
        <w:trPr>
          <w:trHeight w:val="283"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r>
              <w:rPr>
                <w:rFonts w:ascii="宋体" w:hAnsi="宋体" w:cs="宋体" w:eastAsia="宋体" w:hint="default"/>
                <w:sz w:val="21"/>
                <w:szCs w:val="21"/>
              </w:rPr>
              <w:t> </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786,823,748</w:t>
            </w:r>
          </w:p>
        </w:tc>
      </w:tr>
      <w:tr>
        <w:trPr>
          <w:trHeight w:val="283"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7,729</w:t>
            </w:r>
          </w:p>
        </w:tc>
      </w:tr>
      <w:tr>
        <w:trPr>
          <w:trHeight w:val="281" w:hRule="exact"/>
        </w:trPr>
        <w:tc>
          <w:tcPr>
            <w:tcW w:w="4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51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2,630,830,405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color w:val="FF0000"/>
          <w:w w:val="100"/>
        </w:rPr>
        <w:t> </w:t>
      </w:r>
      <w:r>
        <w:rPr>
          <w:rFonts w:ascii="宋体"/>
          <w:w w:val="100"/>
        </w:rPr>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(5).</w:t>
        <w:tab/>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4118" w:space="2642"/>
            <w:col w:w="277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45"/>
        <w:gridCol w:w="3039"/>
        <w:gridCol w:w="3303"/>
      </w:tblGrid>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房地产权证</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9,122,178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房产位于非自有土地上</w:t>
            </w:r>
            <w:r>
              <w:rPr>
                <w:rFonts w:ascii="宋体" w:hAnsi="宋体" w:cs="宋体" w:eastAsia="宋体" w:hint="default"/>
                <w:sz w:val="21"/>
                <w:szCs w:val="21"/>
              </w:rPr>
              <w:t> </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房地产权证</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242,371,578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尚未办理工程竣工财务决算</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before="1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638" w:right="0"/>
        <w:jc w:val="left"/>
        <w:rPr>
          <w:rFonts w:ascii="宋体" w:hAnsi="宋体" w:cs="宋体" w:eastAsia="宋体" w:hint="default"/>
        </w:rPr>
      </w:pP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日，本集团管理层认为固定资产不存在减值迹象，无需计提减值准备。</w:t>
      </w:r>
      <w:r>
        <w:rPr>
          <w:rFonts w:ascii="宋体" w:hAnsi="宋体" w:cs="宋体" w:eastAsia="宋体" w:hint="default"/>
        </w:rPr>
        <w:t> </w:t>
      </w:r>
    </w:p>
    <w:p>
      <w:pPr>
        <w:spacing w:after="0" w:line="290" w:lineRule="exact"/>
        <w:jc w:val="left"/>
        <w:rPr>
          <w:rFonts w:ascii="宋体" w:hAnsi="宋体" w:cs="宋体" w:eastAsia="宋体" w:hint="default"/>
        </w:rPr>
        <w:sectPr>
          <w:type w:val="continuous"/>
          <w:pgSz w:w="11910" w:h="16840"/>
          <w:pgMar w:top="1120" w:bottom="1160" w:left="1200" w:right="1180"/>
        </w:sectPr>
      </w:pPr>
    </w:p>
    <w:p>
      <w:pPr>
        <w:pStyle w:val="BodyText"/>
        <w:spacing w:line="255"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90" w:lineRule="auto"/>
        <w:ind w:right="0"/>
        <w:jc w:val="left"/>
        <w:rPr>
          <w:rFonts w:ascii="宋体" w:hAnsi="宋体" w:cs="宋体" w:eastAsia="宋体" w:hint="default"/>
          <w:b w:val="0"/>
          <w:bCs w:val="0"/>
        </w:rPr>
      </w:pPr>
      <w:r>
        <w:rPr>
          <w:rFonts w:ascii="宋体" w:hAnsi="宋体" w:cs="宋体" w:eastAsia="宋体" w:hint="default"/>
        </w:rPr>
        <w:t>22</w:t>
      </w:r>
      <w:r>
        <w:rPr/>
        <w:t>、</w:t>
      </w:r>
      <w:r>
        <w:rPr>
          <w:spacing w:val="-4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005" w:space="4754"/>
            <w:col w:w="2771"/>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93"/>
        <w:gridCol w:w="2933"/>
        <w:gridCol w:w="3171"/>
      </w:tblGrid>
      <w:tr>
        <w:trPr>
          <w:trHeight w:val="28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2,510,614,143</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1"/>
              <w:jc w:val="right"/>
              <w:rPr>
                <w:rFonts w:ascii="Times New Roman" w:hAnsi="Times New Roman" w:cs="Times New Roman" w:eastAsia="Times New Roman" w:hint="default"/>
                <w:sz w:val="21"/>
                <w:szCs w:val="21"/>
              </w:rPr>
            </w:pPr>
            <w:r>
              <w:rPr>
                <w:rFonts w:ascii="Times New Roman"/>
                <w:spacing w:val="-1"/>
                <w:sz w:val="21"/>
              </w:rPr>
              <w:t>2,041,219,210</w:t>
            </w:r>
          </w:p>
        </w:tc>
      </w:tr>
      <w:tr>
        <w:trPr>
          <w:trHeight w:val="28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2,510,614,143</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2,041,219,210</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63"/>
        <w:ind w:left="0" w:right="16" w:firstLine="0"/>
        <w:jc w:val="center"/>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160" w:left="1200" w:right="11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9"/>
          <w:footerReference w:type="default" r:id="rId80"/>
          <w:pgSz w:w="16840" w:h="11910" w:orient="landscape"/>
          <w:pgMar w:header="882" w:footer="975" w:top="1120" w:bottom="1160" w:left="980" w:right="880"/>
          <w:pgNumType w:start="161"/>
        </w:sectPr>
      </w:pPr>
    </w:p>
    <w:p>
      <w:pPr>
        <w:spacing w:line="240" w:lineRule="auto" w:before="2"/>
        <w:rPr>
          <w:rFonts w:ascii="Calibri" w:hAnsi="Calibri" w:cs="Calibri" w:eastAsia="Calibri" w:hint="default"/>
          <w:b/>
          <w:bCs/>
          <w:sz w:val="15"/>
          <w:szCs w:val="15"/>
        </w:rPr>
      </w:pPr>
    </w:p>
    <w:p>
      <w:pPr>
        <w:spacing w:line="290" w:lineRule="auto" w:before="0"/>
        <w:ind w:left="4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tabs>
          <w:tab w:pos="1278" w:val="left" w:leader="none"/>
        </w:tabs>
        <w:spacing w:line="240" w:lineRule="auto" w:before="14"/>
        <w:ind w:left="438" w:right="0"/>
        <w:jc w:val="left"/>
        <w:rPr>
          <w:rFonts w:ascii="宋体" w:hAnsi="宋体" w:cs="宋体" w:eastAsia="宋体" w:hint="default"/>
          <w:b w:val="0"/>
          <w:bCs w:val="0"/>
        </w:rPr>
      </w:pPr>
      <w:r>
        <w:rPr>
          <w:rFonts w:ascii="宋体" w:hAnsi="宋体" w:cs="宋体" w:eastAsia="宋体" w:hint="default"/>
          <w:w w:val="95"/>
        </w:rPr>
        <w:t>(1).</w:t>
        <w:tab/>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4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980" w:right="880"/>
          <w:cols w:num="2" w:equalWidth="0">
            <w:col w:w="2650" w:space="9043"/>
            <w:col w:w="3287"/>
          </w:cols>
        </w:sectPr>
      </w:pPr>
    </w:p>
    <w:p>
      <w:pPr>
        <w:spacing w:line="240" w:lineRule="auto" w:before="4"/>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3012"/>
        <w:gridCol w:w="1865"/>
        <w:gridCol w:w="1435"/>
        <w:gridCol w:w="2012"/>
        <w:gridCol w:w="2153"/>
        <w:gridCol w:w="1577"/>
        <w:gridCol w:w="2011"/>
      </w:tblGrid>
      <w:tr>
        <w:trPr>
          <w:trHeight w:val="283" w:hRule="exact"/>
        </w:trPr>
        <w:tc>
          <w:tcPr>
            <w:tcW w:w="3012"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3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7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12"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董家口液体散货装卸储运工程</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8"/>
              <w:jc w:val="right"/>
              <w:rPr>
                <w:rFonts w:ascii="Times New Roman" w:hAnsi="Times New Roman" w:cs="Times New Roman" w:eastAsia="Times New Roman" w:hint="default"/>
                <w:sz w:val="21"/>
                <w:szCs w:val="21"/>
              </w:rPr>
            </w:pPr>
            <w:r>
              <w:rPr>
                <w:rFonts w:ascii="Times New Roman"/>
                <w:spacing w:val="-1"/>
                <w:sz w:val="21"/>
              </w:rPr>
              <w:t>1,633,252,741</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Times New Roman" w:hAnsi="Times New Roman" w:cs="Times New Roman" w:eastAsia="Times New Roman" w:hint="default"/>
                <w:sz w:val="21"/>
                <w:szCs w:val="21"/>
              </w:rPr>
            </w:pPr>
            <w:r>
              <w:rPr>
                <w:rFonts w:ascii="Times New Roman"/>
                <w:spacing w:val="-1"/>
                <w:sz w:val="21"/>
              </w:rPr>
              <w:t>1,633,252,741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1,102,758,037</w:t>
            </w:r>
          </w:p>
        </w:tc>
        <w:tc>
          <w:tcPr>
            <w:tcW w:w="157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1,102,758,037</w:t>
            </w:r>
          </w:p>
        </w:tc>
      </w:tr>
      <w:tr>
        <w:trPr>
          <w:trHeight w:val="283"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董家口散杂货泊位及堆场工程</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Times New Roman" w:hAnsi="Times New Roman" w:cs="Times New Roman" w:eastAsia="Times New Roman" w:hint="default"/>
                <w:sz w:val="21"/>
                <w:szCs w:val="21"/>
              </w:rPr>
            </w:pPr>
            <w:r>
              <w:rPr>
                <w:rFonts w:ascii="Times New Roman"/>
                <w:spacing w:val="-1"/>
                <w:sz w:val="21"/>
              </w:rPr>
              <w:t>663,305,860</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663,305,860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786,900,531</w:t>
            </w:r>
          </w:p>
        </w:tc>
        <w:tc>
          <w:tcPr>
            <w:tcW w:w="157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786,900,531</w:t>
            </w:r>
          </w:p>
        </w:tc>
      </w:tr>
      <w:tr>
        <w:trPr>
          <w:trHeight w:val="281"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其他工程</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8"/>
              <w:jc w:val="right"/>
              <w:rPr>
                <w:rFonts w:ascii="Times New Roman" w:hAnsi="Times New Roman" w:cs="Times New Roman" w:eastAsia="Times New Roman" w:hint="default"/>
                <w:sz w:val="21"/>
                <w:szCs w:val="21"/>
              </w:rPr>
            </w:pPr>
            <w:r>
              <w:rPr>
                <w:rFonts w:ascii="Times New Roman"/>
                <w:spacing w:val="-1"/>
                <w:sz w:val="21"/>
              </w:rPr>
              <w:t>214,055,542</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214,055,542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151,560,642</w:t>
            </w:r>
          </w:p>
        </w:tc>
        <w:tc>
          <w:tcPr>
            <w:tcW w:w="157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151,560,642</w:t>
            </w:r>
          </w:p>
        </w:tc>
      </w:tr>
      <w:tr>
        <w:trPr>
          <w:trHeight w:val="283" w:hRule="exact"/>
        </w:trPr>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8"/>
              <w:jc w:val="right"/>
              <w:rPr>
                <w:rFonts w:ascii="Times New Roman" w:hAnsi="Times New Roman" w:cs="Times New Roman" w:eastAsia="Times New Roman" w:hint="default"/>
                <w:sz w:val="21"/>
                <w:szCs w:val="21"/>
              </w:rPr>
            </w:pPr>
            <w:r>
              <w:rPr>
                <w:rFonts w:ascii="Times New Roman"/>
                <w:spacing w:val="-1"/>
                <w:sz w:val="21"/>
              </w:rPr>
              <w:t>2,510,614,143</w:t>
            </w:r>
          </w:p>
        </w:tc>
        <w:tc>
          <w:tcPr>
            <w:tcW w:w="143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7"/>
              <w:jc w:val="right"/>
              <w:rPr>
                <w:rFonts w:ascii="Times New Roman" w:hAnsi="Times New Roman" w:cs="Times New Roman" w:eastAsia="Times New Roman" w:hint="default"/>
                <w:sz w:val="21"/>
                <w:szCs w:val="21"/>
              </w:rPr>
            </w:pPr>
            <w:r>
              <w:rPr>
                <w:rFonts w:ascii="Times New Roman"/>
                <w:spacing w:val="-1"/>
                <w:sz w:val="21"/>
              </w:rPr>
              <w:t>2,510,614,143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2,041,219,210</w:t>
            </w:r>
          </w:p>
        </w:tc>
        <w:tc>
          <w:tcPr>
            <w:tcW w:w="1577"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2,041,219,210</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160" w:left="980" w:right="880"/>
        </w:sectPr>
      </w:pPr>
    </w:p>
    <w:p>
      <w:pPr>
        <w:pStyle w:val="BodyText"/>
        <w:spacing w:line="241" w:lineRule="exact"/>
        <w:ind w:left="438" w:right="0"/>
        <w:jc w:val="left"/>
        <w:rPr>
          <w:rFonts w:ascii="宋体" w:hAnsi="宋体" w:cs="宋体" w:eastAsia="宋体" w:hint="default"/>
        </w:rPr>
      </w:pPr>
      <w:r>
        <w:rPr>
          <w:rFonts w:ascii="宋体"/>
          <w:w w:val="100"/>
        </w:rPr>
        <w:t> </w:t>
      </w:r>
    </w:p>
    <w:p>
      <w:pPr>
        <w:pStyle w:val="Heading5"/>
        <w:tabs>
          <w:tab w:pos="1278" w:val="left" w:leader="none"/>
        </w:tabs>
        <w:spacing w:line="240" w:lineRule="auto" w:before="58"/>
        <w:ind w:left="438" w:right="0"/>
        <w:jc w:val="left"/>
        <w:rPr>
          <w:rFonts w:ascii="宋体" w:hAnsi="宋体" w:cs="宋体" w:eastAsia="宋体" w:hint="default"/>
          <w:b w:val="0"/>
          <w:bCs w:val="0"/>
        </w:rPr>
      </w:pPr>
      <w:r>
        <w:rPr>
          <w:rFonts w:ascii="宋体" w:hAnsi="宋体" w:cs="宋体" w:eastAsia="宋体" w:hint="default"/>
          <w:w w:val="95"/>
        </w:rPr>
        <w:t>(2).</w:t>
        <w:tab/>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4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980" w:right="880"/>
          <w:cols w:num="2" w:equalWidth="0">
            <w:col w:w="4337" w:space="7355"/>
            <w:col w:w="328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02"/>
        <w:gridCol w:w="1418"/>
        <w:gridCol w:w="1275"/>
        <w:gridCol w:w="1418"/>
        <w:gridCol w:w="1416"/>
        <w:gridCol w:w="1136"/>
        <w:gridCol w:w="1274"/>
        <w:gridCol w:w="994"/>
        <w:gridCol w:w="567"/>
        <w:gridCol w:w="994"/>
        <w:gridCol w:w="850"/>
        <w:gridCol w:w="708"/>
        <w:gridCol w:w="994"/>
      </w:tblGrid>
      <w:tr>
        <w:trPr>
          <w:trHeight w:val="71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398" w:right="50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393" w:right="110"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254" w:right="149"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451" w:right="451"/>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hAnsi="宋体" w:cs="宋体" w:eastAsia="宋体" w:hint="default"/>
                <w:sz w:val="18"/>
                <w:szCs w:val="18"/>
              </w:rPr>
              <w:t>工程累计投</w:t>
            </w:r>
          </w:p>
          <w:p>
            <w:pPr>
              <w:pStyle w:val="TableParagraph"/>
              <w:spacing w:line="240" w:lineRule="auto"/>
              <w:ind w:left="266" w:right="41"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入占预算比 例</w:t>
            </w:r>
            <w:r>
              <w:rPr>
                <w:rFonts w:ascii="Times New Roman" w:hAnsi="Times New Roman" w:cs="Times New Roman" w:eastAsia="Times New Roman" w:hint="default"/>
                <w:sz w:val="18"/>
                <w:szCs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96" w:right="9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32" w:right="41"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7" w:right="0"/>
              <w:jc w:val="left"/>
              <w:rPr>
                <w:rFonts w:ascii="宋体" w:hAnsi="宋体" w:cs="宋体" w:eastAsia="宋体" w:hint="default"/>
                <w:sz w:val="18"/>
                <w:szCs w:val="18"/>
              </w:rPr>
            </w:pPr>
            <w:r>
              <w:rPr>
                <w:rFonts w:ascii="宋体" w:hAnsi="宋体" w:cs="宋体" w:eastAsia="宋体" w:hint="default"/>
                <w:sz w:val="18"/>
                <w:szCs w:val="18"/>
              </w:rPr>
              <w:t>其中：本</w:t>
            </w:r>
          </w:p>
          <w:p>
            <w:pPr>
              <w:pStyle w:val="TableParagraph"/>
              <w:spacing w:line="240" w:lineRule="auto"/>
              <w:ind w:left="57" w:right="60"/>
              <w:jc w:val="left"/>
              <w:rPr>
                <w:rFonts w:ascii="宋体" w:hAnsi="宋体" w:cs="宋体" w:eastAsia="宋体" w:hint="default"/>
                <w:sz w:val="18"/>
                <w:szCs w:val="18"/>
              </w:rPr>
            </w:pPr>
            <w:r>
              <w:rPr>
                <w:rFonts w:ascii="宋体" w:hAnsi="宋体" w:cs="宋体" w:eastAsia="宋体" w:hint="default"/>
                <w:sz w:val="18"/>
                <w:szCs w:val="18"/>
              </w:rPr>
              <w:t>期利息资 本化金额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left"/>
              <w:rPr>
                <w:rFonts w:ascii="宋体" w:hAnsi="宋体" w:cs="宋体" w:eastAsia="宋体" w:hint="default"/>
                <w:sz w:val="18"/>
                <w:szCs w:val="18"/>
              </w:rPr>
            </w:pPr>
            <w:r>
              <w:rPr>
                <w:rFonts w:ascii="宋体" w:hAnsi="宋体" w:cs="宋体" w:eastAsia="宋体" w:hint="default"/>
                <w:sz w:val="18"/>
                <w:szCs w:val="18"/>
              </w:rPr>
              <w:t>本期利</w:t>
            </w:r>
          </w:p>
          <w:p>
            <w:pPr>
              <w:pStyle w:val="TableParagraph"/>
              <w:spacing w:line="240" w:lineRule="auto"/>
              <w:ind w:left="36" w:right="31"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息资本 化率</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董家口液体散货装</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卸储运工程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9"/>
              <w:jc w:val="right"/>
              <w:rPr>
                <w:rFonts w:ascii="Times New Roman" w:hAnsi="Times New Roman" w:cs="Times New Roman" w:eastAsia="Times New Roman" w:hint="default"/>
                <w:sz w:val="18"/>
                <w:szCs w:val="18"/>
              </w:rPr>
            </w:pPr>
            <w:r>
              <w:rPr>
                <w:rFonts w:ascii="Times New Roman"/>
                <w:spacing w:val="-1"/>
                <w:sz w:val="18"/>
              </w:rPr>
              <w:t>4,939,650,000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7"/>
              <w:jc w:val="right"/>
              <w:rPr>
                <w:rFonts w:ascii="Times New Roman" w:hAnsi="Times New Roman" w:cs="Times New Roman" w:eastAsia="Times New Roman" w:hint="default"/>
                <w:sz w:val="18"/>
                <w:szCs w:val="18"/>
              </w:rPr>
            </w:pPr>
            <w:r>
              <w:rPr>
                <w:rFonts w:ascii="Times New Roman"/>
                <w:spacing w:val="-1"/>
                <w:sz w:val="18"/>
              </w:rPr>
              <w:t>1,102,758,037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1,632,058,546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1,101,563,842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1,633,252,741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3" w:right="0"/>
              <w:jc w:val="center"/>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董家口散杂货泊位</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及堆场工程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9"/>
              <w:jc w:val="right"/>
              <w:rPr>
                <w:rFonts w:ascii="Times New Roman" w:hAnsi="Times New Roman" w:cs="Times New Roman" w:eastAsia="Times New Roman" w:hint="default"/>
                <w:sz w:val="18"/>
                <w:szCs w:val="18"/>
              </w:rPr>
            </w:pPr>
            <w:r>
              <w:rPr>
                <w:rFonts w:ascii="Times New Roman"/>
                <w:spacing w:val="-1"/>
                <w:sz w:val="18"/>
              </w:rPr>
              <w:t>1,683,790,000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7"/>
              <w:jc w:val="right"/>
              <w:rPr>
                <w:rFonts w:ascii="Times New Roman" w:hAnsi="Times New Roman" w:cs="Times New Roman" w:eastAsia="Times New Roman" w:hint="default"/>
                <w:sz w:val="18"/>
                <w:szCs w:val="18"/>
              </w:rPr>
            </w:pPr>
            <w:r>
              <w:rPr>
                <w:rFonts w:ascii="Times New Roman"/>
                <w:spacing w:val="-1"/>
                <w:sz w:val="18"/>
              </w:rPr>
              <w:t>786,900,531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79,085,475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117,302,446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85,377,700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663,305,860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77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74" w:right="0"/>
              <w:jc w:val="center"/>
              <w:rPr>
                <w:rFonts w:ascii="Times New Roman" w:hAnsi="Times New Roman" w:cs="Times New Roman" w:eastAsia="Times New Roman" w:hint="default"/>
                <w:sz w:val="18"/>
                <w:szCs w:val="18"/>
              </w:rPr>
            </w:pPr>
            <w:r>
              <w:rPr>
                <w:rFonts w:ascii="Times New Roman"/>
                <w:sz w:val="18"/>
              </w:rPr>
              <w:t>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30,669,865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921,485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48" w:right="0"/>
              <w:jc w:val="left"/>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银行贷款</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Times New Roman" w:hAnsi="Times New Roman" w:cs="Times New Roman" w:eastAsia="Times New Roman" w:hint="default"/>
                <w:sz w:val="18"/>
                <w:szCs w:val="18"/>
              </w:rPr>
            </w:pPr>
            <w:r>
              <w:rPr>
                <w:rFonts w:ascii="Times New Roman"/>
                <w:spacing w:val="-1"/>
                <w:sz w:val="18"/>
              </w:rPr>
              <w:t>151,560,642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245,486,714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182,991,814</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214,055,542</w:t>
            </w:r>
          </w:p>
        </w:tc>
        <w:tc>
          <w:tcPr>
            <w:tcW w:w="99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9"/>
              <w:jc w:val="right"/>
              <w:rPr>
                <w:rFonts w:ascii="Times New Roman" w:hAnsi="Times New Roman" w:cs="Times New Roman" w:eastAsia="Times New Roman" w:hint="default"/>
                <w:sz w:val="18"/>
                <w:szCs w:val="18"/>
              </w:rPr>
            </w:pPr>
            <w:r>
              <w:rPr>
                <w:rFonts w:ascii="Times New Roman"/>
                <w:spacing w:val="-1"/>
                <w:sz w:val="18"/>
              </w:rPr>
              <w:t>6,623,440,000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7"/>
              <w:jc w:val="right"/>
              <w:rPr>
                <w:rFonts w:ascii="Times New Roman" w:hAnsi="Times New Roman" w:cs="Times New Roman" w:eastAsia="Times New Roman" w:hint="default"/>
                <w:sz w:val="18"/>
                <w:szCs w:val="18"/>
              </w:rPr>
            </w:pPr>
            <w:r>
              <w:rPr>
                <w:rFonts w:ascii="Times New Roman"/>
                <w:spacing w:val="-1"/>
                <w:sz w:val="18"/>
              </w:rPr>
              <w:t>2,041,219,210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pacing w:val="-1"/>
                <w:sz w:val="18"/>
              </w:rPr>
              <w:t>1,956,630,735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Times New Roman" w:hAnsi="Times New Roman" w:cs="Times New Roman" w:eastAsia="Times New Roman" w:hint="default"/>
                <w:sz w:val="18"/>
                <w:szCs w:val="18"/>
              </w:rPr>
            </w:pPr>
            <w:r>
              <w:rPr>
                <w:rFonts w:ascii="Times New Roman"/>
                <w:spacing w:val="-1"/>
                <w:sz w:val="18"/>
              </w:rPr>
              <w:t>1,401,858,102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85,377,700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2,510,614,143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1"/>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30,669,865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pacing w:val="-1"/>
                <w:sz w:val="18"/>
              </w:rPr>
              <w:t>921,485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75"/>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1" w:lineRule="exact"/>
        <w:ind w:left="438" w:right="0"/>
        <w:jc w:val="left"/>
        <w:rPr>
          <w:rFonts w:ascii="宋体" w:hAnsi="宋体" w:cs="宋体" w:eastAsia="宋体" w:hint="default"/>
        </w:rPr>
      </w:pPr>
      <w:r>
        <w:rPr>
          <w:rFonts w:ascii="宋体"/>
          <w:w w:val="100"/>
        </w:rPr>
        <w:t> </w:t>
      </w:r>
    </w:p>
    <w:p>
      <w:pPr>
        <w:pStyle w:val="Heading5"/>
        <w:tabs>
          <w:tab w:pos="1278" w:val="left" w:leader="none"/>
        </w:tabs>
        <w:spacing w:line="240" w:lineRule="auto"/>
        <w:ind w:left="438" w:right="0"/>
        <w:jc w:val="left"/>
        <w:rPr>
          <w:rFonts w:ascii="宋体" w:hAnsi="宋体" w:cs="宋体" w:eastAsia="宋体" w:hint="default"/>
          <w:b w:val="0"/>
          <w:bCs w:val="0"/>
        </w:rPr>
      </w:pPr>
      <w:r>
        <w:rPr>
          <w:rFonts w:ascii="宋体" w:hAnsi="宋体" w:cs="宋体" w:eastAsia="宋体" w:hint="default"/>
          <w:w w:val="95"/>
        </w:rPr>
        <w:t>(3).</w:t>
        <w:tab/>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438" w:right="1214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4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438" w:right="0"/>
        <w:jc w:val="left"/>
      </w:pPr>
      <w:r>
        <w:rPr/>
        <w:t>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日，本集团管理层认为在建工程不存在减值迹象，无需计提减值准备</w:t>
      </w:r>
    </w:p>
    <w:p>
      <w:pPr>
        <w:pStyle w:val="BodyText"/>
        <w:spacing w:line="265" w:lineRule="exact"/>
        <w:ind w:left="438" w:right="0"/>
        <w:jc w:val="left"/>
        <w:rPr>
          <w:rFonts w:ascii="宋体" w:hAnsi="宋体" w:cs="宋体" w:eastAsia="宋体" w:hint="default"/>
        </w:rPr>
      </w:pPr>
      <w:r>
        <w:rPr>
          <w:rFonts w:ascii="宋体"/>
          <w:w w:val="100"/>
        </w:rPr>
        <w:t> </w:t>
      </w:r>
    </w:p>
    <w:p>
      <w:pPr>
        <w:spacing w:after="0" w:line="265" w:lineRule="exact"/>
        <w:jc w:val="left"/>
        <w:rPr>
          <w:rFonts w:ascii="宋体" w:hAnsi="宋体" w:cs="宋体" w:eastAsia="宋体" w:hint="default"/>
        </w:rPr>
        <w:sectPr>
          <w:type w:val="continuous"/>
          <w:pgSz w:w="16840" w:h="11910" w:orient="landscape"/>
          <w:pgMar w:top="1120" w:bottom="1160" w:left="980" w:right="8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975" w:top="1120" w:bottom="1160" w:left="1200" w:right="1180"/>
        </w:sectPr>
      </w:pPr>
    </w:p>
    <w:p>
      <w:pPr>
        <w:pStyle w:val="Heading5"/>
        <w:spacing w:line="240" w:lineRule="auto" w:before="168"/>
        <w:ind w:right="0"/>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8"/>
        </w:rPr>
        <w:t> </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23</w:t>
      </w:r>
      <w:r>
        <w:rPr/>
        <w:t>、</w:t>
      </w:r>
      <w:r>
        <w:rPr>
          <w:spacing w:val="-47"/>
        </w:rPr>
        <w:t> </w:t>
      </w:r>
      <w:r>
        <w:rPr/>
        <w:t>生产性生物资产</w:t>
      </w:r>
      <w:r>
        <w:rPr>
          <w:rFonts w:ascii="宋体" w:hAnsi="宋体" w:cs="宋体" w:eastAsia="宋体" w:hint="default"/>
          <w:w w:val="99"/>
        </w:rPr>
        <w:t> </w:t>
      </w:r>
      <w:r>
        <w:rPr>
          <w:rFonts w:ascii="宋体" w:hAnsi="宋体" w:cs="宋体" w:eastAsia="宋体" w:hint="default"/>
          <w:b w:val="0"/>
          <w:bCs w:val="0"/>
        </w:rPr>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24</w:t>
      </w:r>
      <w:r>
        <w:rPr/>
        <w:t>、</w:t>
      </w:r>
      <w:r>
        <w:rPr>
          <w:spacing w:val="-26"/>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25</w:t>
      </w:r>
      <w:r>
        <w:rPr/>
        <w:t>、</w:t>
      </w:r>
      <w:r>
        <w:rPr>
          <w:spacing w:val="-23"/>
        </w:rPr>
        <w:t> </w:t>
      </w:r>
      <w:r>
        <w:rPr/>
        <w:t>使用权资产</w:t>
      </w:r>
      <w:r>
        <w:rPr>
          <w:b w:val="0"/>
          <w:bCs w:val="0"/>
        </w:rPr>
      </w:r>
    </w:p>
    <w:p>
      <w:pPr>
        <w:pStyle w:val="BodyText"/>
        <w:spacing w:line="240" w:lineRule="auto" w:before="5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4960" w:space="67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56"/>
        <w:gridCol w:w="1885"/>
        <w:gridCol w:w="1889"/>
        <w:gridCol w:w="1887"/>
        <w:gridCol w:w="2177"/>
        <w:gridCol w:w="1887"/>
        <w:gridCol w:w="1740"/>
      </w:tblGrid>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0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18"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15"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51" w:right="0"/>
              <w:jc w:val="left"/>
              <w:rPr>
                <w:rFonts w:ascii="宋体" w:hAnsi="宋体" w:cs="宋体" w:eastAsia="宋体" w:hint="default"/>
                <w:sz w:val="21"/>
                <w:szCs w:val="21"/>
              </w:rPr>
            </w:pPr>
            <w:r>
              <w:rPr>
                <w:rFonts w:ascii="宋体" w:hAnsi="宋体" w:cs="宋体" w:eastAsia="宋体" w:hint="default"/>
                <w:sz w:val="21"/>
                <w:szCs w:val="21"/>
              </w:rPr>
              <w:t>装卸搬运设备</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船舶</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324,485,476</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2" w:right="0"/>
              <w:jc w:val="left"/>
              <w:rPr>
                <w:rFonts w:ascii="Times New Roman" w:hAnsi="Times New Roman" w:cs="Times New Roman" w:eastAsia="Times New Roman" w:hint="default"/>
                <w:sz w:val="21"/>
                <w:szCs w:val="21"/>
              </w:rPr>
            </w:pPr>
            <w:r>
              <w:rPr>
                <w:rFonts w:ascii="Times New Roman"/>
                <w:sz w:val="21"/>
              </w:rPr>
              <w:t>166,686,184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0" w:right="0"/>
              <w:jc w:val="left"/>
              <w:rPr>
                <w:rFonts w:ascii="Times New Roman" w:hAnsi="Times New Roman" w:cs="Times New Roman" w:eastAsia="Times New Roman" w:hint="default"/>
                <w:sz w:val="21"/>
                <w:szCs w:val="21"/>
              </w:rPr>
            </w:pPr>
            <w:r>
              <w:rPr>
                <w:rFonts w:ascii="Times New Roman"/>
                <w:sz w:val="21"/>
              </w:rPr>
              <w:t>137,715,817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91,439,655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720,327,132</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9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1,871,306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2,648,871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7" w:right="0"/>
              <w:jc w:val="left"/>
              <w:rPr>
                <w:rFonts w:ascii="Times New Roman" w:hAnsi="Times New Roman" w:cs="Times New Roman" w:eastAsia="Times New Roman" w:hint="default"/>
                <w:sz w:val="21"/>
                <w:szCs w:val="21"/>
              </w:rPr>
            </w:pPr>
            <w:r>
              <w:rPr>
                <w:rFonts w:ascii="Times New Roman"/>
                <w:sz w:val="21"/>
              </w:rPr>
              <w:t>15,689,048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21" w:right="0"/>
              <w:jc w:val="left"/>
              <w:rPr>
                <w:rFonts w:ascii="Times New Roman" w:hAnsi="Times New Roman" w:cs="Times New Roman" w:eastAsia="Times New Roman" w:hint="default"/>
                <w:sz w:val="21"/>
                <w:szCs w:val="21"/>
              </w:rPr>
            </w:pPr>
            <w:r>
              <w:rPr>
                <w:rFonts w:ascii="Times New Roman"/>
                <w:sz w:val="21"/>
              </w:rPr>
              <w:t>5,881,422</w:t>
            </w:r>
          </w:p>
        </w:tc>
        <w:tc>
          <w:tcPr>
            <w:tcW w:w="1887"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26,090,647</w:t>
            </w:r>
          </w:p>
        </w:tc>
      </w:tr>
      <w:tr>
        <w:trPr>
          <w:trHeight w:val="296"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9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64,819,990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827" w:right="0"/>
              <w:jc w:val="left"/>
              <w:rPr>
                <w:rFonts w:ascii="Times New Roman" w:hAnsi="Times New Roman" w:cs="Times New Roman" w:eastAsia="Times New Roman" w:hint="default"/>
                <w:sz w:val="21"/>
                <w:szCs w:val="21"/>
              </w:rPr>
            </w:pPr>
            <w:r>
              <w:rPr>
                <w:rFonts w:ascii="Times New Roman"/>
                <w:sz w:val="21"/>
              </w:rPr>
              <w:t>10,996,527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221" w:right="0"/>
              <w:jc w:val="left"/>
              <w:rPr>
                <w:rFonts w:ascii="Times New Roman" w:hAnsi="Times New Roman" w:cs="Times New Roman" w:eastAsia="Times New Roman" w:hint="default"/>
                <w:sz w:val="21"/>
                <w:szCs w:val="21"/>
              </w:rPr>
            </w:pPr>
            <w:r>
              <w:rPr>
                <w:rFonts w:ascii="Times New Roman"/>
                <w:sz w:val="21"/>
              </w:rPr>
              <w:t>8,133,171</w:t>
            </w:r>
          </w:p>
        </w:tc>
        <w:tc>
          <w:tcPr>
            <w:tcW w:w="1887"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83,949,688</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1,871,306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262,314,357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2" w:right="0"/>
              <w:jc w:val="left"/>
              <w:rPr>
                <w:rFonts w:ascii="Times New Roman" w:hAnsi="Times New Roman" w:cs="Times New Roman" w:eastAsia="Times New Roman" w:hint="default"/>
                <w:sz w:val="21"/>
                <w:szCs w:val="21"/>
              </w:rPr>
            </w:pPr>
            <w:r>
              <w:rPr>
                <w:rFonts w:ascii="Times New Roman"/>
                <w:sz w:val="21"/>
              </w:rPr>
              <w:t>171,378,705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0" w:right="0"/>
              <w:jc w:val="left"/>
              <w:rPr>
                <w:rFonts w:ascii="Times New Roman" w:hAnsi="Times New Roman" w:cs="Times New Roman" w:eastAsia="Times New Roman" w:hint="default"/>
                <w:sz w:val="21"/>
                <w:szCs w:val="21"/>
              </w:rPr>
            </w:pPr>
            <w:r>
              <w:rPr>
                <w:rFonts w:ascii="Times New Roman"/>
                <w:sz w:val="21"/>
              </w:rPr>
              <w:t>135,464,068</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91,439,655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662,468,091</w:t>
            </w:r>
          </w:p>
        </w:tc>
      </w:tr>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16,021,206</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92" w:right="0"/>
              <w:jc w:val="left"/>
              <w:rPr>
                <w:rFonts w:ascii="Times New Roman" w:hAnsi="Times New Roman" w:cs="Times New Roman" w:eastAsia="Times New Roman" w:hint="default"/>
                <w:sz w:val="21"/>
                <w:szCs w:val="21"/>
              </w:rPr>
            </w:pPr>
            <w:r>
              <w:rPr>
                <w:rFonts w:ascii="Times New Roman"/>
                <w:sz w:val="21"/>
              </w:rPr>
              <w:t>703,778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5" w:right="0"/>
              <w:jc w:val="left"/>
              <w:rPr>
                <w:rFonts w:ascii="Times New Roman" w:hAnsi="Times New Roman" w:cs="Times New Roman" w:eastAsia="Times New Roman" w:hint="default"/>
                <w:sz w:val="21"/>
                <w:szCs w:val="21"/>
              </w:rPr>
            </w:pPr>
            <w:r>
              <w:rPr>
                <w:rFonts w:ascii="Times New Roman"/>
                <w:sz w:val="21"/>
              </w:rPr>
              <w:t>43,798,477</w:t>
            </w:r>
          </w:p>
        </w:tc>
        <w:tc>
          <w:tcPr>
            <w:tcW w:w="1887"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60,523,461</w:t>
            </w:r>
          </w:p>
        </w:tc>
      </w:tr>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9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259,904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12,544,801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7" w:right="0"/>
              <w:jc w:val="left"/>
              <w:rPr>
                <w:rFonts w:ascii="Times New Roman" w:hAnsi="Times New Roman" w:cs="Times New Roman" w:eastAsia="Times New Roman" w:hint="default"/>
                <w:sz w:val="21"/>
                <w:szCs w:val="21"/>
              </w:rPr>
            </w:pPr>
            <w:r>
              <w:rPr>
                <w:rFonts w:ascii="Times New Roman"/>
                <w:sz w:val="21"/>
              </w:rPr>
              <w:t>37,202,737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5" w:right="0"/>
              <w:jc w:val="left"/>
              <w:rPr>
                <w:rFonts w:ascii="Times New Roman" w:hAnsi="Times New Roman" w:cs="Times New Roman" w:eastAsia="Times New Roman" w:hint="default"/>
                <w:sz w:val="21"/>
                <w:szCs w:val="21"/>
              </w:rPr>
            </w:pPr>
            <w:r>
              <w:rPr>
                <w:rFonts w:ascii="Times New Roman"/>
                <w:sz w:val="21"/>
              </w:rPr>
              <w:t>14,088,825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4,825,982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68,922,249</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120" w:bottom="116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756"/>
        <w:gridCol w:w="1885"/>
        <w:gridCol w:w="1889"/>
        <w:gridCol w:w="1887"/>
        <w:gridCol w:w="2177"/>
        <w:gridCol w:w="1887"/>
        <w:gridCol w:w="1740"/>
      </w:tblGrid>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259,904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12,544,801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7" w:right="0"/>
              <w:jc w:val="left"/>
              <w:rPr>
                <w:rFonts w:ascii="Times New Roman" w:hAnsi="Times New Roman" w:cs="Times New Roman" w:eastAsia="Times New Roman" w:hint="default"/>
                <w:sz w:val="21"/>
                <w:szCs w:val="21"/>
              </w:rPr>
            </w:pPr>
            <w:r>
              <w:rPr>
                <w:rFonts w:ascii="Times New Roman"/>
                <w:sz w:val="21"/>
              </w:rPr>
              <w:t>37,202,737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5" w:right="0"/>
              <w:jc w:val="left"/>
              <w:rPr>
                <w:rFonts w:ascii="Times New Roman" w:hAnsi="Times New Roman" w:cs="Times New Roman" w:eastAsia="Times New Roman" w:hint="default"/>
                <w:sz w:val="21"/>
                <w:szCs w:val="21"/>
              </w:rPr>
            </w:pPr>
            <w:r>
              <w:rPr>
                <w:rFonts w:ascii="Times New Roman"/>
                <w:sz w:val="21"/>
              </w:rPr>
              <w:t>14,088,825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4,825,982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68,922,249</w:t>
            </w:r>
          </w:p>
        </w:tc>
      </w:tr>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4,342,940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3" w:right="0"/>
              <w:jc w:val="left"/>
              <w:rPr>
                <w:rFonts w:ascii="Times New Roman" w:hAnsi="Times New Roman" w:cs="Times New Roman" w:eastAsia="Times New Roman" w:hint="default"/>
                <w:sz w:val="21"/>
                <w:szCs w:val="21"/>
              </w:rPr>
            </w:pPr>
            <w:r>
              <w:rPr>
                <w:rFonts w:ascii="Times New Roman"/>
                <w:sz w:val="21"/>
              </w:rPr>
              <w:t>2,155,319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21" w:right="0"/>
              <w:jc w:val="left"/>
              <w:rPr>
                <w:rFonts w:ascii="Times New Roman" w:hAnsi="Times New Roman" w:cs="Times New Roman" w:eastAsia="Times New Roman" w:hint="default"/>
                <w:sz w:val="21"/>
                <w:szCs w:val="21"/>
              </w:rPr>
            </w:pPr>
            <w:r>
              <w:rPr>
                <w:rFonts w:ascii="Times New Roman"/>
                <w:sz w:val="21"/>
              </w:rPr>
              <w:t>1,834,041</w:t>
            </w:r>
          </w:p>
        </w:tc>
        <w:tc>
          <w:tcPr>
            <w:tcW w:w="1887"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8,332,300</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）租赁变更</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4,342,940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3" w:right="0"/>
              <w:jc w:val="left"/>
              <w:rPr>
                <w:rFonts w:ascii="Times New Roman" w:hAnsi="Times New Roman" w:cs="Times New Roman" w:eastAsia="Times New Roman" w:hint="default"/>
                <w:sz w:val="21"/>
                <w:szCs w:val="21"/>
              </w:rPr>
            </w:pPr>
            <w:r>
              <w:rPr>
                <w:rFonts w:ascii="Times New Roman"/>
                <w:sz w:val="21"/>
              </w:rPr>
              <w:t>2,155,319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21" w:right="0"/>
              <w:jc w:val="left"/>
              <w:rPr>
                <w:rFonts w:ascii="Times New Roman" w:hAnsi="Times New Roman" w:cs="Times New Roman" w:eastAsia="Times New Roman" w:hint="default"/>
                <w:sz w:val="21"/>
                <w:szCs w:val="21"/>
              </w:rPr>
            </w:pPr>
            <w:r>
              <w:rPr>
                <w:rFonts w:ascii="Times New Roman"/>
                <w:sz w:val="21"/>
              </w:rPr>
              <w:t>1,834,041</w:t>
            </w:r>
          </w:p>
        </w:tc>
        <w:tc>
          <w:tcPr>
            <w:tcW w:w="1887"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8,332,300</w:t>
            </w:r>
          </w:p>
        </w:tc>
      </w:tr>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259,904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24,223,067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7" w:right="0"/>
              <w:jc w:val="left"/>
              <w:rPr>
                <w:rFonts w:ascii="Times New Roman" w:hAnsi="Times New Roman" w:cs="Times New Roman" w:eastAsia="Times New Roman" w:hint="default"/>
                <w:sz w:val="21"/>
                <w:szCs w:val="21"/>
              </w:rPr>
            </w:pPr>
            <w:r>
              <w:rPr>
                <w:rFonts w:ascii="Times New Roman"/>
                <w:sz w:val="21"/>
              </w:rPr>
              <w:t>35,751,196</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5" w:right="0"/>
              <w:jc w:val="left"/>
              <w:rPr>
                <w:rFonts w:ascii="Times New Roman" w:hAnsi="Times New Roman" w:cs="Times New Roman" w:eastAsia="Times New Roman" w:hint="default"/>
                <w:sz w:val="21"/>
                <w:szCs w:val="21"/>
              </w:rPr>
            </w:pPr>
            <w:r>
              <w:rPr>
                <w:rFonts w:ascii="Times New Roman"/>
                <w:sz w:val="21"/>
              </w:rPr>
              <w:t>56,053,261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4,825,982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121,113,410</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right"/>
              <w:rPr>
                <w:rFonts w:ascii="宋体" w:hAnsi="宋体" w:cs="宋体" w:eastAsia="宋体" w:hint="default"/>
                <w:sz w:val="21"/>
                <w:szCs w:val="21"/>
              </w:rPr>
            </w:pPr>
            <w:r>
              <w:rPr>
                <w:rFonts w:ascii="宋体"/>
                <w:w w:val="100"/>
                <w:sz w:val="21"/>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1,611,402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238,091,290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2" w:right="0"/>
              <w:jc w:val="left"/>
              <w:rPr>
                <w:rFonts w:ascii="Times New Roman" w:hAnsi="Times New Roman" w:cs="Times New Roman" w:eastAsia="Times New Roman" w:hint="default"/>
                <w:sz w:val="21"/>
                <w:szCs w:val="21"/>
              </w:rPr>
            </w:pPr>
            <w:r>
              <w:rPr>
                <w:rFonts w:ascii="Times New Roman"/>
                <w:sz w:val="21"/>
              </w:rPr>
              <w:t>135,627,509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5" w:right="0"/>
              <w:jc w:val="left"/>
              <w:rPr>
                <w:rFonts w:ascii="Times New Roman" w:hAnsi="Times New Roman" w:cs="Times New Roman" w:eastAsia="Times New Roman" w:hint="default"/>
                <w:sz w:val="21"/>
                <w:szCs w:val="21"/>
              </w:rPr>
            </w:pPr>
            <w:r>
              <w:rPr>
                <w:rFonts w:ascii="Times New Roman"/>
                <w:sz w:val="21"/>
              </w:rPr>
              <w:t>79,410,807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86,613,673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541,354,681</w:t>
            </w:r>
          </w:p>
        </w:tc>
      </w:tr>
      <w:tr>
        <w:trPr>
          <w:trHeight w:val="296"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308,464,270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22" w:right="0"/>
              <w:jc w:val="left"/>
              <w:rPr>
                <w:rFonts w:ascii="Times New Roman" w:hAnsi="Times New Roman" w:cs="Times New Roman" w:eastAsia="Times New Roman" w:hint="default"/>
                <w:sz w:val="21"/>
                <w:szCs w:val="21"/>
              </w:rPr>
            </w:pPr>
            <w:r>
              <w:rPr>
                <w:rFonts w:ascii="Times New Roman"/>
                <w:sz w:val="21"/>
              </w:rPr>
              <w:t>165,982,406</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5" w:right="0"/>
              <w:jc w:val="left"/>
              <w:rPr>
                <w:rFonts w:ascii="Times New Roman" w:hAnsi="Times New Roman" w:cs="Times New Roman" w:eastAsia="Times New Roman" w:hint="default"/>
                <w:sz w:val="21"/>
                <w:szCs w:val="21"/>
              </w:rPr>
            </w:pPr>
            <w:r>
              <w:rPr>
                <w:rFonts w:ascii="Times New Roman"/>
                <w:sz w:val="21"/>
              </w:rPr>
              <w:t>93,917,340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91,439,655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659,803,671</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82" w:footer="975"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26</w:t>
      </w:r>
      <w:r>
        <w:rPr/>
        <w:t>、</w:t>
      </w:r>
      <w:r>
        <w:rPr>
          <w:spacing w:val="-48"/>
        </w:rPr>
        <w:t> </w:t>
      </w:r>
      <w:r>
        <w:rPr/>
        <w:t>无形资产</w:t>
      </w:r>
      <w:r>
        <w:rPr>
          <w:rFonts w:ascii="宋体" w:hAnsi="宋体" w:cs="宋体" w:eastAsia="宋体" w:hint="default"/>
          <w:w w:val="99"/>
        </w:rPr>
        <w:t> </w:t>
      </w:r>
      <w:r>
        <w:rPr>
          <w:rFonts w:ascii="宋体" w:hAnsi="宋体" w:cs="宋体" w:eastAsia="宋体" w:hint="default"/>
          <w:b w:val="0"/>
          <w:bCs w:val="0"/>
        </w:rPr>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2430" w:space="9263"/>
            <w:col w:w="276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99"/>
        <w:gridCol w:w="1959"/>
        <w:gridCol w:w="2105"/>
        <w:gridCol w:w="2102"/>
        <w:gridCol w:w="2105"/>
        <w:gridCol w:w="2249"/>
      </w:tblGrid>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59"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1,986,648,140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95,260,008</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116,297,540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50,178,663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2,248,384,351</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579,399,688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18,252,354</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597,652,042</w:t>
            </w:r>
          </w:p>
        </w:tc>
      </w:tr>
      <w:tr>
        <w:trPr>
          <w:trHeight w:val="348"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564,708,386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4,385,594</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569,093,980</w:t>
            </w:r>
          </w:p>
        </w:tc>
      </w:tr>
      <w:tr>
        <w:trPr>
          <w:trHeight w:val="494"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959"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13,866,760</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13,866,760</w:t>
            </w:r>
          </w:p>
        </w:tc>
      </w:tr>
      <w:tr>
        <w:trPr>
          <w:trHeight w:val="362"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投资性房地产转入</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14,691,302</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14,691,302</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183,333</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39,748,750</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39,932,083</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183,333</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183,333</w:t>
            </w:r>
          </w:p>
        </w:tc>
      </w:tr>
      <w:tr>
        <w:trPr>
          <w:trHeight w:val="43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填海造陆成本返还</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w w:val="100"/>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
              <w:jc w:val="right"/>
              <w:rPr>
                <w:rFonts w:ascii="宋体" w:hAnsi="宋体" w:cs="宋体" w:eastAsia="宋体" w:hint="default"/>
                <w:sz w:val="21"/>
                <w:szCs w:val="21"/>
              </w:rPr>
            </w:pPr>
            <w:r>
              <w:rPr>
                <w:rFonts w:ascii="宋体"/>
                <w:w w:val="100"/>
                <w:sz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Times New Roman" w:hAnsi="Times New Roman" w:cs="Times New Roman" w:eastAsia="Times New Roman" w:hint="default"/>
                <w:sz w:val="21"/>
                <w:szCs w:val="21"/>
              </w:rPr>
            </w:pPr>
            <w:r>
              <w:rPr>
                <w:rFonts w:ascii="Times New Roman"/>
                <w:spacing w:val="-1"/>
                <w:sz w:val="21"/>
              </w:rPr>
              <w:t>39,748,750</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Times New Roman" w:hAnsi="Times New Roman" w:cs="Times New Roman" w:eastAsia="Times New Roman" w:hint="default"/>
                <w:sz w:val="21"/>
                <w:szCs w:val="21"/>
              </w:rPr>
            </w:pPr>
            <w:r>
              <w:rPr>
                <w:rFonts w:ascii="Times New Roman"/>
                <w:spacing w:val="-1"/>
                <w:sz w:val="21"/>
              </w:rPr>
              <w:t>39,748,750</w:t>
            </w:r>
          </w:p>
        </w:tc>
      </w:tr>
      <w:tr>
        <w:trPr>
          <w:trHeight w:val="348"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2,565,864,495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113,512,362</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76,548,790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50,178,663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2,806,104,310</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959"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90,053,317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44,115,357</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9,091,795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35,269,808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178,530,277</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160" w:left="12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699"/>
        <w:gridCol w:w="1959"/>
        <w:gridCol w:w="2105"/>
        <w:gridCol w:w="2102"/>
        <w:gridCol w:w="2105"/>
        <w:gridCol w:w="2249"/>
      </w:tblGrid>
      <w:tr>
        <w:trPr>
          <w:trHeight w:val="348"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43,692,178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14,383,061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1,362,856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3,006,250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62,444,345</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42,200,619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14,383,061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1,362,856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3,006,250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60,952,786</w:t>
            </w:r>
          </w:p>
        </w:tc>
      </w:tr>
      <w:tr>
        <w:trPr>
          <w:trHeight w:val="28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）投资性房地产转入</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1,491,559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1,491,559</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16,667</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3,261,261</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3,277,928</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16,667</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16,667</w:t>
            </w:r>
          </w:p>
        </w:tc>
      </w:tr>
      <w:tr>
        <w:trPr>
          <w:trHeight w:val="28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填海造陆成本返还</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3,261,261</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3,261,261</w:t>
            </w:r>
          </w:p>
        </w:tc>
      </w:tr>
      <w:tr>
        <w:trPr>
          <w:trHeight w:val="351"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133,728,828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58,498,418</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7,193,390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38,276,058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237,696,694</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59"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59"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2,432,135,667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55,013,944</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69,355,400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11,902,605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2,568,407,616</w:t>
            </w:r>
          </w:p>
        </w:tc>
      </w:tr>
      <w:tr>
        <w:trPr>
          <w:trHeight w:val="350"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1,896,594,823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51,144,651</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107,205,745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14,908,855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2,069,854,074</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975" w:top="1120" w:bottom="1160" w:left="1200" w:right="11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spacing w:val="-2"/>
        </w:rPr>
        <w:t>本期末通过公司内部研发形成的无形资产占无形资产余额的比例</w:t>
      </w:r>
      <w:r>
        <w:rPr>
          <w:spacing w:val="7"/>
        </w:rPr>
        <w:t> </w:t>
      </w:r>
      <w:r>
        <w:rPr>
          <w:rFonts w:ascii="宋体" w:hAnsi="宋体" w:cs="宋体" w:eastAsia="宋体" w:hint="default"/>
          <w:spacing w:val="-2"/>
        </w:rPr>
        <w:t>1.86%</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6786" w:space="490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0"/>
        <w:gridCol w:w="5804"/>
        <w:gridCol w:w="4935"/>
      </w:tblGrid>
      <w:tr>
        <w:trPr>
          <w:trHeight w:val="283"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1"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3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141,114,331</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新购土地，尚在办理权证中</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6840" w:h="11910" w:orient="landscape"/>
          <w:pgMar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1"/>
          <w:footerReference w:type="default" r:id="rId82"/>
          <w:pgSz w:w="11910" w:h="16840"/>
          <w:pgMar w:header="882" w:footer="974" w:top="1080" w:bottom="1160" w:left="1200" w:right="1180"/>
          <w:pgNumType w:start="165"/>
        </w:sectPr>
      </w:pPr>
    </w:p>
    <w:p>
      <w:pPr>
        <w:spacing w:line="240" w:lineRule="auto" w:before="2"/>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005" w:space="4754"/>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56"/>
        <w:gridCol w:w="826"/>
        <w:gridCol w:w="1817"/>
        <w:gridCol w:w="1889"/>
        <w:gridCol w:w="1673"/>
        <w:gridCol w:w="826"/>
      </w:tblGrid>
      <w:tr>
        <w:trPr>
          <w:trHeight w:val="281" w:hRule="exact"/>
        </w:trPr>
        <w:tc>
          <w:tcPr>
            <w:tcW w:w="2256"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826" w:type="dxa"/>
            <w:vMerge w:val="restart"/>
            <w:tcBorders>
              <w:top w:val="single" w:sz="4" w:space="0" w:color="000000"/>
              <w:left w:val="single" w:sz="4" w:space="0" w:color="000000"/>
              <w:right w:val="single" w:sz="4" w:space="0" w:color="000000"/>
            </w:tcBorders>
          </w:tcPr>
          <w:p>
            <w:pPr>
              <w:pStyle w:val="TableParagraph"/>
              <w:spacing w:line="244" w:lineRule="exact"/>
              <w:ind w:left="196" w:right="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3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826" w:type="dxa"/>
            <w:vMerge w:val="restart"/>
            <w:tcBorders>
              <w:top w:val="single" w:sz="4" w:space="0" w:color="000000"/>
              <w:left w:val="single" w:sz="4" w:space="0" w:color="000000"/>
              <w:right w:val="single" w:sz="4" w:space="0" w:color="000000"/>
            </w:tcBorders>
          </w:tcPr>
          <w:p>
            <w:pPr>
              <w:pStyle w:val="TableParagraph"/>
              <w:spacing w:line="244" w:lineRule="exact"/>
              <w:ind w:left="196" w:right="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p>
            <w:pPr>
              <w:pStyle w:val="TableParagraph"/>
              <w:spacing w:line="273" w:lineRule="exact"/>
              <w:ind w:left="196"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256"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确认为无形资产</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pacing w:val="-2"/>
                <w:sz w:val="21"/>
                <w:szCs w:val="21"/>
              </w:rPr>
              <w:t>转入当期损益</w:t>
            </w:r>
            <w:r>
              <w:rPr>
                <w:rFonts w:ascii="宋体" w:hAnsi="宋体" w:cs="宋体" w:eastAsia="宋体" w:hint="default"/>
                <w:sz w:val="21"/>
                <w:szCs w:val="21"/>
              </w:rPr>
              <w:t> </w:t>
            </w:r>
          </w:p>
        </w:tc>
        <w:tc>
          <w:tcPr>
            <w:tcW w:w="826" w:type="dxa"/>
            <w:vMerge/>
            <w:tcBorders>
              <w:left w:val="single" w:sz="4" w:space="0" w:color="000000"/>
              <w:bottom w:val="single" w:sz="4" w:space="0" w:color="000000"/>
              <w:right w:val="single" w:sz="4" w:space="0" w:color="000000"/>
            </w:tcBorders>
          </w:tcPr>
          <w:p>
            <w:pP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信息系统维护及软件</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38,641,507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13,866,760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24,774,747</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专利技术</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3,563,410</w:t>
            </w:r>
          </w:p>
        </w:tc>
        <w:tc>
          <w:tcPr>
            <w:tcW w:w="1889"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3,563,410</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5,425,970</w:t>
            </w:r>
          </w:p>
        </w:tc>
        <w:tc>
          <w:tcPr>
            <w:tcW w:w="1889"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5,425,970</w:t>
            </w: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47,630,887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13,866,760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33,764,127</w:t>
            </w:r>
          </w:p>
        </w:tc>
        <w:tc>
          <w:tcPr>
            <w:tcW w:w="8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88"/>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年度，本集团研究开发支出共计</w:t>
      </w:r>
      <w:r>
        <w:rPr>
          <w:spacing w:val="-55"/>
        </w:rPr>
        <w:t> </w:t>
      </w:r>
      <w:r>
        <w:rPr>
          <w:rFonts w:ascii="Times New Roman" w:hAnsi="Times New Roman" w:cs="Times New Roman" w:eastAsia="Times New Roman" w:hint="default"/>
        </w:rPr>
        <w:t>47,630,887</w:t>
      </w:r>
      <w:r>
        <w:rPr>
          <w:rFonts w:ascii="Times New Roman" w:hAnsi="Times New Roman" w:cs="Times New Roman" w:eastAsia="Times New Roman" w:hint="default"/>
          <w:spacing w:val="-2"/>
        </w:rPr>
        <w:t> </w:t>
      </w:r>
      <w:r>
        <w:rPr/>
        <w:t>元。其中</w:t>
      </w:r>
      <w:r>
        <w:rPr>
          <w:spacing w:val="-54"/>
        </w:rPr>
        <w:t> </w:t>
      </w:r>
      <w:r>
        <w:rPr>
          <w:rFonts w:ascii="Times New Roman" w:hAnsi="Times New Roman" w:cs="Times New Roman" w:eastAsia="Times New Roman" w:hint="default"/>
        </w:rPr>
        <w:t>33,764,127</w:t>
      </w:r>
      <w:r>
        <w:rPr>
          <w:rFonts w:ascii="Times New Roman" w:hAnsi="Times New Roman" w:cs="Times New Roman" w:eastAsia="Times New Roman" w:hint="default"/>
          <w:spacing w:val="-2"/>
        </w:rPr>
        <w:t> </w:t>
      </w:r>
      <w:r>
        <w:rPr/>
        <w:t>元于当期计入损益，</w:t>
      </w:r>
    </w:p>
    <w:p>
      <w:pPr>
        <w:pStyle w:val="BodyText"/>
        <w:spacing w:line="281" w:lineRule="exact" w:before="69"/>
        <w:ind w:right="0"/>
        <w:jc w:val="left"/>
      </w:pPr>
      <w:r>
        <w:rPr>
          <w:rFonts w:ascii="Times New Roman" w:hAnsi="Times New Roman" w:cs="Times New Roman" w:eastAsia="Times New Roman" w:hint="default"/>
        </w:rPr>
        <w:t>13,866,760</w:t>
      </w:r>
      <w:r>
        <w:rPr>
          <w:rFonts w:ascii="Times New Roman" w:hAnsi="Times New Roman" w:cs="Times New Roman" w:eastAsia="Times New Roman" w:hint="default"/>
          <w:spacing w:val="-2"/>
        </w:rPr>
        <w:t> </w:t>
      </w:r>
      <w:r>
        <w:rPr/>
        <w:t>元于当期确认为无形资产。</w:t>
      </w:r>
    </w:p>
    <w:p>
      <w:pPr>
        <w:pStyle w:val="BodyText"/>
        <w:spacing w:line="265" w:lineRule="exact"/>
        <w:ind w:right="0"/>
        <w:jc w:val="left"/>
        <w:rPr>
          <w:rFonts w:ascii="宋体" w:hAnsi="宋体" w:cs="宋体" w:eastAsia="宋体" w:hint="default"/>
        </w:rPr>
      </w:pPr>
      <w:r>
        <w:rPr>
          <w:rFonts w:ascii="宋体"/>
          <w:w w:val="100"/>
        </w:rPr>
        <w:t> </w:t>
      </w:r>
    </w:p>
    <w:p>
      <w:pPr>
        <w:pStyle w:val="Heading5"/>
        <w:spacing w:line="290" w:lineRule="auto"/>
        <w:ind w:right="6956"/>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74"/>
        <w:gridCol w:w="1697"/>
        <w:gridCol w:w="1721"/>
        <w:gridCol w:w="1718"/>
        <w:gridCol w:w="1676"/>
      </w:tblGrid>
      <w:tr>
        <w:trPr>
          <w:trHeight w:val="293" w:hRule="exact"/>
        </w:trPr>
        <w:tc>
          <w:tcPr>
            <w:tcW w:w="2474" w:type="dxa"/>
            <w:vMerge w:val="restart"/>
            <w:tcBorders>
              <w:top w:val="single" w:sz="4" w:space="0" w:color="000000"/>
              <w:left w:val="single" w:sz="4" w:space="0" w:color="000000"/>
              <w:right w:val="single" w:sz="4" w:space="0" w:color="000000"/>
            </w:tcBorders>
          </w:tcPr>
          <w:p>
            <w:pPr>
              <w:pStyle w:val="TableParagraph"/>
              <w:spacing w:line="240" w:lineRule="auto" w:before="107"/>
              <w:ind w:left="705" w:right="177"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7" w:hRule="exact"/>
        </w:trPr>
        <w:tc>
          <w:tcPr>
            <w:tcW w:w="2474"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宋体" w:hAnsi="宋体" w:cs="宋体" w:eastAsia="宋体" w:hint="default"/>
                <w:sz w:val="21"/>
                <w:szCs w:val="21"/>
              </w:rPr>
            </w:pPr>
            <w:r>
              <w:rPr>
                <w:rFonts w:ascii="宋体" w:hAnsi="宋体" w:cs="宋体" w:eastAsia="宋体" w:hint="default"/>
                <w:spacing w:val="-2"/>
                <w:sz w:val="21"/>
                <w:szCs w:val="21"/>
              </w:rPr>
              <w:t>企业合并形成的</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43"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676" w:type="dxa"/>
            <w:vMerge/>
            <w:tcBorders>
              <w:left w:val="single" w:sz="4" w:space="0" w:color="000000"/>
              <w:bottom w:val="single" w:sz="4" w:space="0" w:color="000000"/>
              <w:right w:val="single" w:sz="4" w:space="0" w:color="000000"/>
            </w:tcBorders>
          </w:tcPr>
          <w:p>
            <w:pPr/>
          </w:p>
        </w:tc>
      </w:tr>
      <w:tr>
        <w:trPr>
          <w:trHeight w:val="554" w:hRule="exact"/>
        </w:trPr>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大唐港务非同一控制下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8,706,923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8,706,923</w:t>
            </w:r>
            <w:r>
              <w:rPr>
                <w:rFonts w:ascii="宋体"/>
                <w:sz w:val="21"/>
              </w:rPr>
              <w:t> </w:t>
            </w:r>
          </w:p>
        </w:tc>
      </w:tr>
      <w:tr>
        <w:trPr>
          <w:trHeight w:val="555" w:hRule="exact"/>
        </w:trPr>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摩科瑞物流非同一控制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10,129,085</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10,129,085</w:t>
            </w:r>
            <w:r>
              <w:rPr>
                <w:rFonts w:ascii="宋体"/>
                <w:sz w:val="21"/>
              </w:rPr>
              <w:t> </w:t>
            </w:r>
          </w:p>
        </w:tc>
      </w:tr>
      <w:tr>
        <w:trPr>
          <w:trHeight w:val="554" w:hRule="exact"/>
        </w:trPr>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董家口液体化工非同一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控制下企业合并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1,850,485</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1,850,485</w:t>
            </w:r>
            <w:r>
              <w:rPr>
                <w:rFonts w:ascii="宋体"/>
                <w:sz w:val="21"/>
              </w:rPr>
              <w:t> </w:t>
            </w:r>
          </w:p>
        </w:tc>
      </w:tr>
      <w:tr>
        <w:trPr>
          <w:trHeight w:val="554" w:hRule="exact"/>
        </w:trPr>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港运泰物流非同一控制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4,686,830</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4,686,830</w:t>
            </w:r>
            <w:r>
              <w:rPr>
                <w:rFonts w:ascii="宋体"/>
                <w:sz w:val="21"/>
              </w:rPr>
              <w:t> </w:t>
            </w:r>
          </w:p>
        </w:tc>
      </w:tr>
      <w:tr>
        <w:trPr>
          <w:trHeight w:val="307" w:hRule="exact"/>
        </w:trPr>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25,373,323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
                <w:sz w:val="21"/>
              </w:rPr>
              <w:t>25,373,323</w:t>
            </w:r>
            <w:r>
              <w:rPr>
                <w:rFonts w:ascii="宋体"/>
                <w:sz w:val="21"/>
              </w:rPr>
              <w:t> </w:t>
            </w:r>
          </w:p>
        </w:tc>
      </w:tr>
    </w:tbl>
    <w:p>
      <w:pPr>
        <w:spacing w:after="0" w:line="253" w:lineRule="exact"/>
        <w:jc w:val="right"/>
        <w:rPr>
          <w:rFonts w:ascii="宋体" w:hAnsi="宋体" w:cs="宋体" w:eastAsia="宋体"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111" w:space="4649"/>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91"/>
        <w:gridCol w:w="1700"/>
        <w:gridCol w:w="1731"/>
        <w:gridCol w:w="1714"/>
        <w:gridCol w:w="1652"/>
      </w:tblGrid>
      <w:tr>
        <w:trPr>
          <w:trHeight w:val="281" w:hRule="exact"/>
        </w:trPr>
        <w:tc>
          <w:tcPr>
            <w:tcW w:w="2491" w:type="dxa"/>
            <w:vMerge w:val="restart"/>
            <w:tcBorders>
              <w:top w:val="single" w:sz="4" w:space="0" w:color="000000"/>
              <w:left w:val="single" w:sz="4" w:space="0" w:color="000000"/>
              <w:right w:val="single" w:sz="4" w:space="0" w:color="000000"/>
            </w:tcBorders>
          </w:tcPr>
          <w:p>
            <w:pPr>
              <w:pStyle w:val="TableParagraph"/>
              <w:spacing w:line="272" w:lineRule="exact" w:before="10"/>
              <w:ind w:left="715" w:right="187"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17"/>
              <w:ind w:left="4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17"/>
              <w:ind w:left="4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8" w:hRule="exact"/>
        </w:trPr>
        <w:tc>
          <w:tcPr>
            <w:tcW w:w="2491"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5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40"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652" w:type="dxa"/>
            <w:vMerge/>
            <w:tcBorders>
              <w:left w:val="single" w:sz="4" w:space="0" w:color="000000"/>
              <w:bottom w:val="single" w:sz="4" w:space="0" w:color="000000"/>
              <w:right w:val="single" w:sz="4" w:space="0" w:color="000000"/>
            </w:tcBorders>
          </w:tcPr>
          <w:p>
            <w:pPr/>
          </w:p>
        </w:tc>
      </w:tr>
      <w:tr>
        <w:trPr>
          <w:trHeight w:val="554"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港运泰物流非同一控制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4,686,830</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4,686,830</w:t>
            </w:r>
            <w:r>
              <w:rPr>
                <w:rFonts w:ascii="宋体"/>
                <w:sz w:val="21"/>
              </w:rPr>
              <w:t> </w:t>
            </w:r>
          </w:p>
        </w:tc>
      </w:tr>
      <w:tr>
        <w:trPr>
          <w:trHeight w:val="29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4,686,830</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4,686,830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5"/>
        <w:spacing w:line="272" w:lineRule="exact" w:before="0"/>
        <w:ind w:left="643" w:right="221" w:hanging="425"/>
        <w:jc w:val="left"/>
        <w:rPr>
          <w:rFonts w:ascii="宋体" w:hAnsi="宋体" w:cs="宋体" w:eastAsia="宋体" w:hint="default"/>
          <w:b w:val="0"/>
          <w:bCs w:val="0"/>
        </w:rPr>
      </w:pPr>
      <w:r>
        <w:rPr>
          <w:rFonts w:ascii="宋体" w:hAnsi="宋体" w:cs="宋体" w:eastAsia="宋体" w:hint="default"/>
        </w:rPr>
        <w:t>(4).</w:t>
      </w:r>
      <w:r>
        <w:rPr/>
        <w:t>说明商誉减值测试过程、关键参数（例如预计未来现金流量现值时的预测期增长率、稳定期增</w:t>
      </w:r>
      <w:r>
        <w:rPr>
          <w:spacing w:val="-99"/>
        </w:rPr>
        <w:t> </w:t>
      </w:r>
      <w:r>
        <w:rPr>
          <w:spacing w:val="-99"/>
        </w:rPr>
      </w:r>
      <w:r>
        <w:rPr/>
        <w:t>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34"/>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于报告期末，本集团对商誉进行减值测试并将其账面价值分摊至预期从企业合并的协同效益中</w:t>
      </w:r>
    </w:p>
    <w:p>
      <w:pPr>
        <w:pStyle w:val="BodyText"/>
        <w:spacing w:line="314" w:lineRule="auto" w:before="28"/>
        <w:ind w:left="638" w:right="0" w:hanging="420"/>
        <w:jc w:val="left"/>
      </w:pPr>
      <w:r>
        <w:rPr/>
        <w:t>受益的资产组或资产组组合，预计资产组或资产组组合可收回金额。</w:t>
      </w:r>
      <w:r>
        <w:rPr>
          <w:rFonts w:ascii="宋体" w:hAnsi="宋体" w:cs="宋体" w:eastAsia="宋体" w:hint="default"/>
          <w:w w:val="100"/>
        </w:rPr>
        <w:t> </w:t>
      </w:r>
      <w:r>
        <w:rPr>
          <w:spacing w:val="-2"/>
        </w:rPr>
        <w:t>本期末资产组和资产组组合的可收回金额采用现金流量预测方法按适用的折现率计算。增长期</w:t>
      </w:r>
    </w:p>
    <w:p>
      <w:pPr>
        <w:pStyle w:val="BodyText"/>
        <w:spacing w:line="314" w:lineRule="auto" w:before="20"/>
        <w:ind w:right="0"/>
        <w:jc w:val="left"/>
        <w:rPr>
          <w:rFonts w:ascii="宋体" w:hAnsi="宋体" w:cs="宋体" w:eastAsia="宋体" w:hint="default"/>
        </w:rPr>
      </w:pPr>
      <w:r>
        <w:rPr>
          <w:spacing w:val="-2"/>
        </w:rPr>
        <w:t>的预计现金流量依据管理层批准的预算确定，永续期的增长率为本集团预永续期的现金流量所采用</w:t>
      </w:r>
      <w:r>
        <w:rPr>
          <w:spacing w:val="-25"/>
        </w:rPr>
        <w:t> </w:t>
      </w:r>
      <w:r>
        <w:rPr>
          <w:spacing w:val="-25"/>
        </w:rPr>
      </w:r>
      <w:r>
        <w:rPr/>
        <w:t>的加权平均增长率，与行业报告所载的预测数据一致，不超过所在行业的长期平均增长率。</w:t>
      </w:r>
      <w:r>
        <w:rPr>
          <w:rFonts w:ascii="宋体" w:hAnsi="宋体" w:cs="宋体" w:eastAsia="宋体" w:hint="default"/>
        </w:rPr>
        <w:t> </w:t>
      </w:r>
    </w:p>
    <w:p>
      <w:pPr>
        <w:pStyle w:val="BodyText"/>
        <w:spacing w:line="314" w:lineRule="auto" w:before="20"/>
        <w:ind w:right="0" w:firstLine="420"/>
        <w:jc w:val="left"/>
        <w:rPr>
          <w:rFonts w:ascii="宋体" w:hAnsi="宋体" w:cs="宋体" w:eastAsia="宋体" w:hint="default"/>
        </w:rPr>
      </w:pPr>
      <w:r>
        <w:rPr>
          <w:spacing w:val="-2"/>
        </w:rPr>
        <w:t>根据减值测试结果，相关资产组或资产组组合的可收回金额高于其账面价值，因此未确认减值</w:t>
      </w:r>
      <w:r>
        <w:rPr>
          <w:w w:val="100"/>
        </w:rPr>
        <w:t> </w:t>
      </w:r>
      <w:r>
        <w:rPr/>
        <w:t>损失。</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before="59"/>
        <w:ind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638" w:right="2047"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根据减值测试结果，本集团对持有的港运泰物流商誉全额计提减值准备。</w:t>
      </w:r>
      <w:r>
        <w:rPr>
          <w:rFonts w:ascii="宋体" w:hAnsi="宋体" w:cs="宋体" w:eastAsia="宋体" w:hint="default"/>
        </w:rPr>
        <w:t> </w:t>
      </w:r>
    </w:p>
    <w:p>
      <w:pPr>
        <w:spacing w:after="0" w:line="307" w:lineRule="auto"/>
        <w:jc w:val="left"/>
        <w:rPr>
          <w:rFonts w:ascii="宋体" w:hAnsi="宋体" w:cs="宋体" w:eastAsia="宋体" w:hint="default"/>
        </w:rPr>
        <w:sectPr>
          <w:pgSz w:w="11910" w:h="16840"/>
          <w:pgMar w:header="882" w:footer="974" w:top="1120" w:bottom="1160" w:left="1200" w:right="1180"/>
        </w:sectPr>
      </w:pPr>
    </w:p>
    <w:p>
      <w:pPr>
        <w:pStyle w:val="BodyText"/>
        <w:spacing w:line="223"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111" w:space="4649"/>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86"/>
        <w:gridCol w:w="1537"/>
        <w:gridCol w:w="1536"/>
        <w:gridCol w:w="1536"/>
        <w:gridCol w:w="1560"/>
        <w:gridCol w:w="1633"/>
      </w:tblGrid>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其他减少金额</w:t>
            </w:r>
            <w:r>
              <w:rPr>
                <w:rFonts w:ascii="宋体" w:hAnsi="宋体" w:cs="宋体" w:eastAsia="宋体" w:hint="default"/>
                <w:sz w:val="21"/>
                <w:szCs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维修改造支出</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21,182,926</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7,649,804</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4,037,166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24,795,564</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2,385,367</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1,297,457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1,087,910</w:t>
            </w:r>
            <w:r>
              <w:rPr>
                <w:rFonts w:ascii="宋体"/>
                <w:sz w:val="21"/>
              </w:rPr>
              <w:t> </w:t>
            </w:r>
          </w:p>
        </w:tc>
      </w:tr>
      <w:tr>
        <w:trPr>
          <w:trHeight w:val="5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外航道航标维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护费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893,535</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397,127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496,408</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2,433,127</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2,508,191</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2,719,647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2,221,671</w:t>
            </w:r>
            <w:r>
              <w:rPr>
                <w:rFonts w:ascii="宋体"/>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26,894,955</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10,157,995</w:t>
            </w:r>
            <w:r>
              <w:rPr>
                <w:rFonts w:ascii="宋体"/>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8,451,397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28,601,553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200" w:right="118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tabs>
          <w:tab w:pos="1058"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30</w:t>
      </w:r>
      <w:r>
        <w:rPr/>
        <w:t>、</w:t>
      </w:r>
      <w:r>
        <w:rPr>
          <w:spacing w:val="-47"/>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w w:val="95"/>
        </w:rPr>
        <w:t>(1).</w:t>
        <w:tab/>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866" w:space="2894"/>
            <w:col w:w="277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41"/>
        <w:gridCol w:w="1649"/>
        <w:gridCol w:w="1647"/>
        <w:gridCol w:w="1658"/>
        <w:gridCol w:w="1892"/>
      </w:tblGrid>
      <w:tr>
        <w:trPr>
          <w:trHeight w:val="296"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1" w:type="dxa"/>
            <w:vMerge/>
            <w:tcBorders>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225,453,220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55,983,554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263,109,929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66,777,712</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375,004,588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93,751,147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327,699,192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81,924,798</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46,912,100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11,728,025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13,593,676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3,398,419</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评估增值</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2,859,155,888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714,788,972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2,937,993,264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734,498,316</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内退福利</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63,420,000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15,855,000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85,930,000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21,482,500</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34,100,380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8,525,095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66,678,896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16,669,724</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86,403,257</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21,600,814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71,545,404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17,886,351</w:t>
            </w:r>
          </w:p>
        </w:tc>
      </w:tr>
      <w:tr>
        <w:trPr>
          <w:trHeight w:val="29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3,690,449,433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922,232,607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3,766,550,361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942,637,820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200" w:right="1180"/>
        </w:sectPr>
      </w:pPr>
    </w:p>
    <w:p>
      <w:pPr>
        <w:pStyle w:val="BodyText"/>
        <w:spacing w:line="240" w:lineRule="auto" w:before="168"/>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338" w:space="3422"/>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50"/>
        <w:gridCol w:w="1462"/>
        <w:gridCol w:w="1688"/>
        <w:gridCol w:w="1680"/>
        <w:gridCol w:w="1808"/>
      </w:tblGrid>
      <w:tr>
        <w:trPr>
          <w:trHeight w:val="293" w:hRule="exact"/>
        </w:trPr>
        <w:tc>
          <w:tcPr>
            <w:tcW w:w="26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65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性差异</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评估增值</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89,181,748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22,295,437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90,947,168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22,736,792</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49,467,094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12,366,774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40,565,466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9,788,926</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理财产品公允价值变动</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14,011,388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3,502,847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5,014,902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1,253,726</w:t>
            </w:r>
          </w:p>
        </w:tc>
      </w:tr>
      <w:tr>
        <w:trPr>
          <w:trHeight w:val="295"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152,660,230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38,165,058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136,527,536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33,779,444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9"/>
        </w:rPr>
        <w:t> </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4814" w:space="1946"/>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00"/>
        <w:gridCol w:w="1700"/>
        <w:gridCol w:w="1685"/>
        <w:gridCol w:w="1711"/>
        <w:gridCol w:w="1791"/>
      </w:tblGrid>
      <w:tr>
        <w:trPr>
          <w:trHeight w:val="826"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31" w:right="108" w:hanging="527"/>
              <w:jc w:val="left"/>
              <w:rPr>
                <w:rFonts w:ascii="宋体" w:hAnsi="宋体" w:cs="宋体" w:eastAsia="宋体" w:hint="default"/>
                <w:sz w:val="21"/>
                <w:szCs w:val="21"/>
              </w:rPr>
            </w:pPr>
            <w:r>
              <w:rPr>
                <w:rFonts w:ascii="宋体" w:hAnsi="宋体" w:cs="宋体" w:eastAsia="宋体" w:hint="default"/>
                <w:sz w:val="21"/>
                <w:szCs w:val="21"/>
              </w:rPr>
              <w:t>和负债期末互抵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311" w:right="204" w:hanging="106"/>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债期末余额</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40" w:right="110" w:hanging="526"/>
              <w:jc w:val="left"/>
              <w:rPr>
                <w:rFonts w:ascii="宋体" w:hAnsi="宋体" w:cs="宋体" w:eastAsia="宋体" w:hint="default"/>
                <w:sz w:val="21"/>
                <w:szCs w:val="21"/>
              </w:rPr>
            </w:pPr>
            <w:r>
              <w:rPr>
                <w:rFonts w:ascii="宋体" w:hAnsi="宋体" w:cs="宋体" w:eastAsia="宋体" w:hint="default"/>
                <w:sz w:val="21"/>
                <w:szCs w:val="21"/>
              </w:rPr>
              <w:t>和负债期初互抵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抵销后递延所得</w:t>
            </w:r>
          </w:p>
          <w:p>
            <w:pPr>
              <w:pStyle w:val="TableParagraph"/>
              <w:spacing w:line="240" w:lineRule="auto"/>
              <w:ind w:left="574" w:right="152" w:hanging="421"/>
              <w:jc w:val="left"/>
              <w:rPr>
                <w:rFonts w:ascii="宋体" w:hAnsi="宋体" w:cs="宋体" w:eastAsia="宋体" w:hint="default"/>
                <w:sz w:val="21"/>
                <w:szCs w:val="21"/>
              </w:rPr>
            </w:pPr>
            <w:r>
              <w:rPr>
                <w:rFonts w:ascii="宋体" w:hAnsi="宋体" w:cs="宋体" w:eastAsia="宋体" w:hint="default"/>
                <w:sz w:val="21"/>
                <w:szCs w:val="21"/>
              </w:rPr>
              <w:t>税资产或负债期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初余额</w:t>
            </w:r>
            <w:r>
              <w:rPr>
                <w:rFonts w:ascii="宋体" w:hAnsi="宋体" w:cs="宋体" w:eastAsia="宋体" w:hint="default"/>
                <w:sz w:val="21"/>
                <w:szCs w:val="21"/>
              </w:rPr>
              <w:t> </w:t>
            </w: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15,869,621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906,362,986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33,779,444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908,858,376</w:t>
            </w: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15,869,621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22,295,437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33,779,444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9"/>
        </w:rPr>
        <w:t> </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338" w:space="3422"/>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31"/>
        <w:gridCol w:w="3125"/>
        <w:gridCol w:w="3231"/>
      </w:tblGrid>
      <w:tr>
        <w:trPr>
          <w:trHeight w:val="293"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18,996,560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6"/>
              <w:jc w:val="right"/>
              <w:rPr>
                <w:rFonts w:ascii="Times New Roman" w:hAnsi="Times New Roman" w:cs="Times New Roman" w:eastAsia="Times New Roman" w:hint="default"/>
                <w:sz w:val="21"/>
                <w:szCs w:val="21"/>
              </w:rPr>
            </w:pPr>
            <w:r>
              <w:rPr>
                <w:rFonts w:ascii="Times New Roman"/>
                <w:spacing w:val="-1"/>
                <w:sz w:val="21"/>
              </w:rPr>
              <w:t>168</w:t>
            </w:r>
            <w:r>
              <w:rPr>
                <w:rFonts w:ascii="Times New Roman"/>
                <w:spacing w:val="-1"/>
                <w:sz w:val="24"/>
              </w:rPr>
              <w:t>,</w:t>
            </w:r>
            <w:r>
              <w:rPr>
                <w:rFonts w:ascii="Times New Roman"/>
                <w:spacing w:val="-1"/>
                <w:sz w:val="21"/>
              </w:rPr>
              <w:t>376</w:t>
            </w:r>
            <w:r>
              <w:rPr>
                <w:rFonts w:ascii="Times New Roman"/>
                <w:spacing w:val="-1"/>
                <w:sz w:val="24"/>
              </w:rPr>
              <w:t>,</w:t>
            </w:r>
            <w:r>
              <w:rPr>
                <w:rFonts w:ascii="Times New Roman"/>
                <w:spacing w:val="-1"/>
                <w:sz w:val="21"/>
              </w:rPr>
              <w:t>188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Times New Roman" w:hAnsi="Times New Roman" w:cs="Times New Roman" w:eastAsia="Times New Roman" w:hint="default"/>
                <w:sz w:val="21"/>
                <w:szCs w:val="21"/>
              </w:rPr>
            </w:pPr>
            <w:r>
              <w:rPr>
                <w:rFonts w:ascii="Times New Roman"/>
                <w:spacing w:val="-1"/>
                <w:sz w:val="21"/>
              </w:rPr>
              <w:t>113</w:t>
            </w:r>
            <w:r>
              <w:rPr>
                <w:rFonts w:ascii="Times New Roman"/>
                <w:spacing w:val="-1"/>
                <w:sz w:val="24"/>
              </w:rPr>
              <w:t>,</w:t>
            </w:r>
            <w:r>
              <w:rPr>
                <w:rFonts w:ascii="Times New Roman"/>
                <w:spacing w:val="-1"/>
                <w:sz w:val="21"/>
              </w:rPr>
              <w:t>160</w:t>
            </w:r>
            <w:r>
              <w:rPr>
                <w:rFonts w:ascii="Times New Roman"/>
                <w:spacing w:val="-1"/>
                <w:sz w:val="24"/>
              </w:rPr>
              <w:t>,</w:t>
            </w:r>
            <w:r>
              <w:rPr>
                <w:rFonts w:ascii="Times New Roman"/>
                <w:spacing w:val="-1"/>
                <w:sz w:val="21"/>
              </w:rPr>
              <w:t>166</w:t>
            </w:r>
          </w:p>
        </w:tc>
      </w:tr>
      <w:tr>
        <w:trPr>
          <w:trHeight w:val="295" w:hRule="exact"/>
        </w:trPr>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187,372,748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113,160,166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0"/>
        </w:rPr>
        <w:t> </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5868" w:space="834"/>
            <w:col w:w="28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12"/>
        <w:gridCol w:w="2321"/>
        <w:gridCol w:w="2357"/>
        <w:gridCol w:w="2497"/>
      </w:tblGrid>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5"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54"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5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9,341,894</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10,083,203</w:t>
            </w:r>
          </w:p>
        </w:tc>
        <w:tc>
          <w:tcPr>
            <w:tcW w:w="249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39,944,152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39,944,152</w:t>
            </w:r>
          </w:p>
        </w:tc>
        <w:tc>
          <w:tcPr>
            <w:tcW w:w="2497"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2023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65,652,162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63,132,811</w:t>
            </w:r>
          </w:p>
        </w:tc>
        <w:tc>
          <w:tcPr>
            <w:tcW w:w="249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53,437,980</w:t>
            </w:r>
          </w:p>
        </w:tc>
        <w:tc>
          <w:tcPr>
            <w:tcW w:w="2357" w:type="dxa"/>
            <w:tcBorders>
              <w:top w:val="single" w:sz="4" w:space="0" w:color="000000"/>
              <w:left w:val="single" w:sz="4" w:space="0" w:color="000000"/>
              <w:bottom w:val="single" w:sz="4" w:space="0" w:color="000000"/>
              <w:right w:val="single" w:sz="4" w:space="0" w:color="000000"/>
            </w:tcBorders>
          </w:tcPr>
          <w:p>
            <w:pPr/>
          </w:p>
        </w:tc>
        <w:tc>
          <w:tcPr>
            <w:tcW w:w="249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168,376,188</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113,160,166</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right="0"/>
        <w:jc w:val="left"/>
        <w:rPr>
          <w:rFonts w:ascii="宋体" w:hAnsi="宋体" w:cs="宋体" w:eastAsia="宋体" w:hint="default"/>
        </w:rPr>
      </w:pPr>
      <w:r>
        <w:rPr>
          <w:rFonts w:ascii="宋体"/>
          <w:color w:val="FF00FF"/>
          <w:w w:val="100"/>
        </w:rPr>
        <w:t> </w:t>
      </w:r>
      <w:r>
        <w:rPr>
          <w:rFonts w:ascii="宋体"/>
          <w:w w:val="10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31</w:t>
      </w:r>
      <w:r>
        <w:rPr/>
        <w:t>、</w:t>
      </w:r>
      <w:r>
        <w:rPr>
          <w:spacing w:val="-23"/>
        </w:rPr>
        <w:t> </w:t>
      </w:r>
      <w:r>
        <w:rPr/>
        <w:t>其他非流动资产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pStyle w:val="BodyText"/>
        <w:spacing w:line="240" w:lineRule="auto" w:before="168"/>
        <w:ind w:left="0" w:right="128"/>
        <w:jc w:val="right"/>
        <w:rPr>
          <w:rFonts w:ascii="宋体" w:hAnsi="宋体" w:cs="宋体" w:eastAsia="宋体" w:hint="default"/>
        </w:rPr>
      </w:pPr>
      <w:r>
        <w:rPr/>
        <w:pict>
          <v:shape style="position:absolute;margin-left:65.064003pt;margin-top:23.663696pt;width:465.6pt;height:126.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6"/>
                    <w:gridCol w:w="1496"/>
                    <w:gridCol w:w="746"/>
                    <w:gridCol w:w="1493"/>
                    <w:gridCol w:w="1493"/>
                    <w:gridCol w:w="747"/>
                    <w:gridCol w:w="1536"/>
                  </w:tblGrid>
                  <w:tr>
                    <w:trPr>
                      <w:trHeight w:val="283" w:hRule="exact"/>
                    </w:trPr>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786" w:type="dxa"/>
                        <w:vMerge/>
                        <w:tcBorders>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182,529,721</w:t>
                        </w:r>
                      </w:p>
                    </w:tc>
                    <w:tc>
                      <w:tcPr>
                        <w:tcW w:w="74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182,529,721</w:t>
                        </w:r>
                      </w:p>
                    </w:tc>
                    <w:tc>
                      <w:tcPr>
                        <w:tcW w:w="149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预收港口设施租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赁款相关税费</w:t>
                        </w:r>
                        <w:r>
                          <w:rPr>
                            <w:rFonts w:ascii="宋体" w:hAnsi="宋体" w:cs="宋体" w:eastAsia="宋体" w:hint="default"/>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164,870,124</w:t>
                        </w:r>
                      </w:p>
                    </w:tc>
                    <w:tc>
                      <w:tcPr>
                        <w:tcW w:w="74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164,870,124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164,722,808</w:t>
                        </w:r>
                      </w:p>
                    </w:tc>
                    <w:tc>
                      <w:tcPr>
                        <w:tcW w:w="74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164,722,808</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油罐铺底油</w:t>
                        </w:r>
                        <w:r>
                          <w:rPr>
                            <w:rFonts w:ascii="宋体" w:hAnsi="宋体" w:cs="宋体" w:eastAsia="宋体" w:hint="default"/>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154,048,708</w:t>
                        </w:r>
                      </w:p>
                    </w:tc>
                    <w:tc>
                      <w:tcPr>
                        <w:tcW w:w="74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154,048,708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154,048,708</w:t>
                        </w:r>
                      </w:p>
                    </w:tc>
                    <w:tc>
                      <w:tcPr>
                        <w:tcW w:w="74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154,048,708</w:t>
                        </w:r>
                      </w:p>
                    </w:tc>
                  </w:tr>
                  <w:tr>
                    <w:trPr>
                      <w:trHeight w:val="28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预付工程设备款</w:t>
                        </w:r>
                        <w:r>
                          <w:rPr>
                            <w:rFonts w:ascii="宋体" w:hAnsi="宋体" w:cs="宋体" w:eastAsia="宋体" w:hint="default"/>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97,865,742</w:t>
                        </w:r>
                      </w:p>
                    </w:tc>
                    <w:tc>
                      <w:tcPr>
                        <w:tcW w:w="74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97,865,742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22,357,252</w:t>
                        </w:r>
                      </w:p>
                    </w:tc>
                    <w:tc>
                      <w:tcPr>
                        <w:tcW w:w="74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22,357,252</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599,314,295</w:t>
                        </w:r>
                      </w:p>
                    </w:tc>
                    <w:tc>
                      <w:tcPr>
                        <w:tcW w:w="74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599,314,295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341,128,768</w:t>
                        </w:r>
                      </w:p>
                    </w:tc>
                    <w:tc>
                      <w:tcPr>
                        <w:tcW w:w="747"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341,128,768</w:t>
                        </w:r>
                      </w:p>
                    </w:tc>
                  </w:tr>
                </w:tbl>
                <w:p>
                  <w:pPr/>
                </w:p>
              </w:txbxContent>
            </v:textbox>
            <w10:wrap type="none"/>
          </v:shape>
        </w:pict>
      </w: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314" w:lineRule="auto" w:before="73"/>
        <w:ind w:right="268" w:firstLine="420"/>
        <w:jc w:val="both"/>
        <w:rPr>
          <w:rFonts w:ascii="宋体" w:hAnsi="宋体" w:cs="宋体" w:eastAsia="宋体" w:hint="default"/>
        </w:rPr>
      </w:pPr>
      <w:r>
        <w:rPr/>
        <w:t>（</w:t>
      </w:r>
      <w:r>
        <w:rPr>
          <w:rFonts w:ascii="宋体" w:hAnsi="宋体" w:cs="宋体" w:eastAsia="宋体" w:hint="default"/>
        </w:rPr>
        <w:t>1</w:t>
      </w:r>
      <w:r>
        <w:rPr/>
        <w:t>）预收港口设施租赁款相关税费主要为本集团向合营公司</w:t>
      </w:r>
      <w:r>
        <w:rPr>
          <w:spacing w:val="-56"/>
        </w:rPr>
        <w:t> </w:t>
      </w:r>
      <w:r>
        <w:rPr>
          <w:rFonts w:ascii="宋体" w:hAnsi="宋体" w:cs="宋体" w:eastAsia="宋体" w:hint="default"/>
        </w:rPr>
        <w:t>QQCT</w:t>
      </w:r>
      <w:r>
        <w:rPr>
          <w:rFonts w:ascii="宋体" w:hAnsi="宋体" w:cs="宋体" w:eastAsia="宋体" w:hint="default"/>
          <w:spacing w:val="-58"/>
        </w:rPr>
        <w:t> </w:t>
      </w:r>
      <w:r>
        <w:rPr/>
        <w:t>出租前湾港区土地使用权、</w:t>
      </w:r>
      <w:r>
        <w:rPr>
          <w:w w:val="100"/>
        </w:rPr>
        <w:t> </w:t>
      </w:r>
      <w:r>
        <w:rPr>
          <w:spacing w:val="-2"/>
        </w:rPr>
        <w:t>港务设施、库场设施等资产</w:t>
      </w:r>
      <w:r>
        <w:rPr>
          <w:rFonts w:ascii="宋体" w:hAnsi="宋体" w:cs="宋体" w:eastAsia="宋体" w:hint="default"/>
          <w:spacing w:val="-2"/>
        </w:rPr>
        <w:t>(</w:t>
      </w:r>
      <w:r>
        <w:rPr>
          <w:spacing w:val="-2"/>
        </w:rPr>
        <w:t>以下合称“港口设施”</w:t>
      </w:r>
      <w:r>
        <w:rPr>
          <w:rFonts w:ascii="宋体" w:hAnsi="宋体" w:cs="宋体" w:eastAsia="宋体" w:hint="default"/>
          <w:spacing w:val="-2"/>
        </w:rPr>
        <w:t>)</w:t>
      </w:r>
      <w:r>
        <w:rPr>
          <w:spacing w:val="-2"/>
        </w:rPr>
        <w:t>全额收到租金所预缴的相关税费，港口设施租</w:t>
      </w:r>
      <w:r>
        <w:rPr>
          <w:spacing w:val="-27"/>
        </w:rPr>
        <w:t> </w:t>
      </w:r>
      <w:r>
        <w:rPr>
          <w:spacing w:val="-27"/>
        </w:rPr>
      </w:r>
      <w:r>
        <w:rPr/>
        <w:t>赁期为</w:t>
      </w:r>
      <w:r>
        <w:rPr>
          <w:spacing w:val="-54"/>
        </w:rPr>
        <w:t> </w:t>
      </w:r>
      <w:r>
        <w:rPr>
          <w:rFonts w:ascii="宋体" w:hAnsi="宋体" w:cs="宋体" w:eastAsia="宋体" w:hint="default"/>
        </w:rPr>
        <w:t>30</w:t>
      </w:r>
      <w:r>
        <w:rPr>
          <w:rFonts w:ascii="宋体" w:hAnsi="宋体" w:cs="宋体" w:eastAsia="宋体" w:hint="default"/>
          <w:spacing w:val="-56"/>
        </w:rPr>
        <w:t> </w:t>
      </w:r>
      <w:r>
        <w:rPr/>
        <w:t>年。于</w:t>
      </w:r>
      <w:r>
        <w:rPr>
          <w:spacing w:val="-54"/>
        </w:rPr>
        <w:t> </w:t>
      </w:r>
      <w:r>
        <w:rPr>
          <w:rFonts w:ascii="宋体" w:hAnsi="宋体" w:cs="宋体" w:eastAsia="宋体" w:hint="default"/>
        </w:rPr>
        <w:t>2010</w:t>
      </w:r>
      <w:r>
        <w:rPr>
          <w:rFonts w:ascii="宋体" w:hAnsi="宋体" w:cs="宋体" w:eastAsia="宋体" w:hint="default"/>
          <w:spacing w:val="-54"/>
        </w:rPr>
        <w:t> </w:t>
      </w:r>
      <w:r>
        <w:rPr/>
        <w:t>年底前，本集团已全额收取租赁款。本集团将已缴纳的港口设施租赁款相关</w:t>
      </w:r>
      <w:r>
        <w:rPr>
          <w:w w:val="100"/>
        </w:rPr>
        <w:t> </w:t>
      </w:r>
      <w:r>
        <w:rPr>
          <w:spacing w:val="-2"/>
        </w:rPr>
        <w:t>的税费计入其他非流动资产。每期按照确认的租赁收入对应已缴纳的税费金额将其摊销至税金及附</w:t>
      </w:r>
      <w:r>
        <w:rPr>
          <w:spacing w:val="-25"/>
        </w:rPr>
        <w:t> </w:t>
      </w:r>
      <w:r>
        <w:rPr>
          <w:spacing w:val="-25"/>
        </w:rPr>
      </w:r>
      <w:r>
        <w:rPr/>
        <w:t>加中的其他项目。</w:t>
      </w:r>
      <w:r>
        <w:rPr>
          <w:rFonts w:ascii="宋体" w:hAnsi="宋体" w:cs="宋体" w:eastAsia="宋体" w:hint="default"/>
        </w:rPr>
        <w:t> </w:t>
      </w:r>
    </w:p>
    <w:p>
      <w:pPr>
        <w:pStyle w:val="BodyText"/>
        <w:spacing w:line="314" w:lineRule="auto" w:before="20"/>
        <w:ind w:right="229" w:firstLine="420"/>
        <w:jc w:val="both"/>
        <w:rPr>
          <w:rFonts w:ascii="宋体" w:hAnsi="宋体" w:cs="宋体" w:eastAsia="宋体" w:hint="default"/>
        </w:rPr>
      </w:pPr>
      <w:r>
        <w:rPr>
          <w:spacing w:val="-3"/>
        </w:rPr>
        <w:t>（</w:t>
      </w:r>
      <w:r>
        <w:rPr>
          <w:rFonts w:ascii="宋体" w:hAnsi="宋体" w:cs="宋体" w:eastAsia="宋体" w:hint="default"/>
          <w:spacing w:val="-3"/>
        </w:rPr>
        <w:t>2</w:t>
      </w:r>
      <w:r>
        <w:rPr>
          <w:spacing w:val="-3"/>
        </w:rPr>
        <w:t>）本公司之子公司潍坊港联化仓储有限公司</w:t>
      </w:r>
      <w:r>
        <w:rPr>
          <w:rFonts w:ascii="宋体" w:hAnsi="宋体" w:cs="宋体" w:eastAsia="宋体" w:hint="default"/>
          <w:spacing w:val="-3"/>
        </w:rPr>
        <w:t>(</w:t>
      </w:r>
      <w:r>
        <w:rPr>
          <w:spacing w:val="-3"/>
        </w:rPr>
        <w:t>“潍坊港联化”</w:t>
      </w:r>
      <w:r>
        <w:rPr>
          <w:rFonts w:ascii="宋体" w:hAnsi="宋体" w:cs="宋体" w:eastAsia="宋体" w:hint="default"/>
          <w:spacing w:val="-3"/>
        </w:rPr>
        <w:t>)</w:t>
      </w:r>
      <w:r>
        <w:rPr>
          <w:spacing w:val="-3"/>
        </w:rPr>
        <w:t>、青岛海业摩科瑞仓储有限公</w:t>
      </w:r>
      <w:r>
        <w:rPr>
          <w:w w:val="100"/>
        </w:rPr>
        <w:t> </w:t>
      </w:r>
      <w:r>
        <w:rPr>
          <w:spacing w:val="-2"/>
        </w:rPr>
        <w:t>司</w:t>
      </w:r>
      <w:r>
        <w:rPr>
          <w:rFonts w:ascii="宋体" w:hAnsi="宋体" w:cs="宋体" w:eastAsia="宋体" w:hint="default"/>
          <w:spacing w:val="-2"/>
        </w:rPr>
        <w:t>(</w:t>
      </w:r>
      <w:r>
        <w:rPr>
          <w:spacing w:val="-2"/>
        </w:rPr>
        <w:t>“摩科瑞仓储”</w:t>
      </w:r>
      <w:r>
        <w:rPr>
          <w:rFonts w:ascii="宋体" w:hAnsi="宋体" w:cs="宋体" w:eastAsia="宋体" w:hint="default"/>
          <w:spacing w:val="-2"/>
        </w:rPr>
        <w:t>)</w:t>
      </w:r>
      <w:r>
        <w:rPr>
          <w:spacing w:val="-2"/>
        </w:rPr>
        <w:t>及东营港联化管道石油输送有限公司</w:t>
      </w:r>
      <w:r>
        <w:rPr>
          <w:rFonts w:ascii="宋体" w:hAnsi="宋体" w:cs="宋体" w:eastAsia="宋体" w:hint="default"/>
          <w:spacing w:val="-2"/>
        </w:rPr>
        <w:t>(</w:t>
      </w:r>
      <w:r>
        <w:rPr>
          <w:spacing w:val="-2"/>
        </w:rPr>
        <w:t>“东营港联化”</w:t>
      </w:r>
      <w:r>
        <w:rPr>
          <w:rFonts w:ascii="宋体" w:hAnsi="宋体" w:cs="宋体" w:eastAsia="宋体" w:hint="default"/>
          <w:spacing w:val="-2"/>
        </w:rPr>
        <w:t>)</w:t>
      </w:r>
      <w:r>
        <w:rPr>
          <w:spacing w:val="-2"/>
        </w:rPr>
        <w:t>因生产需要购入部分原</w:t>
      </w:r>
      <w:r>
        <w:rPr>
          <w:spacing w:val="-22"/>
        </w:rPr>
        <w:t> </w:t>
      </w:r>
      <w:r>
        <w:rPr>
          <w:spacing w:val="-22"/>
        </w:rPr>
      </w:r>
      <w:r>
        <w:rPr/>
        <w:t>油存入原油管线及油罐内，保证油品计量精度并增加罐体液压以保证安全生产。</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32</w:t>
      </w:r>
      <w:r>
        <w:rPr/>
        <w:t>、</w:t>
      </w:r>
      <w:r>
        <w:rPr>
          <w:spacing w:val="-48"/>
        </w:rPr>
        <w:t> </w:t>
      </w:r>
      <w:r>
        <w:rPr/>
        <w:t>短期借款</w:t>
      </w:r>
      <w:r>
        <w:rPr>
          <w:rFonts w:ascii="宋体" w:hAnsi="宋体" w:cs="宋体" w:eastAsia="宋体" w:hint="default"/>
          <w:w w:val="99"/>
        </w:rPr>
        <w:t> </w:t>
      </w:r>
      <w:r>
        <w:rPr>
          <w:rFonts w:ascii="宋体" w:hAnsi="宋体" w:cs="宋体" w:eastAsia="宋体" w:hint="default"/>
          <w:b w:val="0"/>
          <w:bCs w:val="0"/>
        </w:rPr>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14"/>
        <w:gridCol w:w="3048"/>
        <w:gridCol w:w="3171"/>
      </w:tblGrid>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121,604,888</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106,298,594</w:t>
            </w:r>
          </w:p>
        </w:tc>
      </w:tr>
      <w:tr>
        <w:trPr>
          <w:trHeight w:val="281"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担保借款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6,991,684</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60,413,610</w:t>
            </w:r>
          </w:p>
        </w:tc>
      </w:tr>
      <w:tr>
        <w:trPr>
          <w:trHeight w:val="28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128,596,572</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166,712,204</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40" w:lineRule="auto" w:before="73"/>
        <w:ind w:left="638" w:right="0"/>
        <w:jc w:val="left"/>
      </w:pP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日，人民币信用借款</w:t>
      </w:r>
      <w:r>
        <w:rPr>
          <w:spacing w:val="-53"/>
        </w:rPr>
        <w:t> </w:t>
      </w:r>
      <w:r>
        <w:rPr>
          <w:rFonts w:ascii="Times New Roman" w:hAnsi="Times New Roman" w:cs="Times New Roman" w:eastAsia="Times New Roman" w:hint="default"/>
        </w:rPr>
        <w:t>102,500,000</w:t>
      </w:r>
      <w:r>
        <w:rPr>
          <w:rFonts w:ascii="Times New Roman" w:hAnsi="Times New Roman" w:cs="Times New Roman" w:eastAsia="Times New Roman" w:hint="default"/>
          <w:spacing w:val="-3"/>
        </w:rPr>
        <w:t> </w:t>
      </w:r>
      <w:r>
        <w:rPr/>
        <w:t>元和美元信用借款</w:t>
      </w:r>
      <w:r>
        <w:rPr>
          <w:spacing w:val="-54"/>
        </w:rPr>
        <w:t> </w:t>
      </w:r>
      <w:r>
        <w:rPr>
          <w:rFonts w:ascii="Times New Roman" w:hAnsi="Times New Roman" w:cs="Times New Roman" w:eastAsia="Times New Roman" w:hint="default"/>
        </w:rPr>
        <w:t>18,928,589</w:t>
      </w:r>
      <w:r>
        <w:rPr>
          <w:rFonts w:ascii="Times New Roman" w:hAnsi="Times New Roman" w:cs="Times New Roman" w:eastAsia="Times New Roman" w:hint="default"/>
          <w:spacing w:val="-1"/>
        </w:rPr>
        <w:t> </w:t>
      </w:r>
      <w:r>
        <w:rPr/>
        <w:t>元均为本公</w:t>
      </w:r>
    </w:p>
    <w:p>
      <w:pPr>
        <w:pStyle w:val="BodyText"/>
        <w:spacing w:line="240" w:lineRule="auto" w:before="69"/>
        <w:ind w:right="0"/>
        <w:jc w:val="left"/>
        <w:rPr>
          <w:rFonts w:ascii="Times New Roman" w:hAnsi="Times New Roman" w:cs="Times New Roman" w:eastAsia="Times New Roman" w:hint="default"/>
        </w:rPr>
      </w:pPr>
      <w:r>
        <w:rPr>
          <w:spacing w:val="-2"/>
        </w:rPr>
        <w:t>司之子公司青岛港国际贸易物流有限公司</w:t>
      </w:r>
      <w:r>
        <w:rPr>
          <w:rFonts w:ascii="Times New Roman" w:hAnsi="Times New Roman" w:cs="Times New Roman" w:eastAsia="Times New Roman" w:hint="default"/>
          <w:spacing w:val="-2"/>
        </w:rPr>
        <w:t>(“</w:t>
      </w:r>
      <w:r>
        <w:rPr>
          <w:spacing w:val="-2"/>
        </w:rPr>
        <w:t>国贸物流</w:t>
      </w:r>
      <w:r>
        <w:rPr>
          <w:rFonts w:ascii="Times New Roman" w:hAnsi="Times New Roman" w:cs="Times New Roman" w:eastAsia="Times New Roman" w:hint="default"/>
          <w:spacing w:val="-2"/>
        </w:rPr>
        <w:t>”)</w:t>
      </w:r>
      <w:r>
        <w:rPr>
          <w:spacing w:val="-2"/>
        </w:rPr>
        <w:t>取得的信用借款；人民币担保借款</w:t>
      </w:r>
      <w:r>
        <w:rPr>
          <w:spacing w:val="29"/>
        </w:rPr>
        <w:t> </w:t>
      </w:r>
      <w:r>
        <w:rPr>
          <w:rFonts w:ascii="Times New Roman" w:hAnsi="Times New Roman" w:cs="Times New Roman" w:eastAsia="Times New Roman" w:hint="default"/>
          <w:spacing w:val="-1"/>
        </w:rPr>
        <w:t>6,970,000</w:t>
      </w:r>
    </w:p>
    <w:p>
      <w:pPr>
        <w:pStyle w:val="BodyText"/>
        <w:spacing w:line="240" w:lineRule="auto" w:before="69"/>
        <w:ind w:right="0"/>
        <w:jc w:val="left"/>
      </w:pPr>
      <w:r>
        <w:rPr/>
        <w:t>元为国贸物流以其他应收款质押取得的保理借款。</w:t>
      </w:r>
    </w:p>
    <w:p>
      <w:pPr>
        <w:pStyle w:val="BodyText"/>
        <w:spacing w:line="240" w:lineRule="auto" w:before="85"/>
        <w:ind w:left="638" w:right="0"/>
        <w:jc w:val="left"/>
      </w:pPr>
      <w:r>
        <w:rPr/>
        <w:t>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日，人民币信用借款</w:t>
      </w:r>
      <w:r>
        <w:rPr>
          <w:spacing w:val="-53"/>
        </w:rPr>
        <w:t> </w:t>
      </w:r>
      <w:r>
        <w:rPr>
          <w:rFonts w:ascii="Times New Roman" w:hAnsi="Times New Roman" w:cs="Times New Roman" w:eastAsia="Times New Roman" w:hint="default"/>
        </w:rPr>
        <w:t>98,080,000</w:t>
      </w:r>
      <w:r>
        <w:rPr>
          <w:rFonts w:ascii="Times New Roman" w:hAnsi="Times New Roman" w:cs="Times New Roman" w:eastAsia="Times New Roman" w:hint="default"/>
          <w:spacing w:val="-3"/>
        </w:rPr>
        <w:t> </w:t>
      </w:r>
      <w:r>
        <w:rPr/>
        <w:t>元和美元信用借款</w:t>
      </w:r>
      <w:r>
        <w:rPr>
          <w:spacing w:val="-54"/>
        </w:rPr>
        <w:t> </w:t>
      </w:r>
      <w:r>
        <w:rPr>
          <w:rFonts w:ascii="Times New Roman" w:hAnsi="Times New Roman" w:cs="Times New Roman" w:eastAsia="Times New Roman" w:hint="default"/>
        </w:rPr>
        <w:t>8,218,594</w:t>
      </w:r>
      <w:r>
        <w:rPr>
          <w:rFonts w:ascii="Times New Roman" w:hAnsi="Times New Roman" w:cs="Times New Roman" w:eastAsia="Times New Roman" w:hint="default"/>
          <w:spacing w:val="-1"/>
        </w:rPr>
        <w:t> </w:t>
      </w:r>
      <w:r>
        <w:rPr/>
        <w:t>元均为国贸物</w:t>
      </w:r>
    </w:p>
    <w:p>
      <w:pPr>
        <w:pStyle w:val="BodyText"/>
        <w:spacing w:line="240" w:lineRule="auto" w:before="69"/>
        <w:ind w:right="0"/>
        <w:jc w:val="left"/>
      </w:pPr>
      <w:r>
        <w:rPr/>
        <w:t>流取得的信用借款；美元担保借款</w:t>
      </w:r>
      <w:r>
        <w:rPr>
          <w:spacing w:val="-55"/>
        </w:rPr>
        <w:t> </w:t>
      </w:r>
      <w:r>
        <w:rPr>
          <w:rFonts w:ascii="Times New Roman" w:hAnsi="Times New Roman" w:cs="Times New Roman" w:eastAsia="Times New Roman" w:hint="default"/>
        </w:rPr>
        <w:t>36,634,830</w:t>
      </w:r>
      <w:r>
        <w:rPr>
          <w:rFonts w:ascii="Times New Roman" w:hAnsi="Times New Roman" w:cs="Times New Roman" w:eastAsia="Times New Roman" w:hint="default"/>
          <w:spacing w:val="-5"/>
        </w:rPr>
        <w:t> </w:t>
      </w:r>
      <w:r>
        <w:rPr/>
        <w:t>元为国贸物流以信用证押汇取得的担保借款；人民币</w:t>
      </w:r>
    </w:p>
    <w:p>
      <w:pPr>
        <w:pStyle w:val="BodyText"/>
        <w:spacing w:line="240" w:lineRule="auto" w:before="69"/>
        <w:ind w:right="0"/>
        <w:jc w:val="left"/>
      </w:pPr>
      <w:r>
        <w:rPr/>
        <w:t>担保借款</w:t>
      </w:r>
      <w:r>
        <w:rPr>
          <w:spacing w:val="-53"/>
        </w:rPr>
        <w:t> </w:t>
      </w:r>
      <w:r>
        <w:rPr>
          <w:rFonts w:ascii="Times New Roman" w:hAnsi="Times New Roman" w:cs="Times New Roman" w:eastAsia="Times New Roman" w:hint="default"/>
        </w:rPr>
        <w:t>23,778,780</w:t>
      </w:r>
      <w:r>
        <w:rPr>
          <w:rFonts w:ascii="Times New Roman" w:hAnsi="Times New Roman" w:cs="Times New Roman" w:eastAsia="Times New Roman" w:hint="default"/>
          <w:spacing w:val="-3"/>
        </w:rPr>
        <w:t> </w:t>
      </w:r>
      <w:r>
        <w:rPr/>
        <w:t>元为国贸物流以其他应收款质押取得的保理借款。</w:t>
      </w:r>
    </w:p>
    <w:p>
      <w:pPr>
        <w:pStyle w:val="BodyText"/>
        <w:spacing w:line="240" w:lineRule="auto" w:before="69"/>
        <w:ind w:left="638" w:right="0"/>
        <w:jc w:val="left"/>
      </w:pPr>
      <w:r>
        <w:rPr/>
        <w:t>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日，短期借款的利率区间为</w:t>
      </w:r>
      <w:r>
        <w:rPr>
          <w:spacing w:val="-53"/>
        </w:rPr>
        <w:t> </w:t>
      </w:r>
      <w:r>
        <w:rPr>
          <w:rFonts w:ascii="Times New Roman" w:hAnsi="Times New Roman" w:cs="Times New Roman" w:eastAsia="Times New Roman" w:hint="default"/>
        </w:rPr>
        <w:t>4.50%</w:t>
      </w:r>
      <w:r>
        <w:rPr/>
        <w:t>至</w:t>
      </w:r>
      <w:r>
        <w:rPr>
          <w:spacing w:val="-53"/>
        </w:rPr>
        <w:t> </w:t>
      </w:r>
      <w:r>
        <w:rPr>
          <w:rFonts w:ascii="Times New Roman" w:hAnsi="Times New Roman" w:cs="Times New Roman" w:eastAsia="Times New Roman" w:hint="default"/>
        </w:rPr>
        <w:t>7.00%</w:t>
      </w:r>
      <w:r>
        <w:rPr>
          <w:rFonts w:ascii="Times New Roman" w:hAnsi="Times New Roman" w:cs="Times New Roman" w:eastAsia="Times New Roman" w:hint="default"/>
          <w:spacing w:val="-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4.60%</w:t>
      </w:r>
      <w:r>
        <w:rPr/>
        <w:t>至</w:t>
      </w:r>
    </w:p>
    <w:p>
      <w:pPr>
        <w:pStyle w:val="BodyText"/>
        <w:spacing w:line="287" w:lineRule="exact" w:before="69"/>
        <w:ind w:right="0"/>
        <w:jc w:val="left"/>
      </w:pPr>
      <w:r>
        <w:rPr>
          <w:rFonts w:ascii="Times New Roman" w:hAnsi="Times New Roman" w:cs="Times New Roman" w:eastAsia="Times New Roman" w:hint="default"/>
        </w:rPr>
        <w:t>7.00%)</w:t>
      </w:r>
      <w:r>
        <w:rPr/>
        <w:t>。</w:t>
      </w:r>
    </w:p>
    <w:p>
      <w:pPr>
        <w:pStyle w:val="BodyText"/>
        <w:spacing w:line="27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974"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974" w:top="1120" w:bottom="1160" w:left="1200" w:right="1180"/>
        </w:sectPr>
      </w:pPr>
    </w:p>
    <w:p>
      <w:pPr>
        <w:pStyle w:val="BodyText"/>
        <w:spacing w:line="273" w:lineRule="exact" w:before="168"/>
        <w:ind w:right="0"/>
        <w:jc w:val="left"/>
        <w:rPr>
          <w:rFonts w:ascii="宋体" w:hAnsi="宋体" w:cs="宋体" w:eastAsia="宋体" w:hint="default"/>
        </w:rPr>
      </w:pPr>
      <w:r>
        <w:rPr/>
        <w:t>其中重要的已逾期未偿还的短期借款情况如下：</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33</w:t>
      </w:r>
      <w:r>
        <w:rPr/>
        <w:t>、</w:t>
      </w:r>
      <w:r>
        <w:rPr>
          <w:spacing w:val="-23"/>
        </w:rPr>
        <w:t> </w:t>
      </w:r>
      <w:r>
        <w:rPr/>
        <w:t>交易性金融负债</w:t>
      </w:r>
      <w:r>
        <w:rPr>
          <w:b w:val="0"/>
          <w:bCs w:val="0"/>
        </w:rPr>
      </w:r>
    </w:p>
    <w:p>
      <w:pPr>
        <w:pStyle w:val="BodyText"/>
        <w:spacing w:line="273"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34</w:t>
      </w:r>
      <w:r>
        <w:rPr/>
        <w:t>、</w:t>
      </w:r>
      <w:r>
        <w:rPr>
          <w:spacing w:val="-24"/>
        </w:rPr>
        <w:t> </w:t>
      </w:r>
      <w:r>
        <w:rPr/>
        <w:t>衍生金融负债</w:t>
      </w:r>
      <w:r>
        <w:rPr>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before="57"/>
        <w:ind w:right="0"/>
        <w:jc w:val="left"/>
        <w:rPr>
          <w:b w:val="0"/>
          <w:bCs w:val="0"/>
        </w:rPr>
      </w:pPr>
      <w:r>
        <w:rPr>
          <w:rFonts w:ascii="宋体" w:hAnsi="宋体" w:cs="宋体" w:eastAsia="宋体" w:hint="default"/>
        </w:rPr>
        <w:t>35</w:t>
      </w:r>
      <w:r>
        <w:rPr/>
        <w:t>、</w:t>
      </w:r>
      <w:r>
        <w:rPr>
          <w:spacing w:val="-45"/>
        </w:rPr>
        <w:t> </w:t>
      </w:r>
      <w:r>
        <w:rPr/>
        <w:t>应付票据</w:t>
      </w:r>
      <w:r>
        <w:rPr>
          <w:b w:val="0"/>
          <w:bCs w:val="0"/>
        </w:rPr>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4737" w:space="2023"/>
            <w:col w:w="2770"/>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09"/>
        <w:gridCol w:w="3294"/>
        <w:gridCol w:w="3531"/>
      </w:tblGrid>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28"/>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805,497,045</w:t>
            </w:r>
          </w:p>
        </w:tc>
        <w:tc>
          <w:tcPr>
            <w:tcW w:w="3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712,240,208</w:t>
            </w:r>
          </w:p>
        </w:tc>
      </w:tr>
      <w:tr>
        <w:trPr>
          <w:trHeight w:val="286"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4"/>
              <w:jc w:val="right"/>
              <w:rPr>
                <w:rFonts w:ascii="Times New Roman" w:hAnsi="Times New Roman" w:cs="Times New Roman" w:eastAsia="Times New Roman" w:hint="default"/>
                <w:sz w:val="21"/>
                <w:szCs w:val="21"/>
              </w:rPr>
            </w:pPr>
            <w:r>
              <w:rPr>
                <w:rFonts w:ascii="Times New Roman"/>
                <w:spacing w:val="-1"/>
                <w:sz w:val="21"/>
              </w:rPr>
              <w:t>359,272,738</w:t>
            </w:r>
          </w:p>
        </w:tc>
        <w:tc>
          <w:tcPr>
            <w:tcW w:w="35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244,784,668</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2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1,164,769,783</w:t>
            </w:r>
          </w:p>
        </w:tc>
        <w:tc>
          <w:tcPr>
            <w:tcW w:w="353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957,024,876</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36</w:t>
      </w:r>
      <w:r>
        <w:rPr/>
        <w:t>、</w:t>
      </w:r>
      <w:r>
        <w:rPr>
          <w:spacing w:val="-45"/>
        </w:rPr>
        <w:t> </w:t>
      </w:r>
      <w:r>
        <w:rPr/>
        <w:t>应付账款</w:t>
      </w:r>
      <w:r>
        <w:rPr>
          <w:b w:val="0"/>
          <w:bCs w:val="0"/>
        </w:rPr>
      </w:r>
    </w:p>
    <w:p>
      <w:pPr>
        <w:pStyle w:val="Heading5"/>
        <w:tabs>
          <w:tab w:pos="105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430" w:space="4330"/>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34"/>
        <w:gridCol w:w="3342"/>
        <w:gridCol w:w="3512"/>
      </w:tblGrid>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应付材料款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759,261,798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560,072,181</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应付工程分包款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239,180,821</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235,583,010</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应付运输费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198,572,153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376,983,361</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应付代理费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80,494,250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121,644,081</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应付修理费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38,125,242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33,305,281</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应付分包装卸费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31,620,722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170,869,837</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应付租赁费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19,896,497</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18,801,715</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44,514,600</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64,347,853</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1,411,666,083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1,581,607,319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(2).</w:t>
        <w:tab/>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909" w:space="2851"/>
            <w:col w:w="277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34"/>
        <w:gridCol w:w="3342"/>
        <w:gridCol w:w="3512"/>
      </w:tblGrid>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55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应付工程分包款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112,969,798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由于工程尚未结算，该款项尚未进行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最后清算</w:t>
            </w:r>
            <w:r>
              <w:rPr>
                <w:rFonts w:ascii="宋体" w:hAnsi="宋体" w:cs="宋体" w:eastAsia="宋体" w:hint="default"/>
                <w:sz w:val="21"/>
                <w:szCs w:val="21"/>
              </w:rPr>
              <w:t> </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112,969,798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3"/>
          <w:pgSz w:w="11910" w:h="16840"/>
          <w:pgMar w:footer="974" w:header="882" w:top="1120" w:bottom="1160" w:left="1200" w:right="1180"/>
        </w:sectPr>
      </w:pPr>
    </w:p>
    <w:p>
      <w:pPr>
        <w:pStyle w:val="Heading5"/>
        <w:spacing w:line="240" w:lineRule="auto" w:before="168"/>
        <w:ind w:right="0"/>
        <w:jc w:val="left"/>
        <w:rPr>
          <w:rFonts w:ascii="宋体" w:hAnsi="宋体" w:cs="宋体" w:eastAsia="宋体" w:hint="default"/>
          <w:b w:val="0"/>
          <w:bCs w:val="0"/>
        </w:rPr>
      </w:pPr>
      <w:r>
        <w:rPr>
          <w:rFonts w:ascii="宋体" w:hAnsi="宋体" w:cs="宋体" w:eastAsia="宋体" w:hint="default"/>
        </w:rPr>
        <w:t>37</w:t>
      </w:r>
      <w:r>
        <w:rPr/>
        <w:t>、</w:t>
      </w:r>
      <w:r>
        <w:rPr>
          <w:spacing w:val="-4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329" w:space="4430"/>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34"/>
        <w:gridCol w:w="3342"/>
        <w:gridCol w:w="3512"/>
      </w:tblGrid>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预收租赁款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22,251,659</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209,454,071</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22,251,659</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209,454,071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说明</w:t>
      </w:r>
      <w:r>
        <w:rPr>
          <w:rFonts w:ascii="宋体" w:hAnsi="宋体" w:cs="宋体" w:eastAsia="宋体" w:hint="default"/>
          <w:w w:val="100"/>
          <w:sz w:val="21"/>
          <w:szCs w:val="21"/>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38</w:t>
      </w:r>
      <w:r>
        <w:rPr/>
        <w:t>、</w:t>
      </w:r>
      <w:r>
        <w:rPr>
          <w:spacing w:val="-24"/>
        </w:rPr>
        <w:t> </w:t>
      </w:r>
      <w:r>
        <w:rPr/>
        <w:t>合同负债</w:t>
      </w:r>
      <w:r>
        <w:rPr>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合同负债情况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597" w:space="3163"/>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34"/>
        <w:gridCol w:w="3342"/>
        <w:gridCol w:w="3512"/>
      </w:tblGrid>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预收物流费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78,529,777</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67,106,406</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预收工程款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78,363,503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9,197,728</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预收装卸作业款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57,131,038</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48,193,391</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预收材料及燃料款</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15,398,732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4,428,301</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预收拖轮费</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12,662,753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3,375,870</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3,446,919</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2,662,394</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245,532,722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134,964,090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报告期内账面价值发生重大变动的金额和原因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85"/>
        <w:ind w:right="235" w:firstLine="420"/>
        <w:jc w:val="left"/>
      </w:pP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年度，包括在期初账面价值中的</w:t>
      </w:r>
      <w:r>
        <w:rPr>
          <w:spacing w:val="-54"/>
        </w:rPr>
        <w:t> </w:t>
      </w:r>
      <w:r>
        <w:rPr>
          <w:rFonts w:ascii="Times New Roman" w:hAnsi="Times New Roman" w:cs="Times New Roman" w:eastAsia="Times New Roman" w:hint="default"/>
        </w:rPr>
        <w:t>134,964,090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129,135,173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合同负债已</w:t>
      </w:r>
      <w:r>
        <w:rPr>
          <w:w w:val="100"/>
        </w:rPr>
        <w:t> </w:t>
      </w:r>
      <w:r>
        <w:rPr/>
        <w:t>于当年转入营业收入。</w:t>
      </w:r>
    </w:p>
    <w:p>
      <w:pPr>
        <w:pStyle w:val="BodyText"/>
        <w:spacing w:line="22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39</w:t>
      </w:r>
      <w:r>
        <w:rPr/>
        <w:t>、</w:t>
      </w:r>
      <w:r>
        <w:rPr>
          <w:spacing w:val="-47"/>
        </w:rPr>
        <w:t> </w:t>
      </w:r>
      <w:r>
        <w:rPr/>
        <w:t>应付职工薪酬</w:t>
      </w:r>
      <w:r>
        <w:rPr>
          <w:rFonts w:ascii="宋体" w:hAnsi="宋体" w:cs="宋体" w:eastAsia="宋体" w:hint="default"/>
          <w:w w:val="99"/>
        </w:rPr>
        <w:t> </w:t>
      </w:r>
      <w:r>
        <w:rPr>
          <w:rFonts w:ascii="宋体" w:hAnsi="宋体" w:cs="宋体" w:eastAsia="宋体" w:hint="default"/>
          <w:b w:val="0"/>
          <w:bCs w:val="0"/>
        </w:rPr>
      </w:r>
    </w:p>
    <w:p>
      <w:pPr>
        <w:pStyle w:val="Heading5"/>
        <w:tabs>
          <w:tab w:pos="1058" w:val="left" w:leader="none"/>
        </w:tabs>
        <w:spacing w:line="240" w:lineRule="auto" w:before="57"/>
        <w:ind w:right="0"/>
        <w:jc w:val="left"/>
        <w:rPr>
          <w:rFonts w:ascii="宋体" w:hAnsi="宋体" w:cs="宋体" w:eastAsia="宋体" w:hint="default"/>
          <w:b w:val="0"/>
          <w:bCs w:val="0"/>
        </w:rPr>
      </w:pPr>
      <w:r>
        <w:rPr>
          <w:rFonts w:ascii="宋体" w:hAnsi="宋体" w:cs="宋体" w:eastAsia="宋体" w:hint="default"/>
          <w:w w:val="95"/>
        </w:rPr>
        <w:t>(1).</w:t>
        <w:tab/>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81"/>
        <w:gridCol w:w="1577"/>
        <w:gridCol w:w="1577"/>
        <w:gridCol w:w="1721"/>
        <w:gridCol w:w="143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119,844,885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1,913,001,640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1,856,825,997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176,020,528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二、离职后福利</w:t>
            </w:r>
            <w:r>
              <w:rPr>
                <w:rFonts w:ascii="宋体" w:hAnsi="宋体" w:cs="宋体" w:eastAsia="宋体" w:hint="default"/>
                <w:spacing w:val="-7"/>
                <w:sz w:val="21"/>
                <w:szCs w:val="21"/>
              </w:rPr>
              <w:t>-</w:t>
            </w:r>
            <w:r>
              <w:rPr>
                <w:rFonts w:ascii="宋体" w:hAnsi="宋体" w:cs="宋体" w:eastAsia="宋体" w:hint="default"/>
                <w:spacing w:val="-7"/>
                <w:sz w:val="21"/>
                <w:szCs w:val="21"/>
              </w:rPr>
              <w:t>设定提存计划</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2,983,055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225,456,913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222,494,480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5,945,488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16,370,000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4,420,000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11,950,000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112,150,000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2,430,000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114,580,000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251,347,940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2,140,888,553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2,083,740,477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308,496,016</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4"/>
          <w:pgSz w:w="11910" w:h="16840"/>
          <w:pgMar w:footer="974" w:header="882" w:top="1120" w:bottom="1160" w:left="1200" w:right="1180"/>
          <w:pgNumType w:start="171"/>
        </w:sectPr>
      </w:pPr>
    </w:p>
    <w:p>
      <w:pPr>
        <w:pStyle w:val="Heading5"/>
        <w:tabs>
          <w:tab w:pos="1058" w:val="left" w:leader="none"/>
        </w:tabs>
        <w:spacing w:line="240" w:lineRule="auto" w:before="168"/>
        <w:ind w:right="0"/>
        <w:jc w:val="left"/>
        <w:rPr>
          <w:rFonts w:ascii="宋体" w:hAnsi="宋体" w:cs="宋体" w:eastAsia="宋体" w:hint="default"/>
          <w:b w:val="0"/>
          <w:bCs w:val="0"/>
        </w:rPr>
      </w:pPr>
      <w:r>
        <w:rPr>
          <w:rFonts w:ascii="宋体" w:hAnsi="宋体" w:cs="宋体" w:eastAsia="宋体" w:hint="default"/>
          <w:w w:val="95"/>
        </w:rPr>
        <w:t>(2).</w:t>
        <w:tab/>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430" w:space="4435"/>
            <w:col w:w="2665"/>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77"/>
        <w:gridCol w:w="1579"/>
        <w:gridCol w:w="1577"/>
        <w:gridCol w:w="1721"/>
        <w:gridCol w:w="1433"/>
      </w:tblGrid>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88,020,994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1,069,221,720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1,019,939,113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137,303,601</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32,905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127,846,497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127,868,407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10,995</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31,815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94,270,560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94,279,017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23,358</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30,014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77,966,888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77,977,139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19,763</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1,595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4,789,762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4,791,132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225</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206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11,513,910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11,510,746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3,370</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9,115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104,564,192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104,561,316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11,991</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6,284,042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25,255,400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23,969,742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7,569,700</w:t>
            </w:r>
          </w:p>
        </w:tc>
      </w:tr>
      <w:tr>
        <w:trPr>
          <w:trHeight w:val="28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八、外付劳务费</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25,458,114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490,667,575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485,039,621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31,086,068</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7,900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1,175,696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1,168,781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14,815</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119,844,885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1,913,001,640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1,856,825,997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176,020,528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tabs>
          <w:tab w:pos="1058"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853" w:space="3907"/>
            <w:col w:w="277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77"/>
        <w:gridCol w:w="1579"/>
        <w:gridCol w:w="1577"/>
        <w:gridCol w:w="1721"/>
        <w:gridCol w:w="1433"/>
      </w:tblGrid>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579"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10,630</w:t>
            </w:r>
          </w:p>
        </w:tc>
        <w:tc>
          <w:tcPr>
            <w:tcW w:w="1577"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148,043,919</w:t>
            </w:r>
          </w:p>
        </w:tc>
        <w:tc>
          <w:tcPr>
            <w:tcW w:w="1721"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148,018,617</w:t>
            </w:r>
          </w:p>
        </w:tc>
        <w:tc>
          <w:tcPr>
            <w:tcW w:w="1433"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35,932</w:t>
            </w:r>
          </w:p>
        </w:tc>
      </w:tr>
      <w:tr>
        <w:trPr>
          <w:trHeight w:val="28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745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6,209,769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6,208,942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1,572</w:t>
            </w: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2,971,680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71,203,225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68,266,921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5,907,984</w:t>
            </w: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79"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2,983,055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225,456,913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222,494,480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5,945,488</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314" w:lineRule="auto"/>
        <w:ind w:right="268" w:firstLine="420"/>
        <w:jc w:val="left"/>
        <w:rPr>
          <w:rFonts w:ascii="宋体" w:hAnsi="宋体" w:cs="宋体" w:eastAsia="宋体" w:hint="default"/>
        </w:rPr>
      </w:pPr>
      <w:r>
        <w:rPr>
          <w:spacing w:val="-2"/>
        </w:rPr>
        <w:t>本集团承担的应付内退福利确认为长期应付职工薪酬，其中一年内到期的部分列示为应付职工</w:t>
      </w:r>
      <w:r>
        <w:rPr>
          <w:w w:val="100"/>
        </w:rPr>
        <w:t> </w:t>
      </w:r>
      <w:r>
        <w:rPr/>
        <w:t>薪酬</w:t>
      </w:r>
      <w:r>
        <w:rPr>
          <w:rFonts w:ascii="宋体" w:hAnsi="宋体" w:cs="宋体" w:eastAsia="宋体" w:hint="default"/>
        </w:rPr>
        <w:t>-</w:t>
      </w:r>
      <w:r>
        <w:rPr/>
        <w:t>辞退福利。</w:t>
      </w:r>
      <w:r>
        <w:rPr>
          <w:rFonts w:ascii="宋体" w:hAnsi="宋体" w:cs="宋体" w:eastAsia="宋体" w:hint="default"/>
        </w:rPr>
        <w:t> </w:t>
      </w:r>
    </w:p>
    <w:p>
      <w:pPr>
        <w:pStyle w:val="BodyText"/>
        <w:spacing w:line="314" w:lineRule="auto" w:before="140"/>
        <w:ind w:right="229" w:firstLine="420"/>
        <w:jc w:val="left"/>
        <w:rPr>
          <w:rFonts w:ascii="宋体" w:hAnsi="宋体" w:cs="宋体" w:eastAsia="宋体" w:hint="default"/>
        </w:rPr>
      </w:pPr>
      <w:r>
        <w:rPr>
          <w:spacing w:val="-3"/>
        </w:rPr>
        <w:t>本集团承担的应付统筹外福利确认为长期应付职工薪酬</w:t>
      </w:r>
      <w:r>
        <w:rPr>
          <w:rFonts w:ascii="宋体" w:hAnsi="宋体" w:cs="宋体" w:eastAsia="宋体" w:hint="default"/>
          <w:spacing w:val="-3"/>
        </w:rPr>
        <w:t>-</w:t>
      </w:r>
      <w:r>
        <w:rPr>
          <w:spacing w:val="-3"/>
        </w:rPr>
        <w:t>设定受益计划，其中一年内到期的部分</w:t>
      </w:r>
      <w:r>
        <w:rPr>
          <w:w w:val="100"/>
        </w:rPr>
        <w:t> </w:t>
      </w:r>
      <w:r>
        <w:rPr/>
        <w:t>列示为应付职工薪酬</w:t>
      </w:r>
      <w:r>
        <w:rPr>
          <w:rFonts w:ascii="宋体" w:hAnsi="宋体" w:cs="宋体" w:eastAsia="宋体" w:hint="default"/>
        </w:rPr>
        <w:t>-</w:t>
      </w:r>
      <w:r>
        <w:rPr/>
        <w:t>一年内到期的其他福利。</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before="57"/>
        <w:ind w:right="0"/>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00"/>
        <w:gridCol w:w="2744"/>
        <w:gridCol w:w="2890"/>
      </w:tblGrid>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19,114,794</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21,052,542</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195,268,696</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166,015,173</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930,873</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1,492,664</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13,524,254</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14,641,938</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契税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10,127,351</w:t>
            </w:r>
          </w:p>
        </w:tc>
        <w:tc>
          <w:tcPr>
            <w:tcW w:w="28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2,370,587</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2,135,451</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1,757,232</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1,322,353</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3500"/>
        <w:gridCol w:w="2744"/>
        <w:gridCol w:w="2890"/>
      </w:tblGrid>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5,770,043</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2,654,486</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248,863,830</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209,314,607</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974"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90" w:lineRule="auto" w:before="58"/>
        <w:ind w:right="229"/>
        <w:jc w:val="left"/>
        <w:rPr>
          <w:rFonts w:ascii="宋体" w:hAnsi="宋体" w:cs="宋体" w:eastAsia="宋体" w:hint="default"/>
          <w:b w:val="0"/>
          <w:bCs w:val="0"/>
        </w:rPr>
      </w:pPr>
      <w:r>
        <w:rPr>
          <w:rFonts w:ascii="宋体" w:hAnsi="宋体" w:cs="宋体" w:eastAsia="宋体" w:hint="default"/>
        </w:rPr>
        <w:t>41</w:t>
      </w:r>
      <w:r>
        <w:rPr/>
        <w:t>、</w:t>
      </w:r>
      <w:r>
        <w:rPr>
          <w:spacing w:val="-45"/>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005" w:space="4754"/>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38"/>
        <w:gridCol w:w="2804"/>
        <w:gridCol w:w="2945"/>
      </w:tblGrid>
      <w:tr>
        <w:trPr>
          <w:trHeight w:val="281"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81,730,280</w:t>
            </w:r>
            <w:r>
              <w:rPr>
                <w:rFonts w:ascii="宋体"/>
                <w:sz w:val="21"/>
              </w:rPr>
              <w:t> </w:t>
            </w:r>
          </w:p>
        </w:tc>
      </w:tr>
      <w:tr>
        <w:trPr>
          <w:trHeight w:val="281"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312,469</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1,976,706</w:t>
            </w:r>
            <w:r>
              <w:rPr>
                <w:rFonts w:ascii="宋体"/>
                <w:sz w:val="21"/>
              </w:rPr>
              <w:t> </w:t>
            </w:r>
          </w:p>
        </w:tc>
      </w:tr>
      <w:tr>
        <w:trPr>
          <w:trHeight w:val="283"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宋体" w:hAnsi="宋体" w:cs="宋体" w:eastAsia="宋体" w:hint="default"/>
                <w:sz w:val="21"/>
                <w:szCs w:val="21"/>
              </w:rPr>
            </w:pPr>
            <w:r>
              <w:rPr>
                <w:rFonts w:ascii="Times New Roman"/>
                <w:spacing w:val="-1"/>
                <w:sz w:val="21"/>
              </w:rPr>
              <w:t>7,200,219,345</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right"/>
              <w:rPr>
                <w:rFonts w:ascii="宋体" w:hAnsi="宋体" w:cs="宋体" w:eastAsia="宋体" w:hint="default"/>
                <w:sz w:val="21"/>
                <w:szCs w:val="21"/>
              </w:rPr>
            </w:pPr>
            <w:r>
              <w:rPr>
                <w:rFonts w:ascii="Times New Roman"/>
                <w:spacing w:val="-1"/>
                <w:sz w:val="21"/>
              </w:rPr>
              <w:t>5,871,242,555</w:t>
            </w:r>
            <w:r>
              <w:rPr>
                <w:rFonts w:ascii="宋体"/>
                <w:sz w:val="21"/>
              </w:rPr>
              <w:t> </w:t>
            </w:r>
          </w:p>
        </w:tc>
      </w:tr>
      <w:tr>
        <w:trPr>
          <w:trHeight w:val="283"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7,200,531,814</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宋体" w:hAnsi="宋体" w:cs="宋体" w:eastAsia="宋体" w:hint="default"/>
                <w:sz w:val="21"/>
                <w:szCs w:val="21"/>
              </w:rPr>
            </w:pPr>
            <w:r>
              <w:rPr>
                <w:rFonts w:ascii="Times New Roman"/>
                <w:spacing w:val="-1"/>
                <w:sz w:val="21"/>
              </w:rPr>
              <w:t>5,954,949,541</w:t>
            </w:r>
            <w:r>
              <w:rPr>
                <w:rFonts w:ascii="宋体"/>
                <w:sz w:val="21"/>
              </w:rPr>
              <w:t> </w:t>
            </w:r>
          </w:p>
        </w:tc>
      </w:tr>
    </w:tbl>
    <w:p>
      <w:pPr>
        <w:spacing w:after="0" w:line="235" w:lineRule="exact"/>
        <w:jc w:val="right"/>
        <w:rPr>
          <w:rFonts w:ascii="宋体" w:hAnsi="宋体" w:cs="宋体" w:eastAsia="宋体" w:hint="default"/>
          <w:sz w:val="21"/>
          <w:szCs w:val="21"/>
        </w:rPr>
        <w:sectPr>
          <w:type w:val="continuous"/>
          <w:pgSz w:w="11910" w:h="16840"/>
          <w:pgMar w:top="1120" w:bottom="1160" w:left="1200" w:right="118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9"/>
        </w:rPr>
        <w:t> </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005" w:space="4754"/>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96"/>
        <w:gridCol w:w="2760"/>
        <w:gridCol w:w="2931"/>
      </w:tblGrid>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801,552</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68,850,982</w:t>
            </w:r>
          </w:p>
        </w:tc>
      </w:tr>
      <w:tr>
        <w:trPr>
          <w:trHeight w:val="281"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621,250</w:t>
            </w:r>
          </w:p>
        </w:tc>
      </w:tr>
      <w:tr>
        <w:trPr>
          <w:trHeight w:val="284"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吸收存款应付利息</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11,456,496</w:t>
            </w:r>
          </w:p>
        </w:tc>
      </w:tr>
      <w:tr>
        <w:trPr>
          <w:trHeight w:val="283" w:hRule="exact"/>
        </w:trPr>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81,730,280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477" w:space="3283"/>
            <w:col w:w="277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7"/>
        <w:gridCol w:w="3015"/>
        <w:gridCol w:w="3262"/>
      </w:tblGrid>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少数股东</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312,469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1,976,706</w:t>
            </w:r>
          </w:p>
        </w:tc>
      </w:tr>
      <w:tr>
        <w:trPr>
          <w:trHeight w:val="283" w:hRule="exact"/>
        </w:trPr>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312,469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1,976,706</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pStyle w:val="BodyText"/>
        <w:spacing w:line="240" w:lineRule="auto" w:before="168"/>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19"/>
        <w:gridCol w:w="2996"/>
        <w:gridCol w:w="3373"/>
      </w:tblGrid>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青港财务公司吸收存款（</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4,759,108,178</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3,923,373,004</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应付工程设备款（</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1,470,147,099</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1,196,352,044</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代理</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应</w:t>
            </w:r>
            <w:r>
              <w:rPr>
                <w:rFonts w:ascii="宋体" w:hAnsi="宋体" w:cs="宋体" w:eastAsia="宋体" w:hint="default"/>
                <w:w w:val="100"/>
                <w:sz w:val="21"/>
                <w:szCs w:val="21"/>
              </w:rPr>
              <w:t>付</w:t>
            </w:r>
            <w:r>
              <w:rPr>
                <w:rFonts w:ascii="宋体" w:hAnsi="宋体" w:cs="宋体" w:eastAsia="宋体" w:hint="default"/>
                <w:spacing w:val="-3"/>
                <w:w w:val="100"/>
                <w:sz w:val="21"/>
                <w:szCs w:val="21"/>
              </w:rPr>
              <w:t>及</w:t>
            </w:r>
            <w:r>
              <w:rPr>
                <w:rFonts w:ascii="宋体" w:hAnsi="宋体" w:cs="宋体" w:eastAsia="宋体" w:hint="default"/>
                <w:w w:val="100"/>
                <w:sz w:val="21"/>
                <w:szCs w:val="21"/>
              </w:rPr>
              <w:t>代</w:t>
            </w:r>
            <w:r>
              <w:rPr>
                <w:rFonts w:ascii="宋体" w:hAnsi="宋体" w:cs="宋体" w:eastAsia="宋体" w:hint="default"/>
                <w:spacing w:val="-3"/>
                <w:w w:val="100"/>
                <w:sz w:val="21"/>
                <w:szCs w:val="21"/>
              </w:rPr>
              <w:t>收</w:t>
            </w:r>
            <w:r>
              <w:rPr>
                <w:rFonts w:ascii="宋体" w:hAnsi="宋体" w:cs="宋体" w:eastAsia="宋体" w:hint="default"/>
                <w:w w:val="100"/>
                <w:sz w:val="21"/>
                <w:szCs w:val="21"/>
              </w:rPr>
              <w:t>款</w:t>
            </w:r>
            <w:r>
              <w:rPr>
                <w:rFonts w:ascii="宋体" w:hAnsi="宋体" w:cs="宋体" w:eastAsia="宋体" w:hint="default"/>
                <w:spacing w:val="-30"/>
                <w:w w:val="100"/>
                <w:sz w:val="21"/>
                <w:szCs w:val="21"/>
              </w:rPr>
              <w:t>项</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673,439,817</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497,188,343</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应付保证金及押金</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93,572,912</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85,357,605</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应付港建费（</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54,897,823</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66,692,221</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应付少数股东借款</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28,000,000</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28,000,000</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代收代付铁路运费</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23,822,763</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9,631,070</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青港财务公司吸收存款利息</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15,823,682</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81,407,071</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64,648,268</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7,200,219,345</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5,871,242,555</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974"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before="59"/>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808" w:space="2951"/>
            <w:col w:w="27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05"/>
        <w:gridCol w:w="3024"/>
        <w:gridCol w:w="3358"/>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应付工程设备款</w:t>
            </w:r>
            <w:r>
              <w:rPr>
                <w:rFonts w:ascii="宋体" w:hAnsi="宋体" w:cs="宋体" w:eastAsia="宋体" w:hint="default"/>
                <w:sz w:val="21"/>
                <w:szCs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389,667,081</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尚未到付款期或相关工程尚未最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终决算验收</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389,667,081</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7" w:lineRule="auto" w:before="73"/>
        <w:ind w:right="0" w:firstLine="420"/>
        <w:jc w:val="left"/>
      </w:pPr>
      <w:r>
        <w:rPr>
          <w:spacing w:val="-3"/>
        </w:rPr>
        <w:t>（</w:t>
      </w:r>
      <w:r>
        <w:rPr>
          <w:rFonts w:ascii="Times New Roman" w:hAnsi="Times New Roman" w:cs="Times New Roman" w:eastAsia="Times New Roman" w:hint="default"/>
          <w:spacing w:val="-3"/>
        </w:rPr>
        <w:t>1</w:t>
      </w:r>
      <w:r>
        <w:rPr>
          <w:spacing w:val="-3"/>
        </w:rPr>
        <w:t>）吸收存款及存款利息主要系本公司之子公司青港财务公司吸收的本集团之关联方的存款及</w:t>
      </w:r>
      <w:r>
        <w:rPr>
          <w:w w:val="100"/>
        </w:rPr>
        <w:t> </w:t>
      </w:r>
      <w:r>
        <w:rPr/>
        <w:t>相应应付存款利息。</w:t>
      </w:r>
    </w:p>
    <w:p>
      <w:pPr>
        <w:pStyle w:val="BodyText"/>
        <w:spacing w:line="297" w:lineRule="auto" w:before="34"/>
        <w:ind w:right="0" w:firstLine="420"/>
        <w:jc w:val="left"/>
      </w:pPr>
      <w:r>
        <w:rPr>
          <w:spacing w:val="-3"/>
        </w:rPr>
        <w:t>（</w:t>
      </w:r>
      <w:r>
        <w:rPr>
          <w:rFonts w:ascii="Times New Roman" w:hAnsi="Times New Roman" w:cs="Times New Roman" w:eastAsia="Times New Roman" w:hint="default"/>
          <w:spacing w:val="-3"/>
        </w:rPr>
        <w:t>2</w:t>
      </w:r>
      <w:r>
        <w:rPr>
          <w:spacing w:val="-3"/>
        </w:rPr>
        <w:t>）应付工程设备款主要系应付工程建设相关款项，由于尚未到付款期或相关工程尚未最终决</w:t>
      </w:r>
      <w:r>
        <w:rPr>
          <w:w w:val="100"/>
        </w:rPr>
        <w:t> </w:t>
      </w:r>
      <w:r>
        <w:rPr/>
        <w:t>算验收，该等款项尚未结清。</w:t>
      </w:r>
    </w:p>
    <w:p>
      <w:pPr>
        <w:pStyle w:val="BodyText"/>
        <w:spacing w:line="297" w:lineRule="auto" w:before="34"/>
        <w:ind w:right="0" w:firstLine="420"/>
        <w:jc w:val="left"/>
      </w:pPr>
      <w:r>
        <w:rPr>
          <w:spacing w:val="-3"/>
        </w:rPr>
        <w:t>（</w:t>
      </w:r>
      <w:r>
        <w:rPr>
          <w:rFonts w:ascii="Times New Roman" w:hAnsi="Times New Roman" w:cs="Times New Roman" w:eastAsia="Times New Roman" w:hint="default"/>
          <w:spacing w:val="-3"/>
        </w:rPr>
        <w:t>3</w:t>
      </w:r>
      <w:r>
        <w:rPr>
          <w:spacing w:val="-3"/>
        </w:rPr>
        <w:t>）代理业务应付及代收款项主要系本集团船舶代理业务应付的款项及代理采购业务代收的款</w:t>
      </w:r>
      <w:r>
        <w:rPr>
          <w:w w:val="100"/>
        </w:rPr>
        <w:t> </w:t>
      </w:r>
      <w:r>
        <w:rPr/>
        <w:t>项等。</w:t>
      </w:r>
    </w:p>
    <w:p>
      <w:pPr>
        <w:pStyle w:val="BodyText"/>
        <w:spacing w:line="240" w:lineRule="auto" w:before="34"/>
        <w:ind w:left="638" w:right="0"/>
        <w:jc w:val="left"/>
      </w:pPr>
      <w:r>
        <w:rPr/>
        <w:t>（</w:t>
      </w:r>
      <w:r>
        <w:rPr>
          <w:rFonts w:ascii="Times New Roman" w:hAnsi="Times New Roman" w:cs="Times New Roman" w:eastAsia="Times New Roman" w:hint="default"/>
        </w:rPr>
        <w:t>4</w:t>
      </w:r>
      <w:r>
        <w:rPr/>
        <w:t>）该款项为本集团代收并应上缴中华人民共和国青岛海事局的港建费。</w:t>
      </w:r>
    </w:p>
    <w:p>
      <w:pPr>
        <w:spacing w:after="0" w:line="240" w:lineRule="auto"/>
        <w:jc w:val="left"/>
        <w:sectPr>
          <w:type w:val="continuous"/>
          <w:pgSz w:w="11910" w:h="16840"/>
          <w:pgMar w:top="1120" w:bottom="1160" w:left="1200" w:right="1180"/>
        </w:sectPr>
      </w:pPr>
    </w:p>
    <w:p>
      <w:pPr>
        <w:pStyle w:val="BodyText"/>
        <w:spacing w:line="267"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098" w:space="3662"/>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86"/>
        <w:gridCol w:w="3116"/>
        <w:gridCol w:w="3185"/>
      </w:tblGrid>
      <w:tr>
        <w:trPr>
          <w:trHeight w:val="28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56" w:right="0"/>
              <w:jc w:val="left"/>
              <w:rPr>
                <w:rFonts w:ascii="Times New Roman" w:hAnsi="Times New Roman" w:cs="Times New Roman" w:eastAsia="Times New Roman" w:hint="default"/>
                <w:sz w:val="21"/>
                <w:szCs w:val="21"/>
              </w:rPr>
            </w:pPr>
            <w:r>
              <w:rPr>
                <w:rFonts w:ascii="Times New Roman"/>
                <w:sz w:val="21"/>
              </w:rPr>
              <w:t>28,591,308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27,380,000</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116"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3,500,000,000</w:t>
            </w:r>
          </w:p>
        </w:tc>
      </w:tr>
      <w:tr>
        <w:trPr>
          <w:trHeight w:val="281"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年内到期的应付债券利息</w:t>
            </w:r>
            <w:r>
              <w:rPr>
                <w:rFonts w:ascii="宋体" w:hAnsi="宋体" w:cs="宋体" w:eastAsia="宋体" w:hint="default"/>
                <w:sz w:val="21"/>
                <w:szCs w:val="21"/>
              </w:rPr>
              <w:t> </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56" w:right="-3"/>
              <w:jc w:val="left"/>
              <w:rPr>
                <w:rFonts w:ascii="宋体" w:hAnsi="宋体" w:cs="宋体" w:eastAsia="宋体" w:hint="default"/>
                <w:sz w:val="21"/>
                <w:szCs w:val="21"/>
              </w:rPr>
            </w:pPr>
            <w:r>
              <w:rPr>
                <w:rFonts w:ascii="Times New Roman"/>
                <w:sz w:val="21"/>
              </w:rPr>
              <w:t>56,122,334</w:t>
            </w:r>
            <w:r>
              <w:rPr>
                <w:rFonts w:ascii="宋体"/>
                <w:sz w:val="21"/>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年内到期的租赁负债</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51" w:right="0"/>
              <w:jc w:val="left"/>
              <w:rPr>
                <w:rFonts w:ascii="Times New Roman" w:hAnsi="Times New Roman" w:cs="Times New Roman" w:eastAsia="Times New Roman" w:hint="default"/>
                <w:sz w:val="21"/>
                <w:szCs w:val="21"/>
              </w:rPr>
            </w:pPr>
            <w:r>
              <w:rPr>
                <w:rFonts w:ascii="Times New Roman"/>
                <w:sz w:val="21"/>
              </w:rPr>
              <w:t>150,919,886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98,529,154</w:t>
            </w:r>
          </w:p>
        </w:tc>
      </w:tr>
      <w:tr>
        <w:trPr>
          <w:trHeight w:val="283" w:hRule="exact"/>
        </w:trPr>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51" w:right="0"/>
              <w:jc w:val="left"/>
              <w:rPr>
                <w:rFonts w:ascii="Times New Roman" w:hAnsi="Times New Roman" w:cs="Times New Roman" w:eastAsia="Times New Roman" w:hint="default"/>
                <w:sz w:val="21"/>
                <w:szCs w:val="21"/>
              </w:rPr>
            </w:pPr>
            <w:r>
              <w:rPr>
                <w:rFonts w:ascii="Times New Roman"/>
                <w:sz w:val="21"/>
              </w:rPr>
              <w:t>235,633,528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3,625,909,154</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90" w:lineRule="auto" w:before="168"/>
        <w:ind w:left="138" w:right="646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47"/>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0" w:lineRule="exact"/>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974" w:top="1120" w:bottom="1160" w:left="1280" w:right="1100"/>
        </w:sectPr>
      </w:pPr>
    </w:p>
    <w:p>
      <w:pPr>
        <w:pStyle w:val="BodyText"/>
        <w:spacing w:line="273" w:lineRule="exact" w:before="36"/>
        <w:ind w:left="138"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138" w:right="0"/>
        <w:jc w:val="left"/>
        <w:rPr>
          <w:rFonts w:ascii="宋体" w:hAnsi="宋体" w:cs="宋体" w:eastAsia="宋体" w:hint="default"/>
        </w:rPr>
      </w:pPr>
      <w:r>
        <w:rPr>
          <w:rFonts w:ascii="宋体"/>
          <w:w w:val="100"/>
        </w:rPr>
        <w:t> </w:t>
      </w:r>
    </w:p>
    <w:p>
      <w:pPr>
        <w:pStyle w:val="Heading5"/>
        <w:spacing w:line="290" w:lineRule="auto" w:before="58"/>
        <w:ind w:left="138" w:right="0"/>
        <w:jc w:val="left"/>
        <w:rPr>
          <w:rFonts w:ascii="宋体" w:hAnsi="宋体" w:cs="宋体" w:eastAsia="宋体" w:hint="default"/>
          <w:b w:val="0"/>
          <w:bCs w:val="0"/>
        </w:rPr>
      </w:pPr>
      <w:r>
        <w:rPr>
          <w:rFonts w:ascii="宋体" w:hAnsi="宋体" w:cs="宋体" w:eastAsia="宋体" w:hint="default"/>
        </w:rPr>
        <w:t>45</w:t>
      </w:r>
      <w:r>
        <w:rPr/>
        <w:t>、 长期借款</w:t>
      </w:r>
      <w:r>
        <w:rPr>
          <w:spacing w:val="-49"/>
        </w:rPr>
        <w:t> </w:t>
      </w:r>
      <w:r>
        <w:rPr>
          <w:rFonts w:ascii="宋体" w:hAnsi="宋体" w:cs="宋体" w:eastAsia="宋体" w:hint="default"/>
          <w:spacing w:val="-49"/>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1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00"/>
          <w:cols w:num="2" w:equalWidth="0">
            <w:col w:w="2768" w:space="3991"/>
            <w:col w:w="277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80"/>
        <w:gridCol w:w="3080"/>
        <w:gridCol w:w="2974"/>
      </w:tblGrid>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85,160,687</w:t>
            </w:r>
            <w:r>
              <w:rPr>
                <w:rFonts w:ascii="宋体"/>
                <w:sz w:val="21"/>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112,540,687</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w:t>
            </w:r>
            <w:r>
              <w:rPr>
                <w:rFonts w:ascii="宋体" w:hAnsi="宋体" w:cs="宋体" w:eastAsia="宋体" w:hint="default"/>
                <w:sz w:val="21"/>
                <w:szCs w:val="21"/>
              </w:rPr>
              <w:t>欧元</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75,632,301</w:t>
            </w:r>
            <w:r>
              <w:rPr>
                <w:rFonts w:ascii="宋体"/>
                <w:sz w:val="21"/>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75,632,301</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681,308</w:t>
            </w:r>
            <w:r>
              <w:rPr>
                <w:rFonts w:ascii="宋体"/>
                <w:sz w:val="21"/>
              </w:rPr>
              <w:t> </w:t>
            </w: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-28,591,308</w:t>
            </w:r>
            <w:r>
              <w:rPr>
                <w:rFonts w:ascii="宋体"/>
                <w:sz w:val="21"/>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-27,380,000</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132,882,988</w:t>
            </w:r>
            <w:r>
              <w:rPr>
                <w:rFonts w:ascii="宋体"/>
                <w:sz w:val="21"/>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160,792,988</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其他说明，包括利率区间：</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558" w:right="0"/>
        <w:jc w:val="left"/>
        <w:rPr>
          <w:rFonts w:ascii="宋体" w:hAnsi="宋体" w:cs="宋体" w:eastAsia="宋体" w:hint="default"/>
        </w:rPr>
      </w:pPr>
      <w:r>
        <w:rPr>
          <w:w w:val="100"/>
        </w:rPr>
        <w:t>于</w:t>
      </w:r>
      <w:r>
        <w:rPr>
          <w:spacing w:val="-7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22"/>
        </w:rPr>
        <w:t> </w:t>
      </w:r>
      <w:r>
        <w:rPr>
          <w:w w:val="100"/>
        </w:rPr>
        <w:t>年</w:t>
      </w:r>
      <w:r>
        <w:rPr>
          <w:spacing w:val="-7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spacing w:val="-19"/>
        </w:rPr>
        <w:t> </w:t>
      </w:r>
      <w:r>
        <w:rPr>
          <w:w w:val="100"/>
        </w:rPr>
        <w:t>月</w:t>
      </w:r>
      <w:r>
        <w:rPr>
          <w:spacing w:val="-74"/>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2"/>
        </w:rPr>
        <w:t> </w:t>
      </w:r>
      <w:r>
        <w:rPr>
          <w:w w:val="100"/>
        </w:rPr>
        <w:t>日</w:t>
      </w:r>
      <w:r>
        <w:rPr>
          <w:spacing w:val="-106"/>
          <w:w w:val="100"/>
        </w:rPr>
        <w:t>，</w:t>
      </w:r>
      <w:r>
        <w:rPr>
          <w:spacing w:val="-3"/>
          <w:w w:val="100"/>
        </w:rPr>
        <w:t>长期</w:t>
      </w:r>
      <w:r>
        <w:rPr>
          <w:w w:val="100"/>
        </w:rPr>
        <w:t>借款</w:t>
      </w:r>
      <w:r>
        <w:rPr>
          <w:spacing w:val="-3"/>
          <w:w w:val="100"/>
        </w:rPr>
        <w:t>的</w:t>
      </w:r>
      <w:r>
        <w:rPr>
          <w:w w:val="100"/>
        </w:rPr>
        <w:t>利</w:t>
      </w:r>
      <w:r>
        <w:rPr>
          <w:spacing w:val="-3"/>
          <w:w w:val="100"/>
        </w:rPr>
        <w:t>率</w:t>
      </w:r>
      <w:r>
        <w:rPr>
          <w:w w:val="100"/>
        </w:rPr>
        <w:t>区</w:t>
      </w:r>
      <w:r>
        <w:rPr>
          <w:spacing w:val="-3"/>
          <w:w w:val="100"/>
        </w:rPr>
        <w:t>间</w:t>
      </w:r>
      <w:r>
        <w:rPr>
          <w:w w:val="100"/>
        </w:rPr>
        <w:t>为</w:t>
      </w:r>
      <w:r>
        <w:rPr>
          <w:spacing w:val="-7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.60</w:t>
      </w:r>
      <w:r>
        <w:rPr>
          <w:rFonts w:ascii="Times New Roman" w:hAnsi="Times New Roman" w:cs="Times New Roman" w:eastAsia="Times New Roman" w:hint="default"/>
          <w:spacing w:val="-3"/>
          <w:w w:val="100"/>
        </w:rPr>
        <w:t>%</w:t>
      </w:r>
      <w:r>
        <w:rPr>
          <w:w w:val="100"/>
        </w:rPr>
        <w:t>至</w:t>
      </w:r>
      <w:r>
        <w:rPr>
          <w:spacing w:val="-72"/>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22"/>
        </w:rPr>
        <w:t> </w:t>
      </w:r>
      <w:r>
        <w:rPr>
          <w:w w:val="100"/>
        </w:rPr>
        <w:t>年</w:t>
      </w:r>
      <w:r>
        <w:rPr>
          <w:spacing w:val="-72"/>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2"/>
        </w:rPr>
        <w:t> </w:t>
      </w:r>
      <w:r>
        <w:rPr>
          <w:w w:val="100"/>
        </w:rPr>
        <w:t>月</w:t>
      </w:r>
      <w:r>
        <w:rPr>
          <w:spacing w:val="-74"/>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2"/>
        </w:rPr>
        <w:t> </w:t>
      </w:r>
      <w:r>
        <w:rPr>
          <w:w w:val="100"/>
        </w:rPr>
        <w:t>日</w:t>
      </w:r>
      <w:r>
        <w:rPr>
          <w:spacing w:val="-105"/>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w:t>
      </w:r>
      <w:r>
        <w:rPr>
          <w:w w:val="100"/>
        </w:rPr>
        <w:t>至</w:t>
      </w:r>
      <w:r>
        <w:rPr>
          <w:spacing w:val="-74"/>
        </w:rPr>
        <w:t> </w:t>
      </w:r>
      <w:r>
        <w:rPr>
          <w:rFonts w:ascii="Times New Roman" w:hAnsi="Times New Roman" w:cs="Times New Roman" w:eastAsia="Times New Roman" w:hint="default"/>
          <w:w w:val="100"/>
        </w:rPr>
        <w:t>4.90</w:t>
      </w:r>
      <w:r>
        <w:rPr>
          <w:rFonts w:ascii="Times New Roman" w:hAnsi="Times New Roman" w:cs="Times New Roman" w:eastAsia="Times New Roman" w:hint="default"/>
          <w:spacing w:val="-4"/>
          <w:w w:val="100"/>
        </w:rPr>
        <w:t>%)</w:t>
      </w:r>
      <w:r>
        <w:rPr>
          <w:spacing w:val="-108"/>
          <w:w w:val="100"/>
        </w:rPr>
        <w:t>。</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160" w:left="1280" w:right="1100"/>
        </w:sectPr>
      </w:pPr>
    </w:p>
    <w:p>
      <w:pPr>
        <w:spacing w:before="20"/>
        <w:ind w:left="6535" w:right="657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85"/>
          <w:footerReference w:type="default" r:id="rId86"/>
          <w:pgSz w:w="16840" w:h="11910" w:orient="landscape"/>
          <w:pgMar w:header="0" w:footer="0" w:top="800" w:bottom="280" w:left="1200" w:right="1180"/>
        </w:sectPr>
      </w:pPr>
    </w:p>
    <w:p>
      <w:pPr>
        <w:pStyle w:val="Heading5"/>
        <w:tabs>
          <w:tab w:pos="1058" w:val="left" w:leader="none"/>
        </w:tabs>
        <w:spacing w:line="290" w:lineRule="auto" w:before="36"/>
        <w:ind w:right="0"/>
        <w:jc w:val="left"/>
        <w:rPr>
          <w:rFonts w:ascii="宋体" w:hAnsi="宋体" w:cs="宋体" w:eastAsia="宋体" w:hint="default"/>
          <w:b w:val="0"/>
          <w:bCs w:val="0"/>
        </w:rPr>
      </w:pPr>
      <w:r>
        <w:rPr>
          <w:rFonts w:ascii="宋体" w:hAnsi="宋体" w:cs="宋体" w:eastAsia="宋体" w:hint="default"/>
        </w:rPr>
        <w:t>46</w:t>
      </w:r>
      <w:r>
        <w:rPr/>
        <w:t>、</w:t>
      </w:r>
      <w:r>
        <w:rPr>
          <w:spacing w:val="15"/>
        </w:rPr>
        <w:t> </w:t>
      </w:r>
      <w:r>
        <w:rPr/>
        <w:t>应付债券</w:t>
      </w:r>
      <w:r>
        <w:rPr>
          <w:rFonts w:ascii="宋体" w:hAnsi="宋体" w:cs="宋体" w:eastAsia="宋体" w:hint="default"/>
          <w:w w:val="99"/>
        </w:rPr>
        <w:t> </w:t>
      </w:r>
      <w:r>
        <w:rPr>
          <w:rFonts w:ascii="宋体" w:hAnsi="宋体" w:cs="宋体" w:eastAsia="宋体" w:hint="default"/>
          <w:w w:val="95"/>
        </w:rPr>
        <w:t>(1).</w:t>
        <w:tab/>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2007" w:space="968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062"/>
        <w:gridCol w:w="4647"/>
        <w:gridCol w:w="5521"/>
      </w:tblGrid>
      <w:tr>
        <w:trPr>
          <w:trHeight w:val="281"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应付公司债券</w:t>
            </w:r>
            <w:r>
              <w:rPr>
                <w:rFonts w:ascii="宋体" w:hAnsi="宋体" w:cs="宋体" w:eastAsia="宋体" w:hint="default"/>
                <w:sz w:val="21"/>
                <w:szCs w:val="21"/>
              </w:rPr>
              <w:t> </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2,116,900,000</w:t>
            </w:r>
          </w:p>
        </w:tc>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2,116,900,000</w:t>
            </w:r>
          </w:p>
        </w:tc>
        <w:tc>
          <w:tcPr>
            <w:tcW w:w="55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120" w:bottom="1160" w:left="1200" w:right="1180"/>
        </w:sectPr>
      </w:pPr>
    </w:p>
    <w:p>
      <w:pPr>
        <w:pStyle w:val="BodyText"/>
        <w:spacing w:line="241"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1200" w:right="1180"/>
          <w:cols w:num="2" w:equalWidth="0">
            <w:col w:w="8551" w:space="3142"/>
            <w:col w:w="276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25"/>
        <w:gridCol w:w="1051"/>
        <w:gridCol w:w="1277"/>
        <w:gridCol w:w="1280"/>
        <w:gridCol w:w="1591"/>
        <w:gridCol w:w="1592"/>
        <w:gridCol w:w="1550"/>
        <w:gridCol w:w="1381"/>
        <w:gridCol w:w="1591"/>
        <w:gridCol w:w="1591"/>
      </w:tblGrid>
      <w:tr>
        <w:trPr>
          <w:trHeight w:val="826"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341"/>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2" w:right="31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2" w:right="319"/>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0" w:right="47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0" w:right="47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4" w:right="137" w:hanging="526"/>
              <w:jc w:val="left"/>
              <w:rPr>
                <w:rFonts w:ascii="宋体" w:hAnsi="宋体" w:cs="宋体" w:eastAsia="宋体" w:hint="default"/>
                <w:sz w:val="21"/>
                <w:szCs w:val="21"/>
              </w:rPr>
            </w:pPr>
            <w:r>
              <w:rPr>
                <w:rFonts w:ascii="宋体" w:hAnsi="宋体" w:cs="宋体" w:eastAsia="宋体" w:hint="default"/>
                <w:sz w:val="21"/>
                <w:szCs w:val="21"/>
              </w:rPr>
              <w:t>按面值计提利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一年内到期</w:t>
            </w:r>
          </w:p>
          <w:p>
            <w:pPr>
              <w:pStyle w:val="TableParagraph"/>
              <w:spacing w:line="272" w:lineRule="exact"/>
              <w:ind w:left="104" w:right="0"/>
              <w:jc w:val="center"/>
              <w:rPr>
                <w:rFonts w:ascii="宋体" w:hAnsi="宋体" w:cs="宋体" w:eastAsia="宋体" w:hint="default"/>
                <w:sz w:val="21"/>
                <w:szCs w:val="21"/>
              </w:rPr>
            </w:pPr>
            <w:r>
              <w:rPr>
                <w:rFonts w:ascii="宋体" w:hAnsi="宋体" w:cs="宋体" w:eastAsia="宋体" w:hint="default"/>
                <w:sz w:val="21"/>
                <w:szCs w:val="21"/>
              </w:rPr>
              <w:t>的部分</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0" w:right="47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0" w:right="47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青港</w:t>
            </w:r>
            <w:r>
              <w:rPr>
                <w:rFonts w:ascii="宋体" w:hAnsi="宋体" w:cs="宋体" w:eastAsia="宋体" w:hint="default"/>
                <w:spacing w:val="-53"/>
                <w:sz w:val="21"/>
                <w:szCs w:val="21"/>
              </w:rPr>
              <w:t> </w:t>
            </w:r>
            <w:r>
              <w:rPr>
                <w:rFonts w:ascii="宋体" w:hAnsi="宋体" w:cs="宋体" w:eastAsia="宋体" w:hint="default"/>
                <w:sz w:val="21"/>
                <w:szCs w:val="21"/>
              </w:rPr>
              <w:t>01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2016-03-18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五年</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41,145,286</w:t>
            </w:r>
            <w:r>
              <w:rPr>
                <w:rFonts w:ascii="宋体"/>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-41,145,286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90,900,000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1,409,100,000</w:t>
            </w:r>
            <w:r>
              <w:rPr>
                <w:rFonts w:ascii="宋体"/>
                <w:sz w:val="21"/>
              </w:rPr>
              <w:t> </w:t>
            </w:r>
          </w:p>
        </w:tc>
      </w:tr>
      <w:tr>
        <w:trPr>
          <w:trHeight w:val="281"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青港</w:t>
            </w:r>
            <w:r>
              <w:rPr>
                <w:rFonts w:ascii="宋体" w:hAnsi="宋体" w:cs="宋体" w:eastAsia="宋体" w:hint="default"/>
                <w:spacing w:val="-53"/>
                <w:sz w:val="21"/>
                <w:szCs w:val="21"/>
              </w:rPr>
              <w:t> </w:t>
            </w:r>
            <w:r>
              <w:rPr>
                <w:rFonts w:ascii="宋体" w:hAnsi="宋体" w:cs="宋体" w:eastAsia="宋体" w:hint="default"/>
                <w:sz w:val="21"/>
                <w:szCs w:val="21"/>
              </w:rPr>
              <w:t>02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2016-06-08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五年</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14,977,048</w:t>
            </w:r>
            <w:r>
              <w:rPr>
                <w:rFonts w:ascii="宋体"/>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-14,977,048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1,292,200,000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707,800,000</w:t>
            </w:r>
            <w:r>
              <w:rPr>
                <w:rFonts w:ascii="宋体"/>
                <w:sz w:val="21"/>
              </w:rPr>
              <w:t> </w:t>
            </w:r>
          </w:p>
        </w:tc>
      </w:tr>
      <w:tr>
        <w:trPr>
          <w:trHeight w:val="28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56,122,334</w:t>
            </w:r>
            <w:r>
              <w:rPr>
                <w:rFonts w:ascii="宋体"/>
                <w:sz w:val="21"/>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-56,122,334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1,383,100,000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2,116,900,000</w:t>
            </w:r>
            <w:r>
              <w:rPr>
                <w:rFonts w:ascii="宋体"/>
                <w:sz w:val="21"/>
              </w:rPr>
              <w:t> </w:t>
            </w:r>
          </w:p>
        </w:tc>
      </w:tr>
    </w:tbl>
    <w:p>
      <w:pPr>
        <w:pStyle w:val="BodyText"/>
        <w:spacing w:line="240" w:lineRule="auto" w:before="42"/>
        <w:ind w:left="638" w:right="0"/>
        <w:jc w:val="left"/>
      </w:pPr>
      <w:r>
        <w:rPr/>
        <w:t>经中国证券监督管理委员会证监许可</w:t>
      </w:r>
      <w:r>
        <w:rPr>
          <w:rFonts w:ascii="宋体" w:hAnsi="宋体" w:cs="宋体" w:eastAsia="宋体" w:hint="default"/>
        </w:rPr>
        <w:t>[2016]153</w:t>
      </w:r>
      <w:r>
        <w:rPr>
          <w:rFonts w:ascii="宋体" w:hAnsi="宋体" w:cs="宋体" w:eastAsia="宋体" w:hint="default"/>
          <w:spacing w:val="-51"/>
        </w:rPr>
        <w:t> </w:t>
      </w:r>
      <w:r>
        <w:rPr>
          <w:spacing w:val="-3"/>
        </w:rPr>
        <w:t>号文核准，本公司分别于</w:t>
      </w:r>
      <w:r>
        <w:rPr>
          <w:spacing w:val="-52"/>
        </w:rPr>
        <w:t> </w:t>
      </w:r>
      <w:r>
        <w:rPr>
          <w:rFonts w:ascii="宋体" w:hAnsi="宋体" w:cs="宋体" w:eastAsia="宋体" w:hint="default"/>
        </w:rPr>
        <w:t>2016</w:t>
      </w:r>
      <w:r>
        <w:rPr>
          <w:rFonts w:ascii="宋体" w:hAnsi="宋体" w:cs="宋体" w:eastAsia="宋体" w:hint="default"/>
          <w:spacing w:val="-51"/>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18</w:t>
      </w:r>
      <w:r>
        <w:rPr>
          <w:rFonts w:ascii="宋体" w:hAnsi="宋体" w:cs="宋体" w:eastAsia="宋体" w:hint="default"/>
          <w:spacing w:val="-52"/>
        </w:rPr>
        <w:t> </w:t>
      </w:r>
      <w:r>
        <w:rPr/>
        <w:t>日及</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8</w:t>
      </w:r>
      <w:r>
        <w:rPr>
          <w:rFonts w:ascii="宋体" w:hAnsi="宋体" w:cs="宋体" w:eastAsia="宋体" w:hint="default"/>
          <w:spacing w:val="-54"/>
        </w:rPr>
        <w:t> </w:t>
      </w:r>
      <w:r>
        <w:rPr/>
        <w:t>日发行第一期公司债券人民币</w:t>
      </w:r>
      <w:r>
        <w:rPr>
          <w:spacing w:val="-52"/>
        </w:rPr>
        <w:t> </w:t>
      </w:r>
      <w:r>
        <w:rPr>
          <w:rFonts w:ascii="宋体" w:hAnsi="宋体" w:cs="宋体" w:eastAsia="宋体" w:hint="default"/>
        </w:rPr>
        <w:t>15</w:t>
      </w:r>
      <w:r>
        <w:rPr>
          <w:rFonts w:ascii="宋体" w:hAnsi="宋体" w:cs="宋体" w:eastAsia="宋体" w:hint="default"/>
          <w:spacing w:val="-54"/>
        </w:rPr>
        <w:t> </w:t>
      </w:r>
      <w:r>
        <w:rPr>
          <w:spacing w:val="-3"/>
        </w:rPr>
        <w:t>亿元及</w:t>
      </w:r>
      <w:r>
        <w:rPr/>
      </w:r>
    </w:p>
    <w:p>
      <w:pPr>
        <w:pStyle w:val="BodyText"/>
        <w:spacing w:line="240" w:lineRule="auto" w:before="85"/>
        <w:ind w:right="0"/>
        <w:jc w:val="left"/>
      </w:pPr>
      <w:r>
        <w:rPr/>
        <w:t>第二期公司债券人民币</w:t>
      </w:r>
      <w:r>
        <w:rPr>
          <w:spacing w:val="-55"/>
        </w:rPr>
        <w:t> </w:t>
      </w:r>
      <w:r>
        <w:rPr>
          <w:rFonts w:ascii="宋体" w:hAnsi="宋体" w:cs="宋体" w:eastAsia="宋体" w:hint="default"/>
        </w:rPr>
        <w:t>20</w:t>
      </w:r>
      <w:r>
        <w:rPr>
          <w:rFonts w:ascii="宋体" w:hAnsi="宋体" w:cs="宋体" w:eastAsia="宋体" w:hint="default"/>
          <w:spacing w:val="-57"/>
        </w:rPr>
        <w:t> </w:t>
      </w:r>
      <w:r>
        <w:rPr/>
        <w:t>亿元，上述债券票面期限为</w:t>
      </w:r>
      <w:r>
        <w:rPr>
          <w:spacing w:val="-54"/>
        </w:rPr>
        <w:t> </w:t>
      </w:r>
      <w:r>
        <w:rPr>
          <w:rFonts w:ascii="宋体" w:hAnsi="宋体" w:cs="宋体" w:eastAsia="宋体" w:hint="default"/>
        </w:rPr>
        <w:t>5</w:t>
      </w:r>
      <w:r>
        <w:rPr>
          <w:rFonts w:ascii="宋体" w:hAnsi="宋体" w:cs="宋体" w:eastAsia="宋体" w:hint="default"/>
          <w:spacing w:val="-55"/>
        </w:rPr>
        <w:t> </w:t>
      </w:r>
      <w:r>
        <w:rPr/>
        <w:t>年并附有第</w:t>
      </w:r>
      <w:r>
        <w:rPr>
          <w:spacing w:val="-55"/>
        </w:rPr>
        <w:t> </w:t>
      </w:r>
      <w:r>
        <w:rPr>
          <w:rFonts w:ascii="宋体" w:hAnsi="宋体" w:cs="宋体" w:eastAsia="宋体" w:hint="default"/>
        </w:rPr>
        <w:t>3</w:t>
      </w:r>
      <w:r>
        <w:rPr>
          <w:rFonts w:ascii="宋体" w:hAnsi="宋体" w:cs="宋体" w:eastAsia="宋体" w:hint="default"/>
          <w:spacing w:val="-55"/>
        </w:rPr>
        <w:t> </w:t>
      </w:r>
      <w:r>
        <w:rPr/>
        <w:t>年末本公司上调票面利率选择权及投资者回售选择权，如投资者未在回售登记期内</w:t>
      </w:r>
    </w:p>
    <w:p>
      <w:pPr>
        <w:pStyle w:val="BodyText"/>
        <w:spacing w:line="240" w:lineRule="auto" w:before="85"/>
        <w:ind w:right="0"/>
        <w:jc w:val="left"/>
        <w:rPr>
          <w:rFonts w:ascii="宋体" w:hAnsi="宋体" w:cs="宋体" w:eastAsia="宋体" w:hint="default"/>
        </w:rPr>
      </w:pPr>
      <w:r>
        <w:rPr/>
        <w:t>登记回售，则债券持有期限为</w:t>
      </w:r>
      <w:r>
        <w:rPr>
          <w:spacing w:val="-55"/>
        </w:rPr>
        <w:t> </w:t>
      </w:r>
      <w:r>
        <w:rPr>
          <w:rFonts w:ascii="宋体" w:hAnsi="宋体" w:cs="宋体" w:eastAsia="宋体" w:hint="default"/>
        </w:rPr>
        <w:t>5</w:t>
      </w:r>
      <w:r>
        <w:rPr>
          <w:rFonts w:ascii="宋体" w:hAnsi="宋体" w:cs="宋体" w:eastAsia="宋体" w:hint="default"/>
          <w:spacing w:val="-57"/>
        </w:rPr>
        <w:t> </w:t>
      </w:r>
      <w:r>
        <w:rPr/>
        <w:t>年。公司债券采用单利按年计息，每年付息一次。</w:t>
      </w:r>
      <w:r>
        <w:rPr>
          <w:rFonts w:ascii="宋体" w:hAnsi="宋体" w:cs="宋体" w:eastAsia="宋体" w:hint="default"/>
        </w:rPr>
        <w:t> </w:t>
      </w:r>
    </w:p>
    <w:p>
      <w:pPr>
        <w:pStyle w:val="BodyText"/>
        <w:spacing w:line="240" w:lineRule="auto" w:before="85"/>
        <w:ind w:left="638" w:right="0"/>
        <w:jc w:val="left"/>
      </w:pPr>
      <w:r>
        <w:rPr/>
        <w:t>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10"/>
        </w:rPr>
        <w:t>日，应付债券人民币</w:t>
      </w:r>
      <w:r>
        <w:rPr>
          <w:spacing w:val="-48"/>
        </w:rPr>
        <w:t> </w:t>
      </w:r>
      <w:r>
        <w:rPr>
          <w:rFonts w:ascii="宋体" w:hAnsi="宋体" w:cs="宋体" w:eastAsia="宋体" w:hint="default"/>
        </w:rPr>
        <w:t>35</w:t>
      </w:r>
      <w:r>
        <w:rPr>
          <w:rFonts w:ascii="宋体" w:hAnsi="宋体" w:cs="宋体" w:eastAsia="宋体" w:hint="default"/>
          <w:spacing w:val="-49"/>
        </w:rPr>
        <w:t> </w:t>
      </w:r>
      <w:r>
        <w:rPr>
          <w:spacing w:val="-5"/>
        </w:rPr>
        <w:t>亿元均重分类到一年内到期的非流动负债。本公司分别于</w:t>
      </w:r>
      <w:r>
        <w:rPr>
          <w:spacing w:val="-52"/>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2</w:t>
      </w:r>
      <w:r>
        <w:rPr>
          <w:rFonts w:ascii="宋体" w:hAnsi="宋体" w:cs="宋体" w:eastAsia="宋体" w:hint="default"/>
          <w:spacing w:val="-52"/>
        </w:rPr>
        <w:t> </w:t>
      </w:r>
      <w:r>
        <w:rPr/>
        <w:t>月</w:t>
      </w:r>
      <w:r>
        <w:rPr>
          <w:spacing w:val="-49"/>
        </w:rPr>
        <w:t> </w:t>
      </w:r>
      <w:r>
        <w:rPr>
          <w:rFonts w:ascii="宋体" w:hAnsi="宋体" w:cs="宋体" w:eastAsia="宋体" w:hint="default"/>
        </w:rPr>
        <w:t>18</w:t>
      </w:r>
      <w:r>
        <w:rPr>
          <w:rFonts w:ascii="宋体" w:hAnsi="宋体" w:cs="宋体" w:eastAsia="宋体" w:hint="default"/>
          <w:spacing w:val="-48"/>
        </w:rPr>
        <w:t> </w:t>
      </w:r>
      <w:r>
        <w:rPr>
          <w:spacing w:val="-14"/>
        </w:rPr>
        <w:t>日、</w:t>
      </w:r>
      <w:r>
        <w:rPr>
          <w:rFonts w:ascii="宋体" w:hAnsi="宋体" w:cs="宋体" w:eastAsia="宋体" w:hint="default"/>
          <w:spacing w:val="-14"/>
        </w:rPr>
        <w:t>2019</w:t>
      </w:r>
      <w:r>
        <w:rPr>
          <w:rFonts w:ascii="宋体" w:hAnsi="宋体" w:cs="宋体" w:eastAsia="宋体" w:hint="default"/>
          <w:spacing w:val="-52"/>
        </w:rPr>
        <w:t> </w:t>
      </w:r>
      <w:r>
        <w:rPr/>
        <w:t>年</w:t>
      </w:r>
      <w:r>
        <w:rPr>
          <w:spacing w:val="-49"/>
        </w:rPr>
        <w:t> </w:t>
      </w:r>
      <w:r>
        <w:rPr>
          <w:rFonts w:ascii="宋体" w:hAnsi="宋体" w:cs="宋体" w:eastAsia="宋体" w:hint="default"/>
        </w:rPr>
        <w:t>5</w:t>
      </w:r>
      <w:r>
        <w:rPr>
          <w:rFonts w:ascii="宋体" w:hAnsi="宋体" w:cs="宋体" w:eastAsia="宋体" w:hint="default"/>
          <w:spacing w:val="-52"/>
        </w:rPr>
        <w:t> </w:t>
      </w:r>
      <w:r>
        <w:rPr/>
        <w:t>月</w:t>
      </w:r>
      <w:r>
        <w:rPr>
          <w:spacing w:val="-49"/>
        </w:rPr>
        <w:t> </w:t>
      </w:r>
      <w:r>
        <w:rPr>
          <w:rFonts w:ascii="宋体" w:hAnsi="宋体" w:cs="宋体" w:eastAsia="宋体" w:hint="default"/>
        </w:rPr>
        <w:t>10</w:t>
      </w:r>
      <w:r>
        <w:rPr>
          <w:rFonts w:ascii="宋体" w:hAnsi="宋体" w:cs="宋体" w:eastAsia="宋体" w:hint="default"/>
          <w:spacing w:val="-52"/>
        </w:rPr>
        <w:t> </w:t>
      </w:r>
      <w:r>
        <w:rPr/>
        <w:t>日发布公告，</w:t>
      </w:r>
    </w:p>
    <w:p>
      <w:pPr>
        <w:pStyle w:val="BodyText"/>
        <w:spacing w:line="240" w:lineRule="auto" w:before="85"/>
        <w:ind w:right="0"/>
        <w:jc w:val="left"/>
      </w:pPr>
      <w:r>
        <w:rPr/>
        <w:t>自</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日起，将第一期公司债券和第二期公司债券的票面利率由</w:t>
      </w:r>
      <w:r>
        <w:rPr>
          <w:spacing w:val="-54"/>
        </w:rPr>
        <w:t> </w:t>
      </w:r>
      <w:r>
        <w:rPr>
          <w:rFonts w:ascii="宋体" w:hAnsi="宋体" w:cs="宋体" w:eastAsia="宋体" w:hint="default"/>
        </w:rPr>
        <w:t>2.90%</w:t>
      </w:r>
      <w:r>
        <w:rPr/>
        <w:t>、</w:t>
      </w:r>
      <w:r>
        <w:rPr>
          <w:rFonts w:ascii="宋体" w:hAnsi="宋体" w:cs="宋体" w:eastAsia="宋体" w:hint="default"/>
        </w:rPr>
        <w:t>3.09%</w:t>
      </w:r>
      <w:r>
        <w:rPr/>
        <w:t>均上调至</w:t>
      </w:r>
      <w:r>
        <w:rPr>
          <w:spacing w:val="-53"/>
        </w:rPr>
        <w:t> </w:t>
      </w:r>
      <w:r>
        <w:rPr>
          <w:rFonts w:ascii="宋体" w:hAnsi="宋体" w:cs="宋体" w:eastAsia="宋体" w:hint="default"/>
        </w:rPr>
        <w:t>3.68%</w:t>
      </w:r>
      <w:r>
        <w:rPr/>
        <w:t>，投资者回售债券金额分别</w:t>
      </w:r>
    </w:p>
    <w:p>
      <w:pPr>
        <w:pStyle w:val="BodyText"/>
        <w:spacing w:line="240" w:lineRule="auto" w:before="85"/>
        <w:ind w:right="0"/>
        <w:jc w:val="left"/>
        <w:rPr>
          <w:rFonts w:ascii="宋体" w:hAnsi="宋体" w:cs="宋体" w:eastAsia="宋体" w:hint="default"/>
        </w:rPr>
      </w:pPr>
      <w:r>
        <w:rPr/>
        <w:t>为人民币</w:t>
      </w:r>
      <w:r>
        <w:rPr>
          <w:spacing w:val="-52"/>
        </w:rPr>
        <w:t> </w:t>
      </w:r>
      <w:r>
        <w:rPr>
          <w:rFonts w:ascii="宋体" w:hAnsi="宋体" w:cs="宋体" w:eastAsia="宋体" w:hint="default"/>
        </w:rPr>
        <w:t>90,900,000 </w:t>
      </w:r>
      <w:r>
        <w:rPr/>
        <w:t>元及人民币</w:t>
      </w:r>
      <w:r>
        <w:rPr>
          <w:spacing w:val="-53"/>
        </w:rPr>
        <w:t> </w:t>
      </w:r>
      <w:r>
        <w:rPr>
          <w:rFonts w:ascii="宋体" w:hAnsi="宋体" w:cs="宋体" w:eastAsia="宋体" w:hint="default"/>
        </w:rPr>
        <w:t>1,292,200,000</w:t>
      </w:r>
      <w:r>
        <w:rPr>
          <w:rFonts w:ascii="宋体" w:hAnsi="宋体" w:cs="宋体" w:eastAsia="宋体" w:hint="default"/>
          <w:spacing w:val="-2"/>
        </w:rPr>
        <w:t> </w:t>
      </w:r>
      <w:r>
        <w:rPr>
          <w:spacing w:val="-3"/>
        </w:rPr>
        <w:t>元。于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日，应付债券年末本金余额合计人民币</w:t>
      </w:r>
      <w:r>
        <w:rPr>
          <w:spacing w:val="-53"/>
        </w:rPr>
        <w:t> </w:t>
      </w:r>
      <w:r>
        <w:rPr>
          <w:rFonts w:ascii="宋体" w:hAnsi="宋体" w:cs="宋体" w:eastAsia="宋体" w:hint="default"/>
        </w:rPr>
        <w:t>2,116,900,000</w:t>
      </w:r>
      <w:r>
        <w:rPr>
          <w:rFonts w:ascii="宋体" w:hAnsi="宋体" w:cs="宋体" w:eastAsia="宋体" w:hint="default"/>
          <w:spacing w:val="-52"/>
        </w:rPr>
        <w:t> </w:t>
      </w:r>
      <w:r>
        <w:rPr>
          <w:spacing w:val="-3"/>
        </w:rPr>
        <w:t>元，到期日分别为</w:t>
      </w:r>
      <w:r>
        <w:rPr>
          <w:spacing w:val="-53"/>
        </w:rPr>
        <w:t> </w:t>
      </w:r>
      <w:r>
        <w:rPr>
          <w:rFonts w:ascii="宋体" w:hAnsi="宋体" w:cs="宋体" w:eastAsia="宋体" w:hint="default"/>
        </w:rPr>
        <w:t>2021</w:t>
      </w:r>
    </w:p>
    <w:p>
      <w:pPr>
        <w:pStyle w:val="BodyText"/>
        <w:spacing w:line="240" w:lineRule="auto" w:before="85"/>
        <w:ind w:right="0"/>
        <w:jc w:val="left"/>
        <w:rPr>
          <w:rFonts w:ascii="宋体" w:hAnsi="宋体" w:cs="宋体" w:eastAsia="宋体" w:hint="default"/>
        </w:rPr>
      </w:pP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日及</w:t>
      </w:r>
      <w:r>
        <w:rPr>
          <w:spacing w:val="-56"/>
        </w:rPr>
        <w:t> </w:t>
      </w:r>
      <w:r>
        <w:rPr>
          <w:rFonts w:ascii="宋体" w:hAnsi="宋体" w:cs="宋体" w:eastAsia="宋体" w:hint="default"/>
        </w:rPr>
        <w:t>2021</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日。于</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日，本集团将于一年内支付的应付债券利息为</w:t>
      </w:r>
      <w:r>
        <w:rPr>
          <w:spacing w:val="-54"/>
        </w:rPr>
        <w:t> </w:t>
      </w:r>
      <w:r>
        <w:rPr>
          <w:rFonts w:ascii="宋体" w:hAnsi="宋体" w:cs="宋体" w:eastAsia="宋体" w:hint="default"/>
        </w:rPr>
        <w:t>56,122,334</w:t>
      </w:r>
      <w:r>
        <w:rPr>
          <w:rFonts w:ascii="宋体" w:hAnsi="宋体" w:cs="宋体" w:eastAsia="宋体" w:hint="default"/>
          <w:spacing w:val="-56"/>
        </w:rPr>
        <w:t> </w:t>
      </w:r>
      <w:r>
        <w:rPr/>
        <w:t>元，列示于一年内到期的非流动负债。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63"/>
        <w:ind w:left="6535" w:right="6553" w:firstLine="0"/>
        <w:jc w:val="center"/>
        <w:rPr>
          <w:rFonts w:ascii="Calibri" w:hAnsi="Calibri" w:cs="Calibri" w:eastAsia="Calibri" w:hint="default"/>
          <w:sz w:val="18"/>
          <w:szCs w:val="18"/>
        </w:rPr>
      </w:pPr>
      <w:r>
        <w:rPr>
          <w:rFonts w:ascii="Calibri"/>
          <w:b/>
          <w:sz w:val="18"/>
        </w:rPr>
        <w:t>175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00" w:right="118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7"/>
          <w:szCs w:val="17"/>
        </w:rPr>
      </w:pPr>
    </w:p>
    <w:p>
      <w:pPr>
        <w:pStyle w:val="Heading5"/>
        <w:tabs>
          <w:tab w:pos="978" w:val="left" w:leader="none"/>
        </w:tabs>
        <w:spacing w:line="240" w:lineRule="auto" w:before="36"/>
        <w:ind w:left="138" w:right="192"/>
        <w:jc w:val="left"/>
        <w:rPr>
          <w:rFonts w:ascii="宋体" w:hAnsi="宋体" w:cs="宋体" w:eastAsia="宋体" w:hint="default"/>
          <w:b w:val="0"/>
          <w:bCs w:val="0"/>
        </w:rPr>
      </w:pPr>
      <w:r>
        <w:rPr>
          <w:rFonts w:ascii="宋体" w:hAnsi="宋体" w:cs="宋体" w:eastAsia="宋体" w:hint="default"/>
          <w:w w:val="95"/>
        </w:rPr>
        <w:t>(3).</w:t>
        <w:tab/>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9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138" w:right="0"/>
        <w:jc w:val="left"/>
        <w:rPr>
          <w:rFonts w:ascii="宋体" w:hAnsi="宋体" w:cs="宋体" w:eastAsia="宋体" w:hint="default"/>
        </w:rPr>
      </w:pPr>
      <w:r>
        <w:rPr>
          <w:rFonts w:ascii="宋体"/>
          <w:w w:val="100"/>
        </w:rPr>
        <w:t> </w:t>
      </w:r>
    </w:p>
    <w:p>
      <w:pPr>
        <w:tabs>
          <w:tab w:pos="978" w:val="left" w:leader="none"/>
        </w:tabs>
        <w:spacing w:line="290" w:lineRule="auto" w:before="56"/>
        <w:ind w:left="138" w:right="3825"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6"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192"/>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6"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left="138" w:right="19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rFonts w:ascii="宋体" w:hAnsi="宋体" w:cs="宋体" w:eastAsia="宋体" w:hint="default"/>
          <w:w w:val="100"/>
        </w:rPr>
        <w:t> </w:t>
      </w:r>
    </w:p>
    <w:p>
      <w:pPr>
        <w:pStyle w:val="BodyText"/>
        <w:spacing w:line="240" w:lineRule="auto" w:before="15"/>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6"/>
        <w:ind w:left="138" w:right="19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7"/>
          <w:pgSz w:w="11910" w:h="16840"/>
          <w:pgMar w:footer="974" w:header="0" w:top="1120" w:bottom="1160" w:left="1280" w:right="1300"/>
          <w:pgNumType w:start="176"/>
        </w:sectPr>
      </w:pPr>
    </w:p>
    <w:p>
      <w:pPr>
        <w:spacing w:line="240" w:lineRule="auto" w:before="3"/>
        <w:rPr>
          <w:rFonts w:ascii="宋体" w:hAnsi="宋体" w:cs="宋体" w:eastAsia="宋体" w:hint="default"/>
          <w:sz w:val="2"/>
          <w:szCs w:val="2"/>
        </w:rPr>
      </w:pPr>
    </w:p>
    <w:p>
      <w:pPr>
        <w:spacing w:line="20" w:lineRule="exact"/>
        <w:ind w:left="193" w:right="0" w:firstLine="0"/>
        <w:rPr>
          <w:rFonts w:ascii="宋体" w:hAnsi="宋体" w:cs="宋体" w:eastAsia="宋体" w:hint="default"/>
          <w:sz w:val="2"/>
          <w:szCs w:val="2"/>
        </w:rPr>
      </w:pPr>
      <w:r>
        <w:rPr>
          <w:rFonts w:ascii="宋体" w:hAnsi="宋体" w:cs="宋体" w:eastAsia="宋体" w:hint="default"/>
          <w:sz w:val="2"/>
          <w:szCs w:val="2"/>
        </w:rPr>
        <w:pict>
          <v:group style="width:447.7pt;height:.75pt;mso-position-horizontal-relative:char;mso-position-vertical-relative:line" coordorigin="0,0" coordsize="8954,15">
            <v:group style="position:absolute;left:7;top:7;width:8939;height:2" coordorigin="7,7" coordsize="8939,2">
              <v:shape style="position:absolute;left:7;top:7;width:8939;height:2" coordorigin="7,7" coordsize="8939,0" path="m7,7l8946,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74" w:top="1080" w:bottom="1160" w:left="1360" w:right="1180"/>
        </w:sectPr>
      </w:pPr>
    </w:p>
    <w:p>
      <w:pPr>
        <w:pStyle w:val="Heading5"/>
        <w:spacing w:line="240" w:lineRule="auto" w:before="36"/>
        <w:ind w:left="229" w:right="0"/>
        <w:jc w:val="left"/>
        <w:rPr>
          <w:b w:val="0"/>
          <w:bCs w:val="0"/>
        </w:rPr>
      </w:pPr>
      <w:r>
        <w:rPr>
          <w:rFonts w:ascii="宋体" w:hAnsi="宋体" w:cs="宋体" w:eastAsia="宋体" w:hint="default"/>
        </w:rPr>
        <w:t>47</w:t>
      </w:r>
      <w:r>
        <w:rPr/>
        <w:t>、</w:t>
      </w:r>
      <w:r>
        <w:rPr>
          <w:spacing w:val="-24"/>
        </w:rPr>
        <w:t> </w:t>
      </w:r>
      <w:r>
        <w:rPr/>
        <w:t>租赁负债</w:t>
      </w:r>
      <w:r>
        <w:rPr>
          <w:b w:val="0"/>
          <w:bCs w:val="0"/>
        </w:rPr>
      </w:r>
    </w:p>
    <w:p>
      <w:pPr>
        <w:pStyle w:val="BodyText"/>
        <w:spacing w:line="240" w:lineRule="auto" w:before="56"/>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2015" w:space="4574"/>
            <w:col w:w="2781"/>
          </w:cols>
        </w:sectPr>
      </w:pPr>
    </w:p>
    <w:p>
      <w:pPr>
        <w:spacing w:line="240" w:lineRule="auto" w:before="4"/>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3089"/>
        <w:gridCol w:w="2816"/>
        <w:gridCol w:w="3058"/>
      </w:tblGrid>
      <w:tr>
        <w:trPr>
          <w:trHeight w:val="317"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378,301,316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569,808,507</w:t>
            </w:r>
          </w:p>
        </w:tc>
      </w:tr>
      <w:tr>
        <w:trPr>
          <w:trHeight w:val="28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378,301,316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569,808,507</w:t>
            </w:r>
          </w:p>
        </w:tc>
      </w:tr>
    </w:tbl>
    <w:p>
      <w:pPr>
        <w:pStyle w:val="BodyText"/>
        <w:spacing w:line="240" w:lineRule="auto" w:before="26"/>
        <w:ind w:left="22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7" w:lineRule="auto" w:before="133"/>
        <w:ind w:left="229" w:right="0" w:firstLine="419"/>
        <w:jc w:val="left"/>
      </w:pPr>
      <w:r>
        <w:rPr/>
        <w:t>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3"/>
        </w:rPr>
        <w:t>日，本集团无按销售额的一定比例确定的可变租金，无已签订但尚未开始</w:t>
      </w:r>
      <w:r>
        <w:rPr>
          <w:w w:val="100"/>
        </w:rPr>
        <w:t> </w:t>
      </w:r>
      <w:r>
        <w:rPr/>
        <w:t>执行的租赁合同相关的租赁付款额。</w:t>
      </w:r>
    </w:p>
    <w:p>
      <w:pPr>
        <w:pStyle w:val="BodyText"/>
        <w:spacing w:line="233" w:lineRule="exact"/>
        <w:ind w:left="229" w:right="0"/>
        <w:jc w:val="left"/>
        <w:rPr>
          <w:rFonts w:ascii="宋体" w:hAnsi="宋体" w:cs="宋体" w:eastAsia="宋体" w:hint="default"/>
        </w:rPr>
      </w:pPr>
      <w:r>
        <w:rPr>
          <w:rFonts w:ascii="宋体"/>
          <w:w w:val="100"/>
        </w:rPr>
        <w:t> </w:t>
      </w:r>
    </w:p>
    <w:p>
      <w:pPr>
        <w:pStyle w:val="Heading5"/>
        <w:spacing w:line="290" w:lineRule="auto" w:before="58"/>
        <w:ind w:left="229" w:right="7356"/>
        <w:jc w:val="left"/>
        <w:rPr>
          <w:rFonts w:ascii="宋体" w:hAnsi="宋体" w:cs="宋体" w:eastAsia="宋体" w:hint="default"/>
          <w:b w:val="0"/>
          <w:bCs w:val="0"/>
        </w:rPr>
      </w:pPr>
      <w:r>
        <w:rPr>
          <w:rFonts w:ascii="宋体" w:hAnsi="宋体" w:cs="宋体" w:eastAsia="宋体" w:hint="default"/>
        </w:rPr>
        <w:t>48</w:t>
      </w:r>
      <w:r>
        <w:rPr/>
        <w:t>、</w:t>
      </w:r>
      <w:r>
        <w:rPr>
          <w:spacing w:val="-47"/>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41"/>
        <w:gridCol w:w="2808"/>
        <w:gridCol w:w="3068"/>
      </w:tblGrid>
      <w:tr>
        <w:trPr>
          <w:trHeight w:val="28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43,095,019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42,062,933</w:t>
            </w:r>
          </w:p>
        </w:tc>
      </w:tr>
      <w:tr>
        <w:trPr>
          <w:trHeight w:val="28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43,095,019</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42,062,933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BodyText"/>
        <w:spacing w:line="239" w:lineRule="exact"/>
        <w:ind w:left="229" w:right="0"/>
        <w:jc w:val="left"/>
        <w:rPr>
          <w:rFonts w:ascii="宋体" w:hAnsi="宋体" w:cs="宋体" w:eastAsia="宋体" w:hint="default"/>
        </w:rPr>
      </w:pPr>
      <w:r>
        <w:rPr>
          <w:rFonts w:ascii="宋体"/>
          <w:w w:val="100"/>
        </w:rPr>
        <w:t> </w:t>
      </w:r>
    </w:p>
    <w:p>
      <w:pPr>
        <w:pStyle w:val="BodyText"/>
        <w:spacing w:line="272" w:lineRule="exact"/>
        <w:ind w:left="22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29"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tabs>
          <w:tab w:pos="1069" w:val="left" w:leader="none"/>
        </w:tabs>
        <w:spacing w:line="240" w:lineRule="auto" w:before="12"/>
        <w:ind w:left="229" w:right="0"/>
        <w:jc w:val="left"/>
        <w:rPr>
          <w:rFonts w:ascii="宋体" w:hAnsi="宋体" w:cs="宋体" w:eastAsia="宋体" w:hint="default"/>
          <w:b w:val="0"/>
          <w:bCs w:val="0"/>
        </w:rPr>
      </w:pPr>
      <w:r>
        <w:rPr>
          <w:rFonts w:ascii="宋体" w:hAnsi="宋体" w:cs="宋体" w:eastAsia="宋体" w:hint="default"/>
          <w:w w:val="95"/>
        </w:rPr>
        <w:t>(1).</w:t>
        <w:tab/>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3706" w:space="2883"/>
            <w:col w:w="278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145"/>
        <w:gridCol w:w="2871"/>
        <w:gridCol w:w="3111"/>
      </w:tblGrid>
      <w:tr>
        <w:trPr>
          <w:trHeight w:val="31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0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1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为青岛港集团代收代付福利费</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44,619,933</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45,195,019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减：一年内到期的福利费</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-2,610,000</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53,000</w:t>
            </w:r>
          </w:p>
        </w:tc>
        <w:tc>
          <w:tcPr>
            <w:tcW w:w="31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42,062,933</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43,095,019</w:t>
            </w:r>
          </w:p>
        </w:tc>
      </w:tr>
    </w:tbl>
    <w:p>
      <w:pPr>
        <w:pStyle w:val="BodyText"/>
        <w:spacing w:line="241" w:lineRule="exact"/>
        <w:ind w:left="229" w:right="0"/>
        <w:jc w:val="left"/>
        <w:rPr>
          <w:rFonts w:ascii="宋体" w:hAnsi="宋体" w:cs="宋体" w:eastAsia="宋体" w:hint="default"/>
        </w:rPr>
      </w:pPr>
      <w:r>
        <w:rPr>
          <w:rFonts w:ascii="宋体"/>
          <w:w w:val="100"/>
        </w:rPr>
        <w:t> </w:t>
      </w:r>
    </w:p>
    <w:p>
      <w:pPr>
        <w:pStyle w:val="BodyText"/>
        <w:spacing w:line="240" w:lineRule="auto" w:before="58"/>
        <w:ind w:left="229"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07" w:lineRule="auto"/>
        <w:ind w:left="229" w:right="306" w:firstLine="419"/>
        <w:jc w:val="both"/>
        <w:rPr>
          <w:rFonts w:ascii="宋体" w:hAnsi="宋体" w:cs="宋体" w:eastAsia="宋体" w:hint="default"/>
        </w:rPr>
      </w:pPr>
      <w:r>
        <w:rPr>
          <w:spacing w:val="-2"/>
        </w:rPr>
        <w:t>应付青港租赁公司款项及第三方融资租赁款项为本集团通过青港租赁公司及第三方融资租赁</w:t>
      </w:r>
      <w:r>
        <w:rPr>
          <w:w w:val="100"/>
        </w:rPr>
        <w:t> </w:t>
      </w:r>
      <w:r>
        <w:rPr/>
        <w:t>公司以融资租赁形式购入资产应支付的款项。于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日及</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日，根据新</w:t>
      </w:r>
      <w:r>
        <w:rPr>
          <w:w w:val="100"/>
        </w:rPr>
        <w:t> </w:t>
      </w:r>
      <w:r>
        <w:rPr/>
        <w:t>租赁准则，重分类至租赁负债。</w:t>
      </w:r>
      <w:r>
        <w:rPr>
          <w:rFonts w:ascii="宋体" w:hAnsi="宋体" w:cs="宋体" w:eastAsia="宋体" w:hint="default"/>
        </w:rPr>
        <w:t> </w:t>
      </w:r>
    </w:p>
    <w:p>
      <w:pPr>
        <w:pStyle w:val="BodyText"/>
        <w:spacing w:line="224" w:lineRule="exact"/>
        <w:ind w:left="229" w:right="0"/>
        <w:jc w:val="left"/>
        <w:rPr>
          <w:rFonts w:ascii="宋体" w:hAnsi="宋体" w:cs="宋体" w:eastAsia="宋体" w:hint="default"/>
        </w:rPr>
      </w:pPr>
      <w:r>
        <w:rPr>
          <w:rFonts w:ascii="宋体"/>
          <w:w w:val="100"/>
        </w:rPr>
        <w:t> </w:t>
      </w:r>
    </w:p>
    <w:p>
      <w:pPr>
        <w:pStyle w:val="Heading5"/>
        <w:spacing w:line="240" w:lineRule="auto" w:before="58"/>
        <w:ind w:left="229"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b w:val="0"/>
          <w:bCs w:val="0"/>
        </w:rPr>
      </w:r>
    </w:p>
    <w:p>
      <w:pPr>
        <w:pStyle w:val="Heading5"/>
        <w:tabs>
          <w:tab w:pos="1069" w:val="left" w:leader="none"/>
        </w:tabs>
        <w:spacing w:line="240" w:lineRule="auto"/>
        <w:ind w:left="229" w:right="0"/>
        <w:jc w:val="left"/>
        <w:rPr>
          <w:rFonts w:ascii="宋体" w:hAnsi="宋体" w:cs="宋体" w:eastAsia="宋体" w:hint="default"/>
          <w:b w:val="0"/>
          <w:bCs w:val="0"/>
        </w:rPr>
      </w:pPr>
      <w:r>
        <w:rPr>
          <w:rFonts w:ascii="宋体" w:hAnsi="宋体" w:cs="宋体" w:eastAsia="宋体" w:hint="default"/>
          <w:w w:val="95"/>
        </w:rPr>
        <w:t>(1).</w:t>
        <w:tab/>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9" w:right="0"/>
        <w:jc w:val="left"/>
        <w:rPr>
          <w:rFonts w:ascii="宋体" w:hAnsi="宋体" w:cs="宋体" w:eastAsia="宋体" w:hint="default"/>
        </w:rPr>
      </w:pPr>
      <w:r>
        <w:rPr>
          <w:rFonts w:ascii="宋体"/>
          <w:w w:val="100"/>
        </w:rPr>
        <w:t> </w:t>
      </w:r>
    </w:p>
    <w:p>
      <w:pPr>
        <w:pStyle w:val="Heading5"/>
        <w:spacing w:line="240" w:lineRule="auto" w:before="58"/>
        <w:ind w:left="229" w:right="0"/>
        <w:jc w:val="left"/>
        <w:rPr>
          <w:b w:val="0"/>
          <w:bCs w:val="0"/>
        </w:rPr>
      </w:pPr>
      <w:r>
        <w:rPr>
          <w:rFonts w:ascii="宋体" w:hAnsi="宋体" w:cs="宋体" w:eastAsia="宋体" w:hint="default"/>
        </w:rPr>
        <w:t>49</w:t>
      </w:r>
      <w:r>
        <w:rPr/>
        <w:t>、</w:t>
      </w:r>
      <w:r>
        <w:rPr>
          <w:spacing w:val="-44"/>
        </w:rPr>
        <w:t> </w:t>
      </w:r>
      <w:r>
        <w:rPr/>
        <w:t>长期应付职工薪酬</w:t>
      </w:r>
      <w:r>
        <w:rPr>
          <w:b w:val="0"/>
          <w:bCs w:val="0"/>
        </w:rPr>
      </w:r>
    </w:p>
    <w:p>
      <w:pPr>
        <w:pStyle w:val="BodyText"/>
        <w:spacing w:line="274" w:lineRule="exact" w:before="56"/>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9"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160" w:left="1360" w:right="1180"/>
        </w:sect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1280" w:right="1180"/>
        </w:sectPr>
      </w:pPr>
    </w:p>
    <w:p>
      <w:pPr>
        <w:pStyle w:val="Heading5"/>
        <w:tabs>
          <w:tab w:pos="1149" w:val="left" w:leader="none"/>
        </w:tabs>
        <w:spacing w:line="240" w:lineRule="auto" w:before="36"/>
        <w:ind w:left="309" w:right="0"/>
        <w:jc w:val="left"/>
        <w:rPr>
          <w:rFonts w:ascii="宋体" w:hAnsi="宋体" w:cs="宋体" w:eastAsia="宋体" w:hint="default"/>
          <w:b w:val="0"/>
          <w:bCs w:val="0"/>
        </w:rPr>
      </w:pPr>
      <w:r>
        <w:rPr>
          <w:rFonts w:ascii="宋体" w:hAnsi="宋体" w:cs="宋体" w:eastAsia="宋体" w:hint="default"/>
          <w:w w:val="95"/>
        </w:rPr>
        <w:t>(1).</w:t>
        <w:tab/>
      </w:r>
      <w:r>
        <w:rPr/>
        <w:t>长期应付职工薪酬表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0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309"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80"/>
          <w:cols w:num="2" w:equalWidth="0">
            <w:col w:w="3154" w:space="3435"/>
            <w:col w:w="2861"/>
          </w:cols>
        </w:sectPr>
      </w:pPr>
    </w:p>
    <w:p>
      <w:pPr>
        <w:spacing w:line="240" w:lineRule="auto" w:before="4"/>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682"/>
        <w:gridCol w:w="2650"/>
        <w:gridCol w:w="2785"/>
      </w:tblGrid>
      <w:tr>
        <w:trPr>
          <w:trHeight w:val="288" w:hRule="exact"/>
        </w:trPr>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设定受益计划净负债</w:t>
            </w:r>
          </w:p>
        </w:tc>
        <w:tc>
          <w:tcPr>
            <w:tcW w:w="265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2,367,550,000</w:t>
            </w:r>
          </w:p>
        </w:tc>
        <w:tc>
          <w:tcPr>
            <w:tcW w:w="278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2,428,070,000</w:t>
            </w:r>
          </w:p>
        </w:tc>
      </w:tr>
      <w:tr>
        <w:trPr>
          <w:trHeight w:val="286" w:hRule="exact"/>
        </w:trPr>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50"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51,470,000</w:t>
            </w:r>
          </w:p>
        </w:tc>
        <w:tc>
          <w:tcPr>
            <w:tcW w:w="2785"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69,560,000</w:t>
            </w:r>
          </w:p>
        </w:tc>
      </w:tr>
      <w:tr>
        <w:trPr>
          <w:trHeight w:val="288" w:hRule="exact"/>
        </w:trPr>
        <w:tc>
          <w:tcPr>
            <w:tcW w:w="36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50"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2,419,020,000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2,497,630,000</w:t>
            </w:r>
          </w:p>
        </w:tc>
      </w:tr>
    </w:tbl>
    <w:p>
      <w:pPr>
        <w:pStyle w:val="BodyText"/>
        <w:spacing w:line="276" w:lineRule="auto" w:before="11"/>
        <w:ind w:left="309" w:right="237" w:firstLine="419"/>
        <w:jc w:val="left"/>
      </w:pPr>
      <w:r>
        <w:rPr/>
        <w:t>应付内退福利（辞退福利）系本集团将自职工停止提供服务日至正常退休日之期间、本集团</w:t>
      </w:r>
      <w:r>
        <w:rPr>
          <w:w w:val="100"/>
        </w:rPr>
        <w:t> </w:t>
      </w:r>
      <w:r>
        <w:rPr/>
        <w:t>拟支付的内退福利进行精算估值，将预期未来现金流出额参考与内退福利期限相同的国债利率进</w:t>
      </w:r>
      <w:r>
        <w:rPr>
          <w:w w:val="100"/>
        </w:rPr>
        <w:t> </w:t>
      </w:r>
      <w:r>
        <w:rPr>
          <w:spacing w:val="-2"/>
        </w:rPr>
        <w:t>行折现确认的相关负债；应付统筹外福利（离职后福利</w:t>
      </w:r>
      <w:r>
        <w:rPr>
          <w:rFonts w:ascii="Times New Roman" w:hAnsi="Times New Roman" w:cs="Times New Roman" w:eastAsia="Times New Roman" w:hint="default"/>
          <w:spacing w:val="-2"/>
        </w:rPr>
        <w:t>-</w:t>
      </w:r>
      <w:r>
        <w:rPr>
          <w:spacing w:val="-2"/>
        </w:rPr>
        <w:t>设定受益计划净负债）系本集团将未来承</w:t>
      </w:r>
      <w:r>
        <w:rPr>
          <w:spacing w:val="-23"/>
        </w:rPr>
        <w:t> </w:t>
      </w:r>
      <w:r>
        <w:rPr>
          <w:spacing w:val="-23"/>
        </w:rPr>
      </w:r>
      <w:r>
        <w:rPr/>
        <w:t>担的统筹外福利进行精算估值，将预期未来现金流出额按与统筹外福利期限相同的国债利率进行</w:t>
      </w:r>
      <w:r>
        <w:rPr>
          <w:w w:val="100"/>
        </w:rPr>
        <w:t> </w:t>
      </w:r>
      <w:r>
        <w:rPr/>
        <w:t>折现确认的相关负债。</w:t>
      </w:r>
    </w:p>
    <w:p>
      <w:pPr>
        <w:pStyle w:val="BodyText"/>
        <w:spacing w:line="384" w:lineRule="auto" w:before="13"/>
        <w:ind w:left="309" w:right="0" w:firstLine="419"/>
        <w:jc w:val="left"/>
      </w:pPr>
      <w:r>
        <w:rPr/>
        <w:pict>
          <v:shape style="position:absolute;margin-left:69.463997pt;margin-top:40.31868pt;width:444.15pt;height:74.85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6"/>
                    <w:gridCol w:w="2552"/>
                    <w:gridCol w:w="418"/>
                    <w:gridCol w:w="2417"/>
                  </w:tblGrid>
                  <w:tr>
                    <w:trPr>
                      <w:trHeight w:val="387" w:hRule="exact"/>
                    </w:trPr>
                    <w:tc>
                      <w:tcPr>
                        <w:tcW w:w="349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27"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39"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0" w:right="0"/>
                          <w:jc w:val="left"/>
                          <w:rPr>
                            <w:rFonts w:ascii="宋体" w:hAnsi="宋体" w:cs="宋体" w:eastAsia="宋体" w:hint="default"/>
                            <w:sz w:val="21"/>
                            <w:szCs w:val="21"/>
                          </w:rPr>
                        </w:pPr>
                        <w:r>
                          <w:rPr>
                            <w:rFonts w:ascii="宋体" w:hAnsi="宋体" w:cs="宋体" w:eastAsia="宋体" w:hint="default"/>
                            <w:sz w:val="21"/>
                            <w:szCs w:val="21"/>
                          </w:rPr>
                          <w:t>内退福利负债</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spacing w:val="-1"/>
                            <w:sz w:val="21"/>
                          </w:rPr>
                          <w:t>63,420,000</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
                            <w:sz w:val="21"/>
                          </w:rPr>
                          <w:t>85,930,000</w:t>
                        </w:r>
                      </w:p>
                    </w:tc>
                  </w:tr>
                  <w:tr>
                    <w:trPr>
                      <w:trHeight w:val="353"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68" w:lineRule="exact"/>
                          <w:ind w:left="200" w:right="0"/>
                          <w:jc w:val="left"/>
                          <w:rPr>
                            <w:rFonts w:ascii="宋体" w:hAnsi="宋体" w:cs="宋体" w:eastAsia="宋体" w:hint="default"/>
                            <w:sz w:val="21"/>
                            <w:szCs w:val="21"/>
                          </w:rPr>
                        </w:pPr>
                        <w:r>
                          <w:rPr>
                            <w:rFonts w:ascii="宋体" w:hAnsi="宋体" w:cs="宋体" w:eastAsia="宋体" w:hint="default"/>
                            <w:sz w:val="21"/>
                            <w:szCs w:val="21"/>
                          </w:rPr>
                          <w:t>减：将于一年内支付的部分</w:t>
                        </w:r>
                      </w:p>
                    </w:tc>
                    <w:tc>
                      <w:tcPr>
                        <w:tcW w:w="255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1"/>
                            <w:szCs w:val="21"/>
                          </w:rPr>
                        </w:pPr>
                        <w:r>
                          <w:rPr>
                            <w:rFonts w:ascii="Times New Roman"/>
                            <w:spacing w:val="-1"/>
                            <w:sz w:val="21"/>
                          </w:rPr>
                          <w:t>-11,950,000</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pacing w:val="-1"/>
                            <w:sz w:val="21"/>
                          </w:rPr>
                          <w:t>-16,370,000</w:t>
                        </w:r>
                      </w:p>
                    </w:tc>
                  </w:tr>
                  <w:tr>
                    <w:trPr>
                      <w:trHeight w:val="302" w:hRule="exact"/>
                    </w:trPr>
                    <w:tc>
                      <w:tcPr>
                        <w:tcW w:w="3496" w:type="dxa"/>
                        <w:tcBorders>
                          <w:top w:val="nil" w:sz="6" w:space="0" w:color="auto"/>
                          <w:left w:val="nil" w:sz="6" w:space="0" w:color="auto"/>
                          <w:bottom w:val="nil" w:sz="6" w:space="0" w:color="auto"/>
                          <w:right w:val="nil" w:sz="6" w:space="0" w:color="auto"/>
                        </w:tcBorders>
                      </w:tcPr>
                      <w:p>
                        <w:pPr/>
                      </w:p>
                    </w:tc>
                    <w:tc>
                      <w:tcPr>
                        <w:tcW w:w="2552" w:type="dxa"/>
                        <w:tcBorders>
                          <w:top w:val="single" w:sz="8" w:space="0" w:color="000000"/>
                          <w:left w:val="nil" w:sz="6" w:space="0" w:color="auto"/>
                          <w:bottom w:val="single" w:sz="12"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51,470,000</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single" w:sz="8"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69,560,000</w:t>
                        </w:r>
                      </w:p>
                    </w:tc>
                  </w:tr>
                </w:tbl>
                <w:p>
                  <w:pPr/>
                </w:p>
              </w:txbxContent>
            </v:textbox>
            <w10:wrap type="none"/>
          </v:shape>
        </w:pict>
      </w:r>
      <w:r>
        <w:rPr>
          <w:spacing w:val="-2"/>
        </w:rPr>
        <w:t>将于一年内支付的应付内退福利及应付统筹外福利在应付职工薪酬列示。</w:t>
      </w:r>
      <w:r>
        <w:rPr>
          <w:w w:val="100"/>
        </w:rPr>
        <w:t> </w:t>
      </w:r>
      <w:r>
        <w:rPr/>
        <w:t>本集团内退福利负债：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6"/>
        <w:ind w:left="309" w:right="0"/>
        <w:jc w:val="left"/>
      </w:pPr>
      <w:r>
        <w:rPr/>
        <w:t>本集团统筹外福利负债：</w:t>
      </w:r>
    </w:p>
    <w:p>
      <w:pPr>
        <w:spacing w:line="240" w:lineRule="auto" w:before="1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496"/>
        <w:gridCol w:w="2552"/>
        <w:gridCol w:w="418"/>
        <w:gridCol w:w="2417"/>
      </w:tblGrid>
      <w:tr>
        <w:trPr>
          <w:trHeight w:val="339" w:hRule="exact"/>
        </w:trPr>
        <w:tc>
          <w:tcPr>
            <w:tcW w:w="349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14" w:lineRule="exact"/>
              <w:ind w:right="108"/>
              <w:jc w:val="righ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14" w:lineRule="exact"/>
              <w:ind w:right="105"/>
              <w:jc w:val="righ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 </w:t>
            </w:r>
            <w:r>
              <w:rPr>
                <w:rFonts w:ascii="宋体" w:hAnsi="宋体" w:cs="宋体" w:eastAsia="宋体" w:hint="default"/>
                <w:sz w:val="20"/>
                <w:szCs w:val="20"/>
              </w:rPr>
              <w:t>日</w:t>
            </w:r>
          </w:p>
        </w:tc>
      </w:tr>
      <w:tr>
        <w:trPr>
          <w:trHeight w:val="36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0" w:right="0"/>
              <w:jc w:val="left"/>
              <w:rPr>
                <w:rFonts w:ascii="宋体" w:hAnsi="宋体" w:cs="宋体" w:eastAsia="宋体" w:hint="default"/>
                <w:sz w:val="20"/>
                <w:szCs w:val="20"/>
              </w:rPr>
            </w:pPr>
            <w:r>
              <w:rPr>
                <w:rFonts w:ascii="宋体" w:hAnsi="宋体" w:cs="宋体" w:eastAsia="宋体" w:hint="default"/>
                <w:sz w:val="20"/>
                <w:szCs w:val="20"/>
              </w:rPr>
              <w:t>统筹外福利负债</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9"/>
              <w:jc w:val="right"/>
              <w:rPr>
                <w:rFonts w:ascii="Times New Roman" w:hAnsi="Times New Roman" w:cs="Times New Roman" w:eastAsia="Times New Roman" w:hint="default"/>
                <w:sz w:val="20"/>
                <w:szCs w:val="20"/>
              </w:rPr>
            </w:pPr>
            <w:r>
              <w:rPr>
                <w:rFonts w:ascii="Times New Roman"/>
                <w:w w:val="95"/>
                <w:sz w:val="20"/>
              </w:rPr>
              <w:t>2,482,130,000</w:t>
            </w:r>
            <w:r>
              <w:rPr>
                <w:rFonts w:ascii="Times New Roman"/>
                <w:sz w:val="20"/>
              </w:rPr>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20"/>
                <w:szCs w:val="20"/>
              </w:rPr>
            </w:pPr>
            <w:r>
              <w:rPr>
                <w:rFonts w:ascii="Times New Roman"/>
                <w:w w:val="95"/>
                <w:sz w:val="20"/>
              </w:rPr>
              <w:t>2,540,220,000</w:t>
            </w:r>
            <w:r>
              <w:rPr>
                <w:rFonts w:ascii="Times New Roman"/>
                <w:sz w:val="20"/>
              </w:rPr>
            </w:r>
          </w:p>
        </w:tc>
      </w:tr>
      <w:tr>
        <w:trPr>
          <w:trHeight w:val="267"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0"/>
                <w:szCs w:val="20"/>
              </w:rPr>
            </w:pPr>
            <w:r>
              <w:rPr>
                <w:rFonts w:ascii="宋体" w:hAnsi="宋体" w:cs="宋体" w:eastAsia="宋体" w:hint="default"/>
                <w:sz w:val="20"/>
                <w:szCs w:val="20"/>
              </w:rPr>
              <w:t>减：将于一年内支付的部分</w:t>
            </w:r>
          </w:p>
        </w:tc>
        <w:tc>
          <w:tcPr>
            <w:tcW w:w="2552"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109"/>
              <w:jc w:val="right"/>
              <w:rPr>
                <w:rFonts w:ascii="Times New Roman" w:hAnsi="Times New Roman" w:cs="Times New Roman" w:eastAsia="Times New Roman" w:hint="default"/>
                <w:sz w:val="20"/>
                <w:szCs w:val="20"/>
              </w:rPr>
            </w:pPr>
            <w:r>
              <w:rPr>
                <w:rFonts w:ascii="Times New Roman"/>
                <w:w w:val="95"/>
                <w:sz w:val="20"/>
              </w:rPr>
              <w:t>-114,580,000</w:t>
            </w:r>
            <w:r>
              <w:rPr>
                <w:rFonts w:ascii="Times New Roman"/>
                <w:sz w:val="20"/>
              </w:rPr>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0"/>
                <w:szCs w:val="20"/>
              </w:rPr>
            </w:pPr>
            <w:r>
              <w:rPr>
                <w:rFonts w:ascii="Times New Roman"/>
                <w:w w:val="95"/>
                <w:sz w:val="20"/>
              </w:rPr>
              <w:t>-112,150,000</w:t>
            </w:r>
            <w:r>
              <w:rPr>
                <w:rFonts w:ascii="Times New Roman"/>
                <w:sz w:val="20"/>
              </w:rPr>
            </w:r>
          </w:p>
        </w:tc>
      </w:tr>
      <w:tr>
        <w:trPr>
          <w:trHeight w:val="257" w:hRule="exact"/>
        </w:trPr>
        <w:tc>
          <w:tcPr>
            <w:tcW w:w="3496" w:type="dxa"/>
            <w:tcBorders>
              <w:top w:val="nil" w:sz="6" w:space="0" w:color="auto"/>
              <w:left w:val="nil" w:sz="6" w:space="0" w:color="auto"/>
              <w:bottom w:val="nil" w:sz="6" w:space="0" w:color="auto"/>
              <w:right w:val="nil" w:sz="6" w:space="0" w:color="auto"/>
            </w:tcBorders>
          </w:tcPr>
          <w:p>
            <w:pPr/>
          </w:p>
        </w:tc>
        <w:tc>
          <w:tcPr>
            <w:tcW w:w="2552" w:type="dxa"/>
            <w:tcBorders>
              <w:top w:val="single" w:sz="8" w:space="0" w:color="000000"/>
              <w:left w:val="nil" w:sz="6" w:space="0" w:color="auto"/>
              <w:bottom w:val="single" w:sz="12" w:space="0" w:color="000000"/>
              <w:right w:val="nil" w:sz="6" w:space="0" w:color="auto"/>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2,367,550,000</w:t>
            </w:r>
            <w:r>
              <w:rPr>
                <w:rFonts w:ascii="Times New Roman"/>
                <w:sz w:val="20"/>
              </w:rPr>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single" w:sz="8" w:space="0" w:color="000000"/>
              <w:left w:val="nil" w:sz="6" w:space="0" w:color="auto"/>
              <w:bottom w:val="single" w:sz="12" w:space="0" w:color="000000"/>
              <w:right w:val="nil" w:sz="6" w:space="0" w:color="auto"/>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w w:val="95"/>
                <w:sz w:val="20"/>
              </w:rPr>
              <w:t>2,428,070,000</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type w:val="continuous"/>
          <w:pgSz w:w="11910" w:h="16840"/>
          <w:pgMar w:top="1120" w:bottom="1160" w:left="1280" w:right="1180"/>
        </w:sectPr>
      </w:pPr>
    </w:p>
    <w:p>
      <w:pPr>
        <w:pStyle w:val="BodyText"/>
        <w:spacing w:line="241" w:lineRule="exact"/>
        <w:ind w:left="309" w:right="0"/>
        <w:jc w:val="left"/>
        <w:rPr>
          <w:rFonts w:ascii="宋体" w:hAnsi="宋体" w:cs="宋体" w:eastAsia="宋体" w:hint="default"/>
        </w:rPr>
      </w:pPr>
      <w:r>
        <w:rPr>
          <w:rFonts w:ascii="宋体"/>
          <w:w w:val="100"/>
        </w:rPr>
        <w:t> </w:t>
      </w:r>
    </w:p>
    <w:p>
      <w:pPr>
        <w:tabs>
          <w:tab w:pos="1149" w:val="left" w:leader="none"/>
        </w:tabs>
        <w:spacing w:line="290" w:lineRule="auto" w:before="58"/>
        <w:ind w:left="309"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pStyle w:val="BodyText"/>
        <w:spacing w:line="245" w:lineRule="exact"/>
        <w:ind w:left="309"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360" w:val="left" w:leader="none"/>
        </w:tabs>
        <w:spacing w:line="240" w:lineRule="auto"/>
        <w:ind w:left="309" w:right="0"/>
        <w:jc w:val="left"/>
      </w:pPr>
      <w:r>
        <w:rPr>
          <w:spacing w:val="-1"/>
        </w:rPr>
        <w:t>单位：元</w:t>
        <w:tab/>
        <w:t>币种：人民币</w:t>
      </w:r>
    </w:p>
    <w:p>
      <w:pPr>
        <w:spacing w:after="0" w:line="240" w:lineRule="auto"/>
        <w:jc w:val="left"/>
        <w:sectPr>
          <w:type w:val="continuous"/>
          <w:pgSz w:w="11910" w:h="16840"/>
          <w:pgMar w:top="1120" w:bottom="1160" w:left="1280" w:right="1180"/>
          <w:cols w:num="2" w:equalWidth="0">
            <w:col w:w="3363" w:space="3226"/>
            <w:col w:w="2861"/>
          </w:cols>
        </w:sectPr>
      </w:pPr>
    </w:p>
    <w:p>
      <w:pPr>
        <w:spacing w:line="240" w:lineRule="auto" w:before="4"/>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509"/>
        <w:gridCol w:w="2806"/>
        <w:gridCol w:w="2801"/>
      </w:tblGrid>
      <w:tr>
        <w:trPr>
          <w:trHeight w:val="288" w:hRule="exact"/>
        </w:trPr>
        <w:tc>
          <w:tcPr>
            <w:tcW w:w="3509"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8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2,540,220,000</w:t>
            </w:r>
          </w:p>
        </w:tc>
        <w:tc>
          <w:tcPr>
            <w:tcW w:w="280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2,380,610,000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91,560,000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102,120,000</w:t>
            </w:r>
          </w:p>
        </w:tc>
      </w:tr>
      <w:tr>
        <w:trPr>
          <w:trHeight w:val="286"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当期服务成本</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4,670,000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9,730,000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利息净额</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86,890,000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92,390,000</w:t>
            </w:r>
          </w:p>
        </w:tc>
      </w:tr>
      <w:tr>
        <w:trPr>
          <w:trHeight w:val="560"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三、计入其他综合收益的设定收益成</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-50,660,000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pacing w:val="-1"/>
                <w:sz w:val="21"/>
              </w:rPr>
              <w:t>163,730,000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精算利得（损失以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表示）</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-50,660,000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163,730,000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-98,990,000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-106,240,000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已支付的福利</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-98,990,000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-102,290,000</w:t>
            </w:r>
          </w:p>
        </w:tc>
      </w:tr>
      <w:tr>
        <w:trPr>
          <w:trHeight w:val="286" w:hRule="exact"/>
        </w:trPr>
        <w:tc>
          <w:tcPr>
            <w:tcW w:w="350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人员转出</w:t>
            </w:r>
          </w:p>
        </w:tc>
        <w:tc>
          <w:tcPr>
            <w:tcW w:w="2806" w:type="dxa"/>
            <w:tcBorders>
              <w:top w:val="single" w:sz="4" w:space="0" w:color="000000"/>
              <w:left w:val="single" w:sz="6" w:space="0" w:color="000000"/>
              <w:bottom w:val="single" w:sz="4"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-3,950,000</w:t>
            </w:r>
          </w:p>
        </w:tc>
      </w:tr>
      <w:tr>
        <w:trPr>
          <w:trHeight w:val="28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2,482,130,000</w:t>
            </w:r>
          </w:p>
        </w:tc>
        <w:tc>
          <w:tcPr>
            <w:tcW w:w="280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1"/>
                <w:sz w:val="21"/>
              </w:rPr>
              <w:t>2,540,220,000</w:t>
            </w:r>
          </w:p>
        </w:tc>
      </w:tr>
    </w:tbl>
    <w:p>
      <w:pPr>
        <w:pStyle w:val="BodyText"/>
        <w:spacing w:line="240" w:lineRule="exact"/>
        <w:ind w:left="309" w:right="0"/>
        <w:jc w:val="left"/>
        <w:rPr>
          <w:rFonts w:ascii="宋体" w:hAnsi="宋体" w:cs="宋体" w:eastAsia="宋体" w:hint="default"/>
        </w:rPr>
      </w:pPr>
      <w:r>
        <w:rPr>
          <w:rFonts w:ascii="宋体"/>
          <w:w w:val="100"/>
        </w:rPr>
        <w:t> </w:t>
      </w:r>
    </w:p>
    <w:p>
      <w:pPr>
        <w:pStyle w:val="BodyText"/>
        <w:spacing w:line="272" w:lineRule="exact"/>
        <w:ind w:left="309" w:right="0"/>
        <w:jc w:val="left"/>
        <w:rPr>
          <w:rFonts w:ascii="宋体" w:hAnsi="宋体" w:cs="宋体" w:eastAsia="宋体" w:hint="default"/>
        </w:rPr>
      </w:pPr>
      <w:r>
        <w:rPr/>
        <w:t>计划资产：</w:t>
      </w:r>
      <w:r>
        <w:rPr>
          <w:rFonts w:ascii="宋体" w:hAnsi="宋体" w:cs="宋体" w:eastAsia="宋体" w:hint="default"/>
        </w:rPr>
        <w:t> </w:t>
      </w:r>
    </w:p>
    <w:p>
      <w:pPr>
        <w:pStyle w:val="BodyText"/>
        <w:spacing w:line="272" w:lineRule="exact"/>
        <w:ind w:left="309"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309" w:right="0"/>
        <w:jc w:val="left"/>
        <w:rPr>
          <w:rFonts w:ascii="宋体" w:hAnsi="宋体" w:cs="宋体" w:eastAsia="宋体" w:hint="default"/>
        </w:rPr>
      </w:pPr>
      <w:r>
        <w:rPr>
          <w:rFonts w:ascii="宋体"/>
          <w:w w:val="100"/>
        </w:rPr>
        <w:t> </w:t>
      </w:r>
    </w:p>
    <w:p>
      <w:pPr>
        <w:pStyle w:val="BodyText"/>
        <w:spacing w:line="273" w:lineRule="exact"/>
        <w:ind w:left="309"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160" w:left="1280" w:right="1180"/>
        </w:sect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1280" w:right="1100"/>
        </w:sectPr>
      </w:pPr>
    </w:p>
    <w:p>
      <w:pPr>
        <w:pStyle w:val="BodyText"/>
        <w:spacing w:line="273" w:lineRule="exact" w:before="36"/>
        <w:ind w:left="309" w:right="0"/>
        <w:jc w:val="left"/>
        <w:rPr>
          <w:rFonts w:ascii="宋体" w:hAnsi="宋体" w:cs="宋体" w:eastAsia="宋体" w:hint="default"/>
        </w:rPr>
      </w:pPr>
      <w:r>
        <w:rPr/>
        <w:t>设定受益计划净负债（净资产）</w:t>
      </w:r>
      <w:r>
        <w:rPr>
          <w:rFonts w:ascii="宋体" w:hAnsi="宋体" w:cs="宋体" w:eastAsia="宋体" w:hint="default"/>
        </w:rPr>
        <w:t> </w:t>
      </w:r>
    </w:p>
    <w:p>
      <w:pPr>
        <w:pStyle w:val="BodyText"/>
        <w:spacing w:line="273" w:lineRule="exact"/>
        <w:ind w:left="30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30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00"/>
          <w:cols w:num="2" w:equalWidth="0">
            <w:col w:w="3358" w:space="3231"/>
            <w:col w:w="2941"/>
          </w:cols>
        </w:sectPr>
      </w:pPr>
    </w:p>
    <w:p>
      <w:pPr>
        <w:spacing w:line="240" w:lineRule="auto" w:before="4"/>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533"/>
        <w:gridCol w:w="2792"/>
        <w:gridCol w:w="2792"/>
      </w:tblGrid>
      <w:tr>
        <w:trPr>
          <w:trHeight w:val="288" w:hRule="exact"/>
        </w:trPr>
        <w:tc>
          <w:tcPr>
            <w:tcW w:w="3533"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9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2,540,220,000</w:t>
            </w:r>
          </w:p>
        </w:tc>
        <w:tc>
          <w:tcPr>
            <w:tcW w:w="27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2,380,610,000</w:t>
            </w:r>
          </w:p>
        </w:tc>
      </w:tr>
      <w:tr>
        <w:trPr>
          <w:trHeight w:val="286"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9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91,560,000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102,120,000</w:t>
            </w:r>
          </w:p>
        </w:tc>
      </w:tr>
      <w:tr>
        <w:trPr>
          <w:trHeight w:val="562"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三、计入其他综合收益的设定收益成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279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-50,660,000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163,730,000</w:t>
            </w:r>
          </w:p>
        </w:tc>
      </w:tr>
      <w:tr>
        <w:trPr>
          <w:trHeight w:val="286"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9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-98,990,000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-106,240,000</w:t>
            </w:r>
          </w:p>
        </w:tc>
      </w:tr>
      <w:tr>
        <w:trPr>
          <w:trHeight w:val="288" w:hRule="exact"/>
        </w:trPr>
        <w:tc>
          <w:tcPr>
            <w:tcW w:w="35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9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2,482,130,000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2,540,220,000</w:t>
            </w:r>
          </w:p>
        </w:tc>
      </w:tr>
    </w:tbl>
    <w:p>
      <w:pPr>
        <w:pStyle w:val="BodyText"/>
        <w:spacing w:line="240" w:lineRule="exact"/>
        <w:ind w:left="309" w:right="0"/>
        <w:jc w:val="left"/>
        <w:rPr>
          <w:rFonts w:ascii="宋体" w:hAnsi="宋体" w:cs="宋体" w:eastAsia="宋体" w:hint="default"/>
        </w:rPr>
      </w:pPr>
      <w:r>
        <w:rPr>
          <w:rFonts w:ascii="宋体"/>
          <w:w w:val="100"/>
        </w:rPr>
        <w:t> </w:t>
      </w:r>
    </w:p>
    <w:p>
      <w:pPr>
        <w:pStyle w:val="BodyText"/>
        <w:spacing w:line="272" w:lineRule="exact"/>
        <w:ind w:left="309" w:right="0"/>
        <w:jc w:val="left"/>
        <w:rPr>
          <w:rFonts w:ascii="宋体" w:hAnsi="宋体" w:cs="宋体" w:eastAsia="宋体" w:hint="default"/>
        </w:rPr>
      </w:pPr>
      <w:r>
        <w:rPr/>
        <w:t>设定受益计划的内容及与之相关风险、对公司未来现金流量、时间和不确定性的影响说明：</w:t>
      </w:r>
      <w:r>
        <w:rPr>
          <w:rFonts w:ascii="宋体" w:hAnsi="宋体" w:cs="宋体" w:eastAsia="宋体" w:hint="default"/>
        </w:rPr>
        <w:t> </w:t>
      </w:r>
    </w:p>
    <w:p>
      <w:pPr>
        <w:pStyle w:val="BodyText"/>
        <w:spacing w:line="307" w:lineRule="auto"/>
        <w:ind w:left="729"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本集团于资产负债表日的应付内退福利及统筹外福利负债采用预期累计福利单位法计算而得。</w:t>
      </w:r>
    </w:p>
    <w:p>
      <w:pPr>
        <w:pStyle w:val="BodyText"/>
        <w:spacing w:line="240" w:lineRule="auto" w:before="26"/>
        <w:ind w:left="309" w:right="0"/>
        <w:jc w:val="left"/>
        <w:rPr>
          <w:rFonts w:ascii="宋体" w:hAnsi="宋体" w:cs="宋体" w:eastAsia="宋体" w:hint="default"/>
        </w:rPr>
      </w:pPr>
      <w:r>
        <w:rPr/>
        <w:t>用作评估该精算负债的主要精算假设如下：</w:t>
      </w:r>
      <w:r>
        <w:rPr>
          <w:rFonts w:ascii="宋体" w:hAnsi="宋体" w:cs="宋体" w:eastAsia="宋体" w:hint="default"/>
        </w:rPr>
        <w:t> </w:t>
      </w: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816"/>
        <w:gridCol w:w="2746"/>
        <w:gridCol w:w="2415"/>
      </w:tblGrid>
      <w:tr>
        <w:trPr>
          <w:trHeight w:val="399" w:hRule="exact"/>
        </w:trPr>
        <w:tc>
          <w:tcPr>
            <w:tcW w:w="3816" w:type="dxa"/>
            <w:tcBorders>
              <w:top w:val="nil" w:sz="6" w:space="0" w:color="auto"/>
              <w:left w:val="nil" w:sz="6" w:space="0" w:color="auto"/>
              <w:bottom w:val="nil" w:sz="6" w:space="0" w:color="auto"/>
              <w:right w:val="nil" w:sz="6" w:space="0" w:color="auto"/>
            </w:tcBorders>
          </w:tcPr>
          <w:p>
            <w:pPr/>
          </w:p>
        </w:tc>
        <w:tc>
          <w:tcPr>
            <w:tcW w:w="2746" w:type="dxa"/>
            <w:tcBorders>
              <w:top w:val="nil" w:sz="6" w:space="0" w:color="auto"/>
              <w:left w:val="nil" w:sz="6" w:space="0" w:color="auto"/>
              <w:bottom w:val="nil" w:sz="6" w:space="0" w:color="auto"/>
              <w:right w:val="nil" w:sz="6" w:space="0" w:color="auto"/>
            </w:tcBorders>
          </w:tcPr>
          <w:p>
            <w:pPr>
              <w:pStyle w:val="TableParagraph"/>
              <w:spacing w:line="227" w:lineRule="exact"/>
              <w:ind w:right="477"/>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15"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68" w:hRule="exact"/>
        </w:trPr>
        <w:tc>
          <w:tcPr>
            <w:tcW w:w="381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00" w:right="0"/>
              <w:jc w:val="left"/>
              <w:rPr>
                <w:rFonts w:ascii="宋体" w:hAnsi="宋体" w:cs="宋体" w:eastAsia="宋体" w:hint="default"/>
                <w:sz w:val="21"/>
                <w:szCs w:val="21"/>
              </w:rPr>
            </w:pPr>
            <w:r>
              <w:rPr>
                <w:rFonts w:ascii="宋体" w:hAnsi="宋体" w:cs="宋体" w:eastAsia="宋体" w:hint="default"/>
                <w:sz w:val="21"/>
                <w:szCs w:val="21"/>
              </w:rPr>
              <w:t>内退福利折现率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476"/>
              <w:jc w:val="right"/>
              <w:rPr>
                <w:rFonts w:ascii="Times New Roman" w:hAnsi="Times New Roman" w:cs="Times New Roman" w:eastAsia="Times New Roman" w:hint="default"/>
                <w:sz w:val="21"/>
                <w:szCs w:val="21"/>
              </w:rPr>
            </w:pPr>
            <w:r>
              <w:rPr>
                <w:rFonts w:ascii="Times New Roman"/>
                <w:sz w:val="21"/>
              </w:rPr>
              <w:t>3.25%</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98"/>
              <w:jc w:val="right"/>
              <w:rPr>
                <w:rFonts w:ascii="Times New Roman" w:hAnsi="Times New Roman" w:cs="Times New Roman" w:eastAsia="Times New Roman" w:hint="default"/>
                <w:sz w:val="21"/>
                <w:szCs w:val="21"/>
              </w:rPr>
            </w:pPr>
            <w:r>
              <w:rPr>
                <w:rFonts w:ascii="Times New Roman"/>
                <w:sz w:val="21"/>
              </w:rPr>
              <w:t>3.25%</w:t>
            </w:r>
          </w:p>
        </w:tc>
      </w:tr>
      <w:tr>
        <w:trPr>
          <w:trHeight w:val="360" w:hRule="exact"/>
        </w:trPr>
        <w:tc>
          <w:tcPr>
            <w:tcW w:w="38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统筹外福利折现率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6"/>
              <w:jc w:val="right"/>
              <w:rPr>
                <w:rFonts w:ascii="Times New Roman" w:hAnsi="Times New Roman" w:cs="Times New Roman" w:eastAsia="Times New Roman" w:hint="default"/>
                <w:sz w:val="21"/>
                <w:szCs w:val="21"/>
              </w:rPr>
            </w:pPr>
            <w:r>
              <w:rPr>
                <w:rFonts w:ascii="Times New Roman"/>
                <w:sz w:val="21"/>
              </w:rPr>
              <w:t>3.50%</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Times New Roman" w:hAnsi="Times New Roman" w:cs="Times New Roman" w:eastAsia="Times New Roman" w:hint="default"/>
                <w:sz w:val="21"/>
                <w:szCs w:val="21"/>
              </w:rPr>
            </w:pPr>
            <w:r>
              <w:rPr>
                <w:rFonts w:ascii="Times New Roman"/>
                <w:sz w:val="21"/>
              </w:rPr>
              <w:t>3.50%</w:t>
            </w:r>
          </w:p>
        </w:tc>
      </w:tr>
      <w:tr>
        <w:trPr>
          <w:trHeight w:val="360" w:hRule="exact"/>
        </w:trPr>
        <w:tc>
          <w:tcPr>
            <w:tcW w:w="38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内退福利工资增长率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6"/>
              <w:jc w:val="right"/>
              <w:rPr>
                <w:rFonts w:ascii="Times New Roman" w:hAnsi="Times New Roman" w:cs="Times New Roman" w:eastAsia="Times New Roman" w:hint="default"/>
                <w:sz w:val="21"/>
                <w:szCs w:val="21"/>
              </w:rPr>
            </w:pPr>
            <w:r>
              <w:rPr>
                <w:rFonts w:ascii="Times New Roman"/>
                <w:sz w:val="21"/>
              </w:rPr>
              <w:t>10%</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Times New Roman" w:hAnsi="Times New Roman" w:cs="Times New Roman" w:eastAsia="Times New Roman" w:hint="default"/>
                <w:sz w:val="21"/>
                <w:szCs w:val="21"/>
              </w:rPr>
            </w:pPr>
            <w:r>
              <w:rPr>
                <w:rFonts w:ascii="Times New Roman"/>
                <w:sz w:val="21"/>
              </w:rPr>
              <w:t>10%</w:t>
            </w:r>
          </w:p>
        </w:tc>
      </w:tr>
      <w:tr>
        <w:trPr>
          <w:trHeight w:val="360" w:hRule="exact"/>
        </w:trPr>
        <w:tc>
          <w:tcPr>
            <w:tcW w:w="38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敬老补贴年增长率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8"/>
              <w:jc w:val="right"/>
              <w:rPr>
                <w:rFonts w:ascii="Times New Roman" w:hAnsi="Times New Roman" w:cs="Times New Roman" w:eastAsia="Times New Roman" w:hint="default"/>
                <w:sz w:val="21"/>
                <w:szCs w:val="21"/>
              </w:rPr>
            </w:pPr>
            <w:r>
              <w:rPr>
                <w:rFonts w:ascii="Times New Roman"/>
                <w:sz w:val="21"/>
              </w:rPr>
              <w:t>5%</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0"/>
              <w:jc w:val="right"/>
              <w:rPr>
                <w:rFonts w:ascii="Times New Roman" w:hAnsi="Times New Roman" w:cs="Times New Roman" w:eastAsia="Times New Roman" w:hint="default"/>
                <w:sz w:val="21"/>
                <w:szCs w:val="21"/>
              </w:rPr>
            </w:pPr>
            <w:r>
              <w:rPr>
                <w:rFonts w:ascii="Times New Roman"/>
                <w:sz w:val="21"/>
              </w:rPr>
              <w:t>5%</w:t>
            </w:r>
          </w:p>
        </w:tc>
      </w:tr>
      <w:tr>
        <w:trPr>
          <w:trHeight w:val="291" w:hRule="exact"/>
        </w:trPr>
        <w:tc>
          <w:tcPr>
            <w:tcW w:w="38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福寿补贴年增长率</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8"/>
              <w:jc w:val="right"/>
              <w:rPr>
                <w:rFonts w:ascii="Times New Roman" w:hAnsi="Times New Roman" w:cs="Times New Roman" w:eastAsia="Times New Roman" w:hint="default"/>
                <w:sz w:val="21"/>
                <w:szCs w:val="21"/>
              </w:rPr>
            </w:pPr>
            <w:r>
              <w:rPr>
                <w:rFonts w:ascii="Times New Roman"/>
                <w:sz w:val="21"/>
              </w:rPr>
              <w:t>3%</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0"/>
              <w:jc w:val="right"/>
              <w:rPr>
                <w:rFonts w:ascii="Times New Roman" w:hAnsi="Times New Roman" w:cs="Times New Roman" w:eastAsia="Times New Roman" w:hint="default"/>
                <w:sz w:val="21"/>
                <w:szCs w:val="21"/>
              </w:rPr>
            </w:pPr>
            <w:r>
              <w:rPr>
                <w:rFonts w:ascii="Times New Roman"/>
                <w:sz w:val="21"/>
              </w:rPr>
              <w:t>3%</w:t>
            </w:r>
          </w:p>
        </w:tc>
      </w:tr>
    </w:tbl>
    <w:p>
      <w:pPr>
        <w:pStyle w:val="BodyText"/>
        <w:spacing w:line="240" w:lineRule="auto" w:before="73"/>
        <w:ind w:left="309" w:right="0"/>
        <w:jc w:val="left"/>
      </w:pPr>
      <w:r>
        <w:rPr>
          <w:rFonts w:ascii="Times New Roman" w:hAnsi="Times New Roman" w:cs="Times New Roman" w:eastAsia="Times New Roman" w:hint="default"/>
        </w:rPr>
        <w:t>2019 </w:t>
      </w:r>
      <w:r>
        <w:rPr/>
        <w:t>年度及 </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spacing w:val="-4"/>
        </w:rPr>
        <w:t>年度，有关未来死亡率的假设为参考中国人身保险业经验生命表</w:t>
      </w:r>
      <w:r>
        <w:rPr>
          <w:rFonts w:ascii="Times New Roman" w:hAnsi="Times New Roman" w:cs="Times New Roman" w:eastAsia="Times New Roman" w:hint="default"/>
          <w:spacing w:val="-4"/>
        </w:rPr>
        <w:t>(2010-2013)</w:t>
      </w:r>
      <w:r>
        <w:rPr>
          <w:spacing w:val="-4"/>
        </w:rPr>
        <w:t>公布</w:t>
      </w:r>
      <w:r>
        <w:rPr/>
      </w:r>
    </w:p>
    <w:p>
      <w:pPr>
        <w:pStyle w:val="BodyText"/>
        <w:spacing w:line="240" w:lineRule="auto" w:before="69"/>
        <w:ind w:left="309" w:right="0"/>
        <w:jc w:val="left"/>
      </w:pPr>
      <w:r>
        <w:rPr/>
        <w:t>的统计数据向后平移</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年而作出。相关精算假设如下：</w:t>
      </w:r>
    </w:p>
    <w:p>
      <w:pPr>
        <w:spacing w:line="240" w:lineRule="auto" w:before="3"/>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4462"/>
        <w:gridCol w:w="2378"/>
        <w:gridCol w:w="1996"/>
      </w:tblGrid>
      <w:tr>
        <w:trPr>
          <w:trHeight w:val="301" w:hRule="exact"/>
        </w:trPr>
        <w:tc>
          <w:tcPr>
            <w:tcW w:w="4462" w:type="dxa"/>
            <w:tcBorders>
              <w:top w:val="nil" w:sz="6" w:space="0" w:color="auto"/>
              <w:left w:val="nil" w:sz="6" w:space="0" w:color="auto"/>
              <w:bottom w:val="nil" w:sz="6" w:space="0" w:color="auto"/>
              <w:right w:val="nil" w:sz="6" w:space="0" w:color="auto"/>
            </w:tcBorders>
          </w:tcPr>
          <w:p>
            <w:pPr/>
          </w:p>
        </w:tc>
        <w:tc>
          <w:tcPr>
            <w:tcW w:w="2378" w:type="dxa"/>
            <w:tcBorders>
              <w:top w:val="nil" w:sz="6" w:space="0" w:color="auto"/>
              <w:left w:val="nil" w:sz="6" w:space="0" w:color="auto"/>
              <w:bottom w:val="nil" w:sz="6" w:space="0" w:color="auto"/>
              <w:right w:val="nil" w:sz="6" w:space="0" w:color="auto"/>
            </w:tcBorders>
          </w:tcPr>
          <w:p>
            <w:pPr>
              <w:pStyle w:val="TableParagraph"/>
              <w:spacing w:line="227" w:lineRule="exact"/>
              <w:ind w:right="8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996"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70"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宋体" w:hAnsi="宋体" w:cs="宋体" w:eastAsia="宋体" w:hint="default"/>
                <w:sz w:val="21"/>
                <w:szCs w:val="21"/>
              </w:rPr>
            </w:pPr>
            <w:r>
              <w:rPr>
                <w:rFonts w:ascii="宋体" w:hAnsi="宋体" w:cs="宋体" w:eastAsia="宋体" w:hint="default"/>
                <w:sz w:val="21"/>
                <w:szCs w:val="21"/>
              </w:rPr>
              <w:t>内退福利</w:t>
            </w:r>
            <w:r>
              <w:rPr>
                <w:rFonts w:ascii="Times New Roman" w:hAnsi="Times New Roman" w:cs="Times New Roman" w:eastAsia="Times New Roman" w:hint="default"/>
                <w:sz w:val="21"/>
                <w:szCs w:val="21"/>
              </w:rPr>
              <w:t>—</w:t>
            </w:r>
            <w:r>
              <w:rPr>
                <w:rFonts w:ascii="宋体" w:hAnsi="宋体" w:cs="宋体" w:eastAsia="宋体" w:hint="default"/>
                <w:sz w:val="21"/>
                <w:szCs w:val="21"/>
              </w:rPr>
              <w:t>平均年龄</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98"/>
              <w:jc w:val="right"/>
              <w:rPr>
                <w:rFonts w:ascii="Times New Roman" w:hAnsi="Times New Roman" w:cs="Times New Roman" w:eastAsia="Times New Roman" w:hint="default"/>
                <w:sz w:val="21"/>
                <w:szCs w:val="21"/>
              </w:rPr>
            </w:pPr>
            <w:r>
              <w:rPr>
                <w:rFonts w:ascii="Times New Roman"/>
                <w:sz w:val="21"/>
              </w:rPr>
              <w:t>53.2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8"/>
              <w:jc w:val="right"/>
              <w:rPr>
                <w:rFonts w:ascii="Times New Roman" w:hAnsi="Times New Roman" w:cs="Times New Roman" w:eastAsia="Times New Roman" w:hint="default"/>
                <w:sz w:val="21"/>
                <w:szCs w:val="21"/>
              </w:rPr>
            </w:pPr>
            <w:r>
              <w:rPr>
                <w:rFonts w:ascii="Times New Roman"/>
                <w:sz w:val="21"/>
              </w:rPr>
              <w:t>53.1</w:t>
            </w:r>
          </w:p>
        </w:tc>
      </w:tr>
      <w:tr>
        <w:trPr>
          <w:trHeight w:val="371"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直至法定退休的预期未来平均时间</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8"/>
              <w:jc w:val="right"/>
              <w:rPr>
                <w:rFonts w:ascii="Times New Roman" w:hAnsi="Times New Roman" w:cs="Times New Roman" w:eastAsia="Times New Roman" w:hint="default"/>
                <w:sz w:val="21"/>
                <w:szCs w:val="21"/>
              </w:rPr>
            </w:pPr>
            <w:r>
              <w:rPr>
                <w:rFonts w:ascii="Times New Roman"/>
                <w:sz w:val="21"/>
              </w:rPr>
              <w:t>4.1</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Times New Roman" w:hAnsi="Times New Roman" w:cs="Times New Roman" w:eastAsia="Times New Roman" w:hint="default"/>
                <w:sz w:val="21"/>
                <w:szCs w:val="21"/>
              </w:rPr>
            </w:pPr>
            <w:r>
              <w:rPr>
                <w:rFonts w:ascii="Times New Roman"/>
                <w:sz w:val="21"/>
              </w:rPr>
              <w:t>4.2</w:t>
            </w:r>
          </w:p>
        </w:tc>
      </w:tr>
      <w:tr>
        <w:trPr>
          <w:trHeight w:val="371"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21"/>
                <w:szCs w:val="21"/>
              </w:rPr>
            </w:pPr>
            <w:r>
              <w:rPr>
                <w:rFonts w:ascii="宋体" w:hAnsi="宋体" w:cs="宋体" w:eastAsia="宋体" w:hint="default"/>
                <w:sz w:val="21"/>
                <w:szCs w:val="21"/>
              </w:rPr>
              <w:t>统筹外福利</w:t>
            </w:r>
            <w:r>
              <w:rPr>
                <w:rFonts w:ascii="Times New Roman" w:hAnsi="Times New Roman" w:cs="Times New Roman" w:eastAsia="Times New Roman" w:hint="default"/>
                <w:sz w:val="21"/>
                <w:szCs w:val="21"/>
              </w:rPr>
              <w:t>—</w:t>
            </w:r>
            <w:r>
              <w:rPr>
                <w:rFonts w:ascii="宋体" w:hAnsi="宋体" w:cs="宋体" w:eastAsia="宋体" w:hint="default"/>
                <w:sz w:val="21"/>
                <w:szCs w:val="21"/>
              </w:rPr>
              <w:t>平均年龄</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98"/>
              <w:jc w:val="right"/>
              <w:rPr>
                <w:rFonts w:ascii="Times New Roman" w:hAnsi="Times New Roman" w:cs="Times New Roman" w:eastAsia="Times New Roman" w:hint="default"/>
                <w:sz w:val="21"/>
                <w:szCs w:val="21"/>
              </w:rPr>
            </w:pPr>
            <w:r>
              <w:rPr>
                <w:rFonts w:ascii="Times New Roman"/>
                <w:sz w:val="21"/>
              </w:rPr>
              <w:t>52.7</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8"/>
              <w:jc w:val="right"/>
              <w:rPr>
                <w:rFonts w:ascii="Times New Roman" w:hAnsi="Times New Roman" w:cs="Times New Roman" w:eastAsia="Times New Roman" w:hint="default"/>
                <w:sz w:val="21"/>
                <w:szCs w:val="21"/>
              </w:rPr>
            </w:pPr>
            <w:r>
              <w:rPr>
                <w:rFonts w:ascii="Times New Roman"/>
                <w:sz w:val="21"/>
              </w:rPr>
              <w:t>52.8</w:t>
            </w:r>
          </w:p>
        </w:tc>
      </w:tr>
      <w:tr>
        <w:trPr>
          <w:trHeight w:val="291"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预期未来平均剩余寿命</w:t>
            </w:r>
          </w:p>
        </w:tc>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8"/>
              <w:jc w:val="right"/>
              <w:rPr>
                <w:rFonts w:ascii="Times New Roman" w:hAnsi="Times New Roman" w:cs="Times New Roman" w:eastAsia="Times New Roman" w:hint="default"/>
                <w:sz w:val="21"/>
                <w:szCs w:val="21"/>
              </w:rPr>
            </w:pPr>
            <w:r>
              <w:rPr>
                <w:rFonts w:ascii="Times New Roman"/>
                <w:sz w:val="21"/>
              </w:rPr>
              <w:t>30.2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Times New Roman" w:hAnsi="Times New Roman" w:cs="Times New Roman" w:eastAsia="Times New Roman" w:hint="default"/>
                <w:sz w:val="21"/>
                <w:szCs w:val="21"/>
              </w:rPr>
            </w:pPr>
            <w:r>
              <w:rPr>
                <w:rFonts w:ascii="Times New Roman"/>
                <w:sz w:val="21"/>
              </w:rPr>
              <w:t>30.1</w:t>
            </w:r>
          </w:p>
        </w:tc>
      </w:tr>
    </w:tbl>
    <w:p>
      <w:pPr>
        <w:spacing w:line="240" w:lineRule="auto" w:before="0"/>
        <w:rPr>
          <w:rFonts w:ascii="宋体" w:hAnsi="宋体" w:cs="宋体" w:eastAsia="宋体" w:hint="default"/>
          <w:sz w:val="20"/>
          <w:szCs w:val="20"/>
        </w:rPr>
      </w:pPr>
    </w:p>
    <w:p>
      <w:pPr>
        <w:pStyle w:val="BodyText"/>
        <w:spacing w:line="240" w:lineRule="auto" w:before="171"/>
        <w:ind w:left="309" w:right="0"/>
        <w:jc w:val="left"/>
      </w:pPr>
      <w:r>
        <w:rPr/>
        <w:t>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日，未折现的设定受益义务到期日分析：</w:t>
      </w:r>
    </w:p>
    <w:p>
      <w:pPr>
        <w:spacing w:line="240" w:lineRule="auto" w:before="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316"/>
        <w:gridCol w:w="1475"/>
        <w:gridCol w:w="1490"/>
        <w:gridCol w:w="1481"/>
        <w:gridCol w:w="1630"/>
        <w:gridCol w:w="1491"/>
      </w:tblGrid>
      <w:tr>
        <w:trPr>
          <w:trHeight w:val="420" w:hRule="exact"/>
        </w:trPr>
        <w:tc>
          <w:tcPr>
            <w:tcW w:w="1316"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11" w:lineRule="exact"/>
              <w:ind w:right="251"/>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1490" w:type="dxa"/>
            <w:tcBorders>
              <w:top w:val="nil" w:sz="6" w:space="0" w:color="auto"/>
              <w:left w:val="nil" w:sz="6" w:space="0" w:color="auto"/>
              <w:bottom w:val="nil" w:sz="6" w:space="0" w:color="auto"/>
              <w:right w:val="nil" w:sz="6" w:space="0" w:color="auto"/>
            </w:tcBorders>
          </w:tcPr>
          <w:p>
            <w:pPr>
              <w:pStyle w:val="TableParagraph"/>
              <w:spacing w:line="211"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一到二年</w:t>
            </w:r>
          </w:p>
        </w:tc>
        <w:tc>
          <w:tcPr>
            <w:tcW w:w="1481" w:type="dxa"/>
            <w:tcBorders>
              <w:top w:val="nil" w:sz="6" w:space="0" w:color="auto"/>
              <w:left w:val="nil" w:sz="6" w:space="0" w:color="auto"/>
              <w:bottom w:val="nil" w:sz="6" w:space="0" w:color="auto"/>
              <w:right w:val="nil" w:sz="6" w:space="0" w:color="auto"/>
            </w:tcBorders>
          </w:tcPr>
          <w:p>
            <w:pPr>
              <w:pStyle w:val="TableParagraph"/>
              <w:spacing w:line="211" w:lineRule="exact"/>
              <w:ind w:right="242"/>
              <w:jc w:val="right"/>
              <w:rPr>
                <w:rFonts w:ascii="宋体" w:hAnsi="宋体" w:cs="宋体" w:eastAsia="宋体" w:hint="default"/>
                <w:sz w:val="21"/>
                <w:szCs w:val="21"/>
              </w:rPr>
            </w:pPr>
            <w:r>
              <w:rPr>
                <w:rFonts w:ascii="宋体" w:hAnsi="宋体" w:cs="宋体" w:eastAsia="宋体" w:hint="default"/>
                <w:spacing w:val="-1"/>
                <w:sz w:val="21"/>
                <w:szCs w:val="21"/>
              </w:rPr>
              <w:t>二到五年</w:t>
            </w:r>
          </w:p>
        </w:tc>
        <w:tc>
          <w:tcPr>
            <w:tcW w:w="1630" w:type="dxa"/>
            <w:tcBorders>
              <w:top w:val="nil" w:sz="6" w:space="0" w:color="auto"/>
              <w:left w:val="nil" w:sz="6" w:space="0" w:color="auto"/>
              <w:bottom w:val="nil" w:sz="6" w:space="0" w:color="auto"/>
              <w:right w:val="nil" w:sz="6" w:space="0" w:color="auto"/>
            </w:tcBorders>
          </w:tcPr>
          <w:p>
            <w:pPr>
              <w:pStyle w:val="TableParagraph"/>
              <w:spacing w:line="211" w:lineRule="exact"/>
              <w:ind w:right="173"/>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491" w:type="dxa"/>
            <w:tcBorders>
              <w:top w:val="nil" w:sz="6" w:space="0" w:color="auto"/>
              <w:left w:val="nil" w:sz="6" w:space="0" w:color="auto"/>
              <w:bottom w:val="nil" w:sz="6" w:space="0" w:color="auto"/>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50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宋体" w:hAnsi="宋体" w:cs="宋体" w:eastAsia="宋体" w:hint="default"/>
                <w:sz w:val="21"/>
                <w:szCs w:val="21"/>
              </w:rPr>
            </w:pPr>
            <w:r>
              <w:rPr>
                <w:rFonts w:ascii="宋体" w:hAnsi="宋体" w:cs="宋体" w:eastAsia="宋体" w:hint="default"/>
                <w:sz w:val="21"/>
                <w:szCs w:val="21"/>
              </w:rPr>
              <w:t>内退福利</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1"/>
              <w:jc w:val="right"/>
              <w:rPr>
                <w:rFonts w:ascii="Times New Roman" w:hAnsi="Times New Roman" w:cs="Times New Roman" w:eastAsia="Times New Roman" w:hint="default"/>
                <w:sz w:val="21"/>
                <w:szCs w:val="21"/>
              </w:rPr>
            </w:pPr>
            <w:r>
              <w:rPr>
                <w:rFonts w:ascii="Times New Roman"/>
                <w:spacing w:val="-1"/>
                <w:sz w:val="21"/>
              </w:rPr>
              <w:t>11,830,000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0"/>
              <w:jc w:val="right"/>
              <w:rPr>
                <w:rFonts w:ascii="Times New Roman" w:hAnsi="Times New Roman" w:cs="Times New Roman" w:eastAsia="Times New Roman" w:hint="default"/>
                <w:sz w:val="21"/>
                <w:szCs w:val="21"/>
              </w:rPr>
            </w:pPr>
            <w:r>
              <w:rPr>
                <w:rFonts w:ascii="Times New Roman"/>
                <w:spacing w:val="-1"/>
                <w:sz w:val="21"/>
              </w:rPr>
              <w:t>9,790,000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42"/>
              <w:jc w:val="right"/>
              <w:rPr>
                <w:rFonts w:ascii="Times New Roman" w:hAnsi="Times New Roman" w:cs="Times New Roman" w:eastAsia="Times New Roman" w:hint="default"/>
                <w:sz w:val="21"/>
                <w:szCs w:val="21"/>
              </w:rPr>
            </w:pPr>
            <w:r>
              <w:rPr>
                <w:rFonts w:ascii="Times New Roman"/>
                <w:spacing w:val="-1"/>
                <w:sz w:val="21"/>
              </w:rPr>
              <w:t>17,700,000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3"/>
              <w:jc w:val="right"/>
              <w:rPr>
                <w:rFonts w:ascii="Times New Roman" w:hAnsi="Times New Roman" w:cs="Times New Roman" w:eastAsia="Times New Roman" w:hint="default"/>
                <w:sz w:val="21"/>
                <w:szCs w:val="21"/>
              </w:rPr>
            </w:pPr>
            <w:r>
              <w:rPr>
                <w:rFonts w:ascii="Times New Roman"/>
                <w:spacing w:val="-1"/>
                <w:sz w:val="21"/>
              </w:rPr>
              <w:t>40,060,000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79,380,000</w:t>
            </w:r>
          </w:p>
        </w:tc>
      </w:tr>
      <w:tr>
        <w:trPr>
          <w:trHeight w:val="33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统筹外福利</w:t>
            </w:r>
          </w:p>
        </w:tc>
        <w:tc>
          <w:tcPr>
            <w:tcW w:w="1475"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251"/>
              <w:jc w:val="right"/>
              <w:rPr>
                <w:rFonts w:ascii="Times New Roman" w:hAnsi="Times New Roman" w:cs="Times New Roman" w:eastAsia="Times New Roman" w:hint="default"/>
                <w:sz w:val="21"/>
                <w:szCs w:val="21"/>
              </w:rPr>
            </w:pPr>
            <w:r>
              <w:rPr>
                <w:rFonts w:ascii="Times New Roman"/>
                <w:spacing w:val="-1"/>
                <w:sz w:val="21"/>
              </w:rPr>
              <w:t>114,580,000</w:t>
            </w:r>
          </w:p>
        </w:tc>
        <w:tc>
          <w:tcPr>
            <w:tcW w:w="1490"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80"/>
              <w:jc w:val="right"/>
              <w:rPr>
                <w:rFonts w:ascii="Times New Roman" w:hAnsi="Times New Roman" w:cs="Times New Roman" w:eastAsia="Times New Roman" w:hint="default"/>
                <w:sz w:val="21"/>
                <w:szCs w:val="21"/>
              </w:rPr>
            </w:pPr>
            <w:r>
              <w:rPr>
                <w:rFonts w:ascii="Times New Roman"/>
                <w:spacing w:val="-1"/>
                <w:sz w:val="21"/>
              </w:rPr>
              <w:t>118,210,000</w:t>
            </w:r>
          </w:p>
        </w:tc>
        <w:tc>
          <w:tcPr>
            <w:tcW w:w="148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242"/>
              <w:jc w:val="right"/>
              <w:rPr>
                <w:rFonts w:ascii="Times New Roman" w:hAnsi="Times New Roman" w:cs="Times New Roman" w:eastAsia="Times New Roman" w:hint="default"/>
                <w:sz w:val="21"/>
                <w:szCs w:val="21"/>
              </w:rPr>
            </w:pPr>
            <w:r>
              <w:rPr>
                <w:rFonts w:ascii="Times New Roman"/>
                <w:spacing w:val="-1"/>
                <w:sz w:val="21"/>
              </w:rPr>
              <w:t>375,120,000</w:t>
            </w:r>
          </w:p>
        </w:tc>
        <w:tc>
          <w:tcPr>
            <w:tcW w:w="1630"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73"/>
              <w:jc w:val="right"/>
              <w:rPr>
                <w:rFonts w:ascii="Times New Roman" w:hAnsi="Times New Roman" w:cs="Times New Roman" w:eastAsia="Times New Roman" w:hint="default"/>
                <w:sz w:val="21"/>
                <w:szCs w:val="21"/>
              </w:rPr>
            </w:pPr>
            <w:r>
              <w:rPr>
                <w:rFonts w:ascii="Times New Roman"/>
                <w:spacing w:val="-1"/>
                <w:sz w:val="21"/>
              </w:rPr>
              <w:t>3,856,680,000</w:t>
            </w:r>
          </w:p>
        </w:tc>
        <w:tc>
          <w:tcPr>
            <w:tcW w:w="149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21"/>
                <w:szCs w:val="21"/>
              </w:rPr>
            </w:pPr>
            <w:r>
              <w:rPr>
                <w:rFonts w:ascii="Times New Roman"/>
                <w:spacing w:val="-1"/>
                <w:sz w:val="21"/>
              </w:rPr>
              <w:t>4,464,590,000</w:t>
            </w:r>
          </w:p>
        </w:tc>
      </w:tr>
      <w:tr>
        <w:trPr>
          <w:trHeight w:val="386" w:hRule="exact"/>
        </w:trPr>
        <w:tc>
          <w:tcPr>
            <w:tcW w:w="1316" w:type="dxa"/>
            <w:tcBorders>
              <w:top w:val="nil" w:sz="6" w:space="0" w:color="auto"/>
              <w:left w:val="nil" w:sz="6" w:space="0" w:color="auto"/>
              <w:bottom w:val="nil" w:sz="6" w:space="0" w:color="auto"/>
              <w:right w:val="nil" w:sz="6" w:space="0" w:color="auto"/>
            </w:tcBorders>
          </w:tcPr>
          <w:p>
            <w:pPr/>
          </w:p>
        </w:tc>
        <w:tc>
          <w:tcPr>
            <w:tcW w:w="1475" w:type="dxa"/>
            <w:tcBorders>
              <w:top w:val="single" w:sz="8" w:space="0" w:color="000000"/>
              <w:left w:val="nil" w:sz="6" w:space="0" w:color="auto"/>
              <w:bottom w:val="single" w:sz="12" w:space="0" w:color="000000"/>
              <w:right w:val="nil" w:sz="6" w:space="0" w:color="auto"/>
            </w:tcBorders>
          </w:tcPr>
          <w:p>
            <w:pPr>
              <w:pStyle w:val="TableParagraph"/>
              <w:spacing w:line="240" w:lineRule="auto" w:before="92"/>
              <w:ind w:right="251"/>
              <w:jc w:val="right"/>
              <w:rPr>
                <w:rFonts w:ascii="Times New Roman" w:hAnsi="Times New Roman" w:cs="Times New Roman" w:eastAsia="Times New Roman" w:hint="default"/>
                <w:sz w:val="21"/>
                <w:szCs w:val="21"/>
              </w:rPr>
            </w:pPr>
            <w:r>
              <w:rPr>
                <w:rFonts w:ascii="Times New Roman"/>
                <w:spacing w:val="-1"/>
                <w:sz w:val="21"/>
              </w:rPr>
              <w:t>126,410,000</w:t>
            </w:r>
          </w:p>
        </w:tc>
        <w:tc>
          <w:tcPr>
            <w:tcW w:w="1490" w:type="dxa"/>
            <w:tcBorders>
              <w:top w:val="single" w:sz="8" w:space="0" w:color="000000"/>
              <w:left w:val="nil" w:sz="6" w:space="0" w:color="auto"/>
              <w:bottom w:val="single" w:sz="12" w:space="0" w:color="000000"/>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21"/>
                <w:szCs w:val="21"/>
              </w:rPr>
            </w:pPr>
            <w:r>
              <w:rPr>
                <w:rFonts w:ascii="Times New Roman"/>
                <w:spacing w:val="-1"/>
                <w:sz w:val="21"/>
              </w:rPr>
              <w:t>128,000,000</w:t>
            </w:r>
          </w:p>
        </w:tc>
        <w:tc>
          <w:tcPr>
            <w:tcW w:w="1481" w:type="dxa"/>
            <w:tcBorders>
              <w:top w:val="single" w:sz="8" w:space="0" w:color="000000"/>
              <w:left w:val="nil" w:sz="6" w:space="0" w:color="auto"/>
              <w:bottom w:val="single" w:sz="12" w:space="0" w:color="000000"/>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21"/>
                <w:szCs w:val="21"/>
              </w:rPr>
            </w:pPr>
            <w:r>
              <w:rPr>
                <w:rFonts w:ascii="Times New Roman"/>
                <w:spacing w:val="-1"/>
                <w:sz w:val="21"/>
              </w:rPr>
              <w:t>392,820,000</w:t>
            </w:r>
          </w:p>
        </w:tc>
        <w:tc>
          <w:tcPr>
            <w:tcW w:w="1630" w:type="dxa"/>
            <w:tcBorders>
              <w:top w:val="single" w:sz="8" w:space="0" w:color="000000"/>
              <w:left w:val="nil" w:sz="6" w:space="0" w:color="auto"/>
              <w:bottom w:val="single" w:sz="12" w:space="0" w:color="000000"/>
              <w:right w:val="nil" w:sz="6" w:space="0" w:color="auto"/>
            </w:tcBorders>
          </w:tcPr>
          <w:p>
            <w:pPr>
              <w:pStyle w:val="TableParagraph"/>
              <w:spacing w:line="240" w:lineRule="auto" w:before="92"/>
              <w:ind w:right="173"/>
              <w:jc w:val="right"/>
              <w:rPr>
                <w:rFonts w:ascii="Times New Roman" w:hAnsi="Times New Roman" w:cs="Times New Roman" w:eastAsia="Times New Roman" w:hint="default"/>
                <w:sz w:val="21"/>
                <w:szCs w:val="21"/>
              </w:rPr>
            </w:pPr>
            <w:r>
              <w:rPr>
                <w:rFonts w:ascii="Times New Roman"/>
                <w:spacing w:val="-1"/>
                <w:sz w:val="21"/>
              </w:rPr>
              <w:t>3,896,740,000</w:t>
            </w:r>
          </w:p>
        </w:tc>
        <w:tc>
          <w:tcPr>
            <w:tcW w:w="1491" w:type="dxa"/>
            <w:tcBorders>
              <w:top w:val="single" w:sz="8" w:space="0" w:color="000000"/>
              <w:left w:val="nil" w:sz="6" w:space="0" w:color="auto"/>
              <w:bottom w:val="single" w:sz="12"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4,543,970,000</w:t>
            </w:r>
          </w:p>
        </w:tc>
      </w:tr>
    </w:tbl>
    <w:p>
      <w:pPr>
        <w:pStyle w:val="BodyText"/>
        <w:spacing w:line="314" w:lineRule="auto" w:before="42"/>
        <w:ind w:left="309" w:right="0"/>
        <w:jc w:val="left"/>
        <w:rPr>
          <w:rFonts w:ascii="宋体" w:hAnsi="宋体" w:cs="宋体" w:eastAsia="宋体" w:hint="default"/>
        </w:rPr>
      </w:pPr>
      <w:r>
        <w:rPr>
          <w:spacing w:val="-2"/>
        </w:rPr>
        <w:t>内退福利和统筹外福利使本集团面临各种风险，主要风险为国债利率的变动风险。国债利率的下</w:t>
      </w:r>
      <w:r>
        <w:rPr>
          <w:spacing w:val="-25"/>
        </w:rPr>
        <w:t> </w:t>
      </w:r>
      <w:r>
        <w:rPr>
          <w:spacing w:val="-25"/>
        </w:rPr>
      </w:r>
      <w:r>
        <w:rPr/>
        <w:t>降将导致负债的增加。</w:t>
      </w:r>
      <w:r>
        <w:rPr>
          <w:rFonts w:ascii="宋体" w:hAnsi="宋体" w:cs="宋体" w:eastAsia="宋体" w:hint="default"/>
        </w:rPr>
        <w:t> </w:t>
      </w:r>
    </w:p>
    <w:p>
      <w:pPr>
        <w:pStyle w:val="BodyText"/>
        <w:spacing w:line="216" w:lineRule="exact"/>
        <w:ind w:left="309" w:right="0"/>
        <w:jc w:val="left"/>
        <w:rPr>
          <w:rFonts w:ascii="宋体" w:hAnsi="宋体" w:cs="宋体" w:eastAsia="宋体" w:hint="default"/>
        </w:rPr>
      </w:pPr>
      <w:r>
        <w:rPr>
          <w:rFonts w:ascii="宋体"/>
          <w:w w:val="100"/>
        </w:rPr>
        <w:t> </w:t>
      </w:r>
    </w:p>
    <w:p>
      <w:pPr>
        <w:pStyle w:val="BodyText"/>
        <w:spacing w:line="240" w:lineRule="auto"/>
        <w:ind w:left="309" w:right="0"/>
        <w:jc w:val="left"/>
        <w:rPr>
          <w:rFonts w:ascii="宋体" w:hAnsi="宋体" w:cs="宋体" w:eastAsia="宋体" w:hint="default"/>
        </w:rPr>
      </w:pPr>
      <w:r>
        <w:rPr>
          <w:rFonts w:ascii="宋体" w:hAnsi="宋体" w:cs="宋体" w:eastAsia="宋体" w:hint="default"/>
          <w:w w:val="100"/>
        </w:rPr>
        <w:t>  </w:t>
      </w:r>
      <w:r>
        <w:rPr>
          <w:w w:val="100"/>
        </w:rPr>
        <w:t>设</w:t>
      </w:r>
      <w:r>
        <w:rPr>
          <w:spacing w:val="-1"/>
          <w:w w:val="100"/>
        </w:rPr>
        <w:t>定</w:t>
      </w:r>
      <w:r>
        <w:rPr>
          <w:spacing w:val="-3"/>
          <w:w w:val="100"/>
        </w:rPr>
        <w:t>受</w:t>
      </w:r>
      <w:r>
        <w:rPr>
          <w:w w:val="100"/>
        </w:rPr>
        <w:t>益</w:t>
      </w:r>
      <w:r>
        <w:rPr>
          <w:spacing w:val="-3"/>
          <w:w w:val="100"/>
        </w:rPr>
        <w:t>计</w:t>
      </w:r>
      <w:r>
        <w:rPr>
          <w:w w:val="100"/>
        </w:rPr>
        <w:t>划</w:t>
      </w:r>
      <w:r>
        <w:rPr>
          <w:spacing w:val="-3"/>
          <w:w w:val="100"/>
        </w:rPr>
        <w:t>重</w:t>
      </w:r>
      <w:r>
        <w:rPr>
          <w:w w:val="100"/>
        </w:rPr>
        <w:t>大</w:t>
      </w:r>
      <w:r>
        <w:rPr>
          <w:spacing w:val="-3"/>
          <w:w w:val="100"/>
        </w:rPr>
        <w:t>精</w:t>
      </w:r>
      <w:r>
        <w:rPr>
          <w:w w:val="100"/>
        </w:rPr>
        <w:t>算</w:t>
      </w:r>
      <w:r>
        <w:rPr>
          <w:spacing w:val="-3"/>
          <w:w w:val="100"/>
        </w:rPr>
        <w:t>假</w:t>
      </w:r>
      <w:r>
        <w:rPr>
          <w:w w:val="100"/>
        </w:rPr>
        <w:t>设及</w:t>
      </w:r>
      <w:r>
        <w:rPr>
          <w:spacing w:val="-3"/>
          <w:w w:val="100"/>
        </w:rPr>
        <w:t>敏</w:t>
      </w:r>
      <w:r>
        <w:rPr>
          <w:w w:val="100"/>
        </w:rPr>
        <w:t>感</w:t>
      </w:r>
      <w:r>
        <w:rPr>
          <w:spacing w:val="-3"/>
          <w:w w:val="100"/>
        </w:rPr>
        <w:t>性</w:t>
      </w:r>
      <w:r>
        <w:rPr>
          <w:w w:val="100"/>
        </w:rPr>
        <w:t>分</w:t>
      </w:r>
      <w:r>
        <w:rPr>
          <w:spacing w:val="-3"/>
          <w:w w:val="100"/>
        </w:rPr>
        <w:t>析</w:t>
      </w:r>
      <w:r>
        <w:rPr>
          <w:w w:val="100"/>
        </w:rPr>
        <w:t>结</w:t>
      </w:r>
      <w:r>
        <w:rPr>
          <w:spacing w:val="-3"/>
          <w:w w:val="100"/>
        </w:rPr>
        <w:t>果</w:t>
      </w:r>
      <w:r>
        <w:rPr>
          <w:w w:val="100"/>
        </w:rPr>
        <w:t>说</w:t>
      </w:r>
      <w:r>
        <w:rPr>
          <w:spacing w:val="-3"/>
          <w:w w:val="100"/>
        </w:rPr>
        <w:t>明</w:t>
      </w:r>
      <w:r>
        <w:rPr>
          <w:rFonts w:ascii="宋体" w:hAnsi="宋体" w:cs="宋体" w:eastAsia="宋体" w:hint="default"/>
          <w:w w:val="100"/>
        </w:rPr>
        <w:t> </w:t>
      </w:r>
    </w:p>
    <w:p>
      <w:pPr>
        <w:pStyle w:val="BodyText"/>
        <w:spacing w:line="271" w:lineRule="exact"/>
        <w:ind w:left="30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09"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160" w:left="1280" w:right="1100"/>
        </w:sectPr>
      </w:pPr>
    </w:p>
    <w:p>
      <w:pPr>
        <w:spacing w:line="240" w:lineRule="auto" w:before="3"/>
        <w:rPr>
          <w:rFonts w:ascii="宋体" w:hAnsi="宋体" w:cs="宋体" w:eastAsia="宋体" w:hint="default"/>
          <w:sz w:val="2"/>
          <w:szCs w:val="2"/>
        </w:rPr>
      </w:pPr>
    </w:p>
    <w:tbl>
      <w:tblPr>
        <w:tblW w:w="0" w:type="auto"/>
        <w:jc w:val="left"/>
        <w:tblInd w:w="280" w:type="dxa"/>
        <w:tblLayout w:type="fixed"/>
        <w:tblCellMar>
          <w:top w:w="0" w:type="dxa"/>
          <w:left w:w="0" w:type="dxa"/>
          <w:bottom w:w="0" w:type="dxa"/>
          <w:right w:w="0" w:type="dxa"/>
        </w:tblCellMar>
        <w:tblLook w:val="01E0"/>
      </w:tblPr>
      <w:tblGrid>
        <w:gridCol w:w="2933"/>
        <w:gridCol w:w="2384"/>
        <w:gridCol w:w="1755"/>
        <w:gridCol w:w="627"/>
        <w:gridCol w:w="1338"/>
      </w:tblGrid>
      <w:tr>
        <w:trPr>
          <w:trHeight w:val="670" w:hRule="exact"/>
        </w:trPr>
        <w:tc>
          <w:tcPr>
            <w:tcW w:w="9037" w:type="dxa"/>
            <w:gridSpan w:val="5"/>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5914" w:right="0"/>
              <w:jc w:val="left"/>
              <w:rPr>
                <w:rFonts w:ascii="宋体" w:hAnsi="宋体" w:cs="宋体" w:eastAsia="宋体" w:hint="default"/>
                <w:sz w:val="21"/>
                <w:szCs w:val="21"/>
              </w:rPr>
            </w:pPr>
            <w:r>
              <w:rPr>
                <w:rFonts w:ascii="宋体" w:hAnsi="宋体" w:cs="宋体" w:eastAsia="宋体" w:hint="default"/>
                <w:sz w:val="21"/>
                <w:szCs w:val="21"/>
              </w:rPr>
              <w:t>对设定受益义务现值的影响</w:t>
            </w:r>
          </w:p>
        </w:tc>
      </w:tr>
      <w:tr>
        <w:trPr>
          <w:trHeight w:val="411" w:hRule="exact"/>
        </w:trPr>
        <w:tc>
          <w:tcPr>
            <w:tcW w:w="2933"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0"/>
              <w:jc w:val="right"/>
              <w:rPr>
                <w:rFonts w:ascii="宋体" w:hAnsi="宋体" w:cs="宋体" w:eastAsia="宋体" w:hint="default"/>
                <w:sz w:val="21"/>
                <w:szCs w:val="21"/>
              </w:rPr>
            </w:pPr>
            <w:r>
              <w:rPr>
                <w:rFonts w:ascii="宋体" w:hAnsi="宋体" w:cs="宋体" w:eastAsia="宋体" w:hint="default"/>
                <w:spacing w:val="-1"/>
                <w:sz w:val="21"/>
                <w:szCs w:val="21"/>
              </w:rPr>
              <w:t>假设的变动幅度</w:t>
            </w:r>
          </w:p>
        </w:tc>
        <w:tc>
          <w:tcPr>
            <w:tcW w:w="1755"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right="130"/>
              <w:jc w:val="right"/>
              <w:rPr>
                <w:rFonts w:ascii="宋体" w:hAnsi="宋体" w:cs="宋体" w:eastAsia="宋体" w:hint="default"/>
                <w:sz w:val="21"/>
                <w:szCs w:val="21"/>
              </w:rPr>
            </w:pPr>
            <w:r>
              <w:rPr>
                <w:rFonts w:ascii="宋体" w:hAnsi="宋体" w:cs="宋体" w:eastAsia="宋体" w:hint="default"/>
                <w:spacing w:val="-1"/>
                <w:sz w:val="21"/>
                <w:szCs w:val="21"/>
              </w:rPr>
              <w:t>假设增加</w:t>
            </w:r>
          </w:p>
        </w:tc>
        <w:tc>
          <w:tcPr>
            <w:tcW w:w="627"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left="131" w:right="0"/>
              <w:jc w:val="left"/>
              <w:rPr>
                <w:rFonts w:ascii="宋体" w:hAnsi="宋体" w:cs="宋体" w:eastAsia="宋体" w:hint="default"/>
                <w:sz w:val="21"/>
                <w:szCs w:val="21"/>
              </w:rPr>
            </w:pPr>
            <w:r>
              <w:rPr>
                <w:rFonts w:ascii="宋体"/>
                <w:w w:val="100"/>
                <w:sz w:val="21"/>
              </w:rPr>
              <w:t> </w:t>
            </w:r>
          </w:p>
        </w:tc>
        <w:tc>
          <w:tcPr>
            <w:tcW w:w="1338" w:type="dxa"/>
            <w:tcBorders>
              <w:top w:val="single" w:sz="8" w:space="0" w:color="000000"/>
              <w:left w:val="nil" w:sz="6" w:space="0" w:color="auto"/>
              <w:bottom w:val="nil" w:sz="6" w:space="0" w:color="auto"/>
              <w:right w:val="nil" w:sz="6" w:space="0" w:color="auto"/>
            </w:tcBorders>
          </w:tcPr>
          <w:p>
            <w:pPr>
              <w:pStyle w:val="TableParagraph"/>
              <w:spacing w:line="240" w:lineRule="auto" w:before="42"/>
              <w:ind w:right="103"/>
              <w:jc w:val="right"/>
              <w:rPr>
                <w:rFonts w:ascii="宋体" w:hAnsi="宋体" w:cs="宋体" w:eastAsia="宋体" w:hint="default"/>
                <w:sz w:val="21"/>
                <w:szCs w:val="21"/>
              </w:rPr>
            </w:pPr>
            <w:r>
              <w:rPr>
                <w:rFonts w:ascii="宋体" w:hAnsi="宋体" w:cs="宋体" w:eastAsia="宋体" w:hint="default"/>
                <w:spacing w:val="-1"/>
                <w:sz w:val="21"/>
                <w:szCs w:val="21"/>
              </w:rPr>
              <w:t>假设减少</w:t>
            </w:r>
          </w:p>
        </w:tc>
      </w:tr>
      <w:tr>
        <w:trPr>
          <w:trHeight w:val="375"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21"/>
                <w:szCs w:val="21"/>
              </w:rPr>
            </w:pPr>
            <w:r>
              <w:rPr>
                <w:rFonts w:ascii="宋体" w:hAnsi="宋体" w:cs="宋体" w:eastAsia="宋体" w:hint="default"/>
                <w:sz w:val="21"/>
                <w:szCs w:val="21"/>
              </w:rPr>
              <w:t>内退福利折现率</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个基点</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Times New Roman" w:hAnsi="Times New Roman" w:cs="Times New Roman" w:eastAsia="Times New Roman"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1.50%</w:t>
            </w:r>
          </w:p>
        </w:tc>
        <w:tc>
          <w:tcPr>
            <w:tcW w:w="627"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上升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1.56%</w:t>
            </w:r>
          </w:p>
        </w:tc>
      </w:tr>
      <w:tr>
        <w:trPr>
          <w:trHeight w:val="36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统筹外福利折现率</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个基点</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9"/>
              <w:jc w:val="right"/>
              <w:rPr>
                <w:rFonts w:ascii="Times New Roman" w:hAnsi="Times New Roman" w:cs="Times New Roman" w:eastAsia="Times New Roman"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3.09%</w:t>
            </w:r>
          </w:p>
        </w:tc>
        <w:tc>
          <w:tcPr>
            <w:tcW w:w="627"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上升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3.25%</w:t>
            </w:r>
          </w:p>
        </w:tc>
      </w:tr>
      <w:tr>
        <w:trPr>
          <w:trHeight w:val="36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内退福利工资增长率</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个基点</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9"/>
              <w:jc w:val="right"/>
              <w:rPr>
                <w:rFonts w:ascii="Times New Roman" w:hAnsi="Times New Roman" w:cs="Times New Roman" w:eastAsia="Times New Roman" w:hint="default"/>
                <w:sz w:val="21"/>
                <w:szCs w:val="21"/>
              </w:rPr>
            </w:pPr>
            <w:r>
              <w:rPr>
                <w:rFonts w:ascii="宋体" w:hAnsi="宋体" w:cs="宋体" w:eastAsia="宋体" w:hint="default"/>
                <w:sz w:val="21"/>
                <w:szCs w:val="21"/>
              </w:rPr>
              <w:t>上升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5.43%</w:t>
            </w:r>
          </w:p>
        </w:tc>
        <w:tc>
          <w:tcPr>
            <w:tcW w:w="627"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4.82%</w:t>
            </w:r>
          </w:p>
        </w:tc>
      </w:tr>
      <w:tr>
        <w:trPr>
          <w:trHeight w:val="360"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敬老补贴年增长率</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个基点</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9"/>
              <w:jc w:val="right"/>
              <w:rPr>
                <w:rFonts w:ascii="Times New Roman" w:hAnsi="Times New Roman" w:cs="Times New Roman" w:eastAsia="Times New Roman" w:hint="default"/>
                <w:sz w:val="21"/>
                <w:szCs w:val="21"/>
              </w:rPr>
            </w:pPr>
            <w:r>
              <w:rPr>
                <w:rFonts w:ascii="宋体" w:hAnsi="宋体" w:cs="宋体" w:eastAsia="宋体" w:hint="default"/>
                <w:sz w:val="21"/>
                <w:szCs w:val="21"/>
              </w:rPr>
              <w:t>上升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4.67%</w:t>
            </w:r>
          </w:p>
        </w:tc>
        <w:tc>
          <w:tcPr>
            <w:tcW w:w="627"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3.99%</w:t>
            </w:r>
          </w:p>
        </w:tc>
      </w:tr>
      <w:tr>
        <w:trPr>
          <w:trHeight w:val="291" w:hRule="exact"/>
        </w:trPr>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福寿补贴年增长率</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70"/>
              <w:jc w:val="righ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个基点</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9"/>
              <w:jc w:val="right"/>
              <w:rPr>
                <w:rFonts w:ascii="Times New Roman" w:hAnsi="Times New Roman" w:cs="Times New Roman" w:eastAsia="Times New Roman" w:hint="default"/>
                <w:sz w:val="21"/>
                <w:szCs w:val="21"/>
              </w:rPr>
            </w:pPr>
            <w:r>
              <w:rPr>
                <w:rFonts w:ascii="宋体" w:hAnsi="宋体" w:cs="宋体" w:eastAsia="宋体" w:hint="default"/>
                <w:sz w:val="21"/>
                <w:szCs w:val="21"/>
              </w:rPr>
              <w:t>上升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4.12%</w:t>
            </w:r>
          </w:p>
        </w:tc>
        <w:tc>
          <w:tcPr>
            <w:tcW w:w="627"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下降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3.40%</w:t>
            </w:r>
          </w:p>
        </w:tc>
      </w:tr>
    </w:tbl>
    <w:p>
      <w:pPr>
        <w:pStyle w:val="BodyText"/>
        <w:spacing w:line="314" w:lineRule="auto" w:before="73"/>
        <w:ind w:left="309" w:right="0" w:firstLine="419"/>
        <w:jc w:val="left"/>
        <w:rPr>
          <w:rFonts w:ascii="宋体" w:hAnsi="宋体" w:cs="宋体" w:eastAsia="宋体" w:hint="default"/>
        </w:rPr>
      </w:pPr>
      <w:r>
        <w:rPr>
          <w:spacing w:val="-2"/>
        </w:rPr>
        <w:t>上述敏感性分析是基于一个假设发生变动而其他假设均保持不变，但实际上各种假设通常是</w:t>
      </w:r>
      <w:r>
        <w:rPr>
          <w:w w:val="100"/>
        </w:rPr>
        <w:t> </w:t>
      </w:r>
      <w:r>
        <w:rPr/>
        <w:t>相互关联的。上述敏感性分析在计算设定受益义务现值时也同样采用预期累计福利单位法。</w:t>
      </w:r>
      <w:r>
        <w:rPr>
          <w:rFonts w:ascii="宋体" w:hAnsi="宋体" w:cs="宋体" w:eastAsia="宋体" w:hint="default"/>
        </w:rPr>
        <w:t> </w:t>
      </w:r>
    </w:p>
    <w:p>
      <w:pPr>
        <w:pStyle w:val="BodyText"/>
        <w:spacing w:line="217" w:lineRule="exact"/>
        <w:ind w:left="309" w:right="0"/>
        <w:jc w:val="left"/>
        <w:rPr>
          <w:rFonts w:ascii="宋体" w:hAnsi="宋体" w:cs="宋体" w:eastAsia="宋体" w:hint="default"/>
        </w:rPr>
      </w:pPr>
      <w:r>
        <w:rPr>
          <w:rFonts w:ascii="宋体"/>
          <w:w w:val="100"/>
        </w:rPr>
        <w:t> </w:t>
      </w:r>
    </w:p>
    <w:p>
      <w:pPr>
        <w:pStyle w:val="BodyText"/>
        <w:spacing w:line="273" w:lineRule="exact"/>
        <w:ind w:left="30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309" w:right="363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计入当期损益的内退福利及统筹外福利为：</w:t>
      </w:r>
      <w:r>
        <w:rPr>
          <w:rFonts w:ascii="宋体" w:hAnsi="宋体" w:cs="宋体" w:eastAsia="宋体" w:hint="default"/>
        </w:rPr>
        <w:t> </w:t>
      </w:r>
    </w:p>
    <w:p>
      <w:pPr>
        <w:spacing w:line="240" w:lineRule="auto" w:before="9"/>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017"/>
        <w:gridCol w:w="3797"/>
        <w:gridCol w:w="2022"/>
      </w:tblGrid>
      <w:tr>
        <w:trPr>
          <w:trHeight w:val="351" w:hRule="exact"/>
        </w:trPr>
        <w:tc>
          <w:tcPr>
            <w:tcW w:w="3017"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27" w:lineRule="exact"/>
              <w:ind w:right="871"/>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022"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88"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871"/>
              <w:jc w:val="right"/>
              <w:rPr>
                <w:rFonts w:ascii="Times New Roman" w:hAnsi="Times New Roman" w:cs="Times New Roman" w:eastAsia="Times New Roman" w:hint="default"/>
                <w:sz w:val="21"/>
                <w:szCs w:val="21"/>
              </w:rPr>
            </w:pPr>
            <w:r>
              <w:rPr>
                <w:rFonts w:ascii="Times New Roman"/>
                <w:spacing w:val="-1"/>
                <w:sz w:val="21"/>
              </w:rPr>
              <w:t>-1,430,000</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8"/>
              <w:jc w:val="right"/>
              <w:rPr>
                <w:rFonts w:ascii="Times New Roman" w:hAnsi="Times New Roman" w:cs="Times New Roman" w:eastAsia="Times New Roman" w:hint="default"/>
                <w:sz w:val="21"/>
                <w:szCs w:val="21"/>
              </w:rPr>
            </w:pPr>
            <w:r>
              <w:rPr>
                <w:rFonts w:ascii="Times New Roman"/>
                <w:spacing w:val="-1"/>
                <w:sz w:val="21"/>
              </w:rPr>
              <w:t>7,760,000</w:t>
            </w:r>
          </w:p>
        </w:tc>
      </w:tr>
      <w:tr>
        <w:trPr>
          <w:trHeight w:val="259"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52" w:lineRule="exact"/>
              <w:ind w:left="2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2"/>
              <w:jc w:val="right"/>
              <w:rPr>
                <w:rFonts w:ascii="Times New Roman" w:hAnsi="Times New Roman" w:cs="Times New Roman" w:eastAsia="Times New Roman" w:hint="default"/>
                <w:sz w:val="21"/>
                <w:szCs w:val="21"/>
              </w:rPr>
            </w:pPr>
            <w:r>
              <w:rPr>
                <w:rFonts w:ascii="Times New Roman"/>
                <w:spacing w:val="-1"/>
                <w:sz w:val="21"/>
              </w:rPr>
              <w:t>89,410,000</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Times New Roman" w:hAnsi="Times New Roman" w:cs="Times New Roman" w:eastAsia="Times New Roman" w:hint="default"/>
                <w:sz w:val="21"/>
                <w:szCs w:val="21"/>
              </w:rPr>
            </w:pPr>
            <w:r>
              <w:rPr>
                <w:rFonts w:ascii="Times New Roman"/>
                <w:spacing w:val="-1"/>
                <w:sz w:val="21"/>
              </w:rPr>
              <w:t>96,320,000</w:t>
            </w:r>
          </w:p>
        </w:tc>
      </w:tr>
    </w:tbl>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8"/>
          <w:pgSz w:w="11910" w:h="16840"/>
          <w:pgMar w:footer="974" w:header="0" w:top="1080" w:bottom="1160" w:left="1280" w:right="1140"/>
        </w:sectPr>
      </w:pPr>
    </w:p>
    <w:p>
      <w:pPr>
        <w:pStyle w:val="Heading5"/>
        <w:spacing w:line="240" w:lineRule="auto" w:before="36"/>
        <w:ind w:left="309" w:right="0"/>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0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0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40"/>
          <w:cols w:num="2" w:equalWidth="0">
            <w:col w:w="2095" w:space="4494"/>
            <w:col w:w="2901"/>
          </w:cols>
        </w:sectPr>
      </w:pPr>
    </w:p>
    <w:p>
      <w:pPr>
        <w:spacing w:line="240" w:lineRule="auto" w:before="4"/>
        <w:rPr>
          <w:rFonts w:ascii="宋体" w:hAnsi="宋体" w:cs="宋体" w:eastAsia="宋体" w:hint="default"/>
          <w:sz w:val="2"/>
          <w:szCs w:val="2"/>
        </w:rPr>
      </w:pPr>
    </w:p>
    <w:tbl>
      <w:tblPr>
        <w:tblW w:w="0" w:type="auto"/>
        <w:jc w:val="left"/>
        <w:tblInd w:w="191" w:type="dxa"/>
        <w:tblLayout w:type="fixed"/>
        <w:tblCellMar>
          <w:top w:w="0" w:type="dxa"/>
          <w:left w:w="0" w:type="dxa"/>
          <w:bottom w:w="0" w:type="dxa"/>
          <w:right w:w="0" w:type="dxa"/>
        </w:tblCellMar>
        <w:tblLook w:val="01E0"/>
      </w:tblPr>
      <w:tblGrid>
        <w:gridCol w:w="2282"/>
        <w:gridCol w:w="1966"/>
        <w:gridCol w:w="2199"/>
        <w:gridCol w:w="2679"/>
      </w:tblGrid>
      <w:tr>
        <w:trPr>
          <w:trHeight w:val="283"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7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7"/>
              <w:jc w:val="right"/>
              <w:rPr>
                <w:rFonts w:ascii="宋体" w:hAnsi="宋体" w:cs="宋体" w:eastAsia="宋体" w:hint="default"/>
                <w:sz w:val="21"/>
                <w:szCs w:val="21"/>
              </w:rPr>
            </w:pPr>
            <w:r>
              <w:rPr>
                <w:rFonts w:ascii="宋体" w:hAnsi="宋体" w:cs="宋体" w:eastAsia="宋体" w:hint="default"/>
                <w:spacing w:val="-2"/>
                <w:sz w:val="21"/>
                <w:szCs w:val="21"/>
              </w:rPr>
              <w:t>产品质量保证</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5,718,045</w:t>
            </w:r>
            <w:r>
              <w:rPr>
                <w:rFonts w:ascii="宋体"/>
                <w:sz w:val="21"/>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7,053,463</w:t>
            </w:r>
            <w:r>
              <w:rPr>
                <w:rFonts w:ascii="宋体"/>
                <w:sz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港口机械销售质量保证</w:t>
            </w:r>
            <w:r>
              <w:rPr>
                <w:rFonts w:ascii="宋体" w:hAnsi="宋体" w:cs="宋体" w:eastAsia="宋体" w:hint="default"/>
                <w:sz w:val="21"/>
                <w:szCs w:val="21"/>
              </w:rPr>
              <w:t> </w:t>
            </w:r>
          </w:p>
        </w:tc>
      </w:tr>
      <w:tr>
        <w:trPr>
          <w:trHeight w:val="284"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5,718,045</w:t>
            </w:r>
            <w:r>
              <w:rPr>
                <w:rFonts w:ascii="宋体"/>
                <w:sz w:val="21"/>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7,053,463</w:t>
            </w:r>
            <w:r>
              <w:rPr>
                <w:rFonts w:ascii="宋体"/>
                <w:sz w:val="21"/>
              </w:rPr>
              <w:t> </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160" w:left="1280" w:right="1140"/>
        </w:sectPr>
      </w:pPr>
    </w:p>
    <w:p>
      <w:pPr>
        <w:pStyle w:val="BodyText"/>
        <w:spacing w:line="241" w:lineRule="exact"/>
        <w:ind w:left="309" w:right="0"/>
        <w:jc w:val="left"/>
        <w:rPr>
          <w:rFonts w:ascii="宋体" w:hAnsi="宋体" w:cs="宋体" w:eastAsia="宋体" w:hint="default"/>
        </w:rPr>
      </w:pPr>
      <w:r>
        <w:rPr>
          <w:rFonts w:ascii="宋体"/>
          <w:w w:val="100"/>
        </w:rPr>
        <w:t> </w:t>
      </w:r>
    </w:p>
    <w:p>
      <w:pPr>
        <w:spacing w:line="290" w:lineRule="auto" w:before="56"/>
        <w:ind w:left="309" w:right="0"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47"/>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7" w:lineRule="exact"/>
        <w:ind w:left="309"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309"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140"/>
          <w:cols w:num="2" w:equalWidth="0">
            <w:col w:w="2201" w:space="4388"/>
            <w:col w:w="2901"/>
          </w:cols>
        </w:sectPr>
      </w:pPr>
    </w:p>
    <w:p>
      <w:pPr>
        <w:spacing w:line="240" w:lineRule="auto" w:before="7"/>
        <w:rPr>
          <w:rFonts w:ascii="宋体" w:hAnsi="宋体" w:cs="宋体" w:eastAsia="宋体" w:hint="default"/>
          <w:sz w:val="2"/>
          <w:szCs w:val="2"/>
        </w:rPr>
      </w:pPr>
    </w:p>
    <w:tbl>
      <w:tblPr>
        <w:tblW w:w="0" w:type="auto"/>
        <w:jc w:val="left"/>
        <w:tblInd w:w="191" w:type="dxa"/>
        <w:tblLayout w:type="fixed"/>
        <w:tblCellMar>
          <w:top w:w="0" w:type="dxa"/>
          <w:left w:w="0" w:type="dxa"/>
          <w:bottom w:w="0" w:type="dxa"/>
          <w:right w:w="0" w:type="dxa"/>
        </w:tblCellMar>
        <w:tblLook w:val="01E0"/>
      </w:tblPr>
      <w:tblGrid>
        <w:gridCol w:w="1490"/>
        <w:gridCol w:w="1431"/>
        <w:gridCol w:w="1445"/>
        <w:gridCol w:w="1431"/>
        <w:gridCol w:w="1471"/>
        <w:gridCol w:w="1911"/>
      </w:tblGrid>
      <w:tr>
        <w:trPr>
          <w:trHeight w:val="34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8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4"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5"/>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9" w:right="0"/>
              <w:jc w:val="left"/>
              <w:rPr>
                <w:rFonts w:ascii="Times New Roman" w:hAnsi="Times New Roman" w:cs="Times New Roman" w:eastAsia="Times New Roman" w:hint="default"/>
                <w:sz w:val="21"/>
                <w:szCs w:val="21"/>
              </w:rPr>
            </w:pPr>
            <w:r>
              <w:rPr>
                <w:rFonts w:ascii="Times New Roman"/>
                <w:sz w:val="21"/>
              </w:rPr>
              <w:t>205,830,431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15,510,000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7,490,142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02" w:right="0"/>
              <w:jc w:val="left"/>
              <w:rPr>
                <w:rFonts w:ascii="Times New Roman" w:hAnsi="Times New Roman" w:cs="Times New Roman" w:eastAsia="Times New Roman" w:hint="default"/>
                <w:sz w:val="21"/>
                <w:szCs w:val="21"/>
              </w:rPr>
            </w:pPr>
            <w:r>
              <w:rPr>
                <w:rFonts w:ascii="Times New Roman"/>
                <w:sz w:val="21"/>
              </w:rPr>
              <w:t>213,850,289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即墨港区项目扶持</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资金等</w:t>
            </w:r>
            <w:r>
              <w:rPr>
                <w:rFonts w:ascii="宋体" w:hAnsi="宋体" w:cs="宋体" w:eastAsia="宋体" w:hint="default"/>
                <w:sz w:val="21"/>
                <w:szCs w:val="21"/>
              </w:rPr>
              <w:t> </w:t>
            </w:r>
          </w:p>
        </w:tc>
      </w:tr>
      <w:tr>
        <w:trPr>
          <w:trHeight w:val="283"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9" w:right="0"/>
              <w:jc w:val="left"/>
              <w:rPr>
                <w:rFonts w:ascii="Times New Roman" w:hAnsi="Times New Roman" w:cs="Times New Roman" w:eastAsia="Times New Roman" w:hint="default"/>
                <w:sz w:val="21"/>
                <w:szCs w:val="21"/>
              </w:rPr>
            </w:pPr>
            <w:r>
              <w:rPr>
                <w:rFonts w:ascii="Times New Roman"/>
                <w:sz w:val="21"/>
              </w:rPr>
              <w:t>205,830,431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15,510,000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7,490,142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2" w:right="0"/>
              <w:jc w:val="left"/>
              <w:rPr>
                <w:rFonts w:ascii="Times New Roman" w:hAnsi="Times New Roman" w:cs="Times New Roman" w:eastAsia="Times New Roman" w:hint="default"/>
                <w:sz w:val="21"/>
                <w:szCs w:val="21"/>
              </w:rPr>
            </w:pPr>
            <w:r>
              <w:rPr>
                <w:rFonts w:ascii="Times New Roman"/>
                <w:sz w:val="21"/>
              </w:rPr>
              <w:t>213,850,289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pStyle w:val="BodyText"/>
        <w:spacing w:line="241" w:lineRule="exact"/>
        <w:ind w:left="309" w:right="0"/>
        <w:jc w:val="left"/>
        <w:rPr>
          <w:rFonts w:ascii="宋体" w:hAnsi="宋体" w:cs="宋体" w:eastAsia="宋体" w:hint="default"/>
        </w:rPr>
      </w:pPr>
      <w:r>
        <w:rPr>
          <w:rFonts w:ascii="宋体"/>
          <w:w w:val="100"/>
        </w:rPr>
        <w:t> </w:t>
      </w:r>
    </w:p>
    <w:p>
      <w:pPr>
        <w:pStyle w:val="BodyText"/>
        <w:spacing w:line="240" w:lineRule="auto" w:before="56"/>
        <w:ind w:left="309" w:right="0"/>
        <w:jc w:val="left"/>
        <w:rPr>
          <w:rFonts w:ascii="宋体" w:hAnsi="宋体" w:cs="宋体" w:eastAsia="宋体" w:hint="default"/>
        </w:rPr>
      </w:pPr>
      <w:r>
        <w:rPr>
          <w:rFonts w:ascii="宋体"/>
          <w:w w:val="100"/>
        </w:rPr>
        <w:t> </w:t>
      </w:r>
    </w:p>
    <w:p>
      <w:pPr>
        <w:pStyle w:val="BodyText"/>
        <w:tabs>
          <w:tab w:pos="3189" w:val="left" w:leader="none"/>
        </w:tabs>
        <w:spacing w:line="240" w:lineRule="auto" w:before="59"/>
        <w:ind w:left="309"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type w:val="continuous"/>
          <w:pgSz w:w="11910" w:h="16840"/>
          <w:pgMar w:top="1120" w:bottom="1160" w:left="1280" w:right="1140"/>
        </w:sectPr>
      </w:pPr>
    </w:p>
    <w:p>
      <w:pPr>
        <w:spacing w:line="240" w:lineRule="auto" w:before="3"/>
        <w:rPr>
          <w:rFonts w:ascii="宋体" w:hAnsi="宋体" w:cs="宋体" w:eastAsia="宋体" w:hint="default"/>
          <w:sz w:val="2"/>
          <w:szCs w:val="2"/>
        </w:rPr>
      </w:pPr>
    </w:p>
    <w:p>
      <w:pPr>
        <w:spacing w:line="20" w:lineRule="exact"/>
        <w:ind w:left="313" w:right="0" w:firstLine="0"/>
        <w:rPr>
          <w:rFonts w:ascii="宋体" w:hAnsi="宋体" w:cs="宋体" w:eastAsia="宋体" w:hint="default"/>
          <w:sz w:val="2"/>
          <w:szCs w:val="2"/>
        </w:rPr>
      </w:pPr>
      <w:r>
        <w:rPr>
          <w:rFonts w:ascii="宋体" w:hAnsi="宋体" w:cs="宋体" w:eastAsia="宋体" w:hint="default"/>
          <w:sz w:val="2"/>
          <w:szCs w:val="2"/>
        </w:rPr>
        <w:pict>
          <v:group style="width:447.7pt;height:.75pt;mso-position-horizontal-relative:char;mso-position-vertical-relative:line" coordorigin="0,0" coordsize="8954,15">
            <v:group style="position:absolute;left:7;top:7;width:8939;height:2" coordorigin="7,7" coordsize="8939,2">
              <v:shape style="position:absolute;left:7;top:7;width:8939;height:2" coordorigin="7,7" coordsize="8939,0" path="m7,7l894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89"/>
          <w:pgSz w:w="11910" w:h="16840"/>
          <w:pgMar w:footer="974" w:header="0" w:top="1080" w:bottom="1160" w:left="1240" w:right="1060"/>
          <w:pgNumType w:start="181"/>
        </w:sectPr>
      </w:pPr>
    </w:p>
    <w:p>
      <w:pPr>
        <w:pStyle w:val="BodyText"/>
        <w:spacing w:line="240" w:lineRule="auto" w:before="36"/>
        <w:ind w:left="349"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6"/>
        <w:ind w:left="3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8"/>
        <w:ind w:left="34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40" w:right="1060"/>
          <w:cols w:num="2" w:equalWidth="0">
            <w:col w:w="2555" w:space="4034"/>
            <w:col w:w="3021"/>
          </w:cols>
        </w:sectPr>
      </w:pP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29"/>
        <w:gridCol w:w="1385"/>
        <w:gridCol w:w="1378"/>
        <w:gridCol w:w="1366"/>
        <w:gridCol w:w="1243"/>
        <w:gridCol w:w="1385"/>
        <w:gridCol w:w="1375"/>
      </w:tblGrid>
      <w:tr>
        <w:trPr>
          <w:trHeight w:val="828"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1"/>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156"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72" w:lineRule="exact" w:before="27"/>
              <w:ind w:left="568" w:right="151" w:hanging="420"/>
              <w:jc w:val="left"/>
              <w:rPr>
                <w:rFonts w:ascii="宋体" w:hAnsi="宋体" w:cs="宋体" w:eastAsia="宋体" w:hint="default"/>
                <w:sz w:val="21"/>
                <w:szCs w:val="21"/>
              </w:rPr>
            </w:pPr>
            <w:r>
              <w:rPr>
                <w:rFonts w:ascii="宋体" w:hAnsi="宋体" w:cs="宋体" w:eastAsia="宋体" w:hint="default"/>
                <w:sz w:val="21"/>
                <w:szCs w:val="21"/>
              </w:rPr>
              <w:t>业外收入金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72" w:lineRule="exact" w:before="27"/>
              <w:ind w:left="405" w:right="194" w:hanging="212"/>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7"/>
              <w:ind w:left="575" w:right="206"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55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外航道专</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131,361,476</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
                <w:sz w:val="21"/>
              </w:rPr>
              <w:t>-3,914,444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127,447,032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专项扶持</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66,570,629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
                <w:sz w:val="21"/>
              </w:rPr>
              <w:t>7,000,000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
                <w:sz w:val="21"/>
              </w:rPr>
              <w:t>-109,444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73,461,185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828"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智慧港口</w:t>
            </w:r>
          </w:p>
          <w:p>
            <w:pPr>
              <w:pStyle w:val="TableParagraph"/>
              <w:spacing w:line="272" w:lineRule="exact" w:before="27"/>
              <w:ind w:left="108" w:right="266"/>
              <w:jc w:val="left"/>
              <w:rPr>
                <w:rFonts w:ascii="宋体" w:hAnsi="宋体" w:cs="宋体" w:eastAsia="宋体" w:hint="default"/>
                <w:sz w:val="21"/>
                <w:szCs w:val="21"/>
              </w:rPr>
            </w:pPr>
            <w:r>
              <w:rPr>
                <w:rFonts w:ascii="宋体" w:hAnsi="宋体" w:cs="宋体" w:eastAsia="宋体" w:hint="default"/>
                <w:sz w:val="21"/>
                <w:szCs w:val="21"/>
              </w:rPr>
              <w:t>试点工程</w:t>
            </w:r>
            <w:r>
              <w:rPr>
                <w:rFonts w:ascii="宋体" w:hAnsi="宋体" w:cs="宋体" w:eastAsia="宋体" w:hint="default"/>
                <w:w w:val="100"/>
                <w:sz w:val="21"/>
                <w:szCs w:val="21"/>
              </w:rPr>
              <w:t> </w:t>
            </w:r>
            <w:r>
              <w:rPr>
                <w:rFonts w:ascii="宋体" w:hAnsi="宋体" w:cs="宋体" w:eastAsia="宋体" w:hint="default"/>
                <w:sz w:val="21"/>
                <w:szCs w:val="21"/>
              </w:rPr>
              <w:t>补助</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6,000,000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6,000,000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岸电项目</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专项资金</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
                <w:sz w:val="21"/>
              </w:rPr>
              <w:t>4,974,775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
                <w:sz w:val="21"/>
              </w:rPr>
              <w:t>2,510,000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
                <w:sz w:val="21"/>
              </w:rPr>
              <w:t>-542,703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6"/>
              <w:jc w:val="right"/>
              <w:rPr>
                <w:rFonts w:ascii="Times New Roman" w:hAnsi="Times New Roman" w:cs="Times New Roman" w:eastAsia="Times New Roman" w:hint="default"/>
                <w:sz w:val="21"/>
                <w:szCs w:val="21"/>
              </w:rPr>
            </w:pPr>
            <w:r>
              <w:rPr>
                <w:rFonts w:ascii="Times New Roman"/>
                <w:spacing w:val="-1"/>
                <w:sz w:val="21"/>
              </w:rPr>
              <w:t>6,942,072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科学技术</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专项资金</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2,791,667</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-2,791,667</w:t>
            </w:r>
          </w:p>
        </w:tc>
        <w:tc>
          <w:tcPr>
            <w:tcW w:w="124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其他项目</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131,884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-131,884</w:t>
            </w:r>
          </w:p>
        </w:tc>
        <w:tc>
          <w:tcPr>
            <w:tcW w:w="124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205,830,431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15,510,000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-2,923,551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
                <w:sz w:val="21"/>
              </w:rPr>
              <w:t>-4,566,591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213,850,289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349" w:right="0"/>
        <w:jc w:val="left"/>
        <w:rPr>
          <w:rFonts w:ascii="宋体" w:hAnsi="宋体" w:cs="宋体" w:eastAsia="宋体" w:hint="default"/>
        </w:rPr>
      </w:pPr>
      <w:r>
        <w:rPr>
          <w:rFonts w:ascii="宋体"/>
          <w:w w:val="100"/>
        </w:rPr>
        <w:t> </w:t>
      </w:r>
    </w:p>
    <w:p>
      <w:pPr>
        <w:pStyle w:val="BodyText"/>
        <w:spacing w:line="240" w:lineRule="auto" w:before="58"/>
        <w:ind w:left="349" w:right="0"/>
        <w:jc w:val="left"/>
        <w:rPr>
          <w:rFonts w:ascii="宋体" w:hAnsi="宋体" w:cs="宋体" w:eastAsia="宋体" w:hint="default"/>
        </w:rPr>
      </w:pPr>
      <w:bookmarkStart w:name="OLE_LINK84" w:id="21"/>
      <w:bookmarkEnd w:id="21"/>
      <w:r>
        <w:rPr/>
      </w:r>
      <w:bookmarkStart w:name="OLE_LINK85" w:id="22"/>
      <w:bookmarkEnd w:id="22"/>
      <w:r>
        <w:rPr/>
      </w:r>
      <w:r>
        <w:rPr/>
        <w:t>其他说明：</w:t>
      </w:r>
      <w:r>
        <w:rPr>
          <w:rFonts w:ascii="宋体" w:hAnsi="宋体" w:cs="宋体" w:eastAsia="宋体" w:hint="default"/>
        </w:rPr>
        <w:t> </w:t>
      </w:r>
    </w:p>
    <w:p>
      <w:pPr>
        <w:pStyle w:val="BodyText"/>
        <w:spacing w:line="357" w:lineRule="auto" w:before="56"/>
        <w:ind w:left="769"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外航道专项资金为本集团从交通部以及财政部收到的款项，用于补贴外航道扩建工程，并在</w:t>
      </w:r>
    </w:p>
    <w:p>
      <w:pPr>
        <w:pStyle w:val="BodyText"/>
        <w:spacing w:line="257" w:lineRule="exact"/>
        <w:ind w:left="349" w:right="0"/>
        <w:jc w:val="left"/>
      </w:pPr>
      <w:r>
        <w:rPr/>
        <w:t>该项资产使用年限内平均计入当期损益。</w:t>
      </w:r>
    </w:p>
    <w:p>
      <w:pPr>
        <w:pStyle w:val="BodyText"/>
        <w:spacing w:line="304" w:lineRule="auto" w:before="85"/>
        <w:ind w:left="349" w:right="0" w:firstLine="419"/>
        <w:jc w:val="left"/>
      </w:pPr>
      <w:r>
        <w:rPr>
          <w:spacing w:val="-3"/>
        </w:rPr>
        <w:t>专项扶持资金为青岛港即墨港区国际物流有限公司</w:t>
      </w:r>
      <w:r>
        <w:rPr>
          <w:rFonts w:ascii="Times New Roman" w:hAnsi="Times New Roman" w:cs="Times New Roman" w:eastAsia="Times New Roman" w:hint="default"/>
          <w:spacing w:val="-3"/>
        </w:rPr>
        <w:t>(“</w:t>
      </w:r>
      <w:r>
        <w:rPr>
          <w:spacing w:val="-3"/>
        </w:rPr>
        <w:t>即墨物流</w:t>
      </w:r>
      <w:r>
        <w:rPr>
          <w:rFonts w:ascii="Times New Roman" w:hAnsi="Times New Roman" w:cs="Times New Roman" w:eastAsia="Times New Roman" w:hint="default"/>
          <w:spacing w:val="-3"/>
        </w:rPr>
        <w:t>”)</w:t>
      </w:r>
      <w:r>
        <w:rPr>
          <w:spacing w:val="-3"/>
        </w:rPr>
        <w:t>根据《青岛港即墨港区投资项</w:t>
      </w:r>
      <w:r>
        <w:rPr>
          <w:w w:val="100"/>
        </w:rPr>
        <w:t> </w:t>
      </w:r>
      <w:r>
        <w:rPr/>
        <w:t>目政策支持协议》自青岛市即墨区政府收到的项目扶持基金，用于即墨物流主体工程，并在该项</w:t>
      </w:r>
      <w:r>
        <w:rPr>
          <w:w w:val="100"/>
        </w:rPr>
        <w:t> </w:t>
      </w:r>
      <w:r>
        <w:rPr/>
        <w:t>资产使用年限内平均计入当期损益。</w:t>
      </w:r>
    </w:p>
    <w:p>
      <w:pPr>
        <w:pStyle w:val="BodyText"/>
        <w:spacing w:line="227" w:lineRule="exact"/>
        <w:ind w:left="349" w:right="0"/>
        <w:jc w:val="left"/>
        <w:rPr>
          <w:rFonts w:ascii="宋体" w:hAnsi="宋体" w:cs="宋体" w:eastAsia="宋体" w:hint="default"/>
        </w:rPr>
      </w:pPr>
      <w:r>
        <w:rPr>
          <w:rFonts w:ascii="宋体"/>
          <w:w w:val="100"/>
        </w:rPr>
        <w:t> </w:t>
      </w:r>
    </w:p>
    <w:p>
      <w:pPr>
        <w:pStyle w:val="Heading5"/>
        <w:spacing w:line="240" w:lineRule="auto"/>
        <w:ind w:left="349" w:right="0"/>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4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36" w:type="dxa"/>
        <w:tblLayout w:type="fixed"/>
        <w:tblCellMar>
          <w:top w:w="0" w:type="dxa"/>
          <w:left w:w="0" w:type="dxa"/>
          <w:bottom w:w="0" w:type="dxa"/>
          <w:right w:w="0" w:type="dxa"/>
        </w:tblCellMar>
        <w:tblLook w:val="01E0"/>
      </w:tblPr>
      <w:tblGrid>
        <w:gridCol w:w="3281"/>
        <w:gridCol w:w="2919"/>
        <w:gridCol w:w="2917"/>
      </w:tblGrid>
      <w:tr>
        <w:trPr>
          <w:trHeight w:val="28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预收租赁款</w:t>
            </w:r>
            <w:r>
              <w:rPr>
                <w:rFonts w:ascii="宋体" w:hAnsi="宋体" w:cs="宋体" w:eastAsia="宋体" w:hint="default"/>
                <w:sz w:val="21"/>
                <w:szCs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7"/>
              <w:jc w:val="right"/>
              <w:rPr>
                <w:rFonts w:ascii="Times New Roman" w:hAnsi="Times New Roman" w:cs="Times New Roman" w:eastAsia="Times New Roman" w:hint="default"/>
                <w:sz w:val="21"/>
                <w:szCs w:val="21"/>
              </w:rPr>
            </w:pPr>
            <w:r>
              <w:rPr>
                <w:rFonts w:ascii="Times New Roman"/>
                <w:spacing w:val="-1"/>
                <w:sz w:val="21"/>
              </w:rPr>
              <w:t>2,888,198,834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2,884,204,561</w:t>
            </w:r>
          </w:p>
        </w:tc>
      </w:tr>
      <w:tr>
        <w:trPr>
          <w:trHeight w:val="324"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2,888,198,834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2,884,204,561</w:t>
            </w:r>
          </w:p>
        </w:tc>
      </w:tr>
    </w:tbl>
    <w:p>
      <w:pPr>
        <w:pStyle w:val="BodyText"/>
        <w:spacing w:line="241" w:lineRule="exact"/>
        <w:ind w:left="349" w:right="0"/>
        <w:jc w:val="left"/>
        <w:rPr>
          <w:rFonts w:ascii="宋体" w:hAnsi="宋体" w:cs="宋体" w:eastAsia="宋体" w:hint="default"/>
        </w:rPr>
      </w:pPr>
      <w:r>
        <w:rPr>
          <w:rFonts w:ascii="宋体"/>
          <w:w w:val="100"/>
        </w:rPr>
        <w:t> </w:t>
      </w:r>
    </w:p>
    <w:p>
      <w:pPr>
        <w:pStyle w:val="BodyText"/>
        <w:spacing w:line="240" w:lineRule="auto" w:before="73"/>
        <w:ind w:left="34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7" w:lineRule="auto" w:before="85"/>
        <w:ind w:left="349" w:right="0" w:firstLine="419"/>
        <w:jc w:val="left"/>
      </w:pPr>
      <w:r>
        <w:rPr/>
        <w:t>预收租赁款主要为本集团向关联方</w:t>
      </w:r>
      <w:r>
        <w:rPr>
          <w:spacing w:val="-56"/>
        </w:rPr>
        <w:t> </w:t>
      </w:r>
      <w:r>
        <w:rPr>
          <w:rFonts w:ascii="Times New Roman" w:hAnsi="Times New Roman" w:cs="Times New Roman" w:eastAsia="Times New Roman" w:hint="default"/>
        </w:rPr>
        <w:t>QQCT</w:t>
      </w:r>
      <w:r>
        <w:rPr>
          <w:rFonts w:ascii="Times New Roman" w:hAnsi="Times New Roman" w:cs="Times New Roman" w:eastAsia="Times New Roman" w:hint="default"/>
          <w:spacing w:val="-3"/>
        </w:rPr>
        <w:t> </w:t>
      </w:r>
      <w:r>
        <w:rPr/>
        <w:t>出租前湾港区港口设施预收的租赁款以及从关联方</w:t>
      </w:r>
      <w:r>
        <w:rPr>
          <w:w w:val="100"/>
        </w:rPr>
        <w:t> </w:t>
      </w:r>
      <w:r>
        <w:rPr/>
        <w:t>青岛新前湾集装箱码头有限责任公司</w:t>
      </w:r>
      <w:r>
        <w:rPr>
          <w:rFonts w:ascii="Times New Roman" w:hAnsi="Times New Roman" w:cs="Times New Roman" w:eastAsia="Times New Roman" w:hint="default"/>
        </w:rPr>
        <w:t>(“QQCTN”)</w:t>
      </w:r>
      <w:r>
        <w:rPr/>
        <w:t>和青岛前湾联合集装箱码头有限责任公司</w:t>
      </w:r>
      <w:r>
        <w:rPr>
          <w:w w:val="100"/>
        </w:rPr>
        <w:t> </w:t>
      </w:r>
      <w:r>
        <w:rPr>
          <w:rFonts w:ascii="Times New Roman" w:hAnsi="Times New Roman" w:cs="Times New Roman" w:eastAsia="Times New Roman" w:hint="default"/>
        </w:rPr>
        <w:t>(“QQCTU”)</w:t>
      </w:r>
      <w:r>
        <w:rPr/>
        <w:t>收取的港池租赁费，租赁期限均为 </w:t>
      </w:r>
      <w:r>
        <w:rPr>
          <w:rFonts w:ascii="Times New Roman" w:hAnsi="Times New Roman" w:cs="Times New Roman" w:eastAsia="Times New Roman" w:hint="default"/>
        </w:rPr>
        <w:t>30</w:t>
      </w:r>
      <w:r>
        <w:rPr>
          <w:rFonts w:ascii="Times New Roman" w:hAnsi="Times New Roman" w:cs="Times New Roman" w:eastAsia="Times New Roman" w:hint="default"/>
          <w:spacing w:val="-31"/>
        </w:rPr>
        <w:t> </w:t>
      </w:r>
      <w:r>
        <w:rPr>
          <w:spacing w:val="-3"/>
        </w:rPr>
        <w:t>年；本集团向库博国际矿业有限公司出租前湾港</w:t>
      </w:r>
    </w:p>
    <w:p>
      <w:pPr>
        <w:pStyle w:val="BodyText"/>
        <w:spacing w:line="287" w:lineRule="exact" w:before="13"/>
        <w:ind w:left="349" w:right="0"/>
        <w:jc w:val="left"/>
        <w:rPr>
          <w:rFonts w:ascii="宋体" w:hAnsi="宋体" w:cs="宋体" w:eastAsia="宋体" w:hint="default"/>
        </w:rPr>
      </w:pPr>
      <w:r>
        <w:rPr/>
        <w:t>区堆场预收的租赁款，租赁期限为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w:t>
      </w:r>
      <w:r>
        <w:rPr>
          <w:rFonts w:ascii="宋体" w:hAnsi="宋体" w:cs="宋体" w:eastAsia="宋体" w:hint="default"/>
        </w:rPr>
        <w:t> </w:t>
      </w:r>
    </w:p>
    <w:p>
      <w:pPr>
        <w:pStyle w:val="BodyText"/>
        <w:spacing w:line="271" w:lineRule="exact"/>
        <w:ind w:left="349" w:right="0"/>
        <w:jc w:val="left"/>
        <w:rPr>
          <w:rFonts w:ascii="宋体" w:hAnsi="宋体" w:cs="宋体" w:eastAsia="宋体" w:hint="default"/>
        </w:rPr>
      </w:pPr>
      <w:r>
        <w:rPr>
          <w:rFonts w:ascii="宋体"/>
          <w:w w:val="100"/>
        </w:rPr>
        <w:t> </w:t>
      </w:r>
    </w:p>
    <w:p>
      <w:pPr>
        <w:pStyle w:val="Heading5"/>
        <w:spacing w:line="240" w:lineRule="auto" w:before="58"/>
        <w:ind w:left="349" w:right="0"/>
        <w:jc w:val="left"/>
        <w:rPr>
          <w:rFonts w:ascii="宋体" w:hAnsi="宋体" w:cs="宋体" w:eastAsia="宋体" w:hint="default"/>
          <w:b w:val="0"/>
          <w:bCs w:val="0"/>
        </w:rPr>
      </w:pPr>
      <w:r>
        <w:rPr>
          <w:rFonts w:ascii="宋体" w:hAnsi="宋体" w:cs="宋体" w:eastAsia="宋体" w:hint="default"/>
        </w:rPr>
        <w:t>53</w:t>
      </w:r>
      <w:r>
        <w:rPr/>
        <w:t>、</w:t>
      </w:r>
      <w:r>
        <w:rPr>
          <w:spacing w:val="-25"/>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6938" w:right="24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2"/>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160" w:left="1240" w:right="1060"/>
        </w:sectPr>
      </w:pPr>
    </w:p>
    <w:p>
      <w:pPr>
        <w:spacing w:line="240" w:lineRule="auto" w:before="9"/>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106"/>
        <w:gridCol w:w="2117"/>
        <w:gridCol w:w="1817"/>
        <w:gridCol w:w="1826"/>
        <w:gridCol w:w="2249"/>
      </w:tblGrid>
      <w:tr>
        <w:trPr>
          <w:trHeight w:val="281" w:hRule="exact"/>
        </w:trPr>
        <w:tc>
          <w:tcPr>
            <w:tcW w:w="1106"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17" w:type="dxa"/>
            <w:vMerge w:val="restart"/>
            <w:tcBorders>
              <w:top w:val="single" w:sz="4" w:space="0" w:color="000000"/>
              <w:left w:val="single" w:sz="4" w:space="0" w:color="000000"/>
              <w:right w:val="single" w:sz="4" w:space="0" w:color="000000"/>
            </w:tcBorders>
          </w:tcPr>
          <w:p>
            <w:pPr>
              <w:pStyle w:val="TableParagraph"/>
              <w:spacing w:line="240" w:lineRule="auto" w:before="127"/>
              <w:ind w:left="6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2249" w:type="dxa"/>
            <w:vMerge w:val="restart"/>
            <w:tcBorders>
              <w:top w:val="single" w:sz="4" w:space="0" w:color="000000"/>
              <w:left w:val="single" w:sz="4" w:space="0" w:color="000000"/>
              <w:right w:val="single" w:sz="4" w:space="0" w:color="000000"/>
            </w:tcBorders>
          </w:tcPr>
          <w:p>
            <w:pPr>
              <w:pStyle w:val="TableParagraph"/>
              <w:spacing w:line="240" w:lineRule="auto" w:before="127"/>
              <w:ind w:left="6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4" w:hRule="exact"/>
        </w:trPr>
        <w:tc>
          <w:tcPr>
            <w:tcW w:w="1106" w:type="dxa"/>
            <w:vMerge/>
            <w:tcBorders>
              <w:left w:val="single" w:sz="4" w:space="0" w:color="000000"/>
              <w:bottom w:val="single" w:sz="4" w:space="0" w:color="000000"/>
              <w:right w:val="single" w:sz="4" w:space="0" w:color="000000"/>
            </w:tcBorders>
          </w:tcPr>
          <w:p>
            <w:pPr/>
          </w:p>
        </w:tc>
        <w:tc>
          <w:tcPr>
            <w:tcW w:w="2117"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84" w:right="0"/>
              <w:jc w:val="left"/>
              <w:rPr>
                <w:rFonts w:ascii="宋体" w:hAnsi="宋体" w:cs="宋体" w:eastAsia="宋体" w:hint="default"/>
                <w:sz w:val="21"/>
                <w:szCs w:val="21"/>
              </w:rPr>
            </w:pPr>
            <w:r>
              <w:rPr>
                <w:rFonts w:ascii="宋体" w:hAnsi="宋体" w:cs="宋体" w:eastAsia="宋体" w:hint="default"/>
                <w:sz w:val="21"/>
                <w:szCs w:val="21"/>
              </w:rPr>
              <w:t>发行新股</w:t>
            </w:r>
            <w:r>
              <w:rPr>
                <w:rFonts w:ascii="宋体" w:hAnsi="宋体" w:cs="宋体" w:eastAsia="宋体" w:hint="default"/>
                <w:sz w:val="21"/>
                <w:szCs w:val="21"/>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9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249" w:type="dxa"/>
            <w:vMerge/>
            <w:tcBorders>
              <w:left w:val="single" w:sz="4" w:space="0" w:color="000000"/>
              <w:bottom w:val="single" w:sz="4" w:space="0" w:color="000000"/>
              <w:right w:val="single" w:sz="4" w:space="0" w:color="000000"/>
            </w:tcBorders>
          </w:tcPr>
          <w:p>
            <w:pPr/>
          </w:p>
        </w:tc>
      </w:tr>
      <w:tr>
        <w:trPr>
          <w:trHeight w:val="281" w:hRule="exact"/>
        </w:trPr>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94" w:right="0"/>
              <w:jc w:val="left"/>
              <w:rPr>
                <w:rFonts w:ascii="Times New Roman" w:hAnsi="Times New Roman" w:cs="Times New Roman" w:eastAsia="Times New Roman" w:hint="default"/>
                <w:sz w:val="21"/>
                <w:szCs w:val="21"/>
              </w:rPr>
            </w:pPr>
            <w:r>
              <w:rPr>
                <w:rFonts w:ascii="Times New Roman"/>
                <w:sz w:val="21"/>
              </w:rPr>
              <w:t>6,036,724,000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5" w:right="0"/>
              <w:jc w:val="left"/>
              <w:rPr>
                <w:rFonts w:ascii="Times New Roman" w:hAnsi="Times New Roman" w:cs="Times New Roman" w:eastAsia="Times New Roman" w:hint="default"/>
                <w:sz w:val="21"/>
                <w:szCs w:val="21"/>
              </w:rPr>
            </w:pPr>
            <w:r>
              <w:rPr>
                <w:rFonts w:ascii="Times New Roman"/>
                <w:sz w:val="21"/>
              </w:rPr>
              <w:t>454,376,000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60" w:right="0"/>
              <w:jc w:val="left"/>
              <w:rPr>
                <w:rFonts w:ascii="Times New Roman" w:hAnsi="Times New Roman" w:cs="Times New Roman" w:eastAsia="Times New Roman" w:hint="default"/>
                <w:sz w:val="21"/>
                <w:szCs w:val="21"/>
              </w:rPr>
            </w:pPr>
            <w:r>
              <w:rPr>
                <w:rFonts w:ascii="Times New Roman"/>
                <w:sz w:val="21"/>
              </w:rPr>
              <w:t>454,376,000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7" w:right="0"/>
              <w:jc w:val="left"/>
              <w:rPr>
                <w:rFonts w:ascii="Times New Roman" w:hAnsi="Times New Roman" w:cs="Times New Roman" w:eastAsia="Times New Roman" w:hint="default"/>
                <w:sz w:val="21"/>
                <w:szCs w:val="21"/>
              </w:rPr>
            </w:pPr>
            <w:r>
              <w:rPr>
                <w:rFonts w:ascii="Times New Roman"/>
                <w:sz w:val="21"/>
              </w:rPr>
              <w:t>6,491,100,000</w:t>
            </w:r>
          </w:p>
        </w:tc>
      </w:tr>
    </w:tbl>
    <w:p>
      <w:pPr>
        <w:pStyle w:val="BodyText"/>
        <w:spacing w:line="241" w:lineRule="exact"/>
        <w:ind w:left="229" w:right="0"/>
        <w:jc w:val="both"/>
        <w:rPr>
          <w:rFonts w:ascii="宋体" w:hAnsi="宋体" w:cs="宋体" w:eastAsia="宋体" w:hint="default"/>
        </w:rPr>
      </w:pPr>
      <w:r>
        <w:rPr>
          <w:rFonts w:ascii="宋体"/>
          <w:w w:val="100"/>
        </w:rPr>
        <w:t> </w:t>
      </w:r>
    </w:p>
    <w:p>
      <w:pPr>
        <w:pStyle w:val="BodyText"/>
        <w:spacing w:line="240" w:lineRule="auto" w:before="58"/>
        <w:ind w:left="229" w:right="0"/>
        <w:jc w:val="both"/>
      </w:pPr>
      <w:r>
        <w:rPr/>
        <w:t>其他说明：</w:t>
      </w:r>
    </w:p>
    <w:p>
      <w:pPr>
        <w:pStyle w:val="BodyText"/>
        <w:spacing w:line="240" w:lineRule="auto" w:before="133"/>
        <w:ind w:left="649" w:right="0"/>
        <w:jc w:val="left"/>
      </w:pPr>
      <w:r>
        <w:rPr/>
        <w:t>根据中国证券监督管理委员会于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日签发的证监许可</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rFonts w:ascii="Times New Roman" w:hAnsi="Times New Roman" w:cs="Times New Roman" w:eastAsia="Times New Roman" w:hint="default"/>
        </w:rPr>
        <w:t>1839</w:t>
      </w:r>
      <w:r>
        <w:rPr>
          <w:rFonts w:ascii="Times New Roman" w:hAnsi="Times New Roman" w:cs="Times New Roman" w:eastAsia="Times New Roman" w:hint="default"/>
          <w:spacing w:val="1"/>
        </w:rPr>
        <w:t> </w:t>
      </w:r>
      <w:r>
        <w:rPr>
          <w:spacing w:val="-11"/>
        </w:rPr>
        <w:t>号文《关于核</w:t>
      </w:r>
    </w:p>
    <w:p>
      <w:pPr>
        <w:pStyle w:val="BodyText"/>
        <w:spacing w:line="240" w:lineRule="auto" w:before="69"/>
        <w:ind w:left="229" w:right="0"/>
        <w:jc w:val="both"/>
      </w:pPr>
      <w:r>
        <w:rPr/>
        <w:t>准青岛港国际股份有限公司首次公开发行股票的批复》，本公司获准于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日向社会</w:t>
      </w:r>
    </w:p>
    <w:p>
      <w:pPr>
        <w:pStyle w:val="BodyText"/>
        <w:spacing w:line="297" w:lineRule="auto" w:before="69"/>
        <w:ind w:left="229" w:right="239"/>
        <w:jc w:val="both"/>
      </w:pPr>
      <w:r>
        <w:rPr/>
        <w:t>公众发行人民币普通股</w:t>
      </w:r>
      <w:r>
        <w:rPr>
          <w:spacing w:val="-54"/>
        </w:rPr>
        <w:t> </w:t>
      </w:r>
      <w:r>
        <w:rPr>
          <w:rFonts w:ascii="Times New Roman" w:hAnsi="Times New Roman" w:cs="Times New Roman" w:eastAsia="Times New Roman" w:hint="default"/>
        </w:rPr>
        <w:t>454,376,000</w:t>
      </w:r>
      <w:r>
        <w:rPr>
          <w:rFonts w:ascii="Times New Roman" w:hAnsi="Times New Roman" w:cs="Times New Roman" w:eastAsia="Times New Roman" w:hint="default"/>
          <w:spacing w:val="-3"/>
        </w:rPr>
        <w:t> </w:t>
      </w:r>
      <w:r>
        <w:rPr/>
        <w:t>股，每股发行价格为人民币</w:t>
      </w:r>
      <w:r>
        <w:rPr>
          <w:spacing w:val="-54"/>
        </w:rPr>
        <w:t> </w:t>
      </w:r>
      <w:r>
        <w:rPr>
          <w:rFonts w:ascii="Times New Roman" w:hAnsi="Times New Roman" w:cs="Times New Roman" w:eastAsia="Times New Roman" w:hint="default"/>
        </w:rPr>
        <w:t>4.61</w:t>
      </w:r>
      <w:r>
        <w:rPr>
          <w:rFonts w:ascii="Times New Roman" w:hAnsi="Times New Roman" w:cs="Times New Roman" w:eastAsia="Times New Roman" w:hint="default"/>
          <w:spacing w:val="-1"/>
        </w:rPr>
        <w:t> </w:t>
      </w:r>
      <w:r>
        <w:rPr/>
        <w:t>元。上述资金于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w w:val="100"/>
        </w:rPr>
        <w:t> </w:t>
      </w:r>
      <w:r>
        <w:rPr>
          <w:spacing w:val="-2"/>
        </w:rPr>
        <w:t>到位，业经普华永道中天会计师事务所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予以验证并出具普华永道中天验字</w:t>
      </w:r>
      <w:r>
        <w:rPr>
          <w:rFonts w:ascii="Times New Roman" w:hAnsi="Times New Roman" w:cs="Times New Roman" w:eastAsia="Times New Roman" w:hint="default"/>
          <w:spacing w:val="-2"/>
        </w:rPr>
        <w:t>(2019)</w:t>
      </w:r>
      <w:r>
        <w:rPr>
          <w:spacing w:val="-2"/>
        </w:rPr>
        <w:t>第</w:t>
      </w:r>
      <w:r>
        <w:rPr>
          <w:spacing w:val="-19"/>
        </w:rPr>
        <w:t> </w:t>
      </w:r>
      <w:r>
        <w:rPr>
          <w:rFonts w:ascii="Times New Roman" w:hAnsi="Times New Roman" w:cs="Times New Roman" w:eastAsia="Times New Roman" w:hint="default"/>
        </w:rPr>
        <w:t>0026</w:t>
      </w:r>
      <w:r>
        <w:rPr>
          <w:rFonts w:ascii="Times New Roman" w:hAnsi="Times New Roman" w:cs="Times New Roman" w:eastAsia="Times New Roman" w:hint="default"/>
          <w:spacing w:val="-4"/>
        </w:rPr>
        <w:t> </w:t>
      </w:r>
      <w:r>
        <w:rPr/>
        <w:t>号验资报告。本次募集资金总额</w:t>
      </w:r>
      <w:r>
        <w:rPr>
          <w:spacing w:val="-54"/>
        </w:rPr>
        <w:t> </w:t>
      </w:r>
      <w:r>
        <w:rPr>
          <w:rFonts w:ascii="Times New Roman" w:hAnsi="Times New Roman" w:cs="Times New Roman" w:eastAsia="Times New Roman" w:hint="default"/>
        </w:rPr>
        <w:t>2,094,673,360</w:t>
      </w:r>
      <w:r>
        <w:rPr>
          <w:rFonts w:ascii="Times New Roman" w:hAnsi="Times New Roman" w:cs="Times New Roman" w:eastAsia="Times New Roman" w:hint="default"/>
          <w:spacing w:val="-4"/>
        </w:rPr>
        <w:t> </w:t>
      </w:r>
      <w:r>
        <w:rPr/>
        <w:t>元，本公司股本增加</w:t>
      </w:r>
      <w:r>
        <w:rPr>
          <w:spacing w:val="-54"/>
        </w:rPr>
        <w:t> </w:t>
      </w:r>
      <w:r>
        <w:rPr>
          <w:rFonts w:ascii="Times New Roman" w:hAnsi="Times New Roman" w:cs="Times New Roman" w:eastAsia="Times New Roman" w:hint="default"/>
        </w:rPr>
        <w:t>454,376,000</w:t>
      </w:r>
      <w:r>
        <w:rPr>
          <w:rFonts w:ascii="Times New Roman" w:hAnsi="Times New Roman" w:cs="Times New Roman" w:eastAsia="Times New Roman" w:hint="default"/>
          <w:spacing w:val="-3"/>
        </w:rPr>
        <w:t> </w:t>
      </w:r>
      <w:r>
        <w:rPr/>
        <w:t>元，扣除发</w:t>
      </w:r>
    </w:p>
    <w:p>
      <w:pPr>
        <w:pStyle w:val="BodyText"/>
        <w:spacing w:line="287" w:lineRule="exact" w:before="13"/>
        <w:ind w:left="229" w:right="0"/>
        <w:jc w:val="both"/>
      </w:pPr>
      <w:r>
        <w:rPr/>
        <w:t>行费用</w:t>
      </w:r>
      <w:r>
        <w:rPr>
          <w:spacing w:val="-56"/>
        </w:rPr>
        <w:t> </w:t>
      </w:r>
      <w:r>
        <w:rPr>
          <w:rFonts w:ascii="Times New Roman" w:hAnsi="Times New Roman" w:cs="Times New Roman" w:eastAsia="Times New Roman" w:hint="default"/>
        </w:rPr>
        <w:t>115,743,592</w:t>
      </w:r>
      <w:r>
        <w:rPr>
          <w:rFonts w:ascii="Times New Roman" w:hAnsi="Times New Roman" w:cs="Times New Roman" w:eastAsia="Times New Roman" w:hint="default"/>
          <w:spacing w:val="-6"/>
        </w:rPr>
        <w:t> </w:t>
      </w:r>
      <w:r>
        <w:rPr/>
        <w:t>元之后，剩余</w:t>
      </w:r>
      <w:r>
        <w:rPr>
          <w:spacing w:val="-55"/>
        </w:rPr>
        <w:t> </w:t>
      </w:r>
      <w:r>
        <w:rPr>
          <w:rFonts w:ascii="Times New Roman" w:hAnsi="Times New Roman" w:cs="Times New Roman" w:eastAsia="Times New Roman" w:hint="default"/>
        </w:rPr>
        <w:t>1,524,553,768</w:t>
      </w:r>
      <w:r>
        <w:rPr>
          <w:rFonts w:ascii="Times New Roman" w:hAnsi="Times New Roman" w:cs="Times New Roman" w:eastAsia="Times New Roman" w:hint="default"/>
          <w:spacing w:val="-3"/>
        </w:rPr>
        <w:t> </w:t>
      </w:r>
      <w:r>
        <w:rPr/>
        <w:t>元计入资本公积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271" w:lineRule="exact"/>
        <w:ind w:left="229" w:right="0"/>
        <w:jc w:val="both"/>
        <w:rPr>
          <w:rFonts w:ascii="宋体" w:hAnsi="宋体" w:cs="宋体" w:eastAsia="宋体" w:hint="default"/>
        </w:rPr>
      </w:pPr>
      <w:r>
        <w:rPr>
          <w:rFonts w:ascii="宋体"/>
          <w:w w:val="100"/>
        </w:rPr>
        <w:t> </w:t>
      </w:r>
    </w:p>
    <w:p>
      <w:pPr>
        <w:pStyle w:val="Heading5"/>
        <w:spacing w:line="240" w:lineRule="auto" w:before="58"/>
        <w:ind w:left="229" w:right="0"/>
        <w:jc w:val="both"/>
        <w:rPr>
          <w:rFonts w:ascii="宋体" w:hAnsi="宋体" w:cs="宋体" w:eastAsia="宋体" w:hint="default"/>
          <w:b w:val="0"/>
          <w:bCs w:val="0"/>
        </w:rPr>
      </w:pPr>
      <w:r>
        <w:rPr>
          <w:rFonts w:ascii="宋体" w:hAnsi="宋体" w:cs="宋体" w:eastAsia="宋体" w:hint="default"/>
        </w:rPr>
        <w:t>54</w:t>
      </w:r>
      <w:r>
        <w:rPr/>
        <w:t>、</w:t>
      </w:r>
      <w:r>
        <w:rPr>
          <w:spacing w:val="-47"/>
        </w:rPr>
        <w:t> </w:t>
      </w:r>
      <w:r>
        <w:rPr/>
        <w:t>其他权益工具</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left="229" w:right="0"/>
        <w:jc w:val="both"/>
        <w:rPr>
          <w:rFonts w:ascii="宋体" w:hAnsi="宋体" w:cs="宋体" w:eastAsia="宋体" w:hint="default"/>
          <w:b w:val="0"/>
          <w:bCs w:val="0"/>
        </w:rPr>
      </w:pPr>
      <w:r>
        <w:rPr>
          <w:rFonts w:ascii="宋体" w:hAnsi="宋体" w:cs="宋体" w:eastAsia="宋体" w:hint="default"/>
        </w:rPr>
        <w:t>(1).  </w:t>
      </w:r>
      <w:r>
        <w:rPr>
          <w:rFonts w:ascii="宋体" w:hAnsi="宋体" w:cs="宋体" w:eastAsia="宋体" w:hint="default"/>
          <w:spacing w:val="96"/>
        </w:rPr>
        <w:t> </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29"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9" w:right="0"/>
        <w:jc w:val="both"/>
        <w:rPr>
          <w:rFonts w:ascii="宋体" w:hAnsi="宋体" w:cs="宋体" w:eastAsia="宋体" w:hint="default"/>
        </w:rPr>
      </w:pPr>
      <w:r>
        <w:rPr>
          <w:rFonts w:ascii="宋体"/>
          <w:w w:val="100"/>
        </w:rPr>
        <w:t> </w:t>
      </w:r>
    </w:p>
    <w:p>
      <w:pPr>
        <w:pStyle w:val="Heading5"/>
        <w:spacing w:line="240" w:lineRule="auto" w:before="58"/>
        <w:ind w:left="229"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96"/>
        </w:rPr>
        <w:t> </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29"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29"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spacing w:val="-1"/>
          <w:w w:val="100"/>
        </w:rPr>
        <w:t>：</w:t>
      </w:r>
      <w:r>
        <w:rPr>
          <w:rFonts w:ascii="宋体" w:hAnsi="宋体" w:cs="宋体" w:eastAsia="宋体" w:hint="default"/>
          <w:w w:val="100"/>
        </w:rPr>
        <w:t> </w:t>
      </w:r>
    </w:p>
    <w:p>
      <w:pPr>
        <w:pStyle w:val="BodyText"/>
        <w:spacing w:line="247" w:lineRule="exact"/>
        <w:ind w:left="229"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9"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1" w:lineRule="exact"/>
        <w:ind w:left="229"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9" w:right="0"/>
        <w:jc w:val="both"/>
        <w:rPr>
          <w:rFonts w:ascii="宋体" w:hAnsi="宋体" w:cs="宋体" w:eastAsia="宋体" w:hint="default"/>
        </w:rPr>
      </w:pPr>
      <w:r>
        <w:rPr>
          <w:rFonts w:ascii="宋体"/>
          <w:w w:val="100"/>
        </w:rPr>
        <w:t> </w:t>
      </w:r>
    </w:p>
    <w:p>
      <w:pPr>
        <w:pStyle w:val="Heading5"/>
        <w:spacing w:line="240" w:lineRule="auto"/>
        <w:ind w:left="229" w:right="0"/>
        <w:jc w:val="both"/>
        <w:rPr>
          <w:rFonts w:ascii="宋体" w:hAnsi="宋体" w:cs="宋体" w:eastAsia="宋体" w:hint="default"/>
          <w:b w:val="0"/>
          <w:bCs w:val="0"/>
        </w:rPr>
      </w:pPr>
      <w:r>
        <w:rPr>
          <w:rFonts w:ascii="宋体" w:hAnsi="宋体" w:cs="宋体" w:eastAsia="宋体" w:hint="default"/>
        </w:rPr>
        <w:t>55</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9"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18"/>
        <w:gridCol w:w="1834"/>
        <w:gridCol w:w="1870"/>
        <w:gridCol w:w="1853"/>
        <w:gridCol w:w="185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10,761,664,794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1,539,799,344</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12,301,464,138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16,303,999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8,584,824</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24,888,823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10,777,968,793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1,548,384,168</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12,326,352,961</w:t>
            </w:r>
          </w:p>
        </w:tc>
      </w:tr>
    </w:tbl>
    <w:p>
      <w:pPr>
        <w:spacing w:line="240" w:lineRule="auto" w:before="13"/>
        <w:rPr>
          <w:rFonts w:ascii="宋体" w:hAnsi="宋体" w:cs="宋体" w:eastAsia="宋体" w:hint="default"/>
          <w:sz w:val="12"/>
          <w:szCs w:val="12"/>
        </w:rPr>
      </w:pPr>
    </w:p>
    <w:p>
      <w:pPr>
        <w:pStyle w:val="BodyText"/>
        <w:spacing w:line="240" w:lineRule="auto" w:before="36"/>
        <w:ind w:left="229" w:right="0"/>
        <w:jc w:val="left"/>
      </w:pPr>
      <w:r>
        <w:rPr/>
        <w:t>其他说明，包括本期增减变动情况、变动原因说明：</w:t>
      </w:r>
    </w:p>
    <w:p>
      <w:pPr>
        <w:spacing w:line="240" w:lineRule="auto" w:before="13"/>
        <w:rPr>
          <w:rFonts w:ascii="宋体" w:hAnsi="宋体" w:cs="宋体" w:eastAsia="宋体" w:hint="default"/>
          <w:sz w:val="14"/>
          <w:szCs w:val="14"/>
        </w:rPr>
      </w:pPr>
    </w:p>
    <w:p>
      <w:pPr>
        <w:pStyle w:val="BodyText"/>
        <w:spacing w:line="240" w:lineRule="auto"/>
        <w:ind w:left="649" w:right="0"/>
        <w:jc w:val="left"/>
      </w:pPr>
      <w:r>
        <w:rPr/>
        <w:t>本公司于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日完成首次公开发行人民币普通股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454,376,000 </w:t>
      </w:r>
      <w:r>
        <w:rPr/>
        <w:t>股的工作，募</w:t>
      </w:r>
    </w:p>
    <w:p>
      <w:pPr>
        <w:pStyle w:val="BodyText"/>
        <w:spacing w:line="240" w:lineRule="auto" w:before="69"/>
        <w:ind w:left="229" w:right="0"/>
        <w:jc w:val="left"/>
      </w:pPr>
      <w:r>
        <w:rPr/>
        <w:t>集资金扣除资本化的发行费用后的净额为</w:t>
      </w:r>
      <w:r>
        <w:rPr>
          <w:spacing w:val="-56"/>
        </w:rPr>
        <w:t> </w:t>
      </w:r>
      <w:r>
        <w:rPr>
          <w:rFonts w:ascii="Times New Roman" w:hAnsi="Times New Roman" w:cs="Times New Roman" w:eastAsia="Times New Roman" w:hint="default"/>
        </w:rPr>
        <w:t>1,978,929,768</w:t>
      </w:r>
      <w:r>
        <w:rPr>
          <w:rFonts w:ascii="Times New Roman" w:hAnsi="Times New Roman" w:cs="Times New Roman" w:eastAsia="Times New Roman" w:hint="default"/>
          <w:spacing w:val="-3"/>
        </w:rPr>
        <w:t> </w:t>
      </w:r>
      <w:r>
        <w:rPr/>
        <w:t>元，其中股本</w:t>
      </w:r>
      <w:r>
        <w:rPr>
          <w:spacing w:val="-56"/>
        </w:rPr>
        <w:t> </w:t>
      </w:r>
      <w:r>
        <w:rPr>
          <w:rFonts w:ascii="Times New Roman" w:hAnsi="Times New Roman" w:cs="Times New Roman" w:eastAsia="Times New Roman" w:hint="default"/>
        </w:rPr>
        <w:t>454,376,000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股本数量</w:t>
      </w:r>
    </w:p>
    <w:p>
      <w:pPr>
        <w:pStyle w:val="BodyText"/>
        <w:spacing w:line="287" w:lineRule="exact" w:before="69"/>
        <w:ind w:left="229" w:right="0"/>
        <w:jc w:val="left"/>
      </w:pPr>
      <w:r>
        <w:rPr>
          <w:rFonts w:ascii="Times New Roman" w:hAnsi="Times New Roman" w:cs="Times New Roman" w:eastAsia="Times New Roman" w:hint="default"/>
        </w:rPr>
        <w:t>454,376,000</w:t>
      </w:r>
      <w:r>
        <w:rPr>
          <w:rFonts w:ascii="Times New Roman" w:hAnsi="Times New Roman" w:cs="Times New Roman" w:eastAsia="Times New Roman" w:hint="default"/>
          <w:spacing w:val="-1"/>
        </w:rPr>
        <w:t> </w:t>
      </w:r>
      <w:r>
        <w:rPr/>
        <w:t>股，每股面值</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，资本公积</w:t>
      </w:r>
      <w:r>
        <w:rPr>
          <w:spacing w:val="-56"/>
        </w:rPr>
        <w:t> </w:t>
      </w:r>
      <w:r>
        <w:rPr>
          <w:rFonts w:ascii="Times New Roman" w:hAnsi="Times New Roman" w:cs="Times New Roman" w:eastAsia="Times New Roman" w:hint="default"/>
        </w:rPr>
        <w:t>1,524,553,768</w:t>
      </w:r>
      <w:r>
        <w:rPr>
          <w:rFonts w:ascii="Times New Roman" w:hAnsi="Times New Roman" w:cs="Times New Roman" w:eastAsia="Times New Roman" w:hint="default"/>
          <w:spacing w:val="-1"/>
        </w:rPr>
        <w:t> </w:t>
      </w:r>
      <w:r>
        <w:rPr/>
        <w:t>元。</w:t>
      </w:r>
    </w:p>
    <w:p>
      <w:pPr>
        <w:pStyle w:val="BodyText"/>
        <w:spacing w:line="271" w:lineRule="exact"/>
        <w:ind w:left="229" w:right="0"/>
        <w:jc w:val="left"/>
        <w:rPr>
          <w:rFonts w:ascii="宋体" w:hAnsi="宋体" w:cs="宋体" w:eastAsia="宋体" w:hint="default"/>
        </w:rPr>
      </w:pPr>
      <w:r>
        <w:rPr>
          <w:rFonts w:ascii="宋体"/>
          <w:w w:val="100"/>
        </w:rPr>
        <w:t> </w:t>
      </w:r>
    </w:p>
    <w:p>
      <w:pPr>
        <w:pStyle w:val="Heading5"/>
        <w:spacing w:line="240" w:lineRule="auto"/>
        <w:ind w:left="229" w:right="0"/>
        <w:jc w:val="left"/>
        <w:rPr>
          <w:rFonts w:ascii="宋体" w:hAnsi="宋体" w:cs="宋体" w:eastAsia="宋体" w:hint="default"/>
          <w:b w:val="0"/>
          <w:bCs w:val="0"/>
        </w:rPr>
      </w:pPr>
      <w:r>
        <w:rPr>
          <w:rFonts w:ascii="宋体" w:hAnsi="宋体" w:cs="宋体" w:eastAsia="宋体" w:hint="default"/>
        </w:rPr>
        <w:t>56</w:t>
      </w:r>
      <w:r>
        <w:rPr/>
        <w:t>、</w:t>
      </w:r>
      <w:r>
        <w:rPr>
          <w:spacing w:val="-24"/>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109" w:val="left" w:leader="none"/>
        </w:tabs>
        <w:spacing w:line="273" w:lineRule="exact"/>
        <w:ind w:left="229"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0" w:footer="974" w:top="1080" w:bottom="1160" w:left="1360" w:right="1180"/>
        </w:sect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900" w:right="560"/>
        </w:sectPr>
      </w:pPr>
    </w:p>
    <w:p>
      <w:pPr>
        <w:pStyle w:val="Heading5"/>
        <w:spacing w:line="240" w:lineRule="auto" w:before="36"/>
        <w:ind w:left="689" w:right="0"/>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8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68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00" w:right="560"/>
          <w:cols w:num="2" w:equalWidth="0">
            <w:col w:w="2564" w:space="4025"/>
            <w:col w:w="3861"/>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839"/>
        <w:gridCol w:w="1280"/>
        <w:gridCol w:w="1277"/>
        <w:gridCol w:w="852"/>
        <w:gridCol w:w="850"/>
        <w:gridCol w:w="425"/>
        <w:gridCol w:w="1202"/>
        <w:gridCol w:w="1349"/>
        <w:gridCol w:w="1135"/>
      </w:tblGrid>
      <w:tr>
        <w:trPr>
          <w:trHeight w:val="245"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3" w:right="45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59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81" w:right="383"/>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644" w:hRule="exact"/>
        </w:trPr>
        <w:tc>
          <w:tcPr>
            <w:tcW w:w="1839"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273" w:right="182"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51" w:right="101" w:hanging="48"/>
              <w:jc w:val="both"/>
              <w:rPr>
                <w:rFonts w:ascii="宋体" w:hAnsi="宋体" w:cs="宋体" w:eastAsia="宋体" w:hint="default"/>
                <w:sz w:val="18"/>
                <w:szCs w:val="18"/>
              </w:rPr>
            </w:pPr>
            <w:r>
              <w:rPr>
                <w:rFonts w:ascii="宋体" w:hAnsi="宋体" w:cs="宋体" w:eastAsia="宋体" w:hint="default"/>
                <w:spacing w:val="-22"/>
                <w:sz w:val="18"/>
                <w:szCs w:val="18"/>
              </w:rPr>
              <w:t>减：前期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计入其 他综合 收益当 期转入 损益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7"/>
                <w:sz w:val="18"/>
                <w:szCs w:val="18"/>
              </w:rPr>
              <w:t>：</w:t>
            </w:r>
            <w:r>
              <w:rPr>
                <w:rFonts w:ascii="宋体" w:hAnsi="宋体" w:cs="宋体" w:eastAsia="宋体" w:hint="default"/>
                <w:sz w:val="18"/>
                <w:szCs w:val="18"/>
              </w:rPr>
              <w:t>前期</w:t>
            </w:r>
          </w:p>
          <w:p>
            <w:pPr>
              <w:pStyle w:val="TableParagraph"/>
              <w:spacing w:line="237" w:lineRule="auto"/>
              <w:ind w:left="146" w:right="153"/>
              <w:jc w:val="center"/>
              <w:rPr>
                <w:rFonts w:ascii="宋体" w:hAnsi="宋体" w:cs="宋体" w:eastAsia="宋体" w:hint="default"/>
                <w:sz w:val="18"/>
                <w:szCs w:val="18"/>
              </w:rPr>
            </w:pPr>
            <w:r>
              <w:rPr>
                <w:rFonts w:ascii="宋体" w:hAnsi="宋体" w:cs="宋体" w:eastAsia="宋体" w:hint="default"/>
                <w:sz w:val="18"/>
                <w:szCs w:val="18"/>
              </w:rPr>
              <w:t>计入其 他综合 收益当 期转入 留存收 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sz w:val="18"/>
                <w:szCs w:val="18"/>
              </w:rPr>
              <w:t>： 所 得 税 费 用</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323" w:right="146"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398" w:right="128" w:hanging="270"/>
              <w:jc w:val="left"/>
              <w:rPr>
                <w:rFonts w:ascii="宋体" w:hAnsi="宋体" w:cs="宋体" w:eastAsia="宋体" w:hint="default"/>
                <w:sz w:val="18"/>
                <w:szCs w:val="18"/>
              </w:rPr>
            </w:pPr>
            <w:r>
              <w:rPr>
                <w:rFonts w:ascii="宋体" w:hAnsi="宋体" w:cs="宋体" w:eastAsia="宋体" w:hint="default"/>
                <w:sz w:val="18"/>
                <w:szCs w:val="18"/>
              </w:rPr>
              <w:t>税后归属于少 数股东</w:t>
            </w:r>
          </w:p>
        </w:tc>
        <w:tc>
          <w:tcPr>
            <w:tcW w:w="1135" w:type="dxa"/>
            <w:vMerge/>
            <w:tcBorders>
              <w:left w:val="single" w:sz="4" w:space="0" w:color="000000"/>
              <w:bottom w:val="single" w:sz="4" w:space="0" w:color="000000"/>
              <w:right w:val="single" w:sz="4" w:space="0" w:color="000000"/>
            </w:tcBorders>
          </w:tcPr>
          <w:p>
            <w:pPr/>
          </w:p>
        </w:tc>
      </w:tr>
      <w:tr>
        <w:trPr>
          <w:trHeight w:val="47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一、不能重分类进损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121,017,700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50,660,000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51,274,802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-614,802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172,292,502</w:t>
            </w: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其中：重新计量设定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受益计划变动额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121,017,700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50,660,000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51,274,802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-614,802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172,292,502</w:t>
            </w: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权益法下不能转损益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1" w:right="0"/>
              <w:jc w:val="left"/>
              <w:rPr>
                <w:rFonts w:ascii="宋体" w:hAnsi="宋体" w:cs="宋体" w:eastAsia="宋体" w:hint="default"/>
                <w:sz w:val="18"/>
                <w:szCs w:val="18"/>
              </w:rPr>
            </w:pPr>
            <w:r>
              <w:rPr>
                <w:rFonts w:ascii="宋体" w:hAnsi="宋体" w:cs="宋体" w:eastAsia="宋体" w:hint="default"/>
                <w:sz w:val="18"/>
                <w:szCs w:val="18"/>
              </w:rPr>
              <w:t>企业自身信用风险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二、将重分类进损益</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的其他综合收益</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12,676,488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-3,286,169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-2,300,318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-985,851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10,376,170</w:t>
            </w: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其中：权益法下可转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1" w:right="0"/>
              <w:jc w:val="left"/>
              <w:rPr>
                <w:rFonts w:ascii="宋体" w:hAnsi="宋体" w:cs="宋体" w:eastAsia="宋体" w:hint="default"/>
                <w:sz w:val="18"/>
                <w:szCs w:val="18"/>
              </w:rPr>
            </w:pPr>
            <w:r>
              <w:rPr>
                <w:rFonts w:ascii="宋体" w:hAnsi="宋体" w:cs="宋体" w:eastAsia="宋体" w:hint="default"/>
                <w:sz w:val="18"/>
                <w:szCs w:val="18"/>
              </w:rPr>
              <w:t>其他债权投资公允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12,676,488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-3,286,169</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-2,300,318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-985,851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10,376,170</w:t>
            </w:r>
          </w:p>
        </w:tc>
      </w:tr>
      <w:tr>
        <w:trPr>
          <w:trHeight w:val="710"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firstLine="180"/>
              <w:jc w:val="left"/>
              <w:rPr>
                <w:rFonts w:ascii="宋体" w:hAnsi="宋体" w:cs="宋体" w:eastAsia="宋体" w:hint="default"/>
                <w:sz w:val="18"/>
                <w:szCs w:val="18"/>
              </w:rPr>
            </w:pPr>
            <w:r>
              <w:rPr>
                <w:rFonts w:ascii="宋体" w:hAnsi="宋体" w:cs="宋体" w:eastAsia="宋体" w:hint="default"/>
                <w:sz w:val="18"/>
                <w:szCs w:val="18"/>
              </w:rPr>
              <w:t>金融资产重分类计</w:t>
            </w:r>
          </w:p>
          <w:p>
            <w:pPr>
              <w:pStyle w:val="TableParagraph"/>
              <w:spacing w:line="232" w:lineRule="exact" w:before="24"/>
              <w:ind w:left="100" w:right="106"/>
              <w:jc w:val="left"/>
              <w:rPr>
                <w:rFonts w:ascii="宋体" w:hAnsi="宋体" w:cs="宋体" w:eastAsia="宋体" w:hint="default"/>
                <w:sz w:val="18"/>
                <w:szCs w:val="18"/>
              </w:rPr>
            </w:pPr>
            <w:r>
              <w:rPr>
                <w:rFonts w:ascii="宋体" w:hAnsi="宋体" w:cs="宋体" w:eastAsia="宋体" w:hint="default"/>
                <w:sz w:val="18"/>
                <w:szCs w:val="18"/>
              </w:rPr>
              <w:t>入其他综合收益的金 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1" w:right="0"/>
              <w:jc w:val="left"/>
              <w:rPr>
                <w:rFonts w:ascii="宋体" w:hAnsi="宋体" w:cs="宋体" w:eastAsia="宋体" w:hint="default"/>
                <w:sz w:val="18"/>
                <w:szCs w:val="18"/>
              </w:rPr>
            </w:pPr>
            <w:r>
              <w:rPr>
                <w:rFonts w:ascii="宋体" w:hAnsi="宋体" w:cs="宋体" w:eastAsia="宋体" w:hint="default"/>
                <w:sz w:val="18"/>
                <w:szCs w:val="18"/>
              </w:rPr>
              <w:t>其他债权投资信用</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现金流量套期损益的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外币财务报表折算差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133,694,188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47,373,831</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48,974,484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-1,600,653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182,668,672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160" w:left="900" w:right="560"/>
        </w:sectPr>
      </w:pPr>
    </w:p>
    <w:p>
      <w:pPr>
        <w:pStyle w:val="BodyText"/>
        <w:spacing w:line="241" w:lineRule="exact"/>
        <w:ind w:left="689" w:right="0"/>
        <w:jc w:val="left"/>
        <w:rPr>
          <w:rFonts w:ascii="宋体" w:hAnsi="宋体" w:cs="宋体" w:eastAsia="宋体" w:hint="default"/>
        </w:rPr>
      </w:pPr>
      <w:r>
        <w:rPr>
          <w:rFonts w:ascii="宋体"/>
          <w:w w:val="100"/>
        </w:rPr>
        <w:t> </w:t>
      </w:r>
    </w:p>
    <w:p>
      <w:pPr>
        <w:pStyle w:val="Heading5"/>
        <w:spacing w:line="240" w:lineRule="auto"/>
        <w:ind w:left="689"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8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8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00" w:right="560"/>
          <w:cols w:num="2" w:equalWidth="0">
            <w:col w:w="2475" w:space="4114"/>
            <w:col w:w="3861"/>
          </w:cols>
        </w:sectPr>
      </w:pPr>
    </w:p>
    <w:p>
      <w:pPr>
        <w:spacing w:line="240" w:lineRule="auto" w:before="7"/>
        <w:rPr>
          <w:rFonts w:ascii="宋体" w:hAnsi="宋体" w:cs="宋体" w:eastAsia="宋体" w:hint="default"/>
          <w:sz w:val="2"/>
          <w:szCs w:val="2"/>
        </w:rPr>
      </w:pPr>
    </w:p>
    <w:tbl>
      <w:tblPr>
        <w:tblW w:w="0" w:type="auto"/>
        <w:jc w:val="left"/>
        <w:tblInd w:w="571" w:type="dxa"/>
        <w:tblLayout w:type="fixed"/>
        <w:tblCellMar>
          <w:top w:w="0" w:type="dxa"/>
          <w:left w:w="0" w:type="dxa"/>
          <w:bottom w:w="0" w:type="dxa"/>
          <w:right w:w="0" w:type="dxa"/>
        </w:tblCellMar>
        <w:tblLook w:val="01E0"/>
      </w:tblPr>
      <w:tblGrid>
        <w:gridCol w:w="1680"/>
        <w:gridCol w:w="1861"/>
        <w:gridCol w:w="1714"/>
        <w:gridCol w:w="1709"/>
        <w:gridCol w:w="2163"/>
      </w:tblGrid>
      <w:tr>
        <w:trPr>
          <w:trHeight w:val="283"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3,399,949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52,697,332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52,183,016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3,914,265</w:t>
            </w:r>
          </w:p>
        </w:tc>
      </w:tr>
      <w:tr>
        <w:trPr>
          <w:trHeight w:val="284"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3,399,949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52,697,332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52,183,016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3,914,265</w:t>
            </w:r>
          </w:p>
        </w:tc>
      </w:tr>
    </w:tbl>
    <w:p>
      <w:pPr>
        <w:spacing w:after="0" w:line="236" w:lineRule="exact"/>
        <w:jc w:val="right"/>
        <w:rPr>
          <w:rFonts w:ascii="Times New Roman" w:hAnsi="Times New Roman" w:cs="Times New Roman" w:eastAsia="Times New Roman" w:hint="default"/>
          <w:sz w:val="21"/>
          <w:szCs w:val="21"/>
        </w:rPr>
        <w:sectPr>
          <w:type w:val="continuous"/>
          <w:pgSz w:w="11910" w:h="16840"/>
          <w:pgMar w:top="1120" w:bottom="1160" w:left="900" w:right="560"/>
        </w:sectPr>
      </w:pPr>
    </w:p>
    <w:p>
      <w:pPr>
        <w:pStyle w:val="BodyText"/>
        <w:spacing w:line="241" w:lineRule="exact"/>
        <w:ind w:left="689" w:right="0"/>
        <w:jc w:val="left"/>
        <w:rPr>
          <w:rFonts w:ascii="宋体" w:hAnsi="宋体" w:cs="宋体" w:eastAsia="宋体" w:hint="default"/>
        </w:rPr>
      </w:pPr>
      <w:r>
        <w:rPr>
          <w:rFonts w:ascii="宋体"/>
          <w:w w:val="100"/>
        </w:rPr>
        <w:t> </w:t>
      </w:r>
    </w:p>
    <w:p>
      <w:pPr>
        <w:pStyle w:val="Heading5"/>
        <w:spacing w:line="240" w:lineRule="auto"/>
        <w:ind w:left="689" w:right="0"/>
        <w:jc w:val="left"/>
        <w:rPr>
          <w:rFonts w:ascii="宋体" w:hAnsi="宋体" w:cs="宋体" w:eastAsia="宋体" w:hint="default"/>
          <w:b w:val="0"/>
          <w:bCs w:val="0"/>
        </w:rPr>
      </w:pPr>
      <w:r>
        <w:rPr>
          <w:rFonts w:ascii="宋体" w:hAnsi="宋体" w:cs="宋体" w:eastAsia="宋体" w:hint="default"/>
        </w:rPr>
        <w:t>59</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8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68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00" w:right="560"/>
          <w:cols w:num="2" w:equalWidth="0">
            <w:col w:w="2475" w:space="4114"/>
            <w:col w:w="3861"/>
          </w:cols>
        </w:sectPr>
      </w:pPr>
    </w:p>
    <w:p>
      <w:pPr>
        <w:spacing w:line="240" w:lineRule="auto" w:before="7"/>
        <w:rPr>
          <w:rFonts w:ascii="宋体" w:hAnsi="宋体" w:cs="宋体" w:eastAsia="宋体" w:hint="default"/>
          <w:sz w:val="2"/>
          <w:szCs w:val="2"/>
        </w:rPr>
      </w:pPr>
    </w:p>
    <w:tbl>
      <w:tblPr>
        <w:tblW w:w="0" w:type="auto"/>
        <w:jc w:val="left"/>
        <w:tblInd w:w="653" w:type="dxa"/>
        <w:tblLayout w:type="fixed"/>
        <w:tblCellMar>
          <w:top w:w="0" w:type="dxa"/>
          <w:left w:w="0" w:type="dxa"/>
          <w:bottom w:w="0" w:type="dxa"/>
          <w:right w:w="0" w:type="dxa"/>
        </w:tblCellMar>
        <w:tblLook w:val="01E0"/>
      </w:tblPr>
      <w:tblGrid>
        <w:gridCol w:w="1663"/>
        <w:gridCol w:w="1798"/>
        <w:gridCol w:w="1661"/>
        <w:gridCol w:w="1661"/>
        <w:gridCol w:w="2180"/>
      </w:tblGrid>
      <w:tr>
        <w:trPr>
          <w:trHeight w:val="283"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0" w:right="0"/>
              <w:jc w:val="left"/>
              <w:rPr>
                <w:rFonts w:ascii="Times New Roman" w:hAnsi="Times New Roman" w:cs="Times New Roman" w:eastAsia="Times New Roman" w:hint="default"/>
                <w:sz w:val="21"/>
                <w:szCs w:val="21"/>
              </w:rPr>
            </w:pPr>
            <w:r>
              <w:rPr>
                <w:rFonts w:ascii="Times New Roman"/>
                <w:sz w:val="21"/>
              </w:rPr>
              <w:t>986,974,314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3" w:right="0"/>
              <w:jc w:val="left"/>
              <w:rPr>
                <w:rFonts w:ascii="Times New Roman" w:hAnsi="Times New Roman" w:cs="Times New Roman" w:eastAsia="Times New Roman" w:hint="default"/>
                <w:sz w:val="21"/>
                <w:szCs w:val="21"/>
              </w:rPr>
            </w:pPr>
            <w:r>
              <w:rPr>
                <w:rFonts w:ascii="Times New Roman"/>
                <w:sz w:val="21"/>
              </w:rPr>
              <w:t>291,404,587</w:t>
            </w:r>
          </w:p>
        </w:tc>
        <w:tc>
          <w:tcPr>
            <w:tcW w:w="1661"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1,278,378,901</w:t>
            </w:r>
          </w:p>
        </w:tc>
      </w:tr>
      <w:tr>
        <w:trPr>
          <w:trHeight w:val="283" w:hRule="exact"/>
        </w:trPr>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0" w:right="0"/>
              <w:jc w:val="left"/>
              <w:rPr>
                <w:rFonts w:ascii="Times New Roman" w:hAnsi="Times New Roman" w:cs="Times New Roman" w:eastAsia="Times New Roman" w:hint="default"/>
                <w:sz w:val="21"/>
                <w:szCs w:val="21"/>
              </w:rPr>
            </w:pPr>
            <w:r>
              <w:rPr>
                <w:rFonts w:ascii="Times New Roman"/>
                <w:sz w:val="21"/>
              </w:rPr>
              <w:t>986,974,314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3" w:right="0"/>
              <w:jc w:val="left"/>
              <w:rPr>
                <w:rFonts w:ascii="Times New Roman" w:hAnsi="Times New Roman" w:cs="Times New Roman" w:eastAsia="Times New Roman" w:hint="default"/>
                <w:sz w:val="21"/>
                <w:szCs w:val="21"/>
              </w:rPr>
            </w:pPr>
            <w:r>
              <w:rPr>
                <w:rFonts w:ascii="Times New Roman"/>
                <w:sz w:val="21"/>
              </w:rPr>
              <w:t>291,404,587</w:t>
            </w:r>
          </w:p>
        </w:tc>
        <w:tc>
          <w:tcPr>
            <w:tcW w:w="1661"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1,278,378,901</w:t>
            </w:r>
          </w:p>
        </w:tc>
      </w:tr>
    </w:tbl>
    <w:p>
      <w:pPr>
        <w:pStyle w:val="BodyText"/>
        <w:spacing w:line="241" w:lineRule="exact"/>
        <w:ind w:left="689" w:right="0"/>
        <w:jc w:val="left"/>
        <w:rPr>
          <w:rFonts w:ascii="宋体" w:hAnsi="宋体" w:cs="宋体" w:eastAsia="宋体" w:hint="default"/>
        </w:rPr>
      </w:pPr>
      <w:r>
        <w:rPr>
          <w:rFonts w:ascii="宋体"/>
          <w:w w:val="100"/>
        </w:rPr>
        <w:t> </w:t>
      </w:r>
    </w:p>
    <w:p>
      <w:pPr>
        <w:pStyle w:val="BodyText"/>
        <w:spacing w:line="240" w:lineRule="auto" w:before="56"/>
        <w:ind w:left="689" w:right="0"/>
        <w:jc w:val="left"/>
        <w:rPr>
          <w:rFonts w:ascii="宋体" w:hAnsi="宋体" w:cs="宋体" w:eastAsia="宋体" w:hint="default"/>
        </w:rPr>
      </w:pPr>
      <w:r>
        <w:rPr/>
        <w:t>盈余公积说明，包括本期增减变动情况、变动原因说明：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900" w:right="560"/>
        </w:sectPr>
      </w:pPr>
    </w:p>
    <w:p>
      <w:pPr>
        <w:spacing w:line="240" w:lineRule="auto" w:before="3"/>
        <w:rPr>
          <w:rFonts w:ascii="宋体" w:hAnsi="宋体" w:cs="宋体" w:eastAsia="宋体" w:hint="default"/>
          <w:sz w:val="26"/>
          <w:szCs w:val="26"/>
        </w:rPr>
      </w:pPr>
    </w:p>
    <w:p>
      <w:pPr>
        <w:pStyle w:val="BodyText"/>
        <w:spacing w:line="314" w:lineRule="auto" w:before="36"/>
        <w:ind w:left="229" w:right="229" w:firstLine="419"/>
        <w:jc w:val="both"/>
        <w:rPr>
          <w:rFonts w:ascii="宋体" w:hAnsi="宋体" w:cs="宋体" w:eastAsia="宋体" w:hint="default"/>
        </w:rPr>
      </w:pPr>
      <w:r>
        <w:rPr>
          <w:spacing w:val="-2"/>
        </w:rPr>
        <w:t>根据《中华人民共和国公司法》及本公司章程，本公司按年度净利润的</w:t>
      </w:r>
      <w:r>
        <w:rPr>
          <w:rFonts w:ascii="宋体" w:hAnsi="宋体" w:cs="宋体" w:eastAsia="宋体" w:hint="default"/>
          <w:spacing w:val="-2"/>
        </w:rPr>
        <w:t>10%</w:t>
      </w:r>
      <w:r>
        <w:rPr>
          <w:spacing w:val="-2"/>
        </w:rPr>
        <w:t>提取法定盈余公积</w:t>
      </w:r>
      <w:r>
        <w:rPr>
          <w:w w:val="100"/>
        </w:rPr>
        <w:t> </w:t>
      </w:r>
      <w:r>
        <w:rPr>
          <w:spacing w:val="-2"/>
        </w:rPr>
        <w:t>金，当法定盈余公积金累计额达到注册资本的</w:t>
      </w:r>
      <w:r>
        <w:rPr>
          <w:rFonts w:ascii="宋体" w:hAnsi="宋体" w:cs="宋体" w:eastAsia="宋体" w:hint="default"/>
          <w:spacing w:val="-2"/>
        </w:rPr>
        <w:t>50%</w:t>
      </w:r>
      <w:r>
        <w:rPr>
          <w:spacing w:val="-2"/>
        </w:rPr>
        <w:t>以上时，可不再提取。法定盈余公积金经批准后</w:t>
      </w:r>
      <w:r>
        <w:rPr>
          <w:spacing w:val="-51"/>
        </w:rPr>
        <w:t> </w:t>
      </w:r>
      <w:r>
        <w:rPr>
          <w:spacing w:val="-51"/>
        </w:rPr>
      </w:r>
      <w:r>
        <w:rPr>
          <w:spacing w:val="-4"/>
        </w:rPr>
        <w:t>可用于弥补亏损，或者增加股本。本公司</w:t>
      </w:r>
      <w:r>
        <w:rPr>
          <w:rFonts w:ascii="宋体" w:hAnsi="宋体" w:cs="宋体" w:eastAsia="宋体" w:hint="default"/>
          <w:spacing w:val="-4"/>
        </w:rPr>
        <w:t>2019</w:t>
      </w:r>
      <w:r>
        <w:rPr>
          <w:spacing w:val="-4"/>
        </w:rPr>
        <w:t>年度按净利润的</w:t>
      </w:r>
      <w:r>
        <w:rPr>
          <w:rFonts w:ascii="宋体" w:hAnsi="宋体" w:cs="宋体" w:eastAsia="宋体" w:hint="default"/>
          <w:spacing w:val="-4"/>
        </w:rPr>
        <w:t>10%</w:t>
      </w:r>
      <w:r>
        <w:rPr>
          <w:spacing w:val="-4"/>
        </w:rPr>
        <w:t>提取法定盈余公积金</w:t>
      </w:r>
      <w:r>
        <w:rPr>
          <w:rFonts w:ascii="宋体" w:hAnsi="宋体" w:cs="宋体" w:eastAsia="宋体" w:hint="default"/>
          <w:spacing w:val="-4"/>
        </w:rPr>
        <w:t>291,404,587</w:t>
      </w:r>
      <w:r>
        <w:rPr>
          <w:rFonts w:ascii="宋体" w:hAnsi="宋体" w:cs="宋体" w:eastAsia="宋体" w:hint="default"/>
          <w:spacing w:val="-39"/>
        </w:rPr>
        <w:t> </w:t>
      </w:r>
      <w:r>
        <w:rPr>
          <w:rFonts w:ascii="宋体" w:hAnsi="宋体" w:cs="宋体" w:eastAsia="宋体" w:hint="default"/>
          <w:spacing w:val="-39"/>
        </w:rPr>
      </w:r>
      <w:r>
        <w:rPr/>
        <w:t>元</w:t>
      </w:r>
      <w:r>
        <w:rPr>
          <w:spacing w:val="-9"/>
        </w:rPr>
        <w:t> </w:t>
      </w:r>
      <w:r>
        <w:rPr>
          <w:rFonts w:ascii="宋体" w:hAnsi="宋体" w:cs="宋体" w:eastAsia="宋体" w:hint="default"/>
          <w:spacing w:val="-9"/>
        </w:rPr>
      </w:r>
      <w:r>
        <w:rPr>
          <w:rFonts w:ascii="宋体" w:hAnsi="宋体" w:cs="宋体" w:eastAsia="宋体" w:hint="default"/>
        </w:rPr>
        <w:t>(2018</w:t>
      </w:r>
      <w:r>
        <w:rPr/>
        <w:t>年度：按净利润的</w:t>
      </w:r>
      <w:r>
        <w:rPr>
          <w:rFonts w:ascii="宋体" w:hAnsi="宋体" w:cs="宋体" w:eastAsia="宋体" w:hint="default"/>
        </w:rPr>
        <w:t>10%</w:t>
      </w:r>
      <w:r>
        <w:rPr/>
        <w:t>提取，共</w:t>
      </w:r>
      <w:r>
        <w:rPr>
          <w:rFonts w:ascii="宋体" w:hAnsi="宋体" w:cs="宋体" w:eastAsia="宋体" w:hint="default"/>
        </w:rPr>
        <w:t>312,984,004</w:t>
      </w:r>
      <w:r>
        <w:rPr/>
        <w:t>元</w:t>
      </w:r>
      <w:r>
        <w:rPr>
          <w:rFonts w:ascii="宋体" w:hAnsi="宋体" w:cs="宋体" w:eastAsia="宋体" w:hint="default"/>
        </w:rPr>
        <w:t>)</w:t>
      </w:r>
      <w:r>
        <w:rPr/>
        <w:t>。</w:t>
      </w:r>
      <w:r>
        <w:rPr>
          <w:rFonts w:ascii="宋体" w:hAnsi="宋体" w:cs="宋体" w:eastAsia="宋体" w:hint="default"/>
        </w:rPr>
        <w:t> </w:t>
      </w:r>
    </w:p>
    <w:p>
      <w:pPr>
        <w:pStyle w:val="BodyText"/>
        <w:spacing w:line="218" w:lineRule="exact"/>
        <w:ind w:left="229" w:right="0"/>
        <w:jc w:val="left"/>
        <w:rPr>
          <w:rFonts w:ascii="宋体" w:hAnsi="宋体" w:cs="宋体" w:eastAsia="宋体" w:hint="default"/>
        </w:rPr>
      </w:pPr>
      <w:r>
        <w:rPr>
          <w:rFonts w:ascii="宋体"/>
          <w:w w:val="100"/>
        </w:rPr>
        <w:t> </w:t>
      </w:r>
    </w:p>
    <w:p>
      <w:pPr>
        <w:pStyle w:val="Heading5"/>
        <w:spacing w:line="240" w:lineRule="auto"/>
        <w:ind w:left="229" w:right="0"/>
        <w:jc w:val="left"/>
        <w:rPr>
          <w:rFonts w:ascii="宋体" w:hAnsi="宋体" w:cs="宋体" w:eastAsia="宋体" w:hint="default"/>
          <w:b w:val="0"/>
          <w:bCs w:val="0"/>
        </w:rPr>
      </w:pPr>
      <w:r>
        <w:rPr>
          <w:rFonts w:ascii="宋体" w:hAnsi="宋体" w:cs="宋体" w:eastAsia="宋体" w:hint="default"/>
        </w:rPr>
        <w:t>60</w:t>
      </w:r>
      <w:r>
        <w:rPr/>
        <w:t>、</w:t>
      </w:r>
      <w:r>
        <w:rPr>
          <w:spacing w:val="-4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17"/>
        <w:gridCol w:w="2849"/>
        <w:gridCol w:w="2761"/>
      </w:tblGrid>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8,742,614,209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5,534,036,517</w:t>
            </w:r>
          </w:p>
        </w:tc>
      </w:tr>
      <w:tr>
        <w:trPr>
          <w:trHeight w:val="55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3"/>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w:t>
            </w:r>
            <w:r>
              <w:rPr>
                <w:rFonts w:ascii="宋体" w:hAnsi="宋体" w:cs="宋体" w:eastAsia="宋体" w:hint="default"/>
                <w:spacing w:val="-6"/>
                <w:sz w:val="21"/>
                <w:szCs w:val="21"/>
              </w:rPr>
              <w:t>+</w:t>
            </w:r>
            <w:r>
              <w:rPr>
                <w:rFonts w:ascii="宋体" w:hAnsi="宋体" w:cs="宋体" w:eastAsia="宋体" w:hint="default"/>
                <w:spacing w:val="-6"/>
                <w:sz w:val="21"/>
                <w:szCs w:val="21"/>
              </w:rPr>
              <w:t>，</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1"/>
                <w:szCs w:val="21"/>
              </w:rPr>
            </w:pPr>
            <w:r>
              <w:rPr>
                <w:rFonts w:ascii="Times New Roman"/>
                <w:spacing w:val="-1"/>
                <w:sz w:val="21"/>
              </w:rPr>
              <w:t>8,742,614,209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1"/>
                <w:szCs w:val="21"/>
              </w:rPr>
            </w:pPr>
            <w:r>
              <w:rPr>
                <w:rFonts w:ascii="Times New Roman"/>
                <w:spacing w:val="-1"/>
                <w:sz w:val="21"/>
              </w:rPr>
              <w:t>5,534,036,517</w:t>
            </w:r>
          </w:p>
        </w:tc>
      </w:tr>
      <w:tr>
        <w:trPr>
          <w:trHeight w:val="55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6"/>
                <w:sz w:val="21"/>
                <w:szCs w:val="21"/>
              </w:rPr>
              <w:t>加：本期归属于母公司所有者的净利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
                <w:sz w:val="21"/>
              </w:rPr>
              <w:t>3,790,143,318</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
                <w:sz w:val="21"/>
              </w:rPr>
              <w:t>3,593,485,631</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291,404,587</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312,984,004</w:t>
            </w:r>
          </w:p>
        </w:tc>
      </w:tr>
      <w:tr>
        <w:trPr>
          <w:trHeight w:val="28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82,302,988</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71,923,935</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对股东的分配</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
                <w:sz w:val="21"/>
              </w:rPr>
              <w:t>2,464,670,670</w:t>
            </w:r>
          </w:p>
        </w:tc>
        <w:tc>
          <w:tcPr>
            <w:tcW w:w="27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9,694,379,282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8,742,614,209</w:t>
            </w:r>
          </w:p>
        </w:tc>
      </w:tr>
    </w:tbl>
    <w:p>
      <w:pPr>
        <w:spacing w:line="240" w:lineRule="auto" w:before="3"/>
        <w:rPr>
          <w:rFonts w:ascii="宋体" w:hAnsi="宋体" w:cs="宋体" w:eastAsia="宋体" w:hint="default"/>
          <w:sz w:val="21"/>
          <w:szCs w:val="21"/>
        </w:rPr>
      </w:pPr>
    </w:p>
    <w:p>
      <w:pPr>
        <w:pStyle w:val="BodyText"/>
        <w:spacing w:line="314" w:lineRule="auto" w:before="36"/>
        <w:ind w:left="649"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w:t>
      </w:r>
      <w:r>
        <w:rPr>
          <w:spacing w:val="-54"/>
        </w:rPr>
        <w:t> </w:t>
      </w:r>
      <w:r>
        <w:rPr>
          <w:rFonts w:ascii="宋体" w:hAnsi="宋体" w:cs="宋体" w:eastAsia="宋体" w:hint="default"/>
        </w:rPr>
        <w:t>0</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40" w:lineRule="auto" w:before="20"/>
        <w:ind w:left="649" w:right="0"/>
        <w:jc w:val="left"/>
        <w:rPr>
          <w:rFonts w:ascii="宋体" w:hAnsi="宋体" w:cs="宋体" w:eastAsia="宋体" w:hint="default"/>
        </w:rPr>
      </w:pPr>
      <w:r>
        <w:rPr>
          <w:rFonts w:ascii="宋体" w:hAnsi="宋体" w:cs="宋体" w:eastAsia="宋体" w:hint="default"/>
        </w:rPr>
        <w:t>2</w:t>
      </w:r>
      <w:r>
        <w:rPr/>
        <w:t>、由于会计政策变更，影响期初未分配利润</w:t>
      </w:r>
      <w:r>
        <w:rPr>
          <w:spacing w:val="-55"/>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85"/>
        <w:ind w:left="649" w:right="0"/>
        <w:jc w:val="left"/>
        <w:rPr>
          <w:rFonts w:ascii="宋体" w:hAnsi="宋体" w:cs="宋体" w:eastAsia="宋体" w:hint="default"/>
        </w:rPr>
      </w:pP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85"/>
        <w:ind w:left="649"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85"/>
        <w:ind w:left="649" w:right="0"/>
        <w:jc w:val="left"/>
        <w:rPr>
          <w:rFonts w:ascii="宋体" w:hAnsi="宋体" w:cs="宋体" w:eastAsia="宋体" w:hint="default"/>
        </w:rPr>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85"/>
        <w:ind w:left="649" w:right="0"/>
        <w:jc w:val="left"/>
      </w:pPr>
      <w:r>
        <w:rPr/>
        <w:t>根据</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4"/>
        </w:rPr>
        <w:t> </w:t>
      </w:r>
      <w:r>
        <w:rPr/>
        <w:t>日董事会决议及</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日股东周年大会决议，本公司向全体股</w:t>
      </w:r>
    </w:p>
    <w:p>
      <w:pPr>
        <w:pStyle w:val="BodyText"/>
        <w:spacing w:line="240" w:lineRule="auto" w:before="85"/>
        <w:ind w:left="229" w:right="0"/>
        <w:jc w:val="left"/>
      </w:pPr>
      <w:r>
        <w:rPr/>
        <w:t>东派发</w:t>
      </w:r>
      <w:r>
        <w:rPr>
          <w:spacing w:val="-51"/>
        </w:rPr>
        <w:t> </w:t>
      </w:r>
      <w:r>
        <w:rPr>
          <w:rFonts w:ascii="宋体" w:hAnsi="宋体" w:cs="宋体" w:eastAsia="宋体" w:hint="default"/>
        </w:rPr>
        <w:t>2017</w:t>
      </w:r>
      <w:r>
        <w:rPr>
          <w:rFonts w:ascii="宋体" w:hAnsi="宋体" w:cs="宋体" w:eastAsia="宋体" w:hint="default"/>
          <w:spacing w:val="-51"/>
        </w:rPr>
        <w:t> </w:t>
      </w:r>
      <w:r>
        <w:rPr/>
        <w:t>年及</w:t>
      </w:r>
      <w:r>
        <w:rPr>
          <w:spacing w:val="-51"/>
        </w:rPr>
        <w:t> </w:t>
      </w:r>
      <w:r>
        <w:rPr>
          <w:rFonts w:ascii="宋体" w:hAnsi="宋体" w:cs="宋体" w:eastAsia="宋体" w:hint="default"/>
        </w:rPr>
        <w:t>2018</w:t>
      </w:r>
      <w:r>
        <w:rPr>
          <w:rFonts w:ascii="宋体" w:hAnsi="宋体" w:cs="宋体" w:eastAsia="宋体" w:hint="default"/>
          <w:spacing w:val="-51"/>
        </w:rPr>
        <w:t> </w:t>
      </w:r>
      <w:r>
        <w:rPr/>
        <w:t>年股息每千股人民币</w:t>
      </w:r>
      <w:r>
        <w:rPr>
          <w:spacing w:val="-50"/>
        </w:rPr>
        <w:t> </w:t>
      </w:r>
      <w:r>
        <w:rPr>
          <w:rFonts w:ascii="宋体" w:hAnsi="宋体" w:cs="宋体" w:eastAsia="宋体" w:hint="default"/>
        </w:rPr>
        <w:t>379.70</w:t>
      </w:r>
      <w:r>
        <w:rPr>
          <w:rFonts w:ascii="宋体" w:hAnsi="宋体" w:cs="宋体" w:eastAsia="宋体" w:hint="default"/>
          <w:spacing w:val="-53"/>
        </w:rPr>
        <w:t> </w:t>
      </w:r>
      <w:r>
        <w:rPr>
          <w:spacing w:val="-4"/>
        </w:rPr>
        <w:t>元</w:t>
      </w:r>
      <w:r>
        <w:rPr>
          <w:rFonts w:ascii="宋体" w:hAnsi="宋体" w:cs="宋体" w:eastAsia="宋体" w:hint="default"/>
          <w:spacing w:val="-4"/>
        </w:rPr>
        <w:t>(</w:t>
      </w:r>
      <w:r>
        <w:rPr>
          <w:spacing w:val="-4"/>
        </w:rPr>
        <w:t>含税</w:t>
      </w:r>
      <w:r>
        <w:rPr>
          <w:rFonts w:ascii="宋体" w:hAnsi="宋体" w:cs="宋体" w:eastAsia="宋体" w:hint="default"/>
          <w:spacing w:val="-4"/>
        </w:rPr>
        <w:t>)</w:t>
      </w:r>
      <w:r>
        <w:rPr>
          <w:spacing w:val="-4"/>
        </w:rPr>
        <w:t>，按已发行股份</w:t>
      </w:r>
      <w:r>
        <w:rPr>
          <w:spacing w:val="-51"/>
        </w:rPr>
        <w:t> </w:t>
      </w:r>
      <w:r>
        <w:rPr>
          <w:rFonts w:ascii="宋体" w:hAnsi="宋体" w:cs="宋体" w:eastAsia="宋体" w:hint="default"/>
        </w:rPr>
        <w:t>6,491,100,000</w:t>
      </w:r>
      <w:r>
        <w:rPr>
          <w:rFonts w:ascii="宋体" w:hAnsi="宋体" w:cs="宋体" w:eastAsia="宋体" w:hint="default"/>
          <w:spacing w:val="-53"/>
        </w:rPr>
        <w:t> </w:t>
      </w:r>
      <w:r>
        <w:rPr/>
        <w:t>股计</w:t>
      </w:r>
    </w:p>
    <w:p>
      <w:pPr>
        <w:pStyle w:val="BodyText"/>
        <w:spacing w:line="240" w:lineRule="auto" w:before="85"/>
        <w:ind w:left="229" w:right="0"/>
        <w:jc w:val="left"/>
        <w:rPr>
          <w:rFonts w:ascii="宋体" w:hAnsi="宋体" w:cs="宋体" w:eastAsia="宋体" w:hint="default"/>
        </w:rPr>
      </w:pPr>
      <w:r>
        <w:rPr/>
        <w:t>算，共派发现金股利共计人民币</w:t>
      </w:r>
      <w:r>
        <w:rPr>
          <w:spacing w:val="-55"/>
        </w:rPr>
        <w:t> </w:t>
      </w:r>
      <w:r>
        <w:rPr>
          <w:rFonts w:ascii="宋体" w:hAnsi="宋体" w:cs="宋体" w:eastAsia="宋体" w:hint="default"/>
        </w:rPr>
        <w:t>2,464,670,670</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85"/>
        <w:ind w:left="649" w:right="0"/>
        <w:jc w:val="left"/>
      </w:pPr>
      <w:r>
        <w:rPr/>
        <w:t>根据</w:t>
      </w:r>
      <w:r>
        <w:rPr>
          <w:spacing w:val="-46"/>
        </w:rPr>
        <w:t> </w:t>
      </w:r>
      <w:r>
        <w:rPr>
          <w:rFonts w:ascii="宋体" w:hAnsi="宋体" w:cs="宋体" w:eastAsia="宋体" w:hint="default"/>
        </w:rPr>
        <w:t>2020</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26</w:t>
      </w:r>
      <w:r>
        <w:rPr>
          <w:rFonts w:ascii="宋体" w:hAnsi="宋体" w:cs="宋体" w:eastAsia="宋体" w:hint="default"/>
          <w:spacing w:val="-47"/>
        </w:rPr>
        <w:t> </w:t>
      </w:r>
      <w:r>
        <w:rPr>
          <w:spacing w:val="-3"/>
        </w:rPr>
        <w:t>日董事会决议，董事会提议本公司向全体股东派发</w:t>
      </w:r>
      <w:r>
        <w:rPr>
          <w:spacing w:val="-46"/>
        </w:rPr>
        <w:t> </w:t>
      </w:r>
      <w:r>
        <w:rPr>
          <w:rFonts w:ascii="宋体" w:hAnsi="宋体" w:cs="宋体" w:eastAsia="宋体" w:hint="default"/>
        </w:rPr>
        <w:t>2019</w:t>
      </w:r>
      <w:r>
        <w:rPr>
          <w:rFonts w:ascii="宋体" w:hAnsi="宋体" w:cs="宋体" w:eastAsia="宋体" w:hint="default"/>
          <w:spacing w:val="-48"/>
        </w:rPr>
        <w:t> </w:t>
      </w:r>
      <w:r>
        <w:rPr>
          <w:spacing w:val="-3"/>
        </w:rPr>
        <w:t>年现金股利，每</w:t>
      </w:r>
    </w:p>
    <w:p>
      <w:pPr>
        <w:pStyle w:val="BodyText"/>
        <w:spacing w:line="240" w:lineRule="auto" w:before="85"/>
        <w:ind w:left="229" w:right="0"/>
        <w:jc w:val="left"/>
      </w:pPr>
      <w:r>
        <w:rPr>
          <w:rFonts w:ascii="宋体" w:hAnsi="宋体" w:cs="宋体" w:eastAsia="宋体" w:hint="default"/>
        </w:rPr>
        <w:t>10 </w:t>
      </w:r>
      <w:r>
        <w:rPr>
          <w:spacing w:val="8"/>
        </w:rPr>
        <w:t>股人民币 </w:t>
      </w:r>
      <w:r>
        <w:rPr>
          <w:rFonts w:ascii="宋体" w:hAnsi="宋体" w:cs="宋体" w:eastAsia="宋体" w:hint="default"/>
        </w:rPr>
        <w:t>2.003 </w:t>
      </w:r>
      <w:r>
        <w:rPr>
          <w:spacing w:val="9"/>
        </w:rPr>
        <w:t>元</w:t>
      </w:r>
      <w:r>
        <w:rPr>
          <w:rFonts w:ascii="宋体" w:hAnsi="宋体" w:cs="宋体" w:eastAsia="宋体" w:hint="default"/>
          <w:spacing w:val="9"/>
        </w:rPr>
        <w:t>(</w:t>
      </w:r>
      <w:r>
        <w:rPr>
          <w:spacing w:val="9"/>
        </w:rPr>
        <w:t>含税</w:t>
      </w:r>
      <w:r>
        <w:rPr>
          <w:rFonts w:ascii="宋体" w:hAnsi="宋体" w:cs="宋体" w:eastAsia="宋体" w:hint="default"/>
          <w:spacing w:val="9"/>
        </w:rPr>
        <w:t>)</w:t>
      </w:r>
      <w:r>
        <w:rPr>
          <w:spacing w:val="9"/>
        </w:rPr>
        <w:t>，按已发行股份 </w:t>
      </w:r>
      <w:r>
        <w:rPr>
          <w:rFonts w:ascii="宋体" w:hAnsi="宋体" w:cs="宋体" w:eastAsia="宋体" w:hint="default"/>
        </w:rPr>
        <w:t>6,491,100,000 </w:t>
      </w:r>
      <w:r>
        <w:rPr>
          <w:rFonts w:ascii="宋体" w:hAnsi="宋体" w:cs="宋体" w:eastAsia="宋体" w:hint="default"/>
          <w:spacing w:val="10"/>
        </w:rPr>
        <w:t> </w:t>
      </w:r>
      <w:r>
        <w:rPr>
          <w:spacing w:val="8"/>
        </w:rPr>
        <w:t>股计算，拟派发现金股利共计</w:t>
      </w:r>
    </w:p>
    <w:p>
      <w:pPr>
        <w:pStyle w:val="BodyText"/>
        <w:spacing w:line="240" w:lineRule="auto" w:before="85"/>
        <w:ind w:left="229" w:right="0"/>
        <w:jc w:val="left"/>
        <w:rPr>
          <w:rFonts w:ascii="宋体" w:hAnsi="宋体" w:cs="宋体" w:eastAsia="宋体" w:hint="default"/>
        </w:rPr>
      </w:pPr>
      <w:r>
        <w:rPr>
          <w:rFonts w:ascii="宋体" w:hAnsi="宋体" w:cs="宋体" w:eastAsia="宋体" w:hint="default"/>
          <w:spacing w:val="-1"/>
        </w:rPr>
        <w:t>1,300,167,330</w:t>
      </w:r>
      <w:r>
        <w:rPr>
          <w:rFonts w:ascii="宋体" w:hAnsi="宋体" w:cs="宋体" w:eastAsia="宋体" w:hint="default"/>
          <w:spacing w:val="14"/>
        </w:rPr>
        <w:t> </w:t>
      </w:r>
      <w:r>
        <w:rPr>
          <w:spacing w:val="-2"/>
        </w:rPr>
        <w:t>元，上述提议尚待股东大会批准，未在本财务报表中确认为负债。</w:t>
      </w:r>
      <w:r>
        <w:rPr>
          <w:rFonts w:ascii="宋体" w:hAnsi="宋体" w:cs="宋体" w:eastAsia="宋体" w:hint="default"/>
        </w:rPr>
        <w:t> </w:t>
      </w:r>
    </w:p>
    <w:p>
      <w:pPr>
        <w:pStyle w:val="BodyText"/>
        <w:spacing w:line="240" w:lineRule="auto" w:before="8"/>
        <w:ind w:left="229" w:right="0"/>
        <w:jc w:val="left"/>
        <w:rPr>
          <w:rFonts w:ascii="宋体" w:hAnsi="宋体" w:cs="宋体" w:eastAsia="宋体" w:hint="default"/>
        </w:rPr>
      </w:pPr>
      <w:r>
        <w:rPr>
          <w:rFonts w:ascii="宋体"/>
          <w:w w:val="100"/>
        </w:rPr>
        <w:t> </w:t>
      </w:r>
    </w:p>
    <w:p>
      <w:pPr>
        <w:pStyle w:val="Heading5"/>
        <w:spacing w:line="240" w:lineRule="auto" w:before="59"/>
        <w:ind w:left="229" w:right="0"/>
        <w:jc w:val="left"/>
        <w:rPr>
          <w:b w:val="0"/>
          <w:bCs w:val="0"/>
        </w:rPr>
      </w:pPr>
      <w:r>
        <w:rPr>
          <w:rFonts w:ascii="宋体" w:hAnsi="宋体" w:cs="宋体" w:eastAsia="宋体" w:hint="default"/>
        </w:rPr>
        <w:t>61</w:t>
      </w:r>
      <w:r>
        <w:rPr/>
        <w:t>、</w:t>
      </w:r>
      <w:r>
        <w:rPr>
          <w:spacing w:val="-46"/>
        </w:rPr>
        <w:t> </w:t>
      </w:r>
      <w:r>
        <w:rPr/>
        <w:t>营业收入和营业成本</w:t>
      </w:r>
      <w:r>
        <w:rPr>
          <w:b w:val="0"/>
          <w:bCs w:val="0"/>
        </w:rPr>
      </w:r>
    </w:p>
    <w:p>
      <w:pPr>
        <w:pStyle w:val="Heading5"/>
        <w:spacing w:line="240" w:lineRule="auto"/>
        <w:ind w:left="229"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69"/>
        <w:gridCol w:w="1904"/>
        <w:gridCol w:w="1916"/>
        <w:gridCol w:w="1915"/>
        <w:gridCol w:w="1913"/>
      </w:tblGrid>
      <w:tr>
        <w:trPr>
          <w:trHeight w:val="28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9" w:type="dxa"/>
            <w:vMerge/>
            <w:tcBorders>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1"/>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10,995,655,703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7,529,557,901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10,541,003,867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7,427,909,125</w:t>
            </w:r>
          </w:p>
        </w:tc>
      </w:tr>
      <w:tr>
        <w:trPr>
          <w:trHeight w:val="28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1"/>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1,168,425,270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649,133,008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1,200,476,297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687,592,866</w:t>
            </w:r>
          </w:p>
        </w:tc>
      </w:tr>
      <w:tr>
        <w:trPr>
          <w:trHeight w:val="2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6"/>
              <w:jc w:val="right"/>
              <w:rPr>
                <w:rFonts w:ascii="宋体" w:hAnsi="宋体" w:cs="宋体" w:eastAsia="宋体" w:hint="default"/>
                <w:sz w:val="21"/>
                <w:szCs w:val="21"/>
              </w:rPr>
            </w:pPr>
            <w:r>
              <w:rPr>
                <w:rFonts w:ascii="宋体" w:hAnsi="宋体" w:cs="宋体" w:eastAsia="宋体" w:hint="default"/>
                <w:sz w:val="21"/>
                <w:szCs w:val="21"/>
              </w:rPr>
              <w:t>合计</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12,164,080,973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8,178,690,909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11,741,480,164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8,115,501,991</w:t>
            </w:r>
          </w:p>
        </w:tc>
      </w:tr>
    </w:tbl>
    <w:p>
      <w:pPr>
        <w:pStyle w:val="Heading3"/>
        <w:spacing w:line="274" w:lineRule="exact"/>
        <w:ind w:left="229" w:right="0"/>
        <w:jc w:val="left"/>
        <w:rPr>
          <w:rFonts w:ascii="宋体" w:hAnsi="宋体" w:cs="宋体" w:eastAsia="宋体" w:hint="default"/>
        </w:rPr>
      </w:pPr>
      <w:r>
        <w:rPr>
          <w:rFonts w:ascii="宋体"/>
        </w:rPr>
        <w:t> </w:t>
      </w:r>
    </w:p>
    <w:p>
      <w:pPr>
        <w:pStyle w:val="BodyText"/>
        <w:spacing w:line="240" w:lineRule="auto" w:before="4"/>
        <w:ind w:left="229" w:right="0"/>
        <w:jc w:val="left"/>
        <w:rPr>
          <w:rFonts w:ascii="宋体" w:hAnsi="宋体" w:cs="宋体" w:eastAsia="宋体" w:hint="default"/>
        </w:rPr>
      </w:pPr>
      <w:r>
        <w:rPr/>
        <w:t>主营业务收入和主营业务成本：</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080" w:bottom="1160" w:left="1360" w:right="1180"/>
        </w:sectPr>
      </w:pPr>
    </w:p>
    <w:p>
      <w:pPr>
        <w:spacing w:line="240" w:lineRule="auto" w:before="9"/>
        <w:rPr>
          <w:rFonts w:ascii="宋体" w:hAnsi="宋体" w:cs="宋体" w:eastAsia="宋体" w:hint="default"/>
          <w:sz w:val="25"/>
          <w:szCs w:val="25"/>
        </w:rPr>
      </w:pPr>
    </w:p>
    <w:tbl>
      <w:tblPr>
        <w:tblW w:w="0" w:type="auto"/>
        <w:jc w:val="left"/>
        <w:tblInd w:w="676" w:type="dxa"/>
        <w:tblLayout w:type="fixed"/>
        <w:tblCellMar>
          <w:top w:w="0" w:type="dxa"/>
          <w:left w:w="0" w:type="dxa"/>
          <w:bottom w:w="0" w:type="dxa"/>
          <w:right w:w="0" w:type="dxa"/>
        </w:tblCellMar>
        <w:tblLook w:val="01E0"/>
      </w:tblPr>
      <w:tblGrid>
        <w:gridCol w:w="2030"/>
        <w:gridCol w:w="1724"/>
        <w:gridCol w:w="1726"/>
        <w:gridCol w:w="1867"/>
        <w:gridCol w:w="1769"/>
      </w:tblGrid>
      <w:tr>
        <w:trPr>
          <w:trHeight w:val="269" w:hRule="exact"/>
        </w:trPr>
        <w:tc>
          <w:tcPr>
            <w:tcW w:w="2030" w:type="dxa"/>
            <w:vMerge w:val="restart"/>
            <w:tcBorders>
              <w:top w:val="single" w:sz="4" w:space="0" w:color="000000"/>
              <w:left w:val="single" w:sz="4" w:space="0" w:color="000000"/>
              <w:right w:val="single" w:sz="4" w:space="0" w:color="000000"/>
            </w:tcBorders>
          </w:tcPr>
          <w:p>
            <w:pPr>
              <w:pStyle w:val="TableParagraph"/>
              <w:spacing w:line="240" w:lineRule="auto" w:before="103"/>
              <w:ind w:left="609" w:right="0"/>
              <w:jc w:val="left"/>
              <w:rPr>
                <w:rFonts w:ascii="宋体" w:hAnsi="宋体" w:cs="宋体" w:eastAsia="宋体" w:hint="default"/>
                <w:sz w:val="20"/>
                <w:szCs w:val="20"/>
              </w:rPr>
            </w:pPr>
            <w:r>
              <w:rPr>
                <w:rFonts w:ascii="宋体" w:hAnsi="宋体" w:cs="宋体" w:eastAsia="宋体" w:hint="default"/>
                <w:sz w:val="20"/>
                <w:szCs w:val="20"/>
              </w:rPr>
              <w:t>业务板块</w:t>
            </w:r>
          </w:p>
        </w:tc>
        <w:tc>
          <w:tcPr>
            <w:tcW w:w="3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年度</w:t>
            </w:r>
          </w:p>
        </w:tc>
        <w:tc>
          <w:tcPr>
            <w:tcW w:w="3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年度</w:t>
            </w:r>
          </w:p>
        </w:tc>
      </w:tr>
      <w:tr>
        <w:trPr>
          <w:trHeight w:val="269" w:hRule="exact"/>
        </w:trPr>
        <w:tc>
          <w:tcPr>
            <w:tcW w:w="2030" w:type="dxa"/>
            <w:vMerge/>
            <w:tcBorders>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主营业务收入</w:t>
            </w:r>
            <w:r>
              <w:rPr>
                <w:rFonts w:ascii="宋体" w:hAnsi="宋体" w:cs="宋体" w:eastAsia="宋体" w:hint="default"/>
                <w:sz w:val="20"/>
                <w:szCs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hAnsi="宋体" w:cs="宋体" w:eastAsia="宋体" w:hint="default"/>
                <w:w w:val="95"/>
                <w:sz w:val="20"/>
                <w:szCs w:val="20"/>
              </w:rPr>
              <w:t>主营业务成本</w:t>
            </w:r>
            <w:r>
              <w:rPr>
                <w:rFonts w:ascii="宋体" w:hAnsi="宋体" w:cs="宋体" w:eastAsia="宋体" w:hint="default"/>
                <w:sz w:val="20"/>
                <w:szCs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主营业务收入</w:t>
            </w:r>
            <w:r>
              <w:rPr>
                <w:rFonts w:ascii="宋体" w:hAnsi="宋体" w:cs="宋体" w:eastAsia="宋体" w:hint="default"/>
                <w:sz w:val="20"/>
                <w:szCs w:val="20"/>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w w:val="95"/>
                <w:sz w:val="20"/>
                <w:szCs w:val="20"/>
              </w:rPr>
              <w:t>主营业务成本</w:t>
            </w:r>
            <w:r>
              <w:rPr>
                <w:rFonts w:ascii="宋体" w:hAnsi="宋体" w:cs="宋体" w:eastAsia="宋体" w:hint="default"/>
                <w:sz w:val="20"/>
                <w:szCs w:val="20"/>
              </w:rPr>
            </w:r>
          </w:p>
        </w:tc>
      </w:tr>
      <w:tr>
        <w:trPr>
          <w:trHeight w:val="530"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集装箱处理及配套服</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w w:val="99"/>
                <w:sz w:val="20"/>
                <w:szCs w:val="20"/>
              </w:rPr>
              <w:t>务</w:t>
            </w:r>
            <w:r>
              <w:rPr>
                <w:rFonts w:ascii="宋体" w:hAnsi="宋体" w:cs="宋体" w:eastAsia="宋体" w:hint="default"/>
                <w:sz w:val="20"/>
                <w:szCs w:val="20"/>
              </w:rPr>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217,999,652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68,571,775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240,606,073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103,061,876</w:t>
            </w:r>
          </w:p>
        </w:tc>
      </w:tr>
      <w:tr>
        <w:trPr>
          <w:trHeight w:val="787"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金属矿石、煤炭及其</w:t>
            </w:r>
          </w:p>
          <w:p>
            <w:pPr>
              <w:pStyle w:val="TableParagraph"/>
              <w:spacing w:line="260" w:lineRule="exact" w:before="24"/>
              <w:ind w:left="103" w:right="118"/>
              <w:jc w:val="left"/>
              <w:rPr>
                <w:rFonts w:ascii="宋体" w:hAnsi="宋体" w:cs="宋体" w:eastAsia="宋体" w:hint="default"/>
                <w:sz w:val="20"/>
                <w:szCs w:val="20"/>
              </w:rPr>
            </w:pPr>
            <w:r>
              <w:rPr>
                <w:rFonts w:ascii="宋体" w:hAnsi="宋体" w:cs="宋体" w:eastAsia="宋体" w:hint="default"/>
                <w:sz w:val="20"/>
                <w:szCs w:val="20"/>
              </w:rPr>
              <w:t>他货物处理以及配套</w:t>
            </w:r>
            <w:r>
              <w:rPr>
                <w:rFonts w:ascii="宋体" w:hAnsi="宋体" w:cs="宋体" w:eastAsia="宋体" w:hint="default"/>
                <w:w w:val="99"/>
                <w:sz w:val="20"/>
                <w:szCs w:val="20"/>
              </w:rPr>
              <w:t> </w:t>
            </w:r>
            <w:r>
              <w:rPr>
                <w:rFonts w:ascii="宋体" w:hAnsi="宋体" w:cs="宋体" w:eastAsia="宋体" w:hint="default"/>
                <w:sz w:val="20"/>
                <w:szCs w:val="20"/>
              </w:rPr>
              <w:t>服务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2,711,414,131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2,105,441,050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2,988,976,155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2,364,101,409</w:t>
            </w:r>
          </w:p>
        </w:tc>
      </w:tr>
      <w:tr>
        <w:trPr>
          <w:trHeight w:val="52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液体散货处理及配套</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服务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1,427,221,862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386,720,190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852,239,978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273,620,327</w:t>
            </w:r>
          </w:p>
        </w:tc>
      </w:tr>
      <w:tr>
        <w:trPr>
          <w:trHeight w:val="271"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5"/>
              <w:jc w:val="center"/>
              <w:rPr>
                <w:rFonts w:ascii="宋体" w:hAnsi="宋体" w:cs="宋体" w:eastAsia="宋体" w:hint="default"/>
                <w:sz w:val="20"/>
                <w:szCs w:val="20"/>
              </w:rPr>
            </w:pPr>
            <w:r>
              <w:rPr>
                <w:rFonts w:ascii="宋体" w:hAnsi="宋体" w:cs="宋体" w:eastAsia="宋体" w:hint="default"/>
                <w:sz w:val="20"/>
                <w:szCs w:val="20"/>
              </w:rPr>
              <w:t>物流及港口增值服务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4,916,328,209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pacing w:val="-1"/>
                <w:sz w:val="21"/>
              </w:rPr>
              <w:t>3,437,511,733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5,305,379,478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3,668,214,675</w:t>
            </w:r>
          </w:p>
        </w:tc>
      </w:tr>
      <w:tr>
        <w:trPr>
          <w:trHeight w:val="52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z w:val="20"/>
                <w:szCs w:val="20"/>
              </w:rPr>
              <w:t>港口配套服务</w:t>
            </w:r>
            <w:r>
              <w:rPr>
                <w:rFonts w:ascii="Times New Roman" w:hAnsi="Times New Roman" w:cs="Times New Roman" w:eastAsia="Times New Roman" w:hint="default"/>
                <w:sz w:val="20"/>
                <w:szCs w:val="20"/>
              </w:rPr>
              <w:t>-</w:t>
            </w:r>
            <w:r>
              <w:rPr>
                <w:rFonts w:ascii="宋体" w:hAnsi="宋体" w:cs="宋体" w:eastAsia="宋体" w:hint="default"/>
                <w:sz w:val="20"/>
                <w:szCs w:val="20"/>
              </w:rPr>
              <w:t>工程、</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劳务及港机建造</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1,722,691,849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1,531,313,153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1,153,802,183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1,018,910,838</w:t>
            </w:r>
          </w:p>
        </w:tc>
      </w:tr>
      <w:tr>
        <w:trPr>
          <w:trHeight w:val="269"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pacing w:val="-1"/>
                <w:sz w:val="21"/>
              </w:rPr>
              <w:t>10,995,655,703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pacing w:val="-1"/>
                <w:sz w:val="21"/>
              </w:rPr>
              <w:t>7,529,557,901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10,541,003,867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7,427,909,125</w:t>
            </w:r>
          </w:p>
        </w:tc>
      </w:tr>
    </w:tbl>
    <w:p>
      <w:pPr>
        <w:pStyle w:val="Heading3"/>
        <w:spacing w:line="274" w:lineRule="exact"/>
        <w:ind w:left="789" w:right="0"/>
        <w:jc w:val="left"/>
        <w:rPr>
          <w:rFonts w:ascii="宋体" w:hAnsi="宋体" w:cs="宋体" w:eastAsia="宋体" w:hint="default"/>
        </w:rPr>
      </w:pPr>
      <w:r>
        <w:rPr>
          <w:rFonts w:ascii="宋体"/>
        </w:rPr>
        <w:t> </w:t>
      </w:r>
    </w:p>
    <w:p>
      <w:pPr>
        <w:pStyle w:val="BodyText"/>
        <w:spacing w:line="240" w:lineRule="auto" w:before="4"/>
        <w:ind w:left="789" w:right="0"/>
        <w:jc w:val="left"/>
      </w:pPr>
      <w:r>
        <w:rPr/>
        <w:t>其他业务收入和其他业务成本：</w:t>
      </w:r>
    </w:p>
    <w:p>
      <w:pPr>
        <w:spacing w:line="240" w:lineRule="auto" w:before="4"/>
        <w:rPr>
          <w:rFonts w:ascii="宋体" w:hAnsi="宋体" w:cs="宋体" w:eastAsia="宋体" w:hint="default"/>
          <w:sz w:val="2"/>
          <w:szCs w:val="2"/>
        </w:rPr>
      </w:pPr>
    </w:p>
    <w:tbl>
      <w:tblPr>
        <w:tblW w:w="0" w:type="auto"/>
        <w:jc w:val="left"/>
        <w:tblInd w:w="676" w:type="dxa"/>
        <w:tblLayout w:type="fixed"/>
        <w:tblCellMar>
          <w:top w:w="0" w:type="dxa"/>
          <w:left w:w="0" w:type="dxa"/>
          <w:bottom w:w="0" w:type="dxa"/>
          <w:right w:w="0" w:type="dxa"/>
        </w:tblCellMar>
        <w:tblLook w:val="01E0"/>
      </w:tblPr>
      <w:tblGrid>
        <w:gridCol w:w="2470"/>
        <w:gridCol w:w="1730"/>
        <w:gridCol w:w="1733"/>
        <w:gridCol w:w="1664"/>
        <w:gridCol w:w="1519"/>
      </w:tblGrid>
      <w:tr>
        <w:trPr>
          <w:trHeight w:val="288" w:hRule="exact"/>
        </w:trPr>
        <w:tc>
          <w:tcPr>
            <w:tcW w:w="2470" w:type="dxa"/>
            <w:vMerge w:val="restart"/>
            <w:tcBorders>
              <w:top w:val="single" w:sz="4" w:space="0" w:color="000000"/>
              <w:left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0"/>
                <w:szCs w:val="20"/>
              </w:rPr>
            </w:pPr>
            <w:r>
              <w:rPr>
                <w:rFonts w:ascii="宋体" w:hAnsi="宋体" w:cs="宋体" w:eastAsia="宋体" w:hint="default"/>
                <w:sz w:val="20"/>
                <w:szCs w:val="20"/>
              </w:rPr>
              <w:t>业务板块</w:t>
            </w:r>
          </w:p>
        </w:tc>
        <w:tc>
          <w:tcPr>
            <w:tcW w:w="3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年度</w:t>
            </w:r>
          </w:p>
        </w:tc>
        <w:tc>
          <w:tcPr>
            <w:tcW w:w="3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年度</w:t>
            </w:r>
          </w:p>
        </w:tc>
      </w:tr>
      <w:tr>
        <w:trPr>
          <w:trHeight w:val="269" w:hRule="exact"/>
        </w:trPr>
        <w:tc>
          <w:tcPr>
            <w:tcW w:w="2470"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其他业务收入</w:t>
            </w:r>
            <w:r>
              <w:rPr>
                <w:rFonts w:ascii="宋体" w:hAnsi="宋体" w:cs="宋体" w:eastAsia="宋体" w:hint="default"/>
                <w:sz w:val="20"/>
                <w:szCs w:val="20"/>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hAnsi="宋体" w:cs="宋体" w:eastAsia="宋体" w:hint="default"/>
                <w:w w:val="95"/>
                <w:sz w:val="20"/>
                <w:szCs w:val="20"/>
              </w:rPr>
              <w:t>其他业务成本</w:t>
            </w:r>
            <w:r>
              <w:rPr>
                <w:rFonts w:ascii="宋体" w:hAnsi="宋体" w:cs="宋体" w:eastAsia="宋体" w:hint="default"/>
                <w:sz w:val="20"/>
                <w:szCs w:val="20"/>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w w:val="95"/>
                <w:sz w:val="20"/>
                <w:szCs w:val="20"/>
              </w:rPr>
              <w:t>其他业务收入</w:t>
            </w:r>
            <w:r>
              <w:rPr>
                <w:rFonts w:ascii="宋体" w:hAnsi="宋体" w:cs="宋体" w:eastAsia="宋体" w:hint="default"/>
                <w:sz w:val="20"/>
                <w:szCs w:val="20"/>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hAnsi="宋体" w:cs="宋体" w:eastAsia="宋体" w:hint="default"/>
                <w:w w:val="95"/>
                <w:sz w:val="20"/>
                <w:szCs w:val="20"/>
              </w:rPr>
              <w:t>其他业务成本</w:t>
            </w:r>
            <w:r>
              <w:rPr>
                <w:rFonts w:ascii="宋体" w:hAnsi="宋体" w:cs="宋体" w:eastAsia="宋体" w:hint="default"/>
                <w:sz w:val="20"/>
                <w:szCs w:val="20"/>
              </w:rPr>
            </w:r>
          </w:p>
        </w:tc>
      </w:tr>
      <w:tr>
        <w:trPr>
          <w:trHeight w:val="288"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0"/>
                <w:szCs w:val="20"/>
              </w:rPr>
            </w:pPr>
            <w:r>
              <w:rPr>
                <w:rFonts w:ascii="宋体" w:hAnsi="宋体" w:cs="宋体" w:eastAsia="宋体" w:hint="default"/>
                <w:sz w:val="20"/>
                <w:szCs w:val="20"/>
              </w:rPr>
              <w:t>租金收入</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205,094,283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108,146,687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214,281,281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107,307,749</w:t>
            </w:r>
          </w:p>
        </w:tc>
      </w:tr>
      <w:tr>
        <w:trPr>
          <w:trHeight w:val="528"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港口配套服务</w:t>
            </w:r>
            <w:r>
              <w:rPr>
                <w:rFonts w:ascii="宋体" w:hAnsi="宋体" w:cs="宋体" w:eastAsia="宋体" w:hint="default"/>
                <w:spacing w:val="-4"/>
                <w:sz w:val="20"/>
                <w:szCs w:val="20"/>
              </w:rPr>
              <w:t>-</w:t>
            </w:r>
            <w:r>
              <w:rPr>
                <w:rFonts w:ascii="宋体" w:hAnsi="宋体" w:cs="宋体" w:eastAsia="宋体" w:hint="default"/>
                <w:spacing w:val="-4"/>
                <w:sz w:val="20"/>
                <w:szCs w:val="20"/>
              </w:rPr>
              <w:t>销售油、电</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及其他</w:t>
            </w:r>
            <w:r>
              <w:rPr>
                <w:rFonts w:ascii="宋体" w:hAnsi="宋体" w:cs="宋体" w:eastAsia="宋体" w:hint="default"/>
                <w:sz w:val="20"/>
                <w:szCs w:val="20"/>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955,241,160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539,973,990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978,333,959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579,413,115</w:t>
            </w:r>
          </w:p>
        </w:tc>
      </w:tr>
      <w:tr>
        <w:trPr>
          <w:trHeight w:val="269"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金融服务</w:t>
            </w:r>
            <w:r>
              <w:rPr>
                <w:rFonts w:ascii="宋体" w:hAnsi="宋体" w:cs="宋体" w:eastAsia="宋体" w:hint="default"/>
                <w:sz w:val="20"/>
                <w:szCs w:val="20"/>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8,089,827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1,012,331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7,861,057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872,002</w:t>
            </w:r>
          </w:p>
        </w:tc>
      </w:tr>
      <w:tr>
        <w:trPr>
          <w:trHeight w:val="271" w:hRule="exact"/>
        </w:trPr>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8" w:right="0"/>
              <w:jc w:val="center"/>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1,168,425,270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pacing w:val="-1"/>
                <w:sz w:val="21"/>
              </w:rPr>
              <w:t>649,133,008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1,200,476,297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pacing w:val="-1"/>
                <w:sz w:val="21"/>
              </w:rPr>
              <w:t>687,592,866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800" w:right="480"/>
        </w:sectPr>
      </w:pPr>
    </w:p>
    <w:p>
      <w:pPr>
        <w:spacing w:line="240" w:lineRule="auto" w:before="8"/>
        <w:rPr>
          <w:rFonts w:ascii="宋体" w:hAnsi="宋体" w:cs="宋体" w:eastAsia="宋体" w:hint="default"/>
          <w:sz w:val="20"/>
          <w:szCs w:val="20"/>
        </w:rPr>
      </w:pPr>
    </w:p>
    <w:p>
      <w:pPr>
        <w:pStyle w:val="Heading3"/>
        <w:spacing w:line="240" w:lineRule="auto"/>
        <w:ind w:left="789" w:right="0"/>
        <w:jc w:val="left"/>
        <w:rPr>
          <w:rFonts w:ascii="宋体" w:hAnsi="宋体" w:cs="宋体" w:eastAsia="宋体" w:hint="default"/>
        </w:rPr>
      </w:pPr>
      <w:r>
        <w:rPr>
          <w:rFonts w:ascii="宋体"/>
        </w:rPr>
        <w:t> </w:t>
      </w:r>
    </w:p>
    <w:p>
      <w:pPr>
        <w:pStyle w:val="Heading5"/>
        <w:spacing w:line="240" w:lineRule="auto" w:before="64"/>
        <w:ind w:left="789"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2"/>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8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74" w:lineRule="exact" w:before="0"/>
        <w:ind w:left="789" w:right="0" w:firstLine="2311"/>
        <w:jc w:val="left"/>
        <w:rPr>
          <w:rFonts w:ascii="宋体" w:hAnsi="宋体" w:cs="宋体" w:eastAsia="宋体" w:hint="default"/>
          <w:sz w:val="24"/>
          <w:szCs w:val="24"/>
        </w:rPr>
      </w:pPr>
      <w:r>
        <w:rPr/>
        <w:br w:type="column"/>
      </w:r>
      <w:r>
        <w:rPr>
          <w:rFonts w:ascii="宋体"/>
          <w:sz w:val="24"/>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pStyle w:val="BodyText"/>
        <w:spacing w:line="240" w:lineRule="auto"/>
        <w:ind w:left="78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00" w:right="480"/>
          <w:cols w:num="2" w:equalWidth="0">
            <w:col w:w="3483" w:space="3106"/>
            <w:col w:w="404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00"/>
        <w:gridCol w:w="1253"/>
        <w:gridCol w:w="1393"/>
        <w:gridCol w:w="1253"/>
        <w:gridCol w:w="1253"/>
        <w:gridCol w:w="1250"/>
        <w:gridCol w:w="980"/>
        <w:gridCol w:w="1519"/>
      </w:tblGrid>
      <w:tr>
        <w:trPr>
          <w:trHeight w:val="710"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合同分类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170"/>
              <w:jc w:val="left"/>
              <w:rPr>
                <w:rFonts w:ascii="宋体" w:hAnsi="宋体" w:cs="宋体" w:eastAsia="宋体" w:hint="default"/>
                <w:sz w:val="18"/>
                <w:szCs w:val="18"/>
              </w:rPr>
            </w:pPr>
            <w:r>
              <w:rPr>
                <w:rFonts w:ascii="宋体" w:hAnsi="宋体" w:cs="宋体" w:eastAsia="宋体" w:hint="default"/>
                <w:sz w:val="18"/>
                <w:szCs w:val="18"/>
              </w:rPr>
              <w:t>集装箱处理 及配套服务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2" w:hanging="65"/>
              <w:jc w:val="left"/>
              <w:rPr>
                <w:rFonts w:ascii="宋体" w:hAnsi="宋体" w:cs="宋体" w:eastAsia="宋体" w:hint="default"/>
                <w:sz w:val="18"/>
                <w:szCs w:val="18"/>
              </w:rPr>
            </w:pPr>
            <w:r>
              <w:rPr>
                <w:rFonts w:ascii="宋体" w:hAnsi="宋体" w:cs="宋体" w:eastAsia="宋体" w:hint="default"/>
                <w:spacing w:val="-7"/>
                <w:sz w:val="18"/>
                <w:szCs w:val="18"/>
              </w:rPr>
              <w:t>金属矿石、煤炭及</w:t>
            </w:r>
          </w:p>
          <w:p>
            <w:pPr>
              <w:pStyle w:val="TableParagraph"/>
              <w:spacing w:line="232" w:lineRule="exact" w:before="23"/>
              <w:ind w:left="243" w:right="58" w:hanging="181"/>
              <w:jc w:val="left"/>
              <w:rPr>
                <w:rFonts w:ascii="宋体" w:hAnsi="宋体" w:cs="宋体" w:eastAsia="宋体" w:hint="default"/>
                <w:sz w:val="18"/>
                <w:szCs w:val="18"/>
              </w:rPr>
            </w:pPr>
            <w:r>
              <w:rPr>
                <w:rFonts w:ascii="宋体" w:hAnsi="宋体" w:cs="宋体" w:eastAsia="宋体" w:hint="default"/>
                <w:sz w:val="18"/>
                <w:szCs w:val="18"/>
              </w:rPr>
              <w:t>其他货物处理以 及配套服务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hAnsi="宋体" w:cs="宋体" w:eastAsia="宋体" w:hint="default"/>
                <w:sz w:val="18"/>
                <w:szCs w:val="18"/>
              </w:rPr>
              <w:t>液体散货处</w:t>
            </w:r>
          </w:p>
          <w:p>
            <w:pPr>
              <w:pStyle w:val="TableParagraph"/>
              <w:spacing w:line="232" w:lineRule="exact" w:before="23"/>
              <w:ind w:left="530" w:right="170" w:hanging="360"/>
              <w:jc w:val="left"/>
              <w:rPr>
                <w:rFonts w:ascii="宋体" w:hAnsi="宋体" w:cs="宋体" w:eastAsia="宋体" w:hint="default"/>
                <w:sz w:val="18"/>
                <w:szCs w:val="18"/>
              </w:rPr>
            </w:pPr>
            <w:r>
              <w:rPr>
                <w:rFonts w:ascii="宋体" w:hAnsi="宋体" w:cs="宋体" w:eastAsia="宋体" w:hint="default"/>
                <w:sz w:val="18"/>
                <w:szCs w:val="18"/>
              </w:rPr>
              <w:t>理及配套服 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9" w:right="173" w:hanging="92"/>
              <w:jc w:val="left"/>
              <w:rPr>
                <w:rFonts w:ascii="宋体" w:hAnsi="宋体" w:cs="宋体" w:eastAsia="宋体" w:hint="default"/>
                <w:sz w:val="18"/>
                <w:szCs w:val="18"/>
              </w:rPr>
            </w:pPr>
            <w:r>
              <w:rPr>
                <w:rFonts w:ascii="宋体" w:hAnsi="宋体" w:cs="宋体" w:eastAsia="宋体" w:hint="default"/>
                <w:sz w:val="18"/>
                <w:szCs w:val="18"/>
              </w:rPr>
              <w:t>物流及港口 增值服务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7" w:right="170" w:hanging="360"/>
              <w:jc w:val="left"/>
              <w:rPr>
                <w:rFonts w:ascii="宋体" w:hAnsi="宋体" w:cs="宋体" w:eastAsia="宋体" w:hint="default"/>
                <w:sz w:val="18"/>
                <w:szCs w:val="18"/>
              </w:rPr>
            </w:pPr>
            <w:r>
              <w:rPr>
                <w:rFonts w:ascii="宋体" w:hAnsi="宋体" w:cs="宋体" w:eastAsia="宋体" w:hint="default"/>
                <w:sz w:val="18"/>
                <w:szCs w:val="18"/>
              </w:rPr>
              <w:t>港口配套服 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金融服务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按经营地区分类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217,999,652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2,711,414,131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1,427,221,862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Times New Roman" w:hAnsi="Times New Roman" w:cs="Times New Roman" w:eastAsia="Times New Roman" w:hint="default"/>
                <w:sz w:val="18"/>
                <w:szCs w:val="18"/>
              </w:rPr>
            </w:pPr>
            <w:r>
              <w:rPr>
                <w:rFonts w:ascii="Times New Roman"/>
                <w:sz w:val="18"/>
              </w:rPr>
              <w:t>4,916,328,209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2,677,933,009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8,089,827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11,958,986,690</w:t>
            </w:r>
          </w:p>
        </w:tc>
      </w:tr>
      <w:tr>
        <w:trPr>
          <w:trHeight w:val="24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217,999,652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2,711,414,131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1,427,221,862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4,916,328,209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2,677,933,009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8,089,827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11,958,986,690</w:t>
            </w:r>
          </w:p>
        </w:tc>
      </w:tr>
      <w:tr>
        <w:trPr>
          <w:trHeight w:val="47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按商品转让的时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间分类</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217,999,652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2,711,414,131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1,427,221,862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4,916,328,209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2,677,933,009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8,089,827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11,958,986,690</w:t>
            </w:r>
          </w:p>
        </w:tc>
      </w:tr>
      <w:tr>
        <w:trPr>
          <w:trHeight w:val="24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hAnsi="宋体" w:cs="宋体" w:eastAsia="宋体" w:hint="default"/>
                <w:sz w:val="18"/>
                <w:szCs w:val="18"/>
              </w:rPr>
              <w:t>按时点确认</w:t>
            </w:r>
          </w:p>
        </w:tc>
        <w:tc>
          <w:tcPr>
            <w:tcW w:w="125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955,241,160</w:t>
            </w:r>
          </w:p>
        </w:tc>
        <w:tc>
          <w:tcPr>
            <w:tcW w:w="98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955,241,160</w:t>
            </w:r>
          </w:p>
        </w:tc>
      </w:tr>
      <w:tr>
        <w:trPr>
          <w:trHeight w:val="242"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7"/>
              <w:jc w:val="right"/>
              <w:rPr>
                <w:rFonts w:ascii="宋体" w:hAnsi="宋体" w:cs="宋体" w:eastAsia="宋体" w:hint="default"/>
                <w:sz w:val="18"/>
                <w:szCs w:val="18"/>
              </w:rPr>
            </w:pPr>
            <w:r>
              <w:rPr>
                <w:rFonts w:ascii="宋体" w:hAnsi="宋体" w:cs="宋体" w:eastAsia="宋体" w:hint="default"/>
                <w:sz w:val="18"/>
                <w:szCs w:val="18"/>
              </w:rPr>
              <w:t>按时段确认</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217,999,652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2,711,414,131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1,427,221,862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Times New Roman" w:hAnsi="Times New Roman" w:cs="Times New Roman" w:eastAsia="Times New Roman" w:hint="default"/>
                <w:sz w:val="18"/>
                <w:szCs w:val="18"/>
              </w:rPr>
            </w:pPr>
            <w:r>
              <w:rPr>
                <w:rFonts w:ascii="Times New Roman"/>
                <w:sz w:val="18"/>
              </w:rPr>
              <w:t>4,916,328,209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1,722,691,849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8,089,827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11,003,745,530</w:t>
            </w:r>
          </w:p>
        </w:tc>
      </w:tr>
      <w:tr>
        <w:trPr>
          <w:trHeight w:val="245"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217,999,652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2,711,414,131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1,427,221,862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4,916,328,209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2,677,933,009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8,089,827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11,958,986,690</w:t>
            </w:r>
          </w:p>
        </w:tc>
      </w:tr>
    </w:tbl>
    <w:p>
      <w:pPr>
        <w:pStyle w:val="BodyText"/>
        <w:spacing w:line="239" w:lineRule="exact"/>
        <w:ind w:left="789" w:right="0"/>
        <w:jc w:val="left"/>
        <w:rPr>
          <w:rFonts w:ascii="宋体" w:hAnsi="宋体" w:cs="宋体" w:eastAsia="宋体" w:hint="default"/>
        </w:rPr>
      </w:pPr>
      <w:r>
        <w:rPr>
          <w:rFonts w:ascii="宋体"/>
          <w:w w:val="100"/>
        </w:rPr>
        <w:t> </w:t>
      </w:r>
    </w:p>
    <w:p>
      <w:pPr>
        <w:pStyle w:val="BodyText"/>
        <w:spacing w:line="269" w:lineRule="exact"/>
        <w:ind w:left="789" w:right="0"/>
        <w:jc w:val="left"/>
        <w:rPr>
          <w:rFonts w:ascii="宋体" w:hAnsi="宋体" w:cs="宋体" w:eastAsia="宋体" w:hint="default"/>
        </w:rPr>
      </w:pPr>
      <w:r>
        <w:rPr/>
        <w:t>合同产生的收入说明：</w:t>
      </w:r>
      <w:r>
        <w:rPr>
          <w:rFonts w:ascii="宋体" w:hAnsi="宋体" w:cs="宋体" w:eastAsia="宋体" w:hint="default"/>
        </w:rPr>
        <w:t> </w:t>
      </w:r>
    </w:p>
    <w:p>
      <w:pPr>
        <w:pStyle w:val="Heading3"/>
        <w:spacing w:line="308" w:lineRule="exact"/>
        <w:ind w:left="78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789" w:right="0"/>
        <w:jc w:val="left"/>
        <w:rPr>
          <w:rFonts w:ascii="宋体" w:hAnsi="宋体" w:cs="宋体" w:eastAsia="宋体" w:hint="default"/>
        </w:rPr>
      </w:pPr>
      <w:r>
        <w:rPr>
          <w:rFonts w:ascii="宋体"/>
        </w:rPr>
        <w:t> </w:t>
      </w:r>
    </w:p>
    <w:p>
      <w:pPr>
        <w:pStyle w:val="Heading5"/>
        <w:spacing w:line="240" w:lineRule="auto" w:before="64"/>
        <w:ind w:left="789"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78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81"/>
        <w:ind w:left="789" w:right="0" w:firstLine="47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
        </w:rPr>
        <w:t> </w:t>
      </w:r>
      <w:r>
        <w:rPr>
          <w:spacing w:val="-3"/>
        </w:rPr>
        <w:t>年度，销售油、电等收入属于在某一时点履行的履约义务，其余劳务收入均属于在某一</w:t>
      </w:r>
      <w:r>
        <w:rPr>
          <w:w w:val="100"/>
        </w:rPr>
        <w:t> </w:t>
      </w:r>
      <w:r>
        <w:rPr/>
        <w:t>时段内履行的履约义务。</w:t>
      </w:r>
      <w:r>
        <w:rPr>
          <w:rFonts w:ascii="宋体" w:hAnsi="宋体" w:cs="宋体" w:eastAsia="宋体" w:hint="default"/>
        </w:rPr>
        <w:t> </w:t>
      </w:r>
    </w:p>
    <w:p>
      <w:pPr>
        <w:pStyle w:val="BodyText"/>
        <w:spacing w:line="240" w:lineRule="auto" w:before="20"/>
        <w:ind w:left="1209" w:right="0"/>
        <w:jc w:val="left"/>
      </w:pPr>
      <w:r>
        <w:rPr/>
        <w:t>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日，本集团已签订合同、但尚未履行或尚未履行完毕的履约义务所对应的</w:t>
      </w:r>
    </w:p>
    <w:p>
      <w:pPr>
        <w:pStyle w:val="BodyText"/>
        <w:spacing w:line="240" w:lineRule="auto" w:before="69"/>
        <w:ind w:left="789" w:right="0"/>
        <w:jc w:val="left"/>
        <w:rPr>
          <w:rFonts w:ascii="Times New Roman" w:hAnsi="Times New Roman" w:cs="Times New Roman" w:eastAsia="Times New Roman" w:hint="default"/>
        </w:rPr>
      </w:pPr>
      <w:r>
        <w:rPr/>
        <w:t>收入金额为</w:t>
      </w:r>
      <w:r>
        <w:rPr>
          <w:spacing w:val="-50"/>
        </w:rPr>
        <w:t> </w:t>
      </w:r>
      <w:r>
        <w:rPr>
          <w:rFonts w:ascii="Times New Roman" w:hAnsi="Times New Roman" w:cs="Times New Roman" w:eastAsia="Times New Roman" w:hint="default"/>
        </w:rPr>
        <w:t>1,019,640,133</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w:t>
      </w:r>
      <w:r>
        <w:rPr>
          <w:rFonts w:ascii="Times New Roman" w:hAnsi="Times New Roman" w:cs="Times New Roman" w:eastAsia="Times New Roman" w:hint="default"/>
          <w:spacing w:val="-3"/>
        </w:rPr>
        <w:t>541,928,133</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w:t>
      </w:r>
      <w:r>
        <w:rPr>
          <w:spacing w:val="-5"/>
        </w:rPr>
        <w:t>，其中，本集团预计</w:t>
      </w:r>
      <w:r>
        <w:rPr>
          <w:spacing w:val="-49"/>
        </w:rPr>
        <w:t> </w:t>
      </w:r>
      <w:r>
        <w:rPr>
          <w:rFonts w:ascii="Times New Roman" w:hAnsi="Times New Roman" w:cs="Times New Roman" w:eastAsia="Times New Roman" w:hint="default"/>
        </w:rPr>
        <w:t>956,365,797</w:t>
      </w:r>
    </w:p>
    <w:p>
      <w:pPr>
        <w:pStyle w:val="BodyText"/>
        <w:spacing w:line="284" w:lineRule="exact" w:before="69"/>
        <w:ind w:left="789" w:right="0"/>
        <w:jc w:val="left"/>
        <w:rPr>
          <w:rFonts w:ascii="宋体" w:hAnsi="宋体" w:cs="宋体" w:eastAsia="宋体" w:hint="default"/>
        </w:rPr>
      </w:pPr>
      <w:r>
        <w:rPr/>
        <w:t>元将于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年度确认收入，</w:t>
      </w:r>
      <w:r>
        <w:rPr>
          <w:rFonts w:ascii="Times New Roman" w:hAnsi="Times New Roman" w:cs="Times New Roman" w:eastAsia="Times New Roman" w:hint="default"/>
        </w:rPr>
        <w:t>63,274,336</w:t>
      </w:r>
      <w:r>
        <w:rPr>
          <w:rFonts w:ascii="Times New Roman" w:hAnsi="Times New Roman" w:cs="Times New Roman" w:eastAsia="Times New Roman" w:hint="default"/>
          <w:spacing w:val="-1"/>
        </w:rPr>
        <w:t> </w:t>
      </w:r>
      <w:r>
        <w:rPr/>
        <w:t>元将于</w:t>
      </w:r>
      <w:r>
        <w:rPr>
          <w:spacing w:val="-5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4"/>
        </w:rPr>
        <w:t> </w:t>
      </w:r>
      <w:r>
        <w:rPr/>
        <w:t>年度确认收入。</w:t>
      </w:r>
      <w:r>
        <w:rPr>
          <w:rFonts w:ascii="宋体" w:hAnsi="宋体" w:cs="宋体" w:eastAsia="宋体" w:hint="default"/>
        </w:rPr>
        <w:t> </w:t>
      </w:r>
    </w:p>
    <w:p>
      <w:pPr>
        <w:pStyle w:val="Heading3"/>
        <w:spacing w:line="307" w:lineRule="exact"/>
        <w:ind w:left="789" w:right="0"/>
        <w:jc w:val="left"/>
        <w:rPr>
          <w:rFonts w:ascii="宋体" w:hAnsi="宋体" w:cs="宋体" w:eastAsia="宋体" w:hint="default"/>
        </w:rPr>
      </w:pPr>
      <w:r>
        <w:rPr>
          <w:rFonts w:ascii="宋体"/>
        </w:rPr>
        <w:t> </w:t>
      </w:r>
    </w:p>
    <w:p>
      <w:pPr>
        <w:spacing w:after="0" w:line="307" w:lineRule="exact"/>
        <w:jc w:val="left"/>
        <w:rPr>
          <w:rFonts w:ascii="宋体" w:hAnsi="宋体" w:cs="宋体" w:eastAsia="宋体" w:hint="default"/>
        </w:rPr>
        <w:sectPr>
          <w:type w:val="continuous"/>
          <w:pgSz w:w="11910" w:h="16840"/>
          <w:pgMar w:top="1120" w:bottom="1160" w:left="800" w:right="480"/>
        </w:sect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1360" w:right="1180"/>
        </w:sectPr>
      </w:pPr>
    </w:p>
    <w:p>
      <w:pPr>
        <w:pStyle w:val="Heading5"/>
        <w:spacing w:line="240" w:lineRule="auto" w:before="36"/>
        <w:ind w:left="229"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2"/>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62</w:t>
      </w:r>
      <w:r>
        <w:rPr/>
        <w:t>、</w:t>
      </w:r>
      <w:r>
        <w:rPr>
          <w:spacing w:val="-51"/>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3"/>
          <w:szCs w:val="33"/>
        </w:rPr>
      </w:pPr>
    </w:p>
    <w:p>
      <w:pPr>
        <w:pStyle w:val="Heading3"/>
        <w:spacing w:line="240" w:lineRule="auto"/>
        <w:ind w:left="229"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3346" w:space="2915"/>
            <w:col w:w="3109"/>
          </w:cols>
        </w:sectPr>
      </w:pPr>
    </w:p>
    <w:p>
      <w:pPr>
        <w:spacing w:line="240" w:lineRule="auto" w:before="12"/>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933"/>
        <w:gridCol w:w="3096"/>
        <w:gridCol w:w="3097"/>
      </w:tblGrid>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6"/>
              <w:jc w:val="right"/>
              <w:rPr>
                <w:rFonts w:ascii="宋体" w:hAnsi="宋体" w:cs="宋体" w:eastAsia="宋体" w:hint="default"/>
                <w:sz w:val="21"/>
                <w:szCs w:val="21"/>
              </w:rPr>
            </w:pPr>
            <w:r>
              <w:rPr>
                <w:rFonts w:ascii="宋体" w:hAnsi="宋体" w:cs="宋体" w:eastAsia="宋体" w:hint="default"/>
                <w:sz w:val="21"/>
                <w:szCs w:val="21"/>
              </w:rPr>
              <w:t>项目</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15,726,639</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19,099,414</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11,169,025</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13,627,865</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6,467,922</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6,593,252</w:t>
            </w:r>
          </w:p>
        </w:tc>
      </w:tr>
      <w:tr>
        <w:trPr>
          <w:trHeight w:val="286"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52,191,603</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55,633,000</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8,320,192</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6,120,896</w:t>
            </w:r>
          </w:p>
        </w:tc>
      </w:tr>
      <w:tr>
        <w:trPr>
          <w:trHeight w:val="288"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14,625,917</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16,622,228</w:t>
            </w:r>
          </w:p>
        </w:tc>
      </w:tr>
      <w:tr>
        <w:trPr>
          <w:trHeight w:val="289" w:hRule="exact"/>
        </w:trPr>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6"/>
              <w:jc w:val="right"/>
              <w:rPr>
                <w:rFonts w:ascii="宋体" w:hAnsi="宋体" w:cs="宋体" w:eastAsia="宋体" w:hint="default"/>
                <w:sz w:val="21"/>
                <w:szCs w:val="21"/>
              </w:rPr>
            </w:pPr>
            <w:r>
              <w:rPr>
                <w:rFonts w:ascii="宋体" w:hAnsi="宋体" w:cs="宋体" w:eastAsia="宋体" w:hint="default"/>
                <w:sz w:val="21"/>
                <w:szCs w:val="21"/>
              </w:rPr>
              <w:t>合计</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108,501,298</w:t>
            </w:r>
          </w:p>
        </w:tc>
        <w:tc>
          <w:tcPr>
            <w:tcW w:w="309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117,696,655</w:t>
            </w:r>
          </w:p>
        </w:tc>
      </w:tr>
    </w:tbl>
    <w:p>
      <w:pPr>
        <w:spacing w:after="0" w:line="236"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63</w:t>
      </w:r>
      <w:r>
        <w:rPr/>
        <w:t>、</w:t>
      </w:r>
      <w:r>
        <w:rPr>
          <w:spacing w:val="-51"/>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56"/>
        <w:gridCol w:w="2883"/>
        <w:gridCol w:w="2878"/>
      </w:tblGrid>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0"/>
              <w:jc w:val="right"/>
              <w:rPr>
                <w:rFonts w:ascii="宋体" w:hAnsi="宋体" w:cs="宋体" w:eastAsia="宋体" w:hint="default"/>
                <w:sz w:val="21"/>
                <w:szCs w:val="21"/>
              </w:rPr>
            </w:pPr>
            <w:r>
              <w:rPr>
                <w:rFonts w:ascii="宋体" w:hAnsi="宋体" w:cs="宋体" w:eastAsia="宋体" w:hint="default"/>
                <w:sz w:val="21"/>
                <w:szCs w:val="21"/>
              </w:rPr>
              <w:t>项目</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20,574,669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14,647,611</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业务招待与宣传费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9,455,437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2,064,870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4,484,325</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2,205,600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1,431,269</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外付劳务费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1,463,110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1,352</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8,880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8,854</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38,498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6,541</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6,296</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20,624</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4,602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300</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租费</w:t>
            </w:r>
          </w:p>
        </w:tc>
        <w:tc>
          <w:tcPr>
            <w:tcW w:w="288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63,157</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过路过桥费</w:t>
            </w:r>
          </w:p>
        </w:tc>
        <w:tc>
          <w:tcPr>
            <w:tcW w:w="288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3,440</w:t>
            </w:r>
          </w:p>
        </w:tc>
      </w:tr>
      <w:tr>
        <w:trPr>
          <w:trHeight w:val="281"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1,147,539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394,245</w:t>
            </w:r>
          </w:p>
        </w:tc>
      </w:tr>
      <w:tr>
        <w:trPr>
          <w:trHeight w:val="283"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0"/>
              <w:jc w:val="right"/>
              <w:rPr>
                <w:rFonts w:ascii="宋体" w:hAnsi="宋体" w:cs="宋体" w:eastAsia="宋体" w:hint="default"/>
                <w:sz w:val="21"/>
                <w:szCs w:val="21"/>
              </w:rPr>
            </w:pPr>
            <w:r>
              <w:rPr>
                <w:rFonts w:ascii="宋体" w:hAnsi="宋体" w:cs="宋体" w:eastAsia="宋体" w:hint="default"/>
                <w:sz w:val="21"/>
                <w:szCs w:val="21"/>
              </w:rPr>
              <w:t>合计</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36,990,125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21,041,094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b w:val="0"/>
          <w:bCs w:val="0"/>
        </w:rPr>
      </w:pPr>
      <w:r>
        <w:rPr>
          <w:rFonts w:ascii="宋体" w:hAnsi="宋体" w:cs="宋体" w:eastAsia="宋体" w:hint="default"/>
        </w:rPr>
        <w:t>64</w:t>
      </w:r>
      <w:r>
        <w:rPr/>
        <w:t>、</w:t>
      </w:r>
      <w:r>
        <w:rPr>
          <w:spacing w:val="-48"/>
        </w:rPr>
        <w:t> </w:t>
      </w:r>
      <w:r>
        <w:rPr/>
        <w:t>管理费用</w:t>
      </w:r>
      <w:r>
        <w:rPr>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035"/>
        <w:gridCol w:w="2624"/>
        <w:gridCol w:w="2458"/>
      </w:tblGrid>
      <w:tr>
        <w:trPr>
          <w:trHeight w:val="284"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98"/>
              <w:jc w:val="right"/>
              <w:rPr>
                <w:rFonts w:ascii="宋体" w:hAnsi="宋体" w:cs="宋体" w:eastAsia="宋体" w:hint="default"/>
                <w:sz w:val="21"/>
                <w:szCs w:val="21"/>
              </w:rPr>
            </w:pPr>
            <w:r>
              <w:rPr>
                <w:rFonts w:ascii="宋体" w:hAnsi="宋体" w:cs="宋体" w:eastAsia="宋体" w:hint="default"/>
                <w:sz w:val="21"/>
                <w:szCs w:val="21"/>
              </w:rPr>
              <w:t>项目</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9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332,165,174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310,345,705</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办公费及招待费</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32,727,669</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30,098,925</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22,936,751</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20,808,332</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22,689,444</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18,282,150</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19,199,147</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9,547,114</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燃料费及水电费</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14,026,878</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14,882,802</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其他原材料耗用</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13,827,946</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12,919,577</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无形资产的摊销</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12,321,858</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8,870,095</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33,320,975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55,808,240</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8"/>
              <w:jc w:val="right"/>
              <w:rPr>
                <w:rFonts w:ascii="宋体" w:hAnsi="宋体" w:cs="宋体" w:eastAsia="宋体" w:hint="default"/>
                <w:sz w:val="21"/>
                <w:szCs w:val="21"/>
              </w:rPr>
            </w:pPr>
            <w:r>
              <w:rPr>
                <w:rFonts w:ascii="宋体" w:hAnsi="宋体" w:cs="宋体" w:eastAsia="宋体" w:hint="default"/>
                <w:sz w:val="21"/>
                <w:szCs w:val="21"/>
              </w:rPr>
              <w:t>合计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503,215,842</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481,562,940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1360" w:right="1180"/>
        </w:sectPr>
      </w:pPr>
    </w:p>
    <w:p>
      <w:pPr>
        <w:pStyle w:val="Heading3"/>
        <w:spacing w:line="240" w:lineRule="auto" w:before="26"/>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b w:val="0"/>
          <w:bCs w:val="0"/>
        </w:rPr>
      </w:pPr>
      <w:r>
        <w:rPr>
          <w:rFonts w:ascii="宋体" w:hAnsi="宋体" w:cs="宋体" w:eastAsia="宋体" w:hint="default"/>
        </w:rPr>
        <w:t>65</w:t>
      </w:r>
      <w:r>
        <w:rPr/>
        <w:t>、</w:t>
      </w:r>
      <w:r>
        <w:rPr>
          <w:spacing w:val="-48"/>
        </w:rPr>
        <w:t> </w:t>
      </w:r>
      <w:r>
        <w:rPr/>
        <w:t>研发费用</w:t>
      </w:r>
      <w:r>
        <w:rPr>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035"/>
        <w:gridCol w:w="2624"/>
        <w:gridCol w:w="2458"/>
      </w:tblGrid>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9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15,967,326</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16,786,481</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信息技术开发费</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12,201,618</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11,912,602</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检测开发费</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5,064,550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10,713,220</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530,633</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315,893</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9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33,764,127</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39,728,196</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3" w:lineRule="exact"/>
        <w:ind w:left="229" w:right="0"/>
        <w:jc w:val="left"/>
        <w:rPr>
          <w:rFonts w:ascii="宋体" w:hAnsi="宋体" w:cs="宋体" w:eastAsia="宋体" w:hint="default"/>
        </w:rPr>
      </w:pPr>
      <w:r>
        <w:rPr>
          <w:rFonts w:ascii="宋体"/>
        </w:rPr>
        <w:t> </w:t>
      </w:r>
    </w:p>
    <w:p>
      <w:pPr>
        <w:pStyle w:val="Heading3"/>
        <w:spacing w:line="313"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b w:val="0"/>
          <w:bCs w:val="0"/>
        </w:rPr>
      </w:pPr>
      <w:r>
        <w:rPr>
          <w:rFonts w:ascii="宋体" w:hAnsi="宋体" w:cs="宋体" w:eastAsia="宋体" w:hint="default"/>
        </w:rPr>
        <w:t>66</w:t>
      </w:r>
      <w:r>
        <w:rPr/>
        <w:t>、</w:t>
      </w:r>
      <w:r>
        <w:rPr>
          <w:spacing w:val="-48"/>
        </w:rPr>
        <w:t> </w:t>
      </w:r>
      <w:r>
        <w:rPr/>
        <w:t>财务费用</w:t>
      </w:r>
      <w:r>
        <w:rPr>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pStyle w:val="BodyText"/>
        <w:spacing w:line="240" w:lineRule="auto"/>
        <w:ind w:left="229" w:right="0"/>
        <w:jc w:val="lef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035"/>
        <w:gridCol w:w="2624"/>
        <w:gridCol w:w="2458"/>
      </w:tblGrid>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吸收存款利息支出</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57,701,641</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72,309,971</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债券、借款及其他利息支出</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134,433,320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136,452,261</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租赁负债利息支出</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31,293,604</w:t>
            </w:r>
          </w:p>
        </w:tc>
        <w:tc>
          <w:tcPr>
            <w:tcW w:w="24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减：资本化利息</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-921,485</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-5,097,204</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-502,162,922</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-423,674,785</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福利精算的影响</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89,410,000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96,320,000</w:t>
            </w:r>
          </w:p>
        </w:tc>
      </w:tr>
      <w:tr>
        <w:trPr>
          <w:trHeight w:val="281"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-22,672,098</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-59,173,959</w:t>
            </w:r>
          </w:p>
        </w:tc>
      </w:tr>
      <w:tr>
        <w:trPr>
          <w:trHeight w:val="283"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5,002,133</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3,031,531</w:t>
            </w:r>
          </w:p>
        </w:tc>
      </w:tr>
      <w:tr>
        <w:trPr>
          <w:trHeight w:val="284" w:hRule="exact"/>
        </w:trPr>
        <w:tc>
          <w:tcPr>
            <w:tcW w:w="4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-207,915,807</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-179,832,185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b w:val="0"/>
          <w:bCs w:val="0"/>
        </w:rPr>
      </w:pPr>
      <w:r>
        <w:rPr>
          <w:rFonts w:ascii="宋体" w:hAnsi="宋体" w:cs="宋体" w:eastAsia="宋体" w:hint="default"/>
        </w:rPr>
        <w:t>67</w:t>
      </w:r>
      <w:r>
        <w:rPr/>
        <w:t>、</w:t>
      </w:r>
      <w:r>
        <w:rPr>
          <w:spacing w:val="-48"/>
        </w:rPr>
        <w:t> </w:t>
      </w:r>
      <w:r>
        <w:rPr/>
        <w:t>其他收益</w:t>
      </w:r>
      <w:r>
        <w:rPr>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920"/>
        <w:gridCol w:w="2158"/>
        <w:gridCol w:w="3039"/>
      </w:tblGrid>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与日常活动相关的发展扶持基金</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90,839,635</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29,359,629</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增值税进项加计抵减</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20,392,761</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外航道专项资金</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3,914,444</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3,914,444</w:t>
            </w:r>
          </w:p>
        </w:tc>
      </w:tr>
      <w:tr>
        <w:trPr>
          <w:trHeight w:val="281"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2,916,606</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847,303</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4,016,980</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45,225</w:t>
            </w:r>
          </w:p>
        </w:tc>
      </w:tr>
      <w:tr>
        <w:trPr>
          <w:trHeight w:val="283" w:hRule="exact"/>
        </w:trPr>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122,080,426</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34,166,601</w:t>
            </w:r>
          </w:p>
        </w:tc>
      </w:tr>
    </w:tbl>
    <w:p>
      <w:pPr>
        <w:pStyle w:val="BodyText"/>
        <w:spacing w:line="240" w:lineRule="exact"/>
        <w:ind w:left="229" w:right="0"/>
        <w:jc w:val="left"/>
        <w:rPr>
          <w:rFonts w:ascii="宋体" w:hAnsi="宋体" w:cs="宋体" w:eastAsia="宋体" w:hint="default"/>
        </w:rPr>
      </w:pPr>
      <w:r>
        <w:rPr>
          <w:rFonts w:ascii="宋体"/>
          <w:w w:val="100"/>
        </w:rPr>
        <w:t> </w:t>
      </w:r>
    </w:p>
    <w:p>
      <w:pPr>
        <w:pStyle w:val="BodyText"/>
        <w:spacing w:line="272" w:lineRule="exact"/>
        <w:ind w:left="22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0" w:lineRule="exact"/>
        <w:ind w:left="709"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年度及</w:t>
      </w:r>
      <w:r>
        <w:rPr>
          <w:spacing w:val="-53"/>
        </w:rPr>
        <w:t> </w:t>
      </w:r>
      <w:r>
        <w:rPr>
          <w:rFonts w:ascii="Times New Roman" w:hAnsi="Times New Roman" w:cs="Times New Roman" w:eastAsia="Times New Roman" w:hint="default"/>
        </w:rPr>
        <w:t>2018 </w:t>
      </w:r>
      <w:r>
        <w:rPr/>
        <w:t>年度，其他收益均计入当年非经常性损益。</w:t>
      </w:r>
    </w:p>
    <w:p>
      <w:pPr>
        <w:spacing w:after="0" w:line="290" w:lineRule="exact"/>
        <w:jc w:val="left"/>
        <w:sectPr>
          <w:type w:val="continuous"/>
          <w:pgSz w:w="11910" w:h="16840"/>
          <w:pgMar w:top="1120" w:bottom="1160" w:left="1360" w:right="1180"/>
        </w:sectPr>
      </w:pPr>
    </w:p>
    <w:p>
      <w:pPr>
        <w:pStyle w:val="Heading3"/>
        <w:spacing w:line="288"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68</w:t>
      </w:r>
      <w:r>
        <w:rPr/>
        <w:t>、</w:t>
      </w:r>
      <w:r>
        <w:rPr>
          <w:spacing w:val="-51"/>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8"/>
          <w:szCs w:val="28"/>
        </w:rPr>
      </w:pPr>
    </w:p>
    <w:p>
      <w:pPr>
        <w:pStyle w:val="BodyText"/>
        <w:spacing w:line="240" w:lineRule="auto"/>
        <w:ind w:left="229" w:right="0"/>
        <w:jc w:val="lef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120" w:bottom="1160" w:left="1360" w:right="1180"/>
          <w:cols w:num="2" w:equalWidth="0">
            <w:col w:w="2270" w:space="4319"/>
            <w:col w:w="2781"/>
          </w:cols>
        </w:sectPr>
      </w:pPr>
    </w:p>
    <w:p>
      <w:pPr>
        <w:spacing w:line="240" w:lineRule="auto" w:before="7"/>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5581"/>
        <w:gridCol w:w="1944"/>
        <w:gridCol w:w="1592"/>
      </w:tblGrid>
      <w:tr>
        <w:trPr>
          <w:trHeight w:val="281"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1"/>
              <w:jc w:val="right"/>
              <w:rPr>
                <w:rFonts w:ascii="宋体" w:hAnsi="宋体" w:cs="宋体" w:eastAsia="宋体" w:hint="default"/>
                <w:sz w:val="21"/>
                <w:szCs w:val="21"/>
              </w:rPr>
            </w:pPr>
            <w:r>
              <w:rPr>
                <w:rFonts w:ascii="宋体" w:hAnsi="宋体" w:cs="宋体" w:eastAsia="宋体" w:hint="default"/>
                <w:sz w:val="21"/>
                <w:szCs w:val="21"/>
              </w:rPr>
              <w:t>项目</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1,381,207,816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1,287,921,477</w:t>
            </w:r>
          </w:p>
        </w:tc>
      </w:tr>
      <w:tr>
        <w:trPr>
          <w:trHeight w:val="281"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65,833,162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49,306,481</w:t>
            </w:r>
          </w:p>
        </w:tc>
      </w:tr>
      <w:tr>
        <w:trPr>
          <w:trHeight w:val="283"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15,640,345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81,758,380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5581"/>
        <w:gridCol w:w="1944"/>
        <w:gridCol w:w="1592"/>
      </w:tblGrid>
      <w:tr>
        <w:trPr>
          <w:trHeight w:val="281"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33,964,687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37,501,730</w:t>
            </w:r>
          </w:p>
        </w:tc>
      </w:tr>
      <w:tr>
        <w:trPr>
          <w:trHeight w:val="557"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分步实现的企业合并原持有的长期股权投资按公允价值重</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新计量产生的投资</w:t>
            </w:r>
            <w:r>
              <w:rPr>
                <w:rFonts w:ascii="Times New Roman" w:hAnsi="Times New Roman" w:cs="Times New Roman" w:eastAsia="Times New Roman" w:hint="default"/>
                <w:sz w:val="21"/>
                <w:szCs w:val="21"/>
              </w:rPr>
              <w:t>(</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收益</w:t>
            </w:r>
          </w:p>
        </w:tc>
        <w:tc>
          <w:tcPr>
            <w:tcW w:w="194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-791,577</w:t>
            </w:r>
          </w:p>
        </w:tc>
      </w:tr>
      <w:tr>
        <w:trPr>
          <w:trHeight w:val="281"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处置长期股权投资产生的投资损失</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-227,809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-255,633</w:t>
            </w:r>
          </w:p>
        </w:tc>
      </w:tr>
      <w:tr>
        <w:trPr>
          <w:trHeight w:val="283"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票据贴现利息支出</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-4,144,864</w:t>
            </w: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1,492,273,337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1,455,440,858</w:t>
            </w:r>
          </w:p>
        </w:tc>
      </w:tr>
    </w:tbl>
    <w:p>
      <w:pPr>
        <w:spacing w:line="240" w:lineRule="auto" w:before="1"/>
        <w:rPr>
          <w:rFonts w:ascii="宋体" w:hAnsi="宋体" w:cs="宋体" w:eastAsia="宋体" w:hint="default"/>
          <w:b/>
          <w:bCs/>
          <w:sz w:val="5"/>
          <w:szCs w:val="5"/>
        </w:rPr>
      </w:pPr>
    </w:p>
    <w:p>
      <w:pPr>
        <w:pStyle w:val="BodyText"/>
        <w:spacing w:line="240" w:lineRule="auto" w:before="36"/>
        <w:ind w:left="22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68"/>
        <w:ind w:left="649" w:right="0"/>
        <w:jc w:val="left"/>
        <w:rPr>
          <w:rFonts w:ascii="宋体" w:hAnsi="宋体" w:cs="宋体" w:eastAsia="宋体" w:hint="default"/>
        </w:rPr>
      </w:pPr>
      <w:r>
        <w:rPr/>
        <w:t>本集团不存在投资收益汇回的重大限制。</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080" w:bottom="1160" w:left="1360" w:right="1180"/>
        </w:sectPr>
      </w:pPr>
    </w:p>
    <w:p>
      <w:pPr>
        <w:pStyle w:val="Heading3"/>
        <w:spacing w:line="304"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b w:val="0"/>
          <w:bCs w:val="0"/>
        </w:rPr>
      </w:pPr>
      <w:r>
        <w:rPr>
          <w:rFonts w:ascii="宋体" w:hAnsi="宋体" w:cs="宋体" w:eastAsia="宋体" w:hint="default"/>
        </w:rPr>
        <w:t>69</w:t>
      </w:r>
      <w:r>
        <w:rPr/>
        <w:t>、</w:t>
      </w:r>
      <w:r>
        <w:rPr>
          <w:spacing w:val="-47"/>
        </w:rPr>
        <w:t> </w:t>
      </w:r>
      <w:r>
        <w:rPr/>
        <w:t>净敞口套期收益</w:t>
      </w:r>
      <w:r>
        <w:rPr>
          <w:b w:val="0"/>
          <w:bCs w:val="0"/>
        </w:rPr>
      </w:r>
    </w:p>
    <w:p>
      <w:pPr>
        <w:pStyle w:val="Heading3"/>
        <w:spacing w:line="313" w:lineRule="exact"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70</w:t>
      </w:r>
      <w:r>
        <w:rPr/>
        <w:t>、</w:t>
      </w:r>
      <w:r>
        <w:rPr>
          <w:spacing w:val="-49"/>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2503" w:space="4086"/>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627"/>
        <w:gridCol w:w="2645"/>
        <w:gridCol w:w="2845"/>
      </w:tblGrid>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997,200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7,999,286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5,014,902</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8,996,486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5,014,902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3" w:lineRule="exact"/>
        <w:ind w:left="229" w:right="0"/>
        <w:jc w:val="left"/>
        <w:rPr>
          <w:rFonts w:ascii="宋体" w:hAnsi="宋体" w:cs="宋体" w:eastAsia="宋体" w:hint="default"/>
        </w:rPr>
      </w:pPr>
      <w:r>
        <w:rPr>
          <w:rFonts w:ascii="宋体"/>
        </w:rPr>
        <w:t> </w:t>
      </w:r>
    </w:p>
    <w:p>
      <w:pPr>
        <w:pStyle w:val="Heading3"/>
        <w:spacing w:line="313" w:lineRule="exact"/>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b w:val="0"/>
          <w:bCs w:val="0"/>
        </w:rPr>
      </w:pPr>
      <w:r>
        <w:rPr>
          <w:rFonts w:ascii="宋体" w:hAnsi="宋体" w:cs="宋体" w:eastAsia="宋体" w:hint="default"/>
        </w:rPr>
        <w:t>71</w:t>
      </w:r>
      <w:r>
        <w:rPr/>
        <w:t>、</w:t>
      </w:r>
      <w:r>
        <w:rPr>
          <w:spacing w:val="-47"/>
        </w:rPr>
        <w:t> </w:t>
      </w:r>
      <w:r>
        <w:rPr/>
        <w:t>信用减值损失</w:t>
      </w:r>
      <w:r>
        <w:rPr>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680"/>
        <w:gridCol w:w="2705"/>
        <w:gridCol w:w="2732"/>
      </w:tblGrid>
      <w:tr>
        <w:trPr>
          <w:trHeight w:val="286" w:hRule="exact"/>
        </w:trPr>
        <w:tc>
          <w:tcPr>
            <w:tcW w:w="368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2"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6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-5,901,858</w:t>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-5,380,889</w:t>
            </w:r>
          </w:p>
        </w:tc>
      </w:tr>
      <w:tr>
        <w:trPr>
          <w:trHeight w:val="288" w:hRule="exact"/>
        </w:trPr>
        <w:tc>
          <w:tcPr>
            <w:tcW w:w="368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-5,769,464</w:t>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-49,238,706</w:t>
            </w:r>
          </w:p>
        </w:tc>
      </w:tr>
      <w:tr>
        <w:trPr>
          <w:trHeight w:val="288" w:hRule="exact"/>
        </w:trPr>
        <w:tc>
          <w:tcPr>
            <w:tcW w:w="36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-7,187,706</w:t>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-1,413,322</w:t>
            </w:r>
          </w:p>
        </w:tc>
      </w:tr>
      <w:tr>
        <w:trPr>
          <w:trHeight w:val="288" w:hRule="exact"/>
        </w:trPr>
        <w:tc>
          <w:tcPr>
            <w:tcW w:w="36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应收票据坏账损失计提</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1,263,660</w:t>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3,431,505</w:t>
            </w:r>
          </w:p>
        </w:tc>
      </w:tr>
      <w:tr>
        <w:trPr>
          <w:trHeight w:val="286" w:hRule="exact"/>
        </w:trPr>
        <w:tc>
          <w:tcPr>
            <w:tcW w:w="368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应收账款坏账损失计提</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37,310,132</w:t>
            </w:r>
          </w:p>
        </w:tc>
        <w:tc>
          <w:tcPr>
            <w:tcW w:w="273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9,537,653</w:t>
            </w:r>
          </w:p>
        </w:tc>
      </w:tr>
      <w:tr>
        <w:trPr>
          <w:trHeight w:val="286" w:hRule="exact"/>
        </w:trPr>
        <w:tc>
          <w:tcPr>
            <w:tcW w:w="3680"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05"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19,714,764</w:t>
            </w:r>
          </w:p>
        </w:tc>
        <w:tc>
          <w:tcPr>
            <w:tcW w:w="2732"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-43,063,759</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72</w:t>
      </w:r>
      <w:r>
        <w:rPr/>
        <w:t>、</w:t>
      </w:r>
      <w:r>
        <w:rPr>
          <w:spacing w:val="-50"/>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2270" w:space="4319"/>
            <w:col w:w="278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25"/>
        <w:gridCol w:w="2592"/>
        <w:gridCol w:w="3099"/>
      </w:tblGrid>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3"/>
              <w:jc w:val="right"/>
              <w:rPr>
                <w:rFonts w:ascii="宋体" w:hAnsi="宋体" w:cs="宋体" w:eastAsia="宋体" w:hint="default"/>
                <w:sz w:val="21"/>
                <w:szCs w:val="21"/>
              </w:rPr>
            </w:pPr>
            <w:r>
              <w:rPr>
                <w:rFonts w:ascii="宋体" w:hAnsi="宋体" w:cs="宋体" w:eastAsia="宋体" w:hint="default"/>
                <w:sz w:val="21"/>
                <w:szCs w:val="21"/>
              </w:rPr>
              <w:t>项目</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一、商誉减值损失</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4,686,830</w:t>
            </w: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3"/>
              <w:jc w:val="right"/>
              <w:rPr>
                <w:rFonts w:ascii="宋体" w:hAnsi="宋体" w:cs="宋体" w:eastAsia="宋体" w:hint="default"/>
                <w:sz w:val="21"/>
                <w:szCs w:val="21"/>
              </w:rPr>
            </w:pPr>
            <w:r>
              <w:rPr>
                <w:rFonts w:ascii="宋体" w:hAnsi="宋体" w:cs="宋体" w:eastAsia="宋体" w:hint="default"/>
                <w:sz w:val="21"/>
                <w:szCs w:val="21"/>
              </w:rPr>
              <w:t>合计</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4,686,830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160" w:left="1360" w:right="1180"/>
        </w:sectPr>
      </w:pPr>
    </w:p>
    <w:p>
      <w:pPr>
        <w:pStyle w:val="Heading5"/>
        <w:spacing w:line="240" w:lineRule="auto" w:before="36"/>
        <w:ind w:left="229" w:right="0"/>
        <w:jc w:val="left"/>
        <w:rPr>
          <w:b w:val="0"/>
          <w:bCs w:val="0"/>
        </w:rPr>
      </w:pPr>
      <w:r>
        <w:rPr>
          <w:rFonts w:ascii="宋体" w:hAnsi="宋体" w:cs="宋体" w:eastAsia="宋体" w:hint="default"/>
        </w:rPr>
        <w:t>73</w:t>
      </w:r>
      <w:r>
        <w:rPr/>
        <w:t>、</w:t>
      </w:r>
      <w:r>
        <w:rPr>
          <w:spacing w:val="-47"/>
        </w:rPr>
        <w:t> </w:t>
      </w:r>
      <w:r>
        <w:rPr/>
        <w:t>资产处置收益</w:t>
      </w:r>
      <w:r>
        <w:rPr>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80" w:val="left" w:leader="none"/>
        </w:tabs>
        <w:spacing w:line="240" w:lineRule="auto" w:before="156"/>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2270" w:space="4319"/>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39"/>
        <w:gridCol w:w="3039"/>
        <w:gridCol w:w="3039"/>
      </w:tblGrid>
      <w:tr>
        <w:trPr>
          <w:trHeight w:val="28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01"/>
              <w:jc w:val="right"/>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1"/>
              <w:jc w:val="right"/>
              <w:rPr>
                <w:rFonts w:ascii="宋体" w:hAnsi="宋体" w:cs="宋体" w:eastAsia="宋体" w:hint="default"/>
                <w:sz w:val="21"/>
                <w:szCs w:val="21"/>
              </w:rPr>
            </w:pPr>
            <w:r>
              <w:rPr>
                <w:rFonts w:ascii="宋体" w:hAnsi="宋体" w:cs="宋体" w:eastAsia="宋体" w:hint="default"/>
                <w:spacing w:val="-2"/>
                <w:sz w:val="21"/>
                <w:szCs w:val="21"/>
              </w:rPr>
              <w:t>固定资产处置利得</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3,619,837</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3,105,007</w:t>
            </w:r>
          </w:p>
        </w:tc>
      </w:tr>
      <w:tr>
        <w:trPr>
          <w:trHeight w:val="28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1"/>
              <w:jc w:val="right"/>
              <w:rPr>
                <w:rFonts w:ascii="宋体" w:hAnsi="宋体" w:cs="宋体" w:eastAsia="宋体" w:hint="default"/>
                <w:sz w:val="21"/>
                <w:szCs w:val="21"/>
              </w:rPr>
            </w:pPr>
            <w:r>
              <w:rPr>
                <w:rFonts w:ascii="宋体" w:hAnsi="宋体" w:cs="宋体" w:eastAsia="宋体" w:hint="default"/>
                <w:spacing w:val="-2"/>
                <w:sz w:val="21"/>
                <w:szCs w:val="21"/>
              </w:rPr>
              <w:t>无形资产处置损失</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-166,667</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2,372,582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spacing w:line="240" w:lineRule="auto" w:before="9"/>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039"/>
        <w:gridCol w:w="3039"/>
        <w:gridCol w:w="3039"/>
      </w:tblGrid>
      <w:tr>
        <w:trPr>
          <w:trHeight w:val="281"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其他非流动资产处置收益</w:t>
            </w:r>
          </w:p>
        </w:tc>
        <w:tc>
          <w:tcPr>
            <w:tcW w:w="3039"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35,068,278</w:t>
            </w:r>
          </w:p>
        </w:tc>
      </w:tr>
      <w:tr>
        <w:trPr>
          <w:trHeight w:val="284"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3,453,170</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40,545,867</w:t>
            </w:r>
          </w:p>
        </w:tc>
      </w:tr>
    </w:tbl>
    <w:p>
      <w:pPr>
        <w:spacing w:after="0" w:line="238" w:lineRule="exact"/>
        <w:jc w:val="right"/>
        <w:rPr>
          <w:rFonts w:ascii="Times New Roman" w:hAnsi="Times New Roman" w:cs="Times New Roman" w:eastAsia="Times New Roman" w:hint="default"/>
          <w:sz w:val="21"/>
          <w:szCs w:val="21"/>
        </w:rPr>
        <w:sectPr>
          <w:pgSz w:w="11910" w:h="16840"/>
          <w:pgMar w:header="0" w:footer="974" w:top="108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BodyText"/>
        <w:spacing w:line="273" w:lineRule="exact" w:before="4"/>
        <w:ind w:left="229"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229" w:right="0"/>
        <w:jc w:val="left"/>
        <w:rPr>
          <w:rFonts w:ascii="宋体" w:hAnsi="宋体" w:cs="宋体" w:eastAsia="宋体" w:hint="default"/>
          <w:sz w:val="24"/>
          <w:szCs w:val="24"/>
        </w:rPr>
      </w:pPr>
      <w:r>
        <w:rPr>
          <w:rFonts w:ascii="宋体" w:hAnsi="宋体" w:cs="宋体" w:eastAsia="宋体" w:hint="default"/>
          <w:w w:val="100"/>
        </w:rPr>
        <w:t>   </w:t>
      </w:r>
      <w:r>
        <w:rPr>
          <w:rFonts w:ascii="宋体" w:hAnsi="宋体" w:cs="宋体" w:eastAsia="宋体" w:hint="default"/>
          <w:spacing w:val="-1"/>
          <w:w w:val="100"/>
        </w:rPr>
        <w:t> </w:t>
      </w:r>
      <w:r>
        <w:rPr/>
        <w:t>资产处置收益均计入当年非经常性损益。</w:t>
      </w:r>
      <w:r>
        <w:rPr>
          <w:rFonts w:ascii="宋体" w:hAnsi="宋体" w:cs="宋体" w:eastAsia="宋体" w:hint="default"/>
          <w:sz w:val="24"/>
          <w:szCs w:val="24"/>
        </w:rPr>
        <w:t> </w:t>
      </w:r>
    </w:p>
    <w:p>
      <w:pPr>
        <w:pStyle w:val="Heading3"/>
        <w:spacing w:line="310"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74</w:t>
      </w:r>
      <w:r>
        <w:rPr/>
        <w:t>、</w:t>
      </w:r>
      <w:r>
        <w:rPr>
          <w:spacing w:val="-48"/>
        </w:rPr>
        <w:t> </w:t>
      </w:r>
      <w:r>
        <w:rPr/>
        <w:t>营业外收入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4553" w:space="2036"/>
            <w:col w:w="278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34"/>
        <w:gridCol w:w="2177"/>
        <w:gridCol w:w="2259"/>
        <w:gridCol w:w="2247"/>
      </w:tblGrid>
      <w:tr>
        <w:trPr>
          <w:trHeight w:val="55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代征港建费手续费收入</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12,642,857</w:t>
            </w:r>
            <w:r>
              <w:rPr>
                <w:rFonts w:ascii="宋体"/>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tabs>
                <w:tab w:pos="989" w:val="left" w:leader="none"/>
              </w:tabs>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ab/>
            </w:r>
            <w:r>
              <w:rPr>
                <w:rFonts w:ascii="宋体"/>
                <w:spacing w:val="-1"/>
                <w:sz w:val="21"/>
              </w:rPr>
              <w:t>14,828,832</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12,642,857</w:t>
            </w:r>
            <w:r>
              <w:rPr>
                <w:rFonts w:ascii="宋体"/>
                <w:sz w:val="21"/>
              </w:rPr>
              <w:t> </w:t>
            </w:r>
          </w:p>
        </w:tc>
      </w:tr>
      <w:tr>
        <w:trPr>
          <w:trHeight w:val="28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无法支付的应付款项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10,878,371</w:t>
            </w:r>
            <w:r>
              <w:rPr>
                <w:rFonts w:ascii="宋体"/>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687,175</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10,878,371</w:t>
            </w:r>
            <w:r>
              <w:rPr>
                <w:rFonts w:ascii="宋体"/>
                <w:sz w:val="21"/>
              </w:rPr>
              <w:t> </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保险赔偿款</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3,899,210</w:t>
            </w:r>
            <w:r>
              <w:rPr>
                <w:rFonts w:ascii="宋体"/>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20,145,011</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3,899,210</w:t>
            </w:r>
            <w:r>
              <w:rPr>
                <w:rFonts w:ascii="宋体"/>
                <w:sz w:val="21"/>
              </w:rPr>
              <w:t> </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3,191,554</w:t>
            </w:r>
            <w:r>
              <w:rPr>
                <w:rFonts w:ascii="宋体"/>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4,038,753</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3,191,554</w:t>
            </w:r>
            <w:r>
              <w:rPr>
                <w:rFonts w:ascii="宋体"/>
                <w:sz w:val="21"/>
              </w:rPr>
              <w:t> </w:t>
            </w:r>
          </w:p>
        </w:tc>
      </w:tr>
      <w:tr>
        <w:trPr>
          <w:trHeight w:val="283"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1,271,645</w:t>
            </w:r>
            <w:r>
              <w:rPr>
                <w:rFonts w:ascii="宋体"/>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3,375,120</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1,271,645</w:t>
            </w:r>
            <w:r>
              <w:rPr>
                <w:rFonts w:ascii="宋体"/>
                <w:sz w:val="21"/>
              </w:rPr>
              <w:t> </w:t>
            </w:r>
          </w:p>
        </w:tc>
      </w:tr>
      <w:tr>
        <w:trPr>
          <w:trHeight w:val="281"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31,883,637</w:t>
            </w:r>
            <w:r>
              <w:rPr>
                <w:rFonts w:ascii="宋体"/>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43,074,891</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31,883,637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360" w:right="1180"/>
        </w:sectPr>
      </w:pPr>
    </w:p>
    <w:p>
      <w:pPr>
        <w:pStyle w:val="BodyText"/>
        <w:spacing w:line="240" w:lineRule="exact"/>
        <w:ind w:left="229" w:right="0"/>
        <w:jc w:val="left"/>
        <w:rPr>
          <w:rFonts w:ascii="宋体" w:hAnsi="宋体" w:cs="宋体" w:eastAsia="宋体" w:hint="default"/>
        </w:rPr>
      </w:pPr>
      <w:r>
        <w:rPr>
          <w:rFonts w:ascii="宋体"/>
          <w:w w:val="100"/>
        </w:rPr>
        <w:t> </w:t>
      </w:r>
    </w:p>
    <w:p>
      <w:pPr>
        <w:pStyle w:val="BodyText"/>
        <w:spacing w:line="272" w:lineRule="exact"/>
        <w:ind w:left="229"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73" w:lineRule="exact"/>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35"/>
          <w:szCs w:val="35"/>
        </w:rPr>
      </w:pPr>
    </w:p>
    <w:p>
      <w:pPr>
        <w:pStyle w:val="BodyText"/>
        <w:spacing w:line="240" w:lineRule="auto"/>
        <w:ind w:left="229" w:right="0"/>
        <w:jc w:val="left"/>
        <w:rPr>
          <w:rFonts w:ascii="宋体" w:hAnsi="宋体" w:cs="宋体" w:eastAsia="宋体" w:hint="default"/>
        </w:rPr>
      </w:pPr>
      <w:r>
        <w:rPr>
          <w:rFonts w:ascii="宋体" w:hAnsi="宋体" w:cs="宋体" w:eastAsia="宋体" w:hint="default"/>
          <w:sz w:val="24"/>
          <w:szCs w:val="24"/>
        </w:rPr>
        <w:t> </w:t>
      </w: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2647" w:space="3822"/>
            <w:col w:w="290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04"/>
        <w:gridCol w:w="2239"/>
        <w:gridCol w:w="2177"/>
        <w:gridCol w:w="2206"/>
      </w:tblGrid>
      <w:tr>
        <w:trPr>
          <w:trHeight w:val="566"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25"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4"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888" w:right="201" w:hanging="685"/>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283"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科学技术奖励</w:t>
            </w:r>
            <w:r>
              <w:rPr>
                <w:rFonts w:ascii="宋体" w:hAnsi="宋体" w:cs="宋体" w:eastAsia="宋体" w:hint="default"/>
                <w:sz w:val="21"/>
                <w:szCs w:val="21"/>
              </w:rPr>
              <w:t> </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3,041,667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招商引资奖金</w:t>
            </w:r>
            <w:r>
              <w:rPr>
                <w:rFonts w:ascii="宋体" w:hAnsi="宋体" w:cs="宋体" w:eastAsia="宋体" w:hint="default"/>
                <w:sz w:val="21"/>
                <w:szCs w:val="21"/>
              </w:rPr>
              <w:t> </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4"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其他政府补助</w:t>
            </w:r>
            <w:r>
              <w:rPr>
                <w:rFonts w:ascii="宋体" w:hAnsi="宋体" w:cs="宋体" w:eastAsia="宋体" w:hint="default"/>
                <w:sz w:val="21"/>
                <w:szCs w:val="21"/>
              </w:rPr>
              <w:t> </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
                <w:sz w:val="21"/>
              </w:rPr>
              <w:t>149,887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
                <w:sz w:val="21"/>
              </w:rPr>
              <w:t>1,938,753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收益相关</w:t>
            </w:r>
            <w:r>
              <w:rPr>
                <w:rFonts w:ascii="宋体" w:hAnsi="宋体" w:cs="宋体" w:eastAsia="宋体" w:hint="default"/>
                <w:sz w:val="21"/>
                <w:szCs w:val="21"/>
              </w:rPr>
              <w:t> </w:t>
            </w:r>
          </w:p>
        </w:tc>
      </w:tr>
      <w:tr>
        <w:trPr>
          <w:trHeight w:val="283"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3,191,554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4,038,753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bl>
    <w:p>
      <w:pPr>
        <w:pStyle w:val="Heading3"/>
        <w:spacing w:line="274" w:lineRule="exact"/>
        <w:ind w:left="229" w:right="0"/>
        <w:jc w:val="left"/>
        <w:rPr>
          <w:rFonts w:ascii="宋体" w:hAnsi="宋体" w:cs="宋体" w:eastAsia="宋体" w:hint="default"/>
        </w:rPr>
      </w:pPr>
      <w:r>
        <w:rPr>
          <w:rFonts w:ascii="宋体"/>
        </w:rPr>
        <w:t> </w:t>
      </w:r>
    </w:p>
    <w:p>
      <w:pPr>
        <w:pStyle w:val="BodyText"/>
        <w:spacing w:line="240" w:lineRule="auto" w:before="141"/>
        <w:ind w:left="229"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11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141"/>
        <w:ind w:left="229" w:right="0" w:firstLine="479"/>
        <w:jc w:val="left"/>
        <w:rPr>
          <w:rFonts w:ascii="宋体" w:hAnsi="宋体" w:cs="宋体" w:eastAsia="宋体" w:hint="default"/>
        </w:rPr>
      </w:pPr>
      <w:r>
        <w:rPr>
          <w:spacing w:val="-2"/>
        </w:rPr>
        <w:t>根据财政部会同交通部共同制定的《港口建设费征收使用管理办法》的规定，本集团按代征</w:t>
      </w:r>
      <w:r>
        <w:rPr>
          <w:w w:val="100"/>
        </w:rPr>
        <w:t> </w:t>
      </w:r>
      <w:r>
        <w:rPr/>
        <w:t>港建费的百分之一收取代征手续费。</w:t>
      </w:r>
      <w:r>
        <w:rPr>
          <w:rFonts w:ascii="宋体" w:hAnsi="宋体" w:cs="宋体" w:eastAsia="宋体" w:hint="default"/>
        </w:rPr>
        <w:t> </w:t>
      </w:r>
    </w:p>
    <w:p>
      <w:pPr>
        <w:pStyle w:val="BodyText"/>
        <w:spacing w:line="240" w:lineRule="auto" w:before="20"/>
        <w:ind w:left="649" w:right="0"/>
        <w:jc w:val="left"/>
        <w:rPr>
          <w:rFonts w:ascii="宋体" w:hAnsi="宋体" w:cs="宋体" w:eastAsia="宋体" w:hint="default"/>
        </w:rPr>
      </w:pPr>
      <w:r>
        <w:rPr/>
        <w:t>计入当年损益的政府补助均计入当年非经常性损益。</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sectPr>
      </w:pPr>
    </w:p>
    <w:p>
      <w:pPr>
        <w:pStyle w:val="Heading3"/>
        <w:spacing w:line="240" w:lineRule="auto" w:before="2"/>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rFonts w:ascii="宋体" w:hAnsi="宋体" w:cs="宋体" w:eastAsia="宋体" w:hint="default"/>
          <w:b w:val="0"/>
          <w:bCs w:val="0"/>
        </w:rPr>
      </w:pPr>
      <w:r>
        <w:rPr>
          <w:rFonts w:ascii="宋体" w:hAnsi="宋体" w:cs="宋体" w:eastAsia="宋体" w:hint="default"/>
        </w:rPr>
        <w:t>75</w:t>
      </w:r>
      <w:r>
        <w:rPr/>
        <w:t>、</w:t>
      </w:r>
      <w:r>
        <w:rPr>
          <w:spacing w:val="-51"/>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74" w:lineRule="exact"/>
        <w:ind w:left="0" w:right="128"/>
        <w:jc w:val="right"/>
        <w:rPr>
          <w:rFonts w:ascii="宋体" w:hAnsi="宋体" w:cs="宋体" w:eastAsia="宋体" w:hint="default"/>
        </w:rPr>
      </w:pPr>
      <w:r>
        <w:rPr>
          <w:rFonts w:ascii="宋体"/>
          <w:w w:val="100"/>
        </w:rPr>
        <w:t> </w:t>
      </w:r>
    </w:p>
    <w:p>
      <w:pPr>
        <w:pStyle w:val="BodyText"/>
        <w:spacing w:line="272" w:lineRule="exact" w:before="27"/>
        <w:ind w:left="229" w:right="12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2"/>
          <w:w w:val="100"/>
        </w:rPr>
        <w:t> </w:t>
      </w:r>
      <w:r>
        <w:rPr>
          <w:w w:val="100"/>
        </w:rPr>
        <w:t>币</w:t>
      </w:r>
      <w:r>
        <w:rPr>
          <w:spacing w:val="-3"/>
          <w:w w:val="100"/>
        </w:rPr>
        <w:t>种</w:t>
      </w:r>
      <w:r>
        <w:rPr>
          <w:spacing w:val="-1"/>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72" w:lineRule="exact"/>
        <w:jc w:val="right"/>
        <w:rPr>
          <w:rFonts w:ascii="宋体" w:hAnsi="宋体" w:cs="宋体" w:eastAsia="宋体" w:hint="default"/>
        </w:rPr>
        <w:sectPr>
          <w:type w:val="continuous"/>
          <w:pgSz w:w="11910" w:h="16840"/>
          <w:pgMar w:top="1120" w:bottom="1160" w:left="1360" w:right="1180"/>
          <w:cols w:num="2" w:equalWidth="0">
            <w:col w:w="2270" w:space="4319"/>
            <w:col w:w="2781"/>
          </w:cols>
        </w:sectPr>
      </w:pPr>
    </w:p>
    <w:tbl>
      <w:tblPr>
        <w:tblW w:w="0" w:type="auto"/>
        <w:jc w:val="left"/>
        <w:tblInd w:w="116" w:type="dxa"/>
        <w:tblLayout w:type="fixed"/>
        <w:tblCellMar>
          <w:top w:w="0" w:type="dxa"/>
          <w:left w:w="0" w:type="dxa"/>
          <w:bottom w:w="0" w:type="dxa"/>
          <w:right w:w="0" w:type="dxa"/>
        </w:tblCellMar>
        <w:tblLook w:val="01E0"/>
      </w:tblPr>
      <w:tblGrid>
        <w:gridCol w:w="2473"/>
        <w:gridCol w:w="2227"/>
        <w:gridCol w:w="2225"/>
        <w:gridCol w:w="2192"/>
      </w:tblGrid>
      <w:tr>
        <w:trPr>
          <w:trHeight w:val="554"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益的金额</w:t>
            </w:r>
            <w:r>
              <w:rPr>
                <w:rFonts w:ascii="宋体" w:hAnsi="宋体" w:cs="宋体" w:eastAsia="宋体" w:hint="default"/>
                <w:sz w:val="21"/>
                <w:szCs w:val="21"/>
              </w:rPr>
              <w:t> </w:t>
            </w:r>
          </w:p>
        </w:tc>
      </w:tr>
      <w:tr>
        <w:trPr>
          <w:trHeight w:val="28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309,049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54,119</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309,049</w:t>
            </w:r>
          </w:p>
        </w:tc>
      </w:tr>
      <w:tr>
        <w:trPr>
          <w:trHeight w:val="28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309,049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54,119</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309,049</w:t>
            </w:r>
          </w:p>
        </w:tc>
      </w:tr>
      <w:tr>
        <w:trPr>
          <w:trHeight w:val="28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5,528,300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800,000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5,528,300</w:t>
            </w:r>
          </w:p>
        </w:tc>
      </w:tr>
      <w:tr>
        <w:trPr>
          <w:trHeight w:val="28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12,477,175</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9,743,867</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12,477,175</w:t>
            </w:r>
          </w:p>
        </w:tc>
      </w:tr>
      <w:tr>
        <w:trPr>
          <w:trHeight w:val="281"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18,314,524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10,597,986</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18,314,524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spacing w:line="240" w:lineRule="auto" w:before="5"/>
        <w:rPr>
          <w:rFonts w:ascii="宋体" w:hAnsi="宋体" w:cs="宋体" w:eastAsia="宋体" w:hint="default"/>
          <w:sz w:val="20"/>
          <w:szCs w:val="20"/>
        </w:rPr>
      </w:pPr>
    </w:p>
    <w:p>
      <w:pPr>
        <w:pStyle w:val="BodyText"/>
        <w:spacing w:line="290" w:lineRule="auto" w:before="36"/>
        <w:ind w:left="229"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91"/>
        <w:ind w:left="649" w:right="0"/>
        <w:jc w:val="left"/>
        <w:rPr>
          <w:rFonts w:ascii="宋体" w:hAnsi="宋体" w:cs="宋体" w:eastAsia="宋体" w:hint="default"/>
          <w:sz w:val="24"/>
          <w:szCs w:val="24"/>
        </w:rPr>
      </w:pPr>
      <w:r>
        <w:rPr>
          <w:rFonts w:ascii="Arial" w:hAnsi="Arial" w:cs="Arial" w:eastAsia="Arial" w:hint="default"/>
        </w:rPr>
        <w:t>2019</w:t>
      </w:r>
      <w:r>
        <w:rPr>
          <w:rFonts w:ascii="Arial" w:hAnsi="Arial" w:cs="Arial" w:eastAsia="Arial" w:hint="default"/>
          <w:spacing w:val="-10"/>
        </w:rPr>
        <w:t> </w:t>
      </w:r>
      <w:r>
        <w:rPr/>
        <w:t>年度及</w:t>
      </w:r>
      <w:r>
        <w:rPr>
          <w:spacing w:val="-56"/>
        </w:rPr>
        <w:t> </w:t>
      </w:r>
      <w:r>
        <w:rPr>
          <w:rFonts w:ascii="Arial" w:hAnsi="Arial" w:cs="Arial" w:eastAsia="Arial" w:hint="default"/>
        </w:rPr>
        <w:t>2018</w:t>
      </w:r>
      <w:r>
        <w:rPr>
          <w:rFonts w:ascii="Arial" w:hAnsi="Arial" w:cs="Arial" w:eastAsia="Arial" w:hint="default"/>
          <w:spacing w:val="-9"/>
        </w:rPr>
        <w:t> </w:t>
      </w:r>
      <w:r>
        <w:rPr/>
        <w:t>年度，营业外支出均计入当年非经常性损益。</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footerReference w:type="default" r:id="rId90"/>
          <w:pgSz w:w="11910" w:h="16840"/>
          <w:pgMar w:footer="974" w:header="0" w:top="1080" w:bottom="1160" w:left="1360" w:right="1180"/>
        </w:sectPr>
      </w:pPr>
    </w:p>
    <w:p>
      <w:pPr>
        <w:pStyle w:val="Heading3"/>
        <w:spacing w:line="301" w:lineRule="exact"/>
        <w:ind w:left="229" w:right="0"/>
        <w:jc w:val="left"/>
        <w:rPr>
          <w:rFonts w:ascii="宋体" w:hAnsi="宋体" w:cs="宋体" w:eastAsia="宋体" w:hint="default"/>
        </w:rPr>
      </w:pPr>
      <w:r>
        <w:rPr>
          <w:rFonts w:ascii="宋体"/>
        </w:rPr>
        <w:t> </w:t>
      </w:r>
    </w:p>
    <w:p>
      <w:pPr>
        <w:pStyle w:val="Heading5"/>
        <w:spacing w:line="290" w:lineRule="auto" w:before="61"/>
        <w:ind w:left="229" w:right="104"/>
        <w:jc w:val="left"/>
        <w:rPr>
          <w:rFonts w:ascii="宋体" w:hAnsi="宋体" w:cs="宋体" w:eastAsia="宋体" w:hint="default"/>
          <w:b w:val="0"/>
          <w:bCs w:val="0"/>
        </w:rPr>
      </w:pPr>
      <w:r>
        <w:rPr>
          <w:rFonts w:ascii="宋体" w:hAnsi="宋体" w:cs="宋体" w:eastAsia="宋体" w:hint="default"/>
        </w:rPr>
        <w:t>76</w:t>
      </w:r>
      <w:r>
        <w:rPr/>
        <w:t>、</w:t>
      </w:r>
      <w:r>
        <w:rPr>
          <w:spacing w:val="-50"/>
        </w:rPr>
        <w:t> </w:t>
      </w:r>
      <w:r>
        <w:rPr/>
        <w:t>所得税费用</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8"/>
        </w:rPr>
        <w:t> </w:t>
      </w:r>
      <w:r>
        <w:rPr/>
        <w:t>所得税费用表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2270" w:space="4319"/>
            <w:col w:w="278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02"/>
        <w:gridCol w:w="2919"/>
        <w:gridCol w:w="3005"/>
      </w:tblGrid>
      <w:tr>
        <w:trPr>
          <w:trHeight w:val="28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5"/>
              <w:jc w:val="right"/>
              <w:rPr>
                <w:rFonts w:ascii="宋体" w:hAnsi="宋体" w:cs="宋体" w:eastAsia="宋体" w:hint="default"/>
                <w:sz w:val="21"/>
                <w:szCs w:val="21"/>
              </w:rPr>
            </w:pPr>
            <w:r>
              <w:rPr>
                <w:rFonts w:ascii="宋体" w:hAnsi="宋体" w:cs="宋体" w:eastAsia="宋体" w:hint="default"/>
                <w:sz w:val="21"/>
                <w:szCs w:val="21"/>
              </w:rPr>
              <w:t>项目</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969,412,610</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925,055,370</w:t>
            </w:r>
          </w:p>
        </w:tc>
      </w:tr>
      <w:tr>
        <w:trPr>
          <w:trHeight w:val="28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24,790,827</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-12,091,353</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5"/>
              <w:jc w:val="right"/>
              <w:rPr>
                <w:rFonts w:ascii="宋体" w:hAnsi="宋体" w:cs="宋体" w:eastAsia="宋体" w:hint="default"/>
                <w:sz w:val="21"/>
                <w:szCs w:val="21"/>
              </w:rPr>
            </w:pPr>
            <w:r>
              <w:rPr>
                <w:rFonts w:ascii="宋体" w:hAnsi="宋体" w:cs="宋体" w:eastAsia="宋体" w:hint="default"/>
                <w:sz w:val="21"/>
                <w:szCs w:val="21"/>
              </w:rPr>
              <w:t>合计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994,203,437</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912,964,017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8"/>
        </w:rPr>
        <w:t> </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3770" w:space="2819"/>
            <w:col w:w="2781"/>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6512"/>
        <w:gridCol w:w="2614"/>
      </w:tblGrid>
      <w:tr>
        <w:trPr>
          <w:trHeight w:val="283" w:hRule="exact"/>
        </w:trPr>
        <w:tc>
          <w:tcPr>
            <w:tcW w:w="6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4"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77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3" w:hRule="exact"/>
        </w:trPr>
        <w:tc>
          <w:tcPr>
            <w:tcW w:w="6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1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5,126,805,417</w:t>
            </w:r>
            <w:r>
              <w:rPr>
                <w:rFonts w:ascii="宋体"/>
                <w:sz w:val="21"/>
              </w:rPr>
              <w:t> </w:t>
            </w:r>
          </w:p>
        </w:tc>
      </w:tr>
      <w:tr>
        <w:trPr>
          <w:trHeight w:val="286" w:hRule="exact"/>
        </w:trPr>
        <w:tc>
          <w:tcPr>
            <w:tcW w:w="65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61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1,281,701,354</w:t>
            </w:r>
            <w:r>
              <w:rPr>
                <w:rFonts w:ascii="宋体"/>
                <w:sz w:val="21"/>
              </w:rPr>
              <w:t> </w:t>
            </w:r>
          </w:p>
        </w:tc>
      </w:tr>
      <w:tr>
        <w:trPr>
          <w:trHeight w:val="288" w:hRule="exact"/>
        </w:trPr>
        <w:tc>
          <w:tcPr>
            <w:tcW w:w="65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61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-345,301,954</w:t>
            </w:r>
            <w:r>
              <w:rPr>
                <w:rFonts w:ascii="宋体"/>
                <w:sz w:val="21"/>
              </w:rPr>
              <w:t> </w:t>
            </w:r>
          </w:p>
        </w:tc>
      </w:tr>
      <w:tr>
        <w:trPr>
          <w:trHeight w:val="288" w:hRule="exact"/>
        </w:trPr>
        <w:tc>
          <w:tcPr>
            <w:tcW w:w="65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61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51,499,054</w:t>
            </w:r>
            <w:r>
              <w:rPr>
                <w:rFonts w:ascii="宋体"/>
                <w:sz w:val="21"/>
              </w:rPr>
              <w:t> </w:t>
            </w:r>
          </w:p>
        </w:tc>
      </w:tr>
      <w:tr>
        <w:trPr>
          <w:trHeight w:val="559" w:hRule="exact"/>
        </w:trPr>
        <w:tc>
          <w:tcPr>
            <w:tcW w:w="65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响</w:t>
            </w:r>
            <w:r>
              <w:rPr>
                <w:rFonts w:ascii="宋体" w:hAnsi="宋体" w:cs="宋体" w:eastAsia="宋体" w:hint="default"/>
                <w:sz w:val="21"/>
                <w:szCs w:val="21"/>
              </w:rPr>
              <w:t> </w:t>
            </w:r>
          </w:p>
        </w:tc>
        <w:tc>
          <w:tcPr>
            <w:tcW w:w="261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18,108,635</w:t>
            </w:r>
            <w:r>
              <w:rPr>
                <w:rFonts w:ascii="宋体"/>
                <w:sz w:val="21"/>
              </w:rPr>
              <w:t> </w:t>
            </w:r>
          </w:p>
        </w:tc>
      </w:tr>
      <w:tr>
        <w:trPr>
          <w:trHeight w:val="291" w:hRule="exact"/>
        </w:trPr>
        <w:tc>
          <w:tcPr>
            <w:tcW w:w="6512"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优惠税率的影响</w:t>
            </w:r>
            <w:r>
              <w:rPr>
                <w:rFonts w:ascii="宋体" w:hAnsi="宋体" w:cs="宋体" w:eastAsia="宋体" w:hint="default"/>
                <w:sz w:val="21"/>
                <w:szCs w:val="21"/>
              </w:rPr>
              <w:t> </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-10,458,515</w:t>
            </w:r>
            <w:r>
              <w:rPr>
                <w:rFonts w:ascii="宋体"/>
                <w:sz w:val="21"/>
              </w:rPr>
              <w:t> </w:t>
            </w:r>
          </w:p>
        </w:tc>
      </w:tr>
      <w:tr>
        <w:trPr>
          <w:trHeight w:val="288" w:hRule="exact"/>
        </w:trPr>
        <w:tc>
          <w:tcPr>
            <w:tcW w:w="6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残疾工资加计扣除</w:t>
            </w:r>
            <w:r>
              <w:rPr>
                <w:rFonts w:ascii="宋体" w:hAnsi="宋体" w:cs="宋体" w:eastAsia="宋体" w:hint="default"/>
                <w:sz w:val="21"/>
                <w:szCs w:val="21"/>
              </w:rPr>
              <w:t> </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-1,345,137</w:t>
            </w:r>
            <w:r>
              <w:rPr>
                <w:rFonts w:ascii="宋体"/>
                <w:sz w:val="21"/>
              </w:rPr>
              <w:t> </w:t>
            </w:r>
          </w:p>
        </w:tc>
      </w:tr>
      <w:tr>
        <w:trPr>
          <w:trHeight w:val="286" w:hRule="exact"/>
        </w:trPr>
        <w:tc>
          <w:tcPr>
            <w:tcW w:w="651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61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994,203,437</w:t>
            </w:r>
            <w:r>
              <w:rPr>
                <w:rFonts w:ascii="宋体"/>
                <w:sz w:val="21"/>
              </w:rPr>
              <w:t> </w:t>
            </w:r>
          </w:p>
        </w:tc>
      </w:tr>
    </w:tbl>
    <w:p>
      <w:pPr>
        <w:pStyle w:val="BodyText"/>
        <w:spacing w:line="243" w:lineRule="exact"/>
        <w:ind w:left="229" w:right="0"/>
        <w:jc w:val="left"/>
        <w:rPr>
          <w:rFonts w:ascii="宋体" w:hAnsi="宋体" w:cs="宋体" w:eastAsia="宋体" w:hint="default"/>
        </w:rPr>
      </w:pPr>
      <w:r>
        <w:rPr>
          <w:rFonts w:ascii="宋体"/>
          <w:w w:val="100"/>
        </w:rPr>
        <w:t> </w:t>
      </w:r>
    </w:p>
    <w:p>
      <w:pPr>
        <w:pStyle w:val="BodyText"/>
        <w:spacing w:line="240" w:lineRule="auto" w:before="56"/>
        <w:ind w:left="229"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240" w:lineRule="auto" w:before="58"/>
        <w:ind w:left="229" w:right="0"/>
        <w:jc w:val="left"/>
        <w:rPr>
          <w:rFonts w:ascii="宋体" w:hAnsi="宋体" w:cs="宋体" w:eastAsia="宋体" w:hint="default"/>
          <w:b w:val="0"/>
          <w:bCs w:val="0"/>
        </w:rPr>
      </w:pPr>
      <w:r>
        <w:rPr>
          <w:rFonts w:ascii="宋体"/>
          <w:w w:val="99"/>
        </w:rPr>
        <w:t> </w:t>
      </w:r>
      <w:r>
        <w:rPr>
          <w:rFonts w:ascii="宋体"/>
          <w:b w:val="0"/>
        </w:rPr>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77</w:t>
      </w:r>
      <w:r>
        <w:rPr/>
        <w:t>、</w:t>
      </w:r>
      <w:r>
        <w:rPr>
          <w:spacing w:val="-50"/>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81"/>
        <w:ind w:left="709" w:right="0"/>
        <w:jc w:val="left"/>
        <w:rPr>
          <w:rFonts w:ascii="宋体" w:hAnsi="宋体" w:cs="宋体" w:eastAsia="宋体" w:hint="default"/>
          <w:sz w:val="24"/>
          <w:szCs w:val="24"/>
        </w:rPr>
      </w:pPr>
      <w:r>
        <w:rPr/>
        <w:t>详见本节七、合并财务报表项目附注</w:t>
      </w:r>
      <w:r>
        <w:rPr>
          <w:spacing w:val="-57"/>
        </w:rPr>
        <w:t> </w:t>
      </w:r>
      <w:r>
        <w:rPr>
          <w:rFonts w:ascii="宋体" w:hAnsi="宋体" w:cs="宋体" w:eastAsia="宋体" w:hint="default"/>
        </w:rPr>
        <w:t>57</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360" w:right="1180"/>
        </w:sectPr>
      </w:pPr>
    </w:p>
    <w:p>
      <w:pPr>
        <w:pStyle w:val="Heading3"/>
        <w:spacing w:line="240" w:lineRule="auto" w:before="2"/>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78</w:t>
      </w:r>
      <w:r>
        <w:rPr/>
        <w:t>、</w:t>
      </w:r>
      <w:r>
        <w:rPr>
          <w:spacing w:val="-47"/>
        </w:rPr>
        <w:t> </w:t>
      </w:r>
      <w:r>
        <w:rPr/>
        <w:t>现金流量表项目</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left="229"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3"/>
        </w:rPr>
        <w:t> </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3977" w:space="2612"/>
            <w:col w:w="278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397"/>
        <w:gridCol w:w="2818"/>
        <w:gridCol w:w="2912"/>
      </w:tblGrid>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收到租赁款</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173,554,902</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140,506,020</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136,215,389</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104,736,314</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103,297,431</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25,700,187</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物流业务代收款项</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53,517,977</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收回押金及保证金</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26,291,966</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代收铁路运费</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14,191,693</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9,129,525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spacing w:line="240" w:lineRule="auto" w:before="9"/>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3397"/>
        <w:gridCol w:w="2818"/>
        <w:gridCol w:w="2912"/>
      </w:tblGrid>
      <w:tr>
        <w:trPr>
          <w:trHeight w:val="281"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港建费手续费</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12,642,857</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14,828,832</w:t>
            </w:r>
          </w:p>
        </w:tc>
      </w:tr>
      <w:tr>
        <w:trPr>
          <w:trHeight w:val="284"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代收港建费</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w w:val="100"/>
                <w:sz w:val="21"/>
              </w:rPr>
              <w:t>-</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
                <w:sz w:val="21"/>
              </w:rPr>
              <w:t>28,525,777</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19,199,070</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24,207,306</w:t>
            </w:r>
          </w:p>
        </w:tc>
      </w:tr>
      <w:tr>
        <w:trPr>
          <w:trHeight w:val="28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538,911,285</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347,633,961</w:t>
            </w:r>
          </w:p>
        </w:tc>
      </w:tr>
    </w:tbl>
    <w:p>
      <w:pPr>
        <w:spacing w:after="0" w:line="235" w:lineRule="exact"/>
        <w:jc w:val="right"/>
        <w:rPr>
          <w:rFonts w:ascii="Times New Roman" w:hAnsi="Times New Roman" w:cs="Times New Roman" w:eastAsia="Times New Roman" w:hint="default"/>
          <w:sz w:val="21"/>
          <w:szCs w:val="21"/>
        </w:rPr>
        <w:sectPr>
          <w:footerReference w:type="default" r:id="rId91"/>
          <w:pgSz w:w="11910" w:h="16840"/>
          <w:pgMar w:footer="974" w:header="0" w:top="1080" w:bottom="1160" w:left="1360" w:right="1180"/>
          <w:pgNumType w:start="191"/>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3"/>
        </w:rPr>
        <w:t> </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1280" w:val="left" w:leader="none"/>
        </w:tabs>
        <w:spacing w:line="240" w:lineRule="auto"/>
        <w:ind w:left="229" w:right="0"/>
        <w:jc w:val="left"/>
      </w:pPr>
      <w:r>
        <w:rPr>
          <w:spacing w:val="-1"/>
        </w:rPr>
        <w:t>单位：元</w:t>
        <w:tab/>
        <w:t>币种：人民币</w:t>
      </w:r>
    </w:p>
    <w:p>
      <w:pPr>
        <w:spacing w:after="0" w:line="240" w:lineRule="auto"/>
        <w:jc w:val="left"/>
        <w:sectPr>
          <w:type w:val="continuous"/>
          <w:pgSz w:w="11910" w:h="16840"/>
          <w:pgMar w:top="1120" w:bottom="1160" w:left="1360" w:right="1180"/>
          <w:cols w:num="2" w:equalWidth="0">
            <w:col w:w="3977" w:space="2612"/>
            <w:col w:w="278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35"/>
        <w:gridCol w:w="2832"/>
        <w:gridCol w:w="2859"/>
      </w:tblGrid>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办公费及招待费用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44,393,308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31,530,494</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垫付代理采购货款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40,681,624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235,110,214</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27,753,994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18,282,150</w:t>
            </w:r>
          </w:p>
        </w:tc>
      </w:tr>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代付港建费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25,738,225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罚款及捐赠支出等</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9,713,178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1,219,279</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支付银行手续费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5,002,133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3,031,531</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40,067,440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物流业务代付款项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33,137,666</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6,914,462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28,065,954</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8"/>
              <w:jc w:val="right"/>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160,196,924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390,444,728</w:t>
            </w:r>
          </w:p>
        </w:tc>
      </w:tr>
    </w:tbl>
    <w:p>
      <w:pPr>
        <w:pStyle w:val="BodyText"/>
        <w:spacing w:line="241" w:lineRule="exact"/>
        <w:ind w:left="229" w:right="0"/>
        <w:jc w:val="left"/>
        <w:rPr>
          <w:rFonts w:ascii="宋体" w:hAnsi="宋体" w:cs="宋体" w:eastAsia="宋体" w:hint="default"/>
        </w:rPr>
      </w:pPr>
      <w:r>
        <w:rPr>
          <w:rFonts w:ascii="宋体"/>
          <w:w w:val="100"/>
        </w:rPr>
        <w:t> </w:t>
      </w:r>
    </w:p>
    <w:p>
      <w:pPr>
        <w:pStyle w:val="BodyText"/>
        <w:spacing w:line="355" w:lineRule="auto" w:before="58"/>
        <w:ind w:left="649" w:right="0" w:hanging="420"/>
        <w:jc w:val="left"/>
      </w:pPr>
      <w:r>
        <w:rPr/>
        <w:t>支付的其他与经营活动有关的现金说明：</w:t>
      </w:r>
      <w:r>
        <w:rPr>
          <w:rFonts w:ascii="宋体" w:hAnsi="宋体" w:cs="宋体" w:eastAsia="宋体" w:hint="default"/>
          <w:w w:val="100"/>
        </w:rPr>
        <w:t> </w:t>
      </w:r>
      <w:r>
        <w:rPr>
          <w:spacing w:val="-2"/>
        </w:rPr>
        <w:t>垫付代理采购货款为本公司之子公司国贸物流、大宗商品及通泽商贸从事代理采购业务而代</w:t>
      </w:r>
    </w:p>
    <w:p>
      <w:pPr>
        <w:pStyle w:val="BodyText"/>
        <w:spacing w:line="259" w:lineRule="exact"/>
        <w:ind w:left="229" w:right="0"/>
        <w:jc w:val="left"/>
        <w:rPr>
          <w:rFonts w:ascii="宋体" w:hAnsi="宋体" w:cs="宋体" w:eastAsia="宋体" w:hint="default"/>
          <w:sz w:val="24"/>
          <w:szCs w:val="24"/>
        </w:rPr>
      </w:pPr>
      <w:r>
        <w:rPr/>
        <w:t>客户收取或支付的款项，以净额列报。</w:t>
      </w:r>
      <w:r>
        <w:rPr>
          <w:rFonts w:ascii="宋体" w:hAnsi="宋体" w:cs="宋体" w:eastAsia="宋体" w:hint="default"/>
          <w:sz w:val="24"/>
          <w:szCs w:val="24"/>
        </w:rPr>
        <w:t> </w:t>
      </w:r>
    </w:p>
    <w:p>
      <w:pPr>
        <w:pStyle w:val="Heading3"/>
        <w:spacing w:line="240" w:lineRule="auto" w:before="50"/>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3"/>
        </w:rPr>
        <w:t> </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128"/>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87"/>
        <w:gridCol w:w="2506"/>
        <w:gridCol w:w="2333"/>
      </w:tblGrid>
      <w:tr>
        <w:trPr>
          <w:trHeight w:val="281"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收回为关联方及第三方提供的贷款</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1,932,234,044</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5,635,958,858</w:t>
            </w:r>
            <w:r>
              <w:rPr>
                <w:rFonts w:ascii="宋体"/>
                <w:sz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收回金融机构同业拆借资金</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850,000,000</w:t>
            </w:r>
            <w:r>
              <w:rPr>
                <w:rFonts w:ascii="宋体"/>
                <w:sz w:val="21"/>
              </w:rPr>
              <w:t> </w:t>
            </w:r>
          </w:p>
        </w:tc>
      </w:tr>
      <w:tr>
        <w:trPr>
          <w:trHeight w:val="281"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青港财务公司收回法定存款保证金</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219,520,678</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收回填海造地成本返还</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218,725,300</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3,570,480,022</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6,485,958,858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160" w:left="1360" w:right="1180"/>
        </w:sectPr>
      </w:pPr>
    </w:p>
    <w:p>
      <w:pPr>
        <w:pStyle w:val="Heading3"/>
        <w:spacing w:line="272" w:lineRule="exact"/>
        <w:ind w:left="229" w:right="0"/>
        <w:jc w:val="left"/>
        <w:rPr>
          <w:rFonts w:ascii="宋体" w:hAnsi="宋体" w:cs="宋体" w:eastAsia="宋体" w:hint="default"/>
        </w:rPr>
      </w:pPr>
      <w:r>
        <w:rPr>
          <w:rFonts w:ascii="宋体"/>
        </w:rPr>
        <w:t> </w:t>
      </w:r>
    </w:p>
    <w:p>
      <w:pPr>
        <w:pStyle w:val="Heading3"/>
        <w:spacing w:line="312"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3"/>
        </w:rPr>
        <w:t> </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229" w:right="0" w:firstLine="2311"/>
        <w:jc w:val="lef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2"/>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3977" w:space="2612"/>
            <w:col w:w="278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87"/>
        <w:gridCol w:w="2506"/>
        <w:gridCol w:w="2333"/>
      </w:tblGrid>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为关联方及第三方提供贷款</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1,745,342,203</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3,135,287,684</w:t>
            </w:r>
            <w:r>
              <w:rPr>
                <w:rFonts w:ascii="宋体"/>
                <w:sz w:val="21"/>
              </w:rPr>
              <w:t> </w:t>
            </w:r>
          </w:p>
        </w:tc>
      </w:tr>
      <w:tr>
        <w:trPr>
          <w:trHeight w:val="281"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向其他金融机构拆出资金</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1,250,000,000</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850,000,000</w:t>
            </w:r>
            <w:r>
              <w:rPr>
                <w:rFonts w:ascii="宋体"/>
                <w:sz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青港财务公司存入法定存款准备金</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121,821,138</w:t>
            </w:r>
            <w:r>
              <w:rPr>
                <w:rFonts w:ascii="宋体"/>
                <w:sz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2,995,342,203</w:t>
            </w:r>
            <w:r>
              <w:rPr>
                <w:rFonts w:ascii="宋体"/>
                <w:sz w:val="21"/>
              </w:rPr>
              <w:t> </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4,107,108,822</w:t>
            </w:r>
            <w:r>
              <w:rPr>
                <w:rFonts w:ascii="宋体"/>
                <w:sz w:val="21"/>
              </w:rPr>
              <w:t> </w:t>
            </w:r>
          </w:p>
        </w:tc>
      </w:tr>
    </w:tbl>
    <w:p>
      <w:pPr>
        <w:pStyle w:val="Heading3"/>
        <w:spacing w:line="274" w:lineRule="exact"/>
        <w:ind w:left="229"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120" w:bottom="1160" w:left="1360" w:right="1180"/>
        </w:sect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1360" w:right="1180"/>
        </w:sectPr>
      </w:pPr>
    </w:p>
    <w:p>
      <w:pPr>
        <w:pStyle w:val="Heading5"/>
        <w:spacing w:line="240" w:lineRule="auto" w:before="36"/>
        <w:ind w:left="229"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3"/>
        </w:rPr>
        <w:t> </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spacing w:line="240" w:lineRule="auto"/>
        <w:ind w:left="229" w:right="0"/>
        <w:jc w:val="lef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360" w:right="1180"/>
          <w:cols w:num="2" w:equalWidth="0">
            <w:col w:w="3977" w:space="2612"/>
            <w:col w:w="278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87"/>
        <w:gridCol w:w="2504"/>
        <w:gridCol w:w="2336"/>
      </w:tblGrid>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青港财务公司吸收存款增加</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835,735,174</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835,735,174</w:t>
            </w: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3"/>
        </w:rPr>
        <w:t> </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6"/>
          <w:szCs w:val="26"/>
        </w:rPr>
      </w:pPr>
    </w:p>
    <w:p>
      <w:pPr>
        <w:pStyle w:val="BodyText"/>
        <w:spacing w:line="240" w:lineRule="auto"/>
        <w:ind w:left="229" w:right="0"/>
        <w:jc w:val="lef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360" w:right="1180"/>
          <w:cols w:num="2" w:equalWidth="0">
            <w:col w:w="3977" w:space="2612"/>
            <w:col w:w="278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87"/>
        <w:gridCol w:w="2504"/>
        <w:gridCol w:w="2336"/>
      </w:tblGrid>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偿还租赁负债支付的金额</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194,681,721</w:t>
            </w:r>
          </w:p>
        </w:tc>
        <w:tc>
          <w:tcPr>
            <w:tcW w:w="233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青港财务公司吸收存款减少</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4,284,019,199</w:t>
            </w:r>
          </w:p>
        </w:tc>
      </w:tr>
      <w:tr>
        <w:trPr>
          <w:trHeight w:val="281"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偿还融资租赁本金及利息</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47,662,763</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支付发行股票相关费用</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4,528,302</w:t>
            </w:r>
          </w:p>
        </w:tc>
      </w:tr>
      <w:tr>
        <w:trPr>
          <w:trHeight w:val="28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1"/>
                <w:sz w:val="21"/>
              </w:rPr>
              <w:t>194,681,721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4,336,210,264</w:t>
            </w:r>
          </w:p>
        </w:tc>
      </w:tr>
    </w:tbl>
    <w:p>
      <w:pPr>
        <w:pStyle w:val="Heading3"/>
        <w:spacing w:line="274" w:lineRule="exact"/>
        <w:ind w:left="229" w:right="0"/>
        <w:jc w:val="left"/>
        <w:rPr>
          <w:rFonts w:ascii="宋体" w:hAnsi="宋体" w:cs="宋体" w:eastAsia="宋体" w:hint="default"/>
        </w:rPr>
      </w:pPr>
      <w:r>
        <w:rPr>
          <w:rFonts w:ascii="宋体"/>
        </w:rPr>
        <w:t> </w:t>
      </w:r>
    </w:p>
    <w:p>
      <w:pPr>
        <w:pStyle w:val="BodyText"/>
        <w:spacing w:line="240" w:lineRule="auto" w:before="64"/>
        <w:ind w:left="229" w:right="0"/>
        <w:jc w:val="left"/>
        <w:rPr>
          <w:rFonts w:ascii="宋体" w:hAnsi="宋体" w:cs="宋体" w:eastAsia="宋体" w:hint="default"/>
        </w:rPr>
      </w:pPr>
      <w:r>
        <w:rPr/>
        <w:t>支付的其他与筹资活动有关的现金说明：</w:t>
      </w:r>
      <w:r>
        <w:rPr>
          <w:rFonts w:ascii="宋体" w:hAnsi="宋体" w:cs="宋体" w:eastAsia="宋体" w:hint="default"/>
        </w:rPr>
        <w:t> </w:t>
      </w:r>
    </w:p>
    <w:p>
      <w:pPr>
        <w:pStyle w:val="BodyText"/>
        <w:spacing w:line="314" w:lineRule="auto" w:before="133"/>
        <w:ind w:left="229" w:right="253" w:firstLine="419"/>
        <w:jc w:val="left"/>
      </w:pPr>
      <w:r>
        <w:rPr>
          <w:rFonts w:ascii="宋体" w:hAnsi="宋体" w:cs="宋体" w:eastAsia="宋体" w:hint="default"/>
        </w:rPr>
        <w:t>2019</w:t>
      </w:r>
      <w:r>
        <w:rPr>
          <w:rFonts w:ascii="宋体" w:hAnsi="宋体" w:cs="宋体" w:eastAsia="宋体" w:hint="default"/>
          <w:spacing w:val="-56"/>
        </w:rPr>
        <w:t> </w:t>
      </w:r>
      <w:r>
        <w:rPr/>
        <w:t>年度，本集团支付的与租赁相关的总现金流出为</w:t>
      </w:r>
      <w:r>
        <w:rPr>
          <w:spacing w:val="-53"/>
        </w:rPr>
        <w:t> </w:t>
      </w:r>
      <w:r>
        <w:rPr>
          <w:rFonts w:ascii="宋体" w:hAnsi="宋体" w:cs="宋体" w:eastAsia="宋体" w:hint="default"/>
        </w:rPr>
        <w:t>411,097,862</w:t>
      </w:r>
      <w:r>
        <w:rPr>
          <w:rFonts w:ascii="宋体" w:hAnsi="宋体" w:cs="宋体" w:eastAsia="宋体" w:hint="default"/>
          <w:spacing w:val="-56"/>
        </w:rPr>
        <w:t> </w:t>
      </w:r>
      <w:r>
        <w:rPr/>
        <w:t>元，除上述计入筹资活动</w:t>
      </w:r>
      <w:r>
        <w:rPr>
          <w:w w:val="100"/>
        </w:rPr>
        <w:t> </w:t>
      </w:r>
      <w:r>
        <w:rPr/>
        <w:t>的偿付租赁负债支付的金额以外，其余现金流出均计入经营活动。</w:t>
      </w:r>
    </w:p>
    <w:p>
      <w:pPr>
        <w:pStyle w:val="Heading3"/>
        <w:spacing w:line="251" w:lineRule="exact"/>
        <w:ind w:left="229" w:right="0"/>
        <w:jc w:val="left"/>
        <w:rPr>
          <w:rFonts w:ascii="宋体" w:hAnsi="宋体" w:cs="宋体" w:eastAsia="宋体" w:hint="default"/>
        </w:rPr>
      </w:pPr>
      <w:r>
        <w:rPr>
          <w:rFonts w:ascii="宋体"/>
        </w:rPr>
        <w:t> </w:t>
      </w:r>
    </w:p>
    <w:p>
      <w:pPr>
        <w:pStyle w:val="Heading5"/>
        <w:spacing w:line="290" w:lineRule="auto" w:before="64"/>
        <w:ind w:left="229" w:right="6353"/>
        <w:jc w:val="left"/>
        <w:rPr>
          <w:rFonts w:ascii="宋体" w:hAnsi="宋体" w:cs="宋体" w:eastAsia="宋体" w:hint="default"/>
          <w:b w:val="0"/>
          <w:bCs w:val="0"/>
        </w:rPr>
      </w:pPr>
      <w:r>
        <w:rPr>
          <w:rFonts w:ascii="宋体" w:hAnsi="宋体" w:cs="宋体" w:eastAsia="宋体" w:hint="default"/>
        </w:rPr>
        <w:t>79</w:t>
      </w:r>
      <w:r>
        <w:rPr/>
        <w:t>、</w:t>
      </w:r>
      <w:r>
        <w:rPr>
          <w:spacing w:val="-45"/>
        </w:rPr>
        <w:t> </w:t>
      </w:r>
      <w:r>
        <w:rPr/>
        <w:t>现金流量表补充资料</w:t>
      </w:r>
      <w:r>
        <w:rPr>
          <w:spacing w:val="-104"/>
        </w:rPr>
        <w:t> </w:t>
      </w:r>
      <w:r>
        <w:rPr>
          <w:spacing w:val="-104"/>
        </w:rPr>
      </w:r>
      <w:r>
        <w:rPr>
          <w:rFonts w:ascii="宋体" w:hAnsi="宋体" w:cs="宋体" w:eastAsia="宋体" w:hint="default"/>
        </w:rPr>
        <w:t>(1).</w:t>
      </w:r>
      <w:r>
        <w:rPr>
          <w:rFonts w:ascii="宋体" w:hAnsi="宋体" w:cs="宋体" w:eastAsia="宋体" w:hint="default"/>
          <w:spacing w:val="-49"/>
        </w:rPr>
        <w:t> </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114"/>
        <w:jc w:val="righ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421"/>
        <w:gridCol w:w="2367"/>
        <w:gridCol w:w="2329"/>
      </w:tblGrid>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4,132,601,980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3,843,526,348</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24,401,594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-43,063,759</w:t>
            </w:r>
          </w:p>
        </w:tc>
      </w:tr>
      <w:tr>
        <w:trPr>
          <w:trHeight w:val="557"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产折旧</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707,951,488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690,025,822</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68,922,249</w:t>
            </w: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59,761,980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51,431,594</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8,451,397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11,439,139</w:t>
            </w:r>
          </w:p>
        </w:tc>
      </w:tr>
      <w:tr>
        <w:trPr>
          <w:trHeight w:val="555"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失（收益以“－”号填列）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-3,453,170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-40,545,867</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309,049</w:t>
            </w: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-8,996,486</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-5,014,902</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-121,203,267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-155,170,686</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-1,492,273,337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-1,455,440,858</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24,790,827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-6,444,912</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59,499,715</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48,525,249</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spacing w:val="-101"/>
                <w:w w:val="100"/>
                <w:sz w:val="21"/>
                <w:szCs w:val="21"/>
              </w:rPr>
              <w:t>少</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-589,430,784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-1,083,247,279</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102,146,677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440,043,994</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-7,490,142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-5,059,669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360" w:right="1180"/>
        </w:sectPr>
      </w:pPr>
    </w:p>
    <w:p>
      <w:pPr>
        <w:spacing w:line="240" w:lineRule="auto" w:before="9"/>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4421"/>
        <w:gridCol w:w="2367"/>
        <w:gridCol w:w="2329"/>
      </w:tblGrid>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2,965,989,770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2,291,004,214</w:t>
            </w:r>
          </w:p>
        </w:tc>
      </w:tr>
      <w:tr>
        <w:trPr>
          <w:trHeight w:val="284"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123,283,294</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当期新增的使用权资产</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171,039,313</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以无形资产出资取得长期股权投资</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66,522,882</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应收票据背书取得长期资产</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107,063,882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73,442,525</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应收票据背书购买商品及劳务</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1,674,744,058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2,147,764,038</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3,998,246,081</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4,014,278,650</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4,014,278,650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6,362,939,502</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-16,032,569</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-2,348,660,852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360" w:right="1180"/>
        </w:sectPr>
      </w:pPr>
    </w:p>
    <w:p>
      <w:pPr>
        <w:pStyle w:val="Heading3"/>
        <w:spacing w:line="274" w:lineRule="exact"/>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3"/>
        </w:rPr>
        <w:t> </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3"/>
        </w:rPr>
        <w:t> </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1"/>
        </w:rPr>
        <w:t> </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ind w:left="229"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3977" w:space="2612"/>
            <w:col w:w="2781"/>
          </w:cols>
        </w:sectPr>
      </w:pPr>
    </w:p>
    <w:p>
      <w:pPr>
        <w:spacing w:line="240" w:lineRule="auto" w:before="7"/>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4421"/>
        <w:gridCol w:w="2367"/>
        <w:gridCol w:w="2329"/>
      </w:tblGrid>
      <w:tr>
        <w:trPr>
          <w:trHeight w:val="295"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5,049</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3,998,246,081</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4,014,273,601</w:t>
            </w:r>
          </w:p>
        </w:tc>
      </w:tr>
      <w:tr>
        <w:trPr>
          <w:trHeight w:val="295"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w w:val="100"/>
                <w:sz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3,998,246,081</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4,014,278,650</w:t>
            </w:r>
          </w:p>
        </w:tc>
      </w:tr>
    </w:tbl>
    <w:p>
      <w:pPr>
        <w:pStyle w:val="Heading3"/>
        <w:spacing w:line="274" w:lineRule="exact"/>
        <w:ind w:left="229" w:right="0"/>
        <w:jc w:val="left"/>
        <w:rPr>
          <w:rFonts w:ascii="宋体" w:hAnsi="宋体" w:cs="宋体" w:eastAsia="宋体" w:hint="default"/>
        </w:rPr>
      </w:pPr>
      <w:r>
        <w:rPr>
          <w:rFonts w:ascii="宋体"/>
        </w:rPr>
        <w:t> </w:t>
      </w:r>
    </w:p>
    <w:p>
      <w:pPr>
        <w:pStyle w:val="BodyText"/>
        <w:spacing w:line="240" w:lineRule="auto" w:before="64"/>
        <w:ind w:left="229"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8"/>
        <w:ind w:left="229" w:right="0"/>
        <w:jc w:val="left"/>
        <w:rPr>
          <w:rFonts w:ascii="宋体" w:hAnsi="宋体" w:cs="宋体" w:eastAsia="宋体" w:hint="default"/>
        </w:rPr>
      </w:pPr>
      <w:r>
        <w:rPr>
          <w:rFonts w:ascii="宋体"/>
        </w:rPr>
        <w:t> </w:t>
      </w:r>
    </w:p>
    <w:p>
      <w:pPr>
        <w:spacing w:line="290" w:lineRule="auto" w:before="64"/>
        <w:ind w:left="229" w:right="0" w:firstLine="0"/>
        <w:jc w:val="left"/>
        <w:rPr>
          <w:rFonts w:ascii="宋体" w:hAnsi="宋体" w:cs="宋体" w:eastAsia="宋体" w:hint="default"/>
          <w:sz w:val="24"/>
          <w:szCs w:val="24"/>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49"/>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4"/>
          <w:szCs w:val="24"/>
        </w:rPr>
        <w:t> </w:t>
      </w:r>
    </w:p>
    <w:p>
      <w:pPr>
        <w:pStyle w:val="Heading3"/>
        <w:spacing w:line="260" w:lineRule="exact"/>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FF"/>
        </w:rPr>
        <w:t> </w:t>
      </w:r>
      <w:r>
        <w:rPr>
          <w:rFonts w:ascii="宋体" w:hAnsi="宋体" w:cs="宋体" w:eastAsia="宋体" w:hint="default"/>
        </w:rPr>
      </w:r>
    </w:p>
    <w:p>
      <w:pPr>
        <w:pStyle w:val="Heading3"/>
        <w:spacing w:line="312"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81</w:t>
      </w:r>
      <w:r>
        <w:rPr/>
        <w:t>、</w:t>
      </w:r>
      <w:r>
        <w:rPr>
          <w:spacing w:val="-50"/>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77"/>
        <w:gridCol w:w="2053"/>
        <w:gridCol w:w="5197"/>
      </w:tblGrid>
      <w:tr>
        <w:trPr>
          <w:trHeight w:val="28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557"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883" w:right="0"/>
              <w:jc w:val="left"/>
              <w:rPr>
                <w:rFonts w:ascii="Times New Roman" w:hAnsi="Times New Roman" w:cs="Times New Roman" w:eastAsia="Times New Roman" w:hint="default"/>
                <w:sz w:val="21"/>
                <w:szCs w:val="21"/>
              </w:rPr>
            </w:pPr>
            <w:r>
              <w:rPr>
                <w:rFonts w:ascii="Times New Roman"/>
                <w:sz w:val="21"/>
              </w:rPr>
              <w:t>722,377,766</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存款准备金、开具承兑汇票、信用证、保函的存入保证</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160" w:left="1360" w:right="1180"/>
        </w:sectPr>
      </w:pPr>
    </w:p>
    <w:p>
      <w:pPr>
        <w:spacing w:line="240" w:lineRule="auto" w:before="9"/>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877"/>
        <w:gridCol w:w="2053"/>
        <w:gridCol w:w="5197"/>
      </w:tblGrid>
      <w:tr>
        <w:trPr>
          <w:trHeight w:val="288" w:hRule="exact"/>
        </w:trPr>
        <w:tc>
          <w:tcPr>
            <w:tcW w:w="187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8,747,455</w:t>
            </w:r>
          </w:p>
        </w:tc>
        <w:tc>
          <w:tcPr>
            <w:tcW w:w="51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其他应收款质押取得保理借款</w:t>
            </w:r>
            <w:r>
              <w:rPr>
                <w:rFonts w:ascii="宋体" w:hAnsi="宋体" w:cs="宋体" w:eastAsia="宋体" w:hint="default"/>
                <w:sz w:val="21"/>
                <w:szCs w:val="21"/>
              </w:rPr>
              <w:t> </w:t>
            </w:r>
          </w:p>
        </w:tc>
      </w:tr>
      <w:tr>
        <w:trPr>
          <w:trHeight w:val="288"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5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731,125,221</w:t>
            </w:r>
          </w:p>
        </w:tc>
        <w:tc>
          <w:tcPr>
            <w:tcW w:w="5197"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0" w:footer="974" w:top="1080" w:bottom="1160" w:left="1360" w:right="1180"/>
        </w:sectPr>
      </w:pPr>
    </w:p>
    <w:p>
      <w:pPr>
        <w:pStyle w:val="Heading3"/>
        <w:spacing w:line="272" w:lineRule="exact"/>
        <w:ind w:left="229" w:right="0"/>
        <w:jc w:val="left"/>
        <w:rPr>
          <w:rFonts w:ascii="宋体" w:hAnsi="宋体" w:cs="宋体" w:eastAsia="宋体" w:hint="default"/>
        </w:rPr>
      </w:pPr>
      <w:r>
        <w:rPr>
          <w:rFonts w:ascii="宋体"/>
        </w:rPr>
        <w:t> </w:t>
      </w:r>
    </w:p>
    <w:p>
      <w:pPr>
        <w:pStyle w:val="Heading3"/>
        <w:spacing w:line="312" w:lineRule="exact"/>
        <w:ind w:left="229" w:right="0"/>
        <w:jc w:val="left"/>
        <w:rPr>
          <w:rFonts w:ascii="宋体" w:hAnsi="宋体" w:cs="宋体" w:eastAsia="宋体" w:hint="default"/>
        </w:rPr>
      </w:pPr>
      <w:r>
        <w:rPr>
          <w:rFonts w:ascii="宋体"/>
        </w:rPr>
        <w:t> </w:t>
      </w:r>
    </w:p>
    <w:p>
      <w:pPr>
        <w:tabs>
          <w:tab w:pos="1069" w:val="left" w:leader="none"/>
        </w:tabs>
        <w:spacing w:line="290" w:lineRule="auto" w:before="64"/>
        <w:ind w:left="229" w:right="0" w:firstLine="0"/>
        <w:jc w:val="left"/>
        <w:rPr>
          <w:rFonts w:ascii="宋体" w:hAnsi="宋体" w:cs="宋体" w:eastAsia="宋体" w:hint="default"/>
          <w:sz w:val="21"/>
          <w:szCs w:val="21"/>
        </w:rPr>
      </w:pPr>
      <w:r>
        <w:rPr>
          <w:rFonts w:ascii="宋体" w:hAnsi="宋体" w:cs="宋体" w:eastAsia="宋体" w:hint="default"/>
          <w:b/>
          <w:bCs/>
          <w:sz w:val="21"/>
          <w:szCs w:val="21"/>
        </w:rPr>
        <w:t>82</w:t>
      </w:r>
      <w:r>
        <w:rPr>
          <w:rFonts w:ascii="宋体" w:hAnsi="宋体" w:cs="宋体" w:eastAsia="宋体" w:hint="default"/>
          <w:b/>
          <w:bCs/>
          <w:sz w:val="21"/>
          <w:szCs w:val="21"/>
        </w:rPr>
        <w:t>、</w:t>
      </w:r>
      <w:r>
        <w:rPr>
          <w:rFonts w:ascii="宋体" w:hAnsi="宋体" w:cs="宋体" w:eastAsia="宋体" w:hint="default"/>
          <w:b/>
          <w:bCs/>
          <w:spacing w:val="11"/>
          <w:sz w:val="21"/>
          <w:szCs w:val="21"/>
        </w:rPr>
        <w:t> </w:t>
      </w:r>
      <w:r>
        <w:rPr>
          <w:rFonts w:ascii="宋体" w:hAnsi="宋体" w:cs="宋体" w:eastAsia="宋体" w:hint="default"/>
          <w:b/>
          <w:bCs/>
          <w:sz w:val="21"/>
          <w:szCs w:val="21"/>
        </w:rPr>
        <w:t>外币货币性项目</w:t>
      </w:r>
      <w:r>
        <w:rPr>
          <w:rFonts w:ascii="宋体" w:hAnsi="宋体" w:cs="宋体" w:eastAsia="宋体" w:hint="default"/>
          <w:b/>
          <w:bCs/>
          <w:w w:val="99"/>
          <w:sz w:val="21"/>
          <w:szCs w:val="21"/>
        </w:rPr>
        <w:t> </w:t>
      </w:r>
      <w:r>
        <w:rPr>
          <w:rFonts w:ascii="宋体" w:hAnsi="宋体" w:cs="宋体" w:eastAsia="宋体" w:hint="default"/>
          <w:b/>
          <w:bCs/>
          <w:w w:val="95"/>
          <w:sz w:val="21"/>
          <w:szCs w:val="21"/>
        </w:rPr>
        <w:t>(1).</w:t>
        <w:tab/>
      </w:r>
      <w:r>
        <w:rPr>
          <w:rFonts w:ascii="宋体" w:hAnsi="宋体" w:cs="宋体" w:eastAsia="宋体" w:hint="default"/>
          <w:sz w:val="21"/>
          <w:szCs w:val="21"/>
        </w:rPr>
        <w:t>外币货币性项目</w:t>
      </w:r>
      <w:r>
        <w:rPr>
          <w:rFonts w:ascii="宋体" w:hAnsi="宋体" w:cs="宋体" w:eastAsia="宋体" w:hint="default"/>
          <w:sz w:val="21"/>
          <w:szCs w:val="21"/>
        </w:rPr>
        <w:t> </w:t>
      </w:r>
    </w:p>
    <w:p>
      <w:pPr>
        <w:pStyle w:val="Heading3"/>
        <w:spacing w:line="240" w:lineRule="auto" w:before="8"/>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229"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360" w:right="1180"/>
          <w:cols w:num="2" w:equalWidth="0">
            <w:col w:w="2647" w:space="5414"/>
            <w:col w:w="1309"/>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9"/>
        <w:gridCol w:w="2064"/>
        <w:gridCol w:w="2074"/>
        <w:gridCol w:w="2060"/>
      </w:tblGrid>
      <w:tr>
        <w:trPr>
          <w:trHeight w:val="55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1"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00" w:right="0"/>
              <w:jc w:val="left"/>
              <w:rPr>
                <w:rFonts w:ascii="Times New Roman" w:hAnsi="Times New Roman" w:cs="Times New Roman" w:eastAsia="Times New Roman" w:hint="default"/>
                <w:sz w:val="21"/>
                <w:szCs w:val="21"/>
              </w:rPr>
            </w:pPr>
            <w:r>
              <w:rPr>
                <w:rFonts w:ascii="Times New Roman"/>
                <w:sz w:val="21"/>
              </w:rPr>
              <w:t>163,780,085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1,142,562,629</w:t>
            </w:r>
          </w:p>
        </w:tc>
      </w:tr>
      <w:tr>
        <w:trPr>
          <w:trHeight w:val="28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16,858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0.8958</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15,101</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5" w:right="0"/>
              <w:jc w:val="left"/>
              <w:rPr>
                <w:rFonts w:ascii="Times New Roman" w:hAnsi="Times New Roman" w:cs="Times New Roman" w:eastAsia="Times New Roman" w:hint="default"/>
                <w:sz w:val="21"/>
                <w:szCs w:val="21"/>
              </w:rPr>
            </w:pPr>
            <w:r>
              <w:rPr>
                <w:rFonts w:ascii="Times New Roman"/>
                <w:sz w:val="21"/>
              </w:rPr>
              <w:t>66,801,303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466,019,248</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11" w:right="0"/>
              <w:jc w:val="left"/>
              <w:rPr>
                <w:rFonts w:ascii="Times New Roman" w:hAnsi="Times New Roman" w:cs="Times New Roman" w:eastAsia="Times New Roman" w:hint="default"/>
                <w:sz w:val="21"/>
                <w:szCs w:val="21"/>
              </w:rPr>
            </w:pPr>
            <w:r>
              <w:rPr>
                <w:rFonts w:ascii="Times New Roman"/>
                <w:sz w:val="21"/>
              </w:rPr>
              <w:t>1,200,592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0.0641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76,958</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60,278</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471,103</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5" w:right="0"/>
              <w:jc w:val="left"/>
              <w:rPr>
                <w:rFonts w:ascii="Times New Roman" w:hAnsi="Times New Roman" w:cs="Times New Roman" w:eastAsia="Times New Roman" w:hint="default"/>
                <w:sz w:val="21"/>
                <w:szCs w:val="21"/>
              </w:rPr>
            </w:pPr>
            <w:r>
              <w:rPr>
                <w:rFonts w:ascii="Times New Roman"/>
                <w:sz w:val="21"/>
              </w:rPr>
              <w:t>10,261,469</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7.8155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76,309,390</w:t>
            </w: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11" w:right="0"/>
              <w:jc w:val="left"/>
              <w:rPr>
                <w:rFonts w:ascii="Times New Roman" w:hAnsi="Times New Roman" w:cs="Times New Roman" w:eastAsia="Times New Roman" w:hint="default"/>
                <w:sz w:val="21"/>
                <w:szCs w:val="21"/>
              </w:rPr>
            </w:pPr>
            <w:r>
              <w:rPr>
                <w:rFonts w:ascii="Times New Roman"/>
                <w:sz w:val="21"/>
              </w:rPr>
              <w:t>2,715,146</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5" w:right="0"/>
              <w:jc w:val="left"/>
              <w:rPr>
                <w:rFonts w:ascii="Times New Roman" w:hAnsi="Times New Roman" w:cs="Times New Roman" w:eastAsia="Times New Roman" w:hint="default"/>
                <w:sz w:val="21"/>
                <w:szCs w:val="21"/>
              </w:rPr>
            </w:pPr>
            <w:r>
              <w:rPr>
                <w:rFonts w:ascii="Times New Roman"/>
                <w:sz w:val="21"/>
              </w:rPr>
              <w:t>6.9762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18,941,400</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5" w:right="0"/>
              <w:jc w:val="left"/>
              <w:rPr>
                <w:rFonts w:ascii="Times New Roman" w:hAnsi="Times New Roman" w:cs="Times New Roman" w:eastAsia="Times New Roman" w:hint="default"/>
                <w:sz w:val="21"/>
                <w:szCs w:val="21"/>
              </w:rPr>
            </w:pPr>
            <w:r>
              <w:rPr>
                <w:rFonts w:ascii="Times New Roman"/>
                <w:sz w:val="21"/>
              </w:rPr>
              <w:t>56,782,091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396,123,222</w:t>
            </w:r>
          </w:p>
        </w:tc>
      </w:tr>
      <w:tr>
        <w:trPr>
          <w:trHeight w:val="283"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69" w:right="0"/>
              <w:jc w:val="left"/>
              <w:rPr>
                <w:rFonts w:ascii="Times New Roman" w:hAnsi="Times New Roman" w:cs="Times New Roman" w:eastAsia="Times New Roman" w:hint="default"/>
                <w:sz w:val="21"/>
                <w:szCs w:val="21"/>
              </w:rPr>
            </w:pPr>
            <w:r>
              <w:rPr>
                <w:rFonts w:ascii="Times New Roman"/>
                <w:sz w:val="21"/>
              </w:rPr>
              <w:t>513,000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0.0641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32,883</w:t>
            </w:r>
          </w:p>
        </w:tc>
      </w:tr>
    </w:tbl>
    <w:p>
      <w:pPr>
        <w:pStyle w:val="Heading3"/>
        <w:spacing w:line="274" w:lineRule="exact"/>
        <w:ind w:left="229" w:right="0"/>
        <w:jc w:val="left"/>
        <w:rPr>
          <w:rFonts w:ascii="宋体" w:hAnsi="宋体" w:cs="宋体" w:eastAsia="宋体" w:hint="default"/>
        </w:rPr>
      </w:pPr>
      <w:r>
        <w:rPr>
          <w:rFonts w:ascii="宋体"/>
        </w:rPr>
        <w:t> </w:t>
      </w:r>
    </w:p>
    <w:p>
      <w:pPr>
        <w:pStyle w:val="BodyText"/>
        <w:spacing w:line="290" w:lineRule="auto" w:before="64"/>
        <w:ind w:left="229" w:right="3487"/>
        <w:jc w:val="left"/>
        <w:rPr>
          <w:rFonts w:ascii="宋体" w:hAnsi="宋体" w:cs="宋体" w:eastAsia="宋体" w:hint="default"/>
        </w:rPr>
      </w:pPr>
      <w:r>
        <w:rPr/>
        <w:t>其他说明：</w:t>
      </w:r>
      <w:r>
        <w:rPr>
          <w:rFonts w:ascii="宋体" w:hAnsi="宋体" w:cs="宋体" w:eastAsia="宋体" w:hint="default"/>
          <w:w w:val="100"/>
        </w:rPr>
        <w:t> </w:t>
      </w:r>
      <w:r>
        <w:rPr/>
        <w:t>上述外币货币性项目指除人民币之外的所有货币。</w:t>
      </w:r>
      <w:r>
        <w:rPr>
          <w:rFonts w:ascii="宋体" w:hAnsi="宋体" w:cs="宋体" w:eastAsia="宋体" w:hint="default"/>
        </w:rPr>
        <w:t> </w:t>
      </w:r>
    </w:p>
    <w:p>
      <w:pPr>
        <w:pStyle w:val="Heading3"/>
        <w:spacing w:line="263" w:lineRule="exact"/>
        <w:ind w:left="229" w:right="0"/>
        <w:jc w:val="left"/>
        <w:rPr>
          <w:rFonts w:ascii="宋体" w:hAnsi="宋体" w:cs="宋体" w:eastAsia="宋体" w:hint="default"/>
        </w:rPr>
      </w:pPr>
      <w:r>
        <w:rPr>
          <w:rFonts w:ascii="宋体"/>
        </w:rPr>
        <w:t> </w:t>
      </w:r>
    </w:p>
    <w:p>
      <w:pPr>
        <w:pStyle w:val="Heading5"/>
        <w:tabs>
          <w:tab w:pos="1069" w:val="left" w:leader="none"/>
        </w:tabs>
        <w:spacing w:line="240" w:lineRule="auto" w:before="61"/>
        <w:ind w:left="651" w:right="239" w:hanging="423"/>
        <w:jc w:val="left"/>
        <w:rPr>
          <w:rFonts w:ascii="宋体" w:hAnsi="宋体" w:cs="宋体" w:eastAsia="宋体" w:hint="default"/>
          <w:b w:val="0"/>
          <w:bCs w:val="0"/>
        </w:rPr>
      </w:pPr>
      <w:r>
        <w:rPr>
          <w:rFonts w:ascii="宋体" w:hAnsi="宋体" w:cs="宋体" w:eastAsia="宋体" w:hint="default"/>
          <w:w w:val="95"/>
        </w:rPr>
        <w:t>(2).</w:t>
        <w:tab/>
      </w:r>
      <w:r>
        <w:rPr/>
        <w:t>境外经营实体说明，包括对于重要的境外经营实体，应披露其境外主要经营地、记账本</w:t>
      </w:r>
      <w:r>
        <w:rPr>
          <w:spacing w:val="-64"/>
        </w:rPr>
        <w:t> </w:t>
      </w:r>
      <w:r>
        <w:rPr>
          <w:spacing w:val="-64"/>
        </w:rPr>
      </w:r>
      <w:r>
        <w:rPr/>
        <w:t>位币及选择依据，记账本位币发生变化的还应披露原因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9" w:right="0"/>
        <w:jc w:val="left"/>
        <w:rPr>
          <w:rFonts w:ascii="宋体" w:hAnsi="宋体" w:cs="宋体" w:eastAsia="宋体" w:hint="default"/>
        </w:rPr>
      </w:pPr>
      <w:r>
        <w:rPr>
          <w:rFonts w:ascii="宋体"/>
        </w:rPr>
        <w:t> </w:t>
      </w:r>
    </w:p>
    <w:p>
      <w:pPr>
        <w:pStyle w:val="Heading5"/>
        <w:spacing w:line="240" w:lineRule="auto" w:before="64"/>
        <w:ind w:left="229" w:right="0"/>
        <w:jc w:val="left"/>
        <w:rPr>
          <w:rFonts w:ascii="宋体" w:hAnsi="宋体" w:cs="宋体" w:eastAsia="宋体" w:hint="default"/>
          <w:b w:val="0"/>
          <w:bCs w:val="0"/>
        </w:rPr>
      </w:pPr>
      <w:r>
        <w:rPr>
          <w:rFonts w:ascii="宋体" w:hAnsi="宋体" w:cs="宋体" w:eastAsia="宋体" w:hint="default"/>
        </w:rPr>
        <w:t>83</w:t>
      </w:r>
      <w:r>
        <w:rPr/>
        <w:t>、</w:t>
      </w:r>
      <w:r>
        <w:rPr>
          <w:spacing w:val="-49"/>
        </w:rPr>
        <w:t> </w:t>
      </w:r>
      <w:r>
        <w:rPr/>
        <w:t>套期</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9" w:right="0"/>
        <w:jc w:val="left"/>
        <w:rPr>
          <w:rFonts w:ascii="宋体" w:hAnsi="宋体" w:cs="宋体" w:eastAsia="宋体" w:hint="default"/>
        </w:rPr>
      </w:pPr>
      <w:r>
        <w:rPr>
          <w:rFonts w:ascii="宋体"/>
        </w:rPr>
        <w:t> </w:t>
      </w:r>
    </w:p>
    <w:p>
      <w:pPr>
        <w:pStyle w:val="Heading5"/>
        <w:spacing w:line="240" w:lineRule="auto" w:before="61"/>
        <w:ind w:left="229" w:right="0"/>
        <w:jc w:val="left"/>
        <w:rPr>
          <w:b w:val="0"/>
          <w:bCs w:val="0"/>
        </w:rPr>
      </w:pPr>
      <w:r>
        <w:rPr>
          <w:rFonts w:ascii="宋体" w:hAnsi="宋体" w:cs="宋体" w:eastAsia="宋体" w:hint="default"/>
        </w:rPr>
        <w:t>84</w:t>
      </w:r>
      <w:r>
        <w:rPr/>
        <w:t>、</w:t>
      </w:r>
      <w:r>
        <w:rPr>
          <w:spacing w:val="-48"/>
        </w:rPr>
        <w:t> </w:t>
      </w:r>
      <w:r>
        <w:rPr/>
        <w:t>政府补助</w:t>
      </w:r>
      <w:r>
        <w:rPr>
          <w:b w:val="0"/>
          <w:bCs w:val="0"/>
        </w:rPr>
      </w:r>
    </w:p>
    <w:p>
      <w:pPr>
        <w:pStyle w:val="Heading5"/>
        <w:spacing w:line="240" w:lineRule="auto" w:before="58"/>
        <w:ind w:left="229"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7"/>
        </w:rPr>
        <w:t> </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06"/>
        <w:gridCol w:w="2206"/>
        <w:gridCol w:w="2206"/>
        <w:gridCol w:w="2206"/>
      </w:tblGrid>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118,165,982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118,165,982</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3,914,444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3,914,444</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3,191,554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3,191,554</w:t>
            </w:r>
          </w:p>
        </w:tc>
      </w:tr>
    </w:tbl>
    <w:p>
      <w:pPr>
        <w:pStyle w:val="Heading3"/>
        <w:spacing w:line="274" w:lineRule="exact"/>
        <w:ind w:left="229"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120" w:bottom="1160" w:left="1360" w:right="1180"/>
        </w:sectPr>
      </w:pPr>
    </w:p>
    <w:p>
      <w:pPr>
        <w:spacing w:line="240" w:lineRule="auto" w:before="5"/>
        <w:rPr>
          <w:rFonts w:ascii="宋体" w:hAnsi="宋体" w:cs="宋体" w:eastAsia="宋体" w:hint="default"/>
          <w:sz w:val="20"/>
          <w:szCs w:val="20"/>
        </w:rPr>
      </w:pPr>
    </w:p>
    <w:p>
      <w:pPr>
        <w:pStyle w:val="Heading5"/>
        <w:spacing w:line="240" w:lineRule="auto" w:before="36"/>
        <w:ind w:left="149"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49" w:right="0"/>
        <w:jc w:val="left"/>
        <w:rPr>
          <w:rFonts w:ascii="宋体" w:hAnsi="宋体" w:cs="宋体" w:eastAsia="宋体" w:hint="default"/>
        </w:rPr>
      </w:pPr>
      <w:r>
        <w:rPr>
          <w:rFonts w:ascii="宋体"/>
        </w:rPr>
        <w:t> </w:t>
      </w:r>
    </w:p>
    <w:p>
      <w:pPr>
        <w:pStyle w:val="Heading5"/>
        <w:spacing w:line="240" w:lineRule="auto" w:before="64"/>
        <w:ind w:left="149" w:right="0"/>
        <w:jc w:val="left"/>
        <w:rPr>
          <w:b w:val="0"/>
          <w:bCs w:val="0"/>
        </w:rPr>
      </w:pPr>
      <w:r>
        <w:rPr>
          <w:rFonts w:ascii="宋体" w:hAnsi="宋体" w:cs="宋体" w:eastAsia="宋体" w:hint="default"/>
        </w:rPr>
        <w:t>85</w:t>
      </w:r>
      <w:r>
        <w:rPr/>
        <w:t>、</w:t>
      </w:r>
      <w:r>
        <w:rPr>
          <w:spacing w:val="-49"/>
        </w:rPr>
        <w:t> </w:t>
      </w:r>
      <w:r>
        <w:rPr/>
        <w:t>其他</w:t>
      </w:r>
      <w:r>
        <w:rPr>
          <w:b w:val="0"/>
          <w:bCs w:val="0"/>
        </w:rPr>
      </w:r>
    </w:p>
    <w:p>
      <w:pPr>
        <w:pStyle w:val="Heading3"/>
        <w:spacing w:line="313" w:lineRule="exact" w:before="50"/>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49" w:right="0"/>
        <w:jc w:val="left"/>
        <w:rPr>
          <w:rFonts w:ascii="宋体" w:hAnsi="宋体" w:cs="宋体" w:eastAsia="宋体" w:hint="default"/>
        </w:rPr>
      </w:pPr>
      <w:r>
        <w:rPr>
          <w:rFonts w:ascii="宋体"/>
        </w:rPr>
        <w:t> </w:t>
      </w:r>
    </w:p>
    <w:p>
      <w:pPr>
        <w:spacing w:before="66"/>
        <w:ind w:left="149" w:right="0" w:firstLine="0"/>
        <w:jc w:val="left"/>
        <w:rPr>
          <w:rFonts w:ascii="宋体" w:hAnsi="宋体" w:cs="宋体" w:eastAsia="宋体" w:hint="default"/>
          <w:sz w:val="20"/>
          <w:szCs w:val="20"/>
        </w:rPr>
      </w:pPr>
      <w:r>
        <w:rPr>
          <w:rFonts w:ascii="宋体" w:hAnsi="宋体" w:cs="宋体" w:eastAsia="宋体" w:hint="default"/>
          <w:b/>
          <w:bCs/>
          <w:sz w:val="20"/>
          <w:szCs w:val="20"/>
        </w:rPr>
        <w:t>八、</w:t>
      </w:r>
      <w:r>
        <w:rPr>
          <w:rFonts w:ascii="宋体" w:hAnsi="宋体" w:cs="宋体" w:eastAsia="宋体" w:hint="default"/>
          <w:b/>
          <w:bCs/>
          <w:spacing w:val="-80"/>
          <w:sz w:val="20"/>
          <w:szCs w:val="20"/>
        </w:rPr>
        <w:t> </w:t>
      </w:r>
      <w:r>
        <w:rPr>
          <w:rFonts w:ascii="宋体" w:hAnsi="宋体" w:cs="宋体" w:eastAsia="宋体" w:hint="default"/>
          <w:b/>
          <w:bCs/>
          <w:spacing w:val="-80"/>
          <w:sz w:val="20"/>
          <w:szCs w:val="20"/>
        </w:rPr>
      </w:r>
      <w:r>
        <w:rPr>
          <w:rFonts w:ascii="宋体" w:hAnsi="宋体" w:cs="宋体" w:eastAsia="宋体" w:hint="default"/>
          <w:b/>
          <w:bCs/>
          <w:sz w:val="20"/>
          <w:szCs w:val="20"/>
        </w:rPr>
        <w:t>合并范围的变更</w:t>
      </w:r>
      <w:r>
        <w:rPr>
          <w:rFonts w:ascii="宋体" w:hAnsi="宋体" w:cs="宋体" w:eastAsia="宋体" w:hint="default"/>
          <w:sz w:val="20"/>
          <w:szCs w:val="20"/>
        </w:rPr>
      </w:r>
    </w:p>
    <w:p>
      <w:pPr>
        <w:spacing w:before="57"/>
        <w:ind w:left="149"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16"/>
          <w:sz w:val="20"/>
          <w:szCs w:val="20"/>
        </w:rPr>
        <w:t> </w:t>
      </w:r>
      <w:r>
        <w:rPr>
          <w:rFonts w:ascii="宋体" w:hAnsi="宋体" w:cs="宋体" w:eastAsia="宋体" w:hint="default"/>
          <w:b/>
          <w:bCs/>
          <w:sz w:val="20"/>
          <w:szCs w:val="20"/>
        </w:rPr>
        <w:t>非同一控制下企业合并</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55"/>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rFonts w:ascii="宋体"/>
          <w:w w:val="100"/>
        </w:rPr>
        <w:t> </w:t>
      </w:r>
    </w:p>
    <w:p>
      <w:pPr>
        <w:pStyle w:val="Heading5"/>
        <w:tabs>
          <w:tab w:pos="989" w:val="left" w:leader="none"/>
        </w:tabs>
        <w:spacing w:line="240" w:lineRule="auto" w:before="58"/>
        <w:ind w:left="149" w:right="0"/>
        <w:jc w:val="left"/>
        <w:rPr>
          <w:rFonts w:ascii="宋体" w:hAnsi="宋体" w:cs="宋体" w:eastAsia="宋体" w:hint="default"/>
          <w:b w:val="0"/>
          <w:bCs w:val="0"/>
        </w:rPr>
      </w:pPr>
      <w:r>
        <w:rPr>
          <w:rFonts w:ascii="宋体" w:hAnsi="宋体" w:cs="宋体" w:eastAsia="宋体" w:hint="default"/>
          <w:w w:val="95"/>
        </w:rPr>
        <w:t>(1).</w:t>
        <w:tab/>
      </w:r>
      <w:r>
        <w:rPr/>
        <w:t>本期发生的非同一控制下企业合并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49" w:right="0"/>
        <w:jc w:val="left"/>
        <w:rPr>
          <w:rFonts w:ascii="宋体" w:hAnsi="宋体" w:cs="宋体" w:eastAsia="宋体" w:hint="default"/>
        </w:rPr>
      </w:pPr>
      <w:r>
        <w:rPr>
          <w:rFonts w:ascii="宋体"/>
          <w:w w:val="100"/>
        </w:rPr>
        <w:t> </w:t>
      </w:r>
    </w:p>
    <w:p>
      <w:pPr>
        <w:spacing w:before="56"/>
        <w:ind w:left="149" w:right="0" w:firstLine="0"/>
        <w:jc w:val="left"/>
        <w:rPr>
          <w:rFonts w:ascii="宋体" w:hAnsi="宋体" w:cs="宋体" w:eastAsia="宋体" w:hint="default"/>
          <w:sz w:val="20"/>
          <w:szCs w:val="20"/>
        </w:rPr>
      </w:pPr>
      <w:r>
        <w:rPr>
          <w:rFonts w:ascii="宋体" w:hAnsi="宋体" w:cs="宋体" w:eastAsia="宋体" w:hint="default"/>
          <w:b/>
          <w:bCs/>
          <w:sz w:val="20"/>
          <w:szCs w:val="20"/>
        </w:rPr>
        <w:t>(2).   </w:t>
      </w:r>
      <w:r>
        <w:rPr>
          <w:rFonts w:ascii="宋体" w:hAnsi="宋体" w:cs="宋体" w:eastAsia="宋体" w:hint="default"/>
          <w:b/>
          <w:bCs/>
          <w:spacing w:val="33"/>
          <w:sz w:val="20"/>
          <w:szCs w:val="20"/>
        </w:rPr>
        <w:t> </w:t>
      </w:r>
      <w:r>
        <w:rPr>
          <w:rFonts w:ascii="宋体" w:hAnsi="宋体" w:cs="宋体" w:eastAsia="宋体" w:hint="default"/>
          <w:spacing w:val="33"/>
          <w:sz w:val="21"/>
          <w:szCs w:val="21"/>
        </w:rPr>
      </w:r>
      <w:r>
        <w:rPr>
          <w:rFonts w:ascii="宋体" w:hAnsi="宋体" w:cs="宋体" w:eastAsia="宋体" w:hint="default"/>
          <w:b/>
          <w:bCs/>
          <w:spacing w:val="33"/>
          <w:sz w:val="21"/>
          <w:szCs w:val="21"/>
        </w:rPr>
      </w:r>
      <w:r>
        <w:rPr>
          <w:rFonts w:ascii="宋体" w:hAnsi="宋体" w:cs="宋体" w:eastAsia="宋体" w:hint="default"/>
          <w:b/>
          <w:bCs/>
          <w:sz w:val="21"/>
          <w:szCs w:val="21"/>
        </w:rPr>
        <w:t>合并成本及商誉</w:t>
      </w:r>
      <w:r>
        <w:rPr>
          <w:rFonts w:ascii="宋体" w:hAnsi="宋体" w:cs="宋体" w:eastAsia="宋体" w:hint="default"/>
          <w:w w:val="99"/>
          <w:sz w:val="20"/>
          <w:szCs w:val="20"/>
        </w:rPr>
        <w:t> </w:t>
      </w:r>
      <w:r>
        <w:rPr>
          <w:rFonts w:ascii="宋体" w:hAnsi="宋体" w:cs="宋体" w:eastAsia="宋体" w:hint="default"/>
          <w:sz w:val="20"/>
          <w:szCs w:val="20"/>
        </w:rPr>
      </w:r>
    </w:p>
    <w:p>
      <w:pPr>
        <w:pStyle w:val="BodyText"/>
        <w:spacing w:line="273" w:lineRule="exact" w:before="58"/>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rFonts w:ascii="宋体"/>
          <w:w w:val="100"/>
        </w:rPr>
        <w:t> </w:t>
      </w:r>
    </w:p>
    <w:p>
      <w:pPr>
        <w:spacing w:before="56"/>
        <w:ind w:left="149" w:right="0" w:firstLine="0"/>
        <w:jc w:val="left"/>
        <w:rPr>
          <w:rFonts w:ascii="宋体" w:hAnsi="宋体" w:cs="宋体" w:eastAsia="宋体" w:hint="default"/>
          <w:sz w:val="20"/>
          <w:szCs w:val="20"/>
        </w:rPr>
      </w:pPr>
      <w:r>
        <w:rPr>
          <w:rFonts w:ascii="宋体" w:hAnsi="宋体" w:cs="宋体" w:eastAsia="宋体" w:hint="default"/>
          <w:b/>
          <w:bCs/>
          <w:sz w:val="20"/>
          <w:szCs w:val="20"/>
        </w:rPr>
        <w:t>(3).   </w:t>
      </w:r>
      <w:r>
        <w:rPr>
          <w:rFonts w:ascii="宋体" w:hAnsi="宋体" w:cs="宋体" w:eastAsia="宋体" w:hint="default"/>
          <w:b/>
          <w:bCs/>
          <w:spacing w:val="10"/>
          <w:sz w:val="20"/>
          <w:szCs w:val="20"/>
        </w:rPr>
        <w:t> </w:t>
      </w:r>
      <w:r>
        <w:rPr>
          <w:rFonts w:ascii="宋体" w:hAnsi="宋体" w:cs="宋体" w:eastAsia="宋体" w:hint="default"/>
          <w:b/>
          <w:bCs/>
          <w:sz w:val="20"/>
          <w:szCs w:val="20"/>
        </w:rPr>
        <w:t>被购买方于</w:t>
      </w:r>
      <w:r>
        <w:rPr>
          <w:rFonts w:ascii="宋体" w:hAnsi="宋体" w:cs="宋体" w:eastAsia="宋体" w:hint="default"/>
          <w:b/>
          <w:bCs/>
          <w:sz w:val="21"/>
          <w:szCs w:val="21"/>
        </w:rPr>
        <w:t>购买</w:t>
      </w:r>
      <w:r>
        <w:rPr>
          <w:rFonts w:ascii="宋体" w:hAnsi="宋体" w:cs="宋体" w:eastAsia="宋体" w:hint="default"/>
          <w:b/>
          <w:bCs/>
          <w:sz w:val="20"/>
          <w:szCs w:val="20"/>
        </w:rPr>
        <w:t>日可辨认资产、负债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58"/>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rFonts w:ascii="宋体"/>
          <w:w w:val="100"/>
        </w:rPr>
        <w:t> </w:t>
      </w:r>
    </w:p>
    <w:p>
      <w:pPr>
        <w:tabs>
          <w:tab w:pos="989" w:val="left" w:leader="none"/>
        </w:tabs>
        <w:spacing w:line="290" w:lineRule="auto" w:before="58"/>
        <w:ind w:left="149" w:right="229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pacing w:val="-1"/>
          <w:sz w:val="21"/>
          <w:szCs w:val="21"/>
        </w:rPr>
        <w:t>购买日之前持有的股权按照公允价值重新计量产生的利得或损失</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8" w:lineRule="exact"/>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rFonts w:ascii="宋体"/>
          <w:w w:val="100"/>
        </w:rPr>
        <w:t> </w:t>
      </w:r>
    </w:p>
    <w:p>
      <w:pPr>
        <w:pStyle w:val="Heading5"/>
        <w:tabs>
          <w:tab w:pos="989" w:val="left" w:leader="none"/>
        </w:tabs>
        <w:spacing w:line="272" w:lineRule="exact" w:before="87"/>
        <w:ind w:left="569" w:right="140" w:hanging="420"/>
        <w:jc w:val="left"/>
        <w:rPr>
          <w:rFonts w:ascii="宋体" w:hAnsi="宋体" w:cs="宋体" w:eastAsia="宋体" w:hint="default"/>
          <w:b w:val="0"/>
          <w:bCs w:val="0"/>
        </w:rPr>
      </w:pPr>
      <w:r>
        <w:rPr>
          <w:rFonts w:ascii="宋体" w:hAnsi="宋体" w:cs="宋体" w:eastAsia="宋体" w:hint="default"/>
          <w:w w:val="95"/>
        </w:rPr>
        <w:t>(5).</w:t>
        <w:tab/>
      </w:r>
      <w:r>
        <w:rPr/>
        <w:t>购买日或合并当期期末无法合理确定合并对价或被购买方可辨认资产、负债公允价值的</w:t>
      </w:r>
      <w:r>
        <w:rPr>
          <w:spacing w:val="-64"/>
        </w:rPr>
        <w:t> </w:t>
      </w:r>
      <w:r>
        <w:rPr>
          <w:spacing w:val="-64"/>
        </w:rPr>
      </w:r>
      <w:r>
        <w:rPr/>
        <w:t>相关说明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4"/>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3" w:lineRule="exact"/>
        <w:ind w:left="149" w:right="0"/>
        <w:jc w:val="left"/>
        <w:rPr>
          <w:rFonts w:ascii="宋体" w:hAnsi="宋体" w:cs="宋体" w:eastAsia="宋体" w:hint="default"/>
        </w:rPr>
      </w:pPr>
      <w:r>
        <w:rPr>
          <w:rFonts w:ascii="宋体"/>
          <w:w w:val="100"/>
        </w:rPr>
        <w:t> </w:t>
      </w:r>
    </w:p>
    <w:p>
      <w:pPr>
        <w:pStyle w:val="Heading5"/>
        <w:spacing w:line="240" w:lineRule="auto" w:before="58"/>
        <w:ind w:left="149"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before="61"/>
        <w:ind w:left="149"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本期发生的同一控制下企业合并</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55"/>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49"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合并成</w:t>
      </w:r>
      <w:r>
        <w:rPr>
          <w:spacing w:val="-3"/>
          <w:w w:val="100"/>
        </w:rPr>
        <w:t>本</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49" w:right="0"/>
        <w:jc w:val="left"/>
        <w:rPr>
          <w:rFonts w:ascii="宋体" w:hAnsi="宋体" w:cs="宋体" w:eastAsia="宋体" w:hint="default"/>
        </w:rPr>
      </w:pPr>
      <w:r>
        <w:rPr>
          <w:rFonts w:ascii="宋体"/>
          <w:w w:val="100"/>
        </w:rPr>
        <w:t> </w:t>
      </w:r>
    </w:p>
    <w:p>
      <w:pPr>
        <w:spacing w:before="58"/>
        <w:ind w:left="149"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0"/>
          <w:szCs w:val="20"/>
        </w:rPr>
        <w:t>合并日被合并方资产、负债的账面价值</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5"/>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9" w:right="0"/>
        <w:jc w:val="left"/>
        <w:rPr>
          <w:rFonts w:ascii="宋体" w:hAnsi="宋体" w:cs="宋体" w:eastAsia="宋体" w:hint="default"/>
        </w:rPr>
      </w:pPr>
      <w:r>
        <w:rPr>
          <w:rFonts w:ascii="宋体"/>
          <w:w w:val="100"/>
        </w:rPr>
        <w:t> </w:t>
      </w:r>
    </w:p>
    <w:p>
      <w:pPr>
        <w:pStyle w:val="Heading5"/>
        <w:spacing w:line="240" w:lineRule="auto"/>
        <w:ind w:left="149"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9"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73" w:lineRule="exact" w:before="0"/>
        <w:ind w:left="149" w:right="0"/>
        <w:jc w:val="left"/>
        <w:rPr>
          <w:rFonts w:ascii="宋体" w:hAnsi="宋体" w:cs="宋体" w:eastAsia="宋体" w:hint="default"/>
          <w:b w:val="0"/>
          <w:bCs w:val="0"/>
        </w:rPr>
      </w:pPr>
      <w:r>
        <w:rPr>
          <w:rFonts w:ascii="宋体"/>
          <w:w w:val="99"/>
        </w:rPr>
        <w:t> </w:t>
      </w:r>
      <w:r>
        <w:rPr>
          <w:rFonts w:ascii="宋体"/>
          <w:b w:val="0"/>
        </w:rPr>
      </w:r>
    </w:p>
    <w:p>
      <w:pPr>
        <w:spacing w:line="288" w:lineRule="auto" w:before="58"/>
        <w:ind w:left="149" w:right="275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32" w:lineRule="exact"/>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32" w:lineRule="exact"/>
        <w:jc w:val="left"/>
        <w:rPr>
          <w:rFonts w:ascii="宋体" w:hAnsi="宋体" w:cs="宋体" w:eastAsia="宋体" w:hint="default"/>
        </w:rPr>
        <w:sectPr>
          <w:pgSz w:w="11910" w:h="16840"/>
          <w:pgMar w:header="0" w:footer="974" w:top="1080" w:bottom="1160" w:left="1440" w:right="1280"/>
        </w:sectPr>
      </w:pPr>
    </w:p>
    <w:p>
      <w:pPr>
        <w:spacing w:line="240" w:lineRule="auto" w:before="5"/>
        <w:rPr>
          <w:rFonts w:ascii="宋体" w:hAnsi="宋体" w:cs="宋体" w:eastAsia="宋体" w:hint="default"/>
          <w:sz w:val="20"/>
          <w:szCs w:val="20"/>
        </w:rPr>
      </w:pPr>
    </w:p>
    <w:p>
      <w:pPr>
        <w:pStyle w:val="BodyText"/>
        <w:spacing w:line="272" w:lineRule="exact" w:before="64"/>
        <w:ind w:left="149"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9"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1" w:lineRule="exact"/>
        <w:ind w:left="149" w:right="0"/>
        <w:jc w:val="left"/>
      </w:pPr>
      <w:r>
        <w:rPr/>
        <w:t>√适用 □不适用</w:t>
      </w:r>
    </w:p>
    <w:p>
      <w:pPr>
        <w:spacing w:line="240" w:lineRule="auto" w:before="7"/>
        <w:rPr>
          <w:rFonts w:ascii="宋体" w:hAnsi="宋体" w:cs="宋体" w:eastAsia="宋体" w:hint="default"/>
          <w:sz w:val="17"/>
          <w:szCs w:val="17"/>
        </w:rPr>
      </w:pPr>
    </w:p>
    <w:p>
      <w:pPr>
        <w:pStyle w:val="BodyText"/>
        <w:spacing w:line="273" w:lineRule="exact"/>
        <w:ind w:left="149" w:right="0"/>
        <w:jc w:val="left"/>
        <w:rPr>
          <w:rFonts w:ascii="宋体" w:hAnsi="宋体" w:cs="宋体" w:eastAsia="宋体" w:hint="default"/>
        </w:rPr>
      </w:pPr>
      <w:r>
        <w:rPr/>
        <w:t>一揽子交易</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4" w:lineRule="exact"/>
        <w:ind w:left="149" w:right="0"/>
        <w:jc w:val="left"/>
        <w:rPr>
          <w:rFonts w:ascii="宋体" w:hAnsi="宋体" w:cs="宋体" w:eastAsia="宋体" w:hint="default"/>
        </w:rPr>
      </w:pPr>
      <w:r>
        <w:rPr/>
        <w:t>非一揽子交易</w:t>
      </w:r>
      <w:r>
        <w:rPr>
          <w:rFonts w:ascii="宋体" w:hAnsi="宋体" w:cs="宋体" w:eastAsia="宋体" w:hint="default"/>
        </w:rPr>
        <w:t> </w:t>
      </w:r>
    </w:p>
    <w:p>
      <w:pPr>
        <w:pStyle w:val="BodyText"/>
        <w:spacing w:line="272" w:lineRule="exact"/>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rFonts w:ascii="宋体"/>
          <w:w w:val="100"/>
        </w:rPr>
        <w:t> </w:t>
      </w:r>
    </w:p>
    <w:p>
      <w:pPr>
        <w:spacing w:line="290" w:lineRule="auto" w:before="58"/>
        <w:ind w:left="149"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left="149"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4"/>
        <w:ind w:left="569" w:right="0"/>
        <w:jc w:val="left"/>
      </w:pPr>
      <w:r>
        <w:rPr/>
        <w:t>本集团于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26</w:t>
      </w:r>
      <w:r>
        <w:rPr>
          <w:rFonts w:ascii="宋体" w:hAnsi="宋体" w:cs="宋体" w:eastAsia="宋体" w:hint="default"/>
          <w:spacing w:val="-55"/>
        </w:rPr>
        <w:t> </w:t>
      </w:r>
      <w:r>
        <w:rPr/>
        <w:t>日注销全资子公司青岛宏宇货运代理有限公司(“宏宇货代”)，实</w:t>
      </w:r>
    </w:p>
    <w:p>
      <w:pPr>
        <w:pStyle w:val="BodyText"/>
        <w:spacing w:line="240" w:lineRule="auto" w:before="44"/>
        <w:ind w:left="149" w:right="0"/>
        <w:jc w:val="left"/>
        <w:rPr>
          <w:rFonts w:ascii="宋体" w:hAnsi="宋体" w:cs="宋体" w:eastAsia="宋体" w:hint="default"/>
        </w:rPr>
      </w:pPr>
      <w:r>
        <w:rPr/>
        <w:t>现清算收益</w:t>
      </w:r>
      <w:r>
        <w:rPr>
          <w:spacing w:val="-53"/>
        </w:rPr>
        <w:t> </w:t>
      </w:r>
      <w:r>
        <w:rPr>
          <w:rFonts w:ascii="宋体" w:hAnsi="宋体" w:cs="宋体" w:eastAsia="宋体" w:hint="default"/>
        </w:rPr>
        <w:t>522,168</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46"/>
        <w:ind w:left="569" w:right="0"/>
        <w:jc w:val="left"/>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日，本公司之子公司青港物流出资成立非全资子公司中林青港供应链有限</w:t>
      </w:r>
    </w:p>
    <w:p>
      <w:pPr>
        <w:pStyle w:val="BodyText"/>
        <w:spacing w:line="240" w:lineRule="auto" w:before="44"/>
        <w:ind w:left="149" w:right="0"/>
        <w:jc w:val="left"/>
        <w:rPr>
          <w:rFonts w:ascii="宋体" w:hAnsi="宋体" w:cs="宋体" w:eastAsia="宋体" w:hint="default"/>
        </w:rPr>
      </w:pPr>
      <w:r>
        <w:rPr>
          <w:w w:val="100"/>
        </w:rPr>
        <w:t>公</w:t>
      </w:r>
      <w:r>
        <w:rPr>
          <w:spacing w:val="-1"/>
          <w:w w:val="100"/>
        </w:rPr>
        <w:t>司</w:t>
      </w:r>
      <w:r>
        <w:rPr>
          <w:spacing w:val="-3"/>
          <w:w w:val="100"/>
        </w:rPr>
        <w:t>(</w:t>
      </w:r>
      <w:r>
        <w:rPr>
          <w:w w:val="100"/>
        </w:rPr>
        <w:t>“</w:t>
      </w:r>
      <w:r>
        <w:rPr>
          <w:spacing w:val="-3"/>
          <w:w w:val="100"/>
        </w:rPr>
        <w:t>中</w:t>
      </w:r>
      <w:r>
        <w:rPr>
          <w:w w:val="100"/>
        </w:rPr>
        <w:t>林</w:t>
      </w:r>
      <w:r>
        <w:rPr>
          <w:spacing w:val="-3"/>
          <w:w w:val="100"/>
        </w:rPr>
        <w:t>青</w:t>
      </w:r>
      <w:r>
        <w:rPr>
          <w:w w:val="100"/>
        </w:rPr>
        <w:t>港</w:t>
      </w:r>
      <w:r>
        <w:rPr>
          <w:spacing w:val="-3"/>
          <w:w w:val="100"/>
        </w:rPr>
        <w:t>供</w:t>
      </w:r>
      <w:r>
        <w:rPr>
          <w:w w:val="100"/>
        </w:rPr>
        <w:t>应</w:t>
      </w:r>
      <w:r>
        <w:rPr>
          <w:spacing w:val="-3"/>
          <w:w w:val="100"/>
        </w:rPr>
        <w:t>链”</w:t>
      </w:r>
      <w:r>
        <w:rPr>
          <w:w w:val="100"/>
        </w:rPr>
        <w:t>)</w:t>
      </w:r>
      <w:r>
        <w:rPr>
          <w:spacing w:val="-106"/>
          <w:w w:val="100"/>
        </w:rPr>
        <w:t>，</w:t>
      </w:r>
      <w:r>
        <w:rPr>
          <w:w w:val="100"/>
        </w:rPr>
        <w:t>注</w:t>
      </w:r>
      <w:r>
        <w:rPr>
          <w:spacing w:val="-3"/>
          <w:w w:val="100"/>
        </w:rPr>
        <w:t>册</w:t>
      </w:r>
      <w:r>
        <w:rPr>
          <w:w w:val="100"/>
        </w:rPr>
        <w:t>资本</w:t>
      </w:r>
      <w:r>
        <w:rPr>
          <w:spacing w:val="-74"/>
        </w:rPr>
        <w:t> </w:t>
      </w:r>
      <w:r>
        <w:rPr>
          <w:rFonts w:ascii="宋体" w:hAnsi="宋体" w:cs="宋体" w:eastAsia="宋体" w:hint="default"/>
          <w:spacing w:val="-3"/>
          <w:w w:val="100"/>
        </w:rPr>
        <w:t>5</w:t>
      </w:r>
      <w:r>
        <w:rPr>
          <w:rFonts w:ascii="宋体" w:hAnsi="宋体" w:cs="宋体" w:eastAsia="宋体" w:hint="default"/>
          <w:w w:val="100"/>
        </w:rPr>
        <w:t>,000</w:t>
      </w:r>
      <w:r>
        <w:rPr>
          <w:rFonts w:ascii="宋体" w:hAnsi="宋体" w:cs="宋体" w:eastAsia="宋体" w:hint="default"/>
          <w:spacing w:val="-74"/>
        </w:rPr>
        <w:t> </w:t>
      </w:r>
      <w:r>
        <w:rPr>
          <w:spacing w:val="-3"/>
          <w:w w:val="100"/>
        </w:rPr>
        <w:t>万</w:t>
      </w:r>
      <w:r>
        <w:rPr>
          <w:w w:val="100"/>
        </w:rPr>
        <w:t>元</w:t>
      </w:r>
      <w:r>
        <w:rPr>
          <w:spacing w:val="-108"/>
          <w:w w:val="100"/>
        </w:rPr>
        <w:t>。</w:t>
      </w:r>
      <w:r>
        <w:rPr>
          <w:spacing w:val="-3"/>
          <w:w w:val="100"/>
        </w:rPr>
        <w:t>截</w:t>
      </w:r>
      <w:r>
        <w:rPr>
          <w:w w:val="100"/>
        </w:rPr>
        <w:t>至</w:t>
      </w:r>
      <w:r>
        <w:rPr>
          <w:spacing w:val="-74"/>
        </w:rPr>
        <w:t> </w:t>
      </w:r>
      <w:r>
        <w:rPr>
          <w:rFonts w:ascii="宋体" w:hAnsi="宋体" w:cs="宋体" w:eastAsia="宋体" w:hint="default"/>
          <w:w w:val="100"/>
        </w:rPr>
        <w:t>2019</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12</w:t>
      </w:r>
      <w:r>
        <w:rPr>
          <w:rFonts w:ascii="宋体" w:hAnsi="宋体" w:cs="宋体" w:eastAsia="宋体" w:hint="default"/>
          <w:spacing w:val="-74"/>
        </w:rPr>
        <w:t> </w:t>
      </w:r>
      <w:r>
        <w:rPr>
          <w:w w:val="100"/>
        </w:rPr>
        <w:t>月</w:t>
      </w:r>
      <w:r>
        <w:rPr>
          <w:spacing w:val="-74"/>
        </w:rPr>
        <w:t> </w:t>
      </w:r>
      <w:r>
        <w:rPr>
          <w:rFonts w:ascii="宋体" w:hAnsi="宋体" w:cs="宋体" w:eastAsia="宋体" w:hint="default"/>
          <w:w w:val="100"/>
        </w:rPr>
        <w:t>31</w:t>
      </w:r>
      <w:r>
        <w:rPr>
          <w:rFonts w:ascii="宋体" w:hAnsi="宋体" w:cs="宋体" w:eastAsia="宋体" w:hint="default"/>
          <w:spacing w:val="-74"/>
        </w:rPr>
        <w:t> </w:t>
      </w:r>
      <w:r>
        <w:rPr>
          <w:spacing w:val="-3"/>
          <w:w w:val="100"/>
        </w:rPr>
        <w:t>日</w:t>
      </w:r>
      <w:r>
        <w:rPr>
          <w:w w:val="100"/>
        </w:rPr>
        <w:t>双</w:t>
      </w:r>
      <w:r>
        <w:rPr>
          <w:spacing w:val="-3"/>
          <w:w w:val="100"/>
        </w:rPr>
        <w:t>方</w:t>
      </w:r>
      <w:r>
        <w:rPr>
          <w:w w:val="100"/>
        </w:rPr>
        <w:t>股东</w:t>
      </w:r>
      <w:r>
        <w:rPr>
          <w:spacing w:val="-3"/>
          <w:w w:val="100"/>
        </w:rPr>
        <w:t>共</w:t>
      </w:r>
      <w:r>
        <w:rPr>
          <w:w w:val="100"/>
        </w:rPr>
        <w:t>计</w:t>
      </w:r>
      <w:r>
        <w:rPr>
          <w:spacing w:val="-3"/>
          <w:w w:val="100"/>
        </w:rPr>
        <w:t>出</w:t>
      </w:r>
      <w:r>
        <w:rPr>
          <w:w w:val="100"/>
        </w:rPr>
        <w:t>资</w:t>
      </w:r>
      <w:r>
        <w:rPr>
          <w:spacing w:val="-7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00</w:t>
      </w:r>
    </w:p>
    <w:p>
      <w:pPr>
        <w:pStyle w:val="BodyText"/>
        <w:spacing w:line="240" w:lineRule="auto" w:before="44"/>
        <w:ind w:left="149" w:right="0"/>
        <w:jc w:val="left"/>
        <w:rPr>
          <w:rFonts w:ascii="宋体" w:hAnsi="宋体" w:cs="宋体" w:eastAsia="宋体" w:hint="default"/>
        </w:rPr>
      </w:pPr>
      <w:r>
        <w:rPr/>
        <w:t>万元，其中青港物流已出资</w:t>
      </w:r>
      <w:r>
        <w:rPr>
          <w:spacing w:val="-55"/>
        </w:rPr>
        <w:t> </w:t>
      </w:r>
      <w:r>
        <w:rPr>
          <w:rFonts w:ascii="宋体" w:hAnsi="宋体" w:cs="宋体" w:eastAsia="宋体" w:hint="default"/>
        </w:rPr>
        <w:t>1,300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46"/>
        <w:ind w:left="569" w:right="0"/>
        <w:jc w:val="left"/>
      </w:pP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12</w:t>
      </w:r>
      <w:r>
        <w:rPr>
          <w:rFonts w:ascii="宋体" w:hAnsi="宋体" w:cs="宋体" w:eastAsia="宋体" w:hint="default"/>
          <w:spacing w:val="-54"/>
        </w:rPr>
        <w:t> </w:t>
      </w:r>
      <w:r>
        <w:rPr/>
        <w:t>日，本公司之子公司青岛保税港区通达油气有限公司(“通达油气”)出资</w:t>
      </w:r>
    </w:p>
    <w:p>
      <w:pPr>
        <w:pStyle w:val="BodyText"/>
        <w:spacing w:line="240" w:lineRule="auto" w:before="44"/>
        <w:ind w:left="149" w:right="0"/>
        <w:jc w:val="left"/>
        <w:rPr>
          <w:rFonts w:ascii="宋体" w:hAnsi="宋体" w:cs="宋体" w:eastAsia="宋体" w:hint="default"/>
        </w:rPr>
      </w:pPr>
      <w:r>
        <w:rPr/>
        <w:t>成立非全资子公司青岛前湾南港油气有限公司(“南港油气”)，注册资本</w:t>
      </w:r>
      <w:r>
        <w:rPr>
          <w:spacing w:val="-57"/>
        </w:rPr>
        <w:t> </w:t>
      </w:r>
      <w:r>
        <w:rPr>
          <w:rFonts w:ascii="宋体" w:hAnsi="宋体" w:cs="宋体" w:eastAsia="宋体" w:hint="default"/>
        </w:rPr>
        <w:t>5,000</w:t>
      </w:r>
      <w:r>
        <w:rPr>
          <w:rFonts w:ascii="宋体" w:hAnsi="宋体" w:cs="宋体" w:eastAsia="宋体" w:hint="default"/>
          <w:spacing w:val="-57"/>
        </w:rPr>
        <w:t> </w:t>
      </w:r>
      <w:r>
        <w:rPr/>
        <w:t>万元。截至</w:t>
      </w:r>
      <w:r>
        <w:rPr>
          <w:spacing w:val="-56"/>
        </w:rPr>
        <w:t> </w:t>
      </w:r>
      <w:r>
        <w:rPr>
          <w:rFonts w:ascii="宋体" w:hAnsi="宋体" w:cs="宋体" w:eastAsia="宋体" w:hint="default"/>
        </w:rPr>
        <w:t>2019</w:t>
      </w:r>
    </w:p>
    <w:p>
      <w:pPr>
        <w:pStyle w:val="BodyText"/>
        <w:spacing w:line="240" w:lineRule="auto" w:before="44"/>
        <w:ind w:left="149" w:right="0"/>
        <w:jc w:val="left"/>
        <w:rPr>
          <w:rFonts w:ascii="宋体" w:hAnsi="宋体" w:cs="宋体" w:eastAsia="宋体" w:hint="default"/>
        </w:rPr>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日双方股东共计出资</w:t>
      </w:r>
      <w:r>
        <w:rPr>
          <w:spacing w:val="-53"/>
        </w:rPr>
        <w:t> </w:t>
      </w:r>
      <w:r>
        <w:rPr>
          <w:rFonts w:ascii="宋体" w:hAnsi="宋体" w:cs="宋体" w:eastAsia="宋体" w:hint="default"/>
        </w:rPr>
        <w:t>2,500</w:t>
      </w:r>
      <w:r>
        <w:rPr>
          <w:rFonts w:ascii="宋体" w:hAnsi="宋体" w:cs="宋体" w:eastAsia="宋体" w:hint="default"/>
          <w:spacing w:val="-54"/>
        </w:rPr>
        <w:t> </w:t>
      </w:r>
      <w:r>
        <w:rPr/>
        <w:t>万元，其中通达油气已出资</w:t>
      </w:r>
      <w:r>
        <w:rPr>
          <w:spacing w:val="-54"/>
        </w:rPr>
        <w:t> </w:t>
      </w:r>
      <w:r>
        <w:rPr>
          <w:rFonts w:ascii="宋体" w:hAnsi="宋体" w:cs="宋体" w:eastAsia="宋体" w:hint="default"/>
        </w:rPr>
        <w:t>1,375</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46"/>
        <w:ind w:left="569" w:right="0"/>
        <w:jc w:val="left"/>
      </w:pP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日，本公司成立非全资子公司青岛振华石油仓储有限公司(“振华石油仓</w:t>
      </w:r>
    </w:p>
    <w:p>
      <w:pPr>
        <w:pStyle w:val="BodyText"/>
        <w:spacing w:line="240" w:lineRule="auto" w:before="44"/>
        <w:ind w:left="149" w:right="0"/>
        <w:jc w:val="left"/>
      </w:pPr>
      <w:r>
        <w:rPr/>
        <w:t>储”)，注册资本</w:t>
      </w:r>
      <w:r>
        <w:rPr>
          <w:spacing w:val="-57"/>
        </w:rPr>
        <w:t> </w:t>
      </w:r>
      <w:r>
        <w:rPr>
          <w:rFonts w:ascii="宋体" w:hAnsi="宋体" w:cs="宋体" w:eastAsia="宋体" w:hint="default"/>
        </w:rPr>
        <w:t>29,200</w:t>
      </w:r>
      <w:r>
        <w:rPr>
          <w:rFonts w:ascii="宋体" w:hAnsi="宋体" w:cs="宋体" w:eastAsia="宋体" w:hint="default"/>
          <w:spacing w:val="-57"/>
        </w:rPr>
        <w:t> </w:t>
      </w:r>
      <w:r>
        <w:rPr>
          <w:spacing w:val="-3"/>
        </w:rPr>
        <w:t>万元。截至</w:t>
      </w:r>
      <w:r>
        <w:rPr>
          <w:spacing w:val="-55"/>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4"/>
        </w:rPr>
        <w:t> </w:t>
      </w:r>
      <w:r>
        <w:rPr/>
        <w:t>日双方股东已完成出资，其中本公司已出资</w:t>
      </w:r>
    </w:p>
    <w:p>
      <w:pPr>
        <w:pStyle w:val="BodyText"/>
        <w:spacing w:line="240" w:lineRule="auto" w:before="44"/>
        <w:ind w:left="149" w:right="0"/>
        <w:jc w:val="left"/>
        <w:rPr>
          <w:rFonts w:ascii="宋体" w:hAnsi="宋体" w:cs="宋体" w:eastAsia="宋体" w:hint="default"/>
        </w:rPr>
      </w:pPr>
      <w:r>
        <w:rPr>
          <w:rFonts w:ascii="宋体" w:hAnsi="宋体" w:cs="宋体" w:eastAsia="宋体" w:hint="default"/>
        </w:rPr>
        <w:t>14,892</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46"/>
        <w:ind w:left="569" w:right="0"/>
        <w:jc w:val="left"/>
      </w:pPr>
      <w:r>
        <w:rPr/>
        <w:t>本集团于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日注销全资子公司青岛港客运站免税品销售有限公司(“免税商</w:t>
      </w:r>
    </w:p>
    <w:p>
      <w:pPr>
        <w:pStyle w:val="BodyText"/>
        <w:spacing w:line="240" w:lineRule="auto" w:before="44"/>
        <w:ind w:left="149" w:right="0"/>
        <w:jc w:val="left"/>
      </w:pPr>
      <w:r>
        <w:rPr/>
        <w:t>店”)，实现清算损失</w:t>
      </w:r>
      <w:r>
        <w:rPr>
          <w:spacing w:val="-53"/>
        </w:rPr>
        <w:t> </w:t>
      </w:r>
      <w:r>
        <w:rPr>
          <w:rFonts w:ascii="宋体" w:hAnsi="宋体" w:cs="宋体" w:eastAsia="宋体" w:hint="default"/>
        </w:rPr>
        <w:t>669,983</w:t>
      </w:r>
      <w:r>
        <w:rPr>
          <w:rFonts w:ascii="宋体" w:hAnsi="宋体" w:cs="宋体" w:eastAsia="宋体" w:hint="default"/>
          <w:spacing w:val="-55"/>
        </w:rPr>
        <w:t> </w:t>
      </w:r>
      <w:r>
        <w:rPr/>
        <w:t>元。</w:t>
      </w:r>
    </w:p>
    <w:p>
      <w:pPr>
        <w:spacing w:line="240" w:lineRule="auto" w:before="2"/>
        <w:rPr>
          <w:rFonts w:ascii="宋体" w:hAnsi="宋体" w:cs="宋体" w:eastAsia="宋体" w:hint="default"/>
          <w:sz w:val="24"/>
          <w:szCs w:val="24"/>
        </w:rPr>
      </w:pPr>
    </w:p>
    <w:p>
      <w:pPr>
        <w:pStyle w:val="Heading5"/>
        <w:spacing w:line="240" w:lineRule="auto" w:before="0"/>
        <w:ind w:left="149"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9"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exact"/>
        <w:ind w:left="149"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974" w:top="1080" w:bottom="1160" w:left="1440" w:right="128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56.1pt;height:.75pt;mso-position-horizontal-relative:char;mso-position-vertical-relative:line" coordorigin="0,0" coordsize="9122,15">
            <v:group style="position:absolute;left:7;top:7;width:9107;height:2" coordorigin="7,7" coordsize="9107,2">
              <v:shape style="position:absolute;left:7;top:7;width:9107;height:2" coordorigin="7,7" coordsize="9107,0" path="m7,7l911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5"/>
        <w:spacing w:line="290" w:lineRule="auto" w:before="36"/>
        <w:ind w:right="669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31"/>
        <w:gridCol w:w="1320"/>
        <w:gridCol w:w="1306"/>
        <w:gridCol w:w="1335"/>
        <w:gridCol w:w="1320"/>
        <w:gridCol w:w="1321"/>
        <w:gridCol w:w="1454"/>
      </w:tblGrid>
      <w:tr>
        <w:trPr>
          <w:trHeight w:val="281" w:hRule="exact"/>
        </w:trPr>
        <w:tc>
          <w:tcPr>
            <w:tcW w:w="1231" w:type="dxa"/>
            <w:vMerge w:val="restart"/>
            <w:tcBorders>
              <w:top w:val="single" w:sz="4" w:space="0" w:color="000000"/>
              <w:left w:val="single" w:sz="4" w:space="0" w:color="000000"/>
              <w:right w:val="single" w:sz="4" w:space="0" w:color="000000"/>
            </w:tcBorders>
          </w:tcPr>
          <w:p>
            <w:pPr>
              <w:pStyle w:val="TableParagraph"/>
              <w:spacing w:line="272" w:lineRule="exact"/>
              <w:ind w:left="398" w:right="19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10"/>
              <w:ind w:left="33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10"/>
              <w:ind w:left="24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54" w:type="dxa"/>
            <w:vMerge w:val="restart"/>
            <w:tcBorders>
              <w:top w:val="single" w:sz="4" w:space="0" w:color="000000"/>
              <w:left w:val="single" w:sz="4" w:space="0" w:color="000000"/>
              <w:right w:val="single" w:sz="4" w:space="0" w:color="000000"/>
            </w:tcBorders>
          </w:tcPr>
          <w:p>
            <w:pPr>
              <w:pStyle w:val="TableParagraph"/>
              <w:spacing w:line="272" w:lineRule="exact"/>
              <w:ind w:left="511" w:right="40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31"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54" w:type="dxa"/>
            <w:vMerge/>
            <w:tcBorders>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青港物流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370"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7"/>
              <w:ind w:left="103" w:right="41"/>
              <w:jc w:val="both"/>
              <w:rPr>
                <w:rFonts w:ascii="宋体" w:hAnsi="宋体" w:cs="宋体" w:eastAsia="宋体" w:hint="default"/>
                <w:sz w:val="21"/>
                <w:szCs w:val="21"/>
              </w:rPr>
            </w:pPr>
            <w:r>
              <w:rPr>
                <w:rFonts w:ascii="宋体" w:hAnsi="宋体" w:cs="宋体" w:eastAsia="宋体" w:hint="default"/>
                <w:spacing w:val="42"/>
                <w:sz w:val="21"/>
                <w:szCs w:val="21"/>
              </w:rPr>
              <w:t>顺船务有</w:t>
            </w:r>
            <w:r>
              <w:rPr>
                <w:rFonts w:ascii="宋体" w:hAnsi="宋体" w:cs="宋体" w:eastAsia="宋体" w:hint="default"/>
                <w:spacing w:val="-98"/>
                <w:sz w:val="21"/>
                <w:szCs w:val="21"/>
              </w:rPr>
              <w:t> </w:t>
            </w:r>
            <w:r>
              <w:rPr>
                <w:rFonts w:ascii="宋体" w:hAnsi="宋体" w:cs="宋体" w:eastAsia="宋体" w:hint="default"/>
                <w:sz w:val="21"/>
                <w:szCs w:val="21"/>
              </w:rPr>
              <w:t>限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港联顺</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船务”)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船务代理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外轮航修</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修理修配</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37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青岛港</w:t>
            </w:r>
            <w:r>
              <w:rPr>
                <w:rFonts w:ascii="宋体" w:hAnsi="宋体" w:cs="宋体" w:eastAsia="宋体" w:hint="default"/>
                <w:spacing w:val="12"/>
                <w:sz w:val="21"/>
                <w:szCs w:val="21"/>
              </w:rPr>
              <w:t>(</w:t>
            </w:r>
            <w:r>
              <w:rPr>
                <w:rFonts w:ascii="宋体" w:hAnsi="宋体" w:cs="宋体" w:eastAsia="宋体" w:hint="default"/>
                <w:spacing w:val="12"/>
                <w:sz w:val="21"/>
                <w:szCs w:val="21"/>
              </w:rPr>
              <w:t>集</w:t>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pacing w:val="15"/>
                <w:sz w:val="21"/>
                <w:szCs w:val="21"/>
              </w:rPr>
              <w:t>团</w:t>
            </w:r>
            <w:r>
              <w:rPr>
                <w:rFonts w:ascii="宋体" w:hAnsi="宋体" w:cs="宋体" w:eastAsia="宋体" w:hint="default"/>
                <w:spacing w:val="15"/>
                <w:sz w:val="21"/>
                <w:szCs w:val="21"/>
              </w:rPr>
              <w:t>)</w:t>
            </w:r>
            <w:r>
              <w:rPr>
                <w:rFonts w:ascii="宋体" w:hAnsi="宋体" w:cs="宋体" w:eastAsia="宋体" w:hint="default"/>
                <w:spacing w:val="15"/>
                <w:sz w:val="21"/>
                <w:szCs w:val="21"/>
              </w:rPr>
              <w:t>港务工</w:t>
            </w:r>
            <w:r>
              <w:rPr>
                <w:rFonts w:ascii="宋体" w:hAnsi="宋体" w:cs="宋体" w:eastAsia="宋体" w:hint="default"/>
                <w:spacing w:val="-95"/>
                <w:sz w:val="21"/>
                <w:szCs w:val="21"/>
              </w:rPr>
              <w:t> </w:t>
            </w:r>
            <w:r>
              <w:rPr>
                <w:rFonts w:ascii="宋体" w:hAnsi="宋体" w:cs="宋体" w:eastAsia="宋体" w:hint="default"/>
                <w:spacing w:val="42"/>
                <w:sz w:val="21"/>
                <w:szCs w:val="21"/>
              </w:rPr>
              <w:t>程有限公</w:t>
            </w:r>
            <w:r>
              <w:rPr>
                <w:rFonts w:ascii="宋体" w:hAnsi="宋体" w:cs="宋体" w:eastAsia="宋体" w:hint="default"/>
                <w:spacing w:val="-9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2"/>
                <w:sz w:val="21"/>
                <w:szCs w:val="21"/>
              </w:rPr>
              <w:t> </w:t>
            </w:r>
            <w:r>
              <w:rPr>
                <w:rFonts w:ascii="宋体" w:hAnsi="宋体" w:cs="宋体" w:eastAsia="宋体" w:hint="default"/>
                <w:spacing w:val="11"/>
                <w:sz w:val="21"/>
                <w:szCs w:val="21"/>
              </w:rPr>
              <w:t>港务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建筑施工</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港工设计</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工程设计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青岛外理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外轮理货</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青岛港佳</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3" w:right="41"/>
              <w:jc w:val="left"/>
              <w:rPr>
                <w:rFonts w:ascii="宋体" w:hAnsi="宋体" w:cs="宋体" w:eastAsia="宋体" w:hint="default"/>
                <w:sz w:val="21"/>
                <w:szCs w:val="21"/>
              </w:rPr>
            </w:pPr>
            <w:r>
              <w:rPr>
                <w:rFonts w:ascii="宋体" w:hAnsi="宋体" w:cs="宋体" w:eastAsia="宋体" w:hint="default"/>
                <w:spacing w:val="42"/>
                <w:sz w:val="21"/>
                <w:szCs w:val="21"/>
              </w:rPr>
              <w:t>物流有限</w:t>
            </w:r>
            <w:r>
              <w:rPr>
                <w:rFonts w:ascii="宋体" w:hAnsi="宋体" w:cs="宋体" w:eastAsia="宋体" w:hint="default"/>
                <w:spacing w:val="-98"/>
                <w:sz w:val="21"/>
                <w:szCs w:val="21"/>
              </w:rPr>
              <w:t> </w:t>
            </w:r>
            <w:r>
              <w:rPr>
                <w:rFonts w:ascii="宋体" w:hAnsi="宋体" w:cs="宋体" w:eastAsia="宋体" w:hint="default"/>
                <w:spacing w:val="10"/>
                <w:sz w:val="21"/>
                <w:szCs w:val="21"/>
              </w:rPr>
              <w:t>公司</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港</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佳物流”)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物流运输</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港荣仓储</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仓储服务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大唐港务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货物装卸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摩科瑞物</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货物装卸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摩科瑞仓</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储</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仓储服务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非同</w:t>
            </w:r>
            <w:r>
              <w:rPr>
                <w:rFonts w:ascii="宋体" w:hAnsi="宋体" w:cs="宋体" w:eastAsia="宋体" w:hint="default"/>
                <w:spacing w:val="-58"/>
                <w:sz w:val="21"/>
                <w:szCs w:val="21"/>
              </w:rPr>
              <w:t> </w:t>
            </w:r>
            <w:r>
              <w:rPr>
                <w:rFonts w:ascii="宋体" w:hAnsi="宋体" w:cs="宋体" w:eastAsia="宋体" w:hint="default"/>
                <w:sz w:val="21"/>
                <w:szCs w:val="21"/>
              </w:rPr>
              <w:t>一</w:t>
            </w:r>
            <w:r>
              <w:rPr>
                <w:rFonts w:ascii="宋体" w:hAnsi="宋体" w:cs="宋体" w:eastAsia="宋体" w:hint="default"/>
                <w:spacing w:val="-58"/>
                <w:sz w:val="21"/>
                <w:szCs w:val="21"/>
              </w:rPr>
              <w:t> </w:t>
            </w:r>
            <w:r>
              <w:rPr>
                <w:rFonts w:ascii="宋体" w:hAnsi="宋体" w:cs="宋体" w:eastAsia="宋体" w:hint="default"/>
                <w:sz w:val="21"/>
                <w:szCs w:val="21"/>
              </w:rPr>
              <w:t>控</w:t>
            </w:r>
            <w:r>
              <w:rPr>
                <w:rFonts w:ascii="宋体" w:hAnsi="宋体" w:cs="宋体" w:eastAsia="宋体" w:hint="default"/>
                <w:spacing w:val="-56"/>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110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青岛港易</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通国际物</w:t>
            </w:r>
            <w:r>
              <w:rPr>
                <w:rFonts w:ascii="宋体" w:hAnsi="宋体" w:cs="宋体" w:eastAsia="宋体" w:hint="default"/>
                <w:spacing w:val="-98"/>
                <w:sz w:val="21"/>
                <w:szCs w:val="21"/>
              </w:rPr>
              <w:t> </w:t>
            </w:r>
            <w:r>
              <w:rPr>
                <w:rFonts w:ascii="宋体" w:hAnsi="宋体" w:cs="宋体" w:eastAsia="宋体" w:hint="default"/>
                <w:spacing w:val="42"/>
                <w:sz w:val="21"/>
                <w:szCs w:val="21"/>
              </w:rPr>
              <w:t>流有限公</w:t>
            </w:r>
            <w:r>
              <w:rPr>
                <w:rFonts w:ascii="宋体" w:hAnsi="宋体" w:cs="宋体" w:eastAsia="宋体" w:hint="default"/>
                <w:spacing w:val="-98"/>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国贸物流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怡之航冷</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链</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物流运输</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青港财务</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资金运作</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青岛港董</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家口散货</w:t>
            </w:r>
            <w:r>
              <w:rPr>
                <w:rFonts w:ascii="宋体" w:hAnsi="宋体" w:cs="宋体" w:eastAsia="宋体" w:hint="default"/>
                <w:spacing w:val="-98"/>
                <w:sz w:val="21"/>
                <w:szCs w:val="21"/>
              </w:rPr>
              <w:t> </w:t>
            </w:r>
            <w:r>
              <w:rPr>
                <w:rFonts w:ascii="宋体" w:hAnsi="宋体" w:cs="宋体" w:eastAsia="宋体" w:hint="default"/>
                <w:spacing w:val="42"/>
                <w:sz w:val="21"/>
                <w:szCs w:val="21"/>
              </w:rPr>
              <w:t>物流中心</w:t>
            </w:r>
            <w:r>
              <w:rPr>
                <w:rFonts w:ascii="宋体" w:hAnsi="宋体" w:cs="宋体" w:eastAsia="宋体" w:hint="default"/>
                <w:spacing w:val="-98"/>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51%</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联捷物流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场站业务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828"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青岛港捷</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pacing w:val="42"/>
                <w:sz w:val="21"/>
                <w:szCs w:val="21"/>
              </w:rPr>
              <w:t>丰国际物</w:t>
            </w:r>
            <w:r>
              <w:rPr>
                <w:rFonts w:ascii="宋体" w:hAnsi="宋体" w:cs="宋体" w:eastAsia="宋体" w:hint="default"/>
                <w:spacing w:val="-98"/>
                <w:sz w:val="21"/>
                <w:szCs w:val="21"/>
              </w:rPr>
              <w:t> </w:t>
            </w:r>
            <w:r>
              <w:rPr>
                <w:rFonts w:ascii="宋体" w:hAnsi="宋体" w:cs="宋体" w:eastAsia="宋体" w:hint="default"/>
                <w:spacing w:val="42"/>
                <w:sz w:val="21"/>
                <w:szCs w:val="21"/>
              </w:rPr>
              <w:t>流有限公</w:t>
            </w:r>
            <w:r>
              <w:rPr>
                <w:rFonts w:ascii="宋体" w:hAnsi="宋体" w:cs="宋体" w:eastAsia="宋体" w:hint="default"/>
                <w:spacing w:val="-48"/>
                <w:sz w:val="21"/>
                <w:szCs w:val="21"/>
              </w:rPr>
              <w:t> </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场站业务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51%</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0" w:footer="974" w:top="108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231"/>
        <w:gridCol w:w="1320"/>
        <w:gridCol w:w="1306"/>
        <w:gridCol w:w="1335"/>
        <w:gridCol w:w="1320"/>
        <w:gridCol w:w="1321"/>
        <w:gridCol w:w="1454"/>
      </w:tblGrid>
      <w:tr>
        <w:trPr>
          <w:trHeight w:val="281" w:hRule="exact"/>
        </w:trPr>
        <w:tc>
          <w:tcPr>
            <w:tcW w:w="1231" w:type="dxa"/>
            <w:vMerge w:val="restart"/>
            <w:tcBorders>
              <w:top w:val="single" w:sz="4" w:space="0" w:color="000000"/>
              <w:left w:val="single" w:sz="4" w:space="0" w:color="000000"/>
              <w:right w:val="single" w:sz="4" w:space="0" w:color="000000"/>
            </w:tcBorders>
          </w:tcPr>
          <w:p>
            <w:pPr>
              <w:pStyle w:val="TableParagraph"/>
              <w:spacing w:line="274" w:lineRule="exact"/>
              <w:ind w:left="398" w:right="19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10"/>
              <w:ind w:left="33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10"/>
              <w:ind w:left="24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54" w:type="dxa"/>
            <w:vMerge w:val="restart"/>
            <w:tcBorders>
              <w:top w:val="single" w:sz="4" w:space="0" w:color="000000"/>
              <w:left w:val="single" w:sz="4" w:space="0" w:color="000000"/>
              <w:right w:val="single" w:sz="4" w:space="0" w:color="000000"/>
            </w:tcBorders>
          </w:tcPr>
          <w:p>
            <w:pPr>
              <w:pStyle w:val="TableParagraph"/>
              <w:spacing w:line="274" w:lineRule="exact"/>
              <w:ind w:left="511" w:right="40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31"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54" w:type="dxa"/>
            <w:vMerge/>
            <w:tcBorders>
              <w:left w:val="single" w:sz="4" w:space="0" w:color="000000"/>
              <w:bottom w:val="single" w:sz="4" w:space="0" w:color="000000"/>
              <w:right w:val="single" w:sz="4" w:space="0" w:color="000000"/>
            </w:tcBorders>
          </w:tcPr>
          <w:p>
            <w:pP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捷运通物</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51%</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828"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青岛港纸</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pacing w:val="42"/>
                <w:sz w:val="21"/>
                <w:szCs w:val="21"/>
              </w:rPr>
              <w:t>浆物流有</w:t>
            </w:r>
            <w:r>
              <w:rPr>
                <w:rFonts w:ascii="宋体" w:hAnsi="宋体" w:cs="宋体" w:eastAsia="宋体" w:hint="default"/>
                <w:spacing w:val="-98"/>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宇国际物</w:t>
            </w:r>
            <w:r>
              <w:rPr>
                <w:rFonts w:ascii="宋体" w:hAnsi="宋体" w:cs="宋体" w:eastAsia="宋体" w:hint="default"/>
                <w:spacing w:val="-98"/>
                <w:sz w:val="21"/>
                <w:szCs w:val="21"/>
              </w:rPr>
              <w:t> </w:t>
            </w:r>
            <w:r>
              <w:rPr>
                <w:rFonts w:ascii="宋体" w:hAnsi="宋体" w:cs="宋体" w:eastAsia="宋体" w:hint="default"/>
                <w:spacing w:val="42"/>
                <w:sz w:val="21"/>
                <w:szCs w:val="21"/>
              </w:rPr>
              <w:t>流有限公</w:t>
            </w:r>
            <w:r>
              <w:rPr>
                <w:rFonts w:ascii="宋体" w:hAnsi="宋体" w:cs="宋体" w:eastAsia="宋体" w:hint="default"/>
                <w:spacing w:val="-98"/>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60%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永利保险</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软件、硬件</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维护</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文化传媒</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宣传设计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青岛港大</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宗商品交</w:t>
            </w:r>
            <w:r>
              <w:rPr>
                <w:rFonts w:ascii="宋体" w:hAnsi="宋体" w:cs="宋体" w:eastAsia="宋体" w:hint="default"/>
                <w:spacing w:val="-98"/>
                <w:sz w:val="21"/>
                <w:szCs w:val="21"/>
              </w:rPr>
              <w:t> </w:t>
            </w:r>
            <w:r>
              <w:rPr>
                <w:rFonts w:ascii="宋体" w:hAnsi="宋体" w:cs="宋体" w:eastAsia="宋体" w:hint="default"/>
                <w:spacing w:val="42"/>
                <w:sz w:val="21"/>
                <w:szCs w:val="21"/>
              </w:rPr>
              <w:t>易中心有</w:t>
            </w:r>
            <w:r>
              <w:rPr>
                <w:rFonts w:ascii="宋体" w:hAnsi="宋体" w:cs="宋体" w:eastAsia="宋体" w:hint="default"/>
                <w:spacing w:val="-98"/>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贸易代理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9"/>
                <w:sz w:val="21"/>
                <w:szCs w:val="21"/>
              </w:rPr>
              <w:t> </w:t>
            </w:r>
            <w:r>
              <w:rPr>
                <w:rFonts w:ascii="宋体" w:hAnsi="宋体" w:cs="宋体" w:eastAsia="宋体" w:hint="default"/>
                <w:sz w:val="21"/>
                <w:szCs w:val="21"/>
              </w:rPr>
              <w:t>制</w:t>
            </w:r>
            <w:r>
              <w:rPr>
                <w:rFonts w:ascii="宋体" w:hAnsi="宋体" w:cs="宋体" w:eastAsia="宋体" w:hint="default"/>
                <w:spacing w:val="-57"/>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37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青岛港国</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7"/>
              <w:ind w:left="103" w:right="74"/>
              <w:jc w:val="both"/>
              <w:rPr>
                <w:rFonts w:ascii="宋体" w:hAnsi="宋体" w:cs="宋体" w:eastAsia="宋体" w:hint="default"/>
                <w:sz w:val="21"/>
                <w:szCs w:val="21"/>
              </w:rPr>
            </w:pPr>
            <w:r>
              <w:rPr>
                <w:rFonts w:ascii="宋体" w:hAnsi="宋体" w:cs="宋体" w:eastAsia="宋体" w:hint="default"/>
                <w:spacing w:val="12"/>
                <w:sz w:val="21"/>
                <w:szCs w:val="21"/>
              </w:rPr>
              <w:t>际发展</w:t>
            </w:r>
            <w:r>
              <w:rPr>
                <w:rFonts w:ascii="宋体" w:hAnsi="宋体" w:cs="宋体" w:eastAsia="宋体" w:hint="default"/>
                <w:spacing w:val="12"/>
                <w:sz w:val="21"/>
                <w:szCs w:val="21"/>
              </w:rPr>
              <w:t>(</w:t>
            </w:r>
            <w:r>
              <w:rPr>
                <w:rFonts w:ascii="宋体" w:hAnsi="宋体" w:cs="宋体" w:eastAsia="宋体" w:hint="default"/>
                <w:spacing w:val="12"/>
                <w:sz w:val="21"/>
                <w:szCs w:val="21"/>
              </w:rPr>
              <w:t>香</w:t>
            </w:r>
            <w:r>
              <w:rPr>
                <w:rFonts w:ascii="宋体" w:hAnsi="宋体" w:cs="宋体" w:eastAsia="宋体" w:hint="default"/>
                <w:spacing w:val="-96"/>
                <w:sz w:val="21"/>
                <w:szCs w:val="21"/>
              </w:rPr>
              <w:t> </w:t>
            </w:r>
            <w:r>
              <w:rPr>
                <w:rFonts w:ascii="宋体" w:hAnsi="宋体" w:cs="宋体" w:eastAsia="宋体" w:hint="default"/>
                <w:spacing w:val="15"/>
                <w:sz w:val="21"/>
                <w:szCs w:val="21"/>
              </w:rPr>
              <w:t>港</w:t>
            </w:r>
            <w:r>
              <w:rPr>
                <w:rFonts w:ascii="宋体" w:hAnsi="宋体" w:cs="宋体" w:eastAsia="宋体" w:hint="default"/>
                <w:spacing w:val="15"/>
                <w:sz w:val="21"/>
                <w:szCs w:val="21"/>
              </w:rPr>
              <w:t>)</w:t>
            </w:r>
            <w:r>
              <w:rPr>
                <w:rFonts w:ascii="宋体" w:hAnsi="宋体" w:cs="宋体" w:eastAsia="宋体" w:hint="default"/>
                <w:spacing w:val="15"/>
                <w:sz w:val="21"/>
                <w:szCs w:val="21"/>
              </w:rPr>
              <w:t>有限公</w:t>
            </w:r>
            <w:r>
              <w:rPr>
                <w:rFonts w:ascii="宋体" w:hAnsi="宋体" w:cs="宋体" w:eastAsia="宋体" w:hint="default"/>
                <w:spacing w:val="-95"/>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82"/>
                <w:sz w:val="21"/>
                <w:szCs w:val="21"/>
              </w:rPr>
              <w:t> </w:t>
            </w:r>
            <w:r>
              <w:rPr>
                <w:rFonts w:ascii="宋体" w:hAnsi="宋体" w:cs="宋体" w:eastAsia="宋体" w:hint="default"/>
                <w:spacing w:val="11"/>
                <w:sz w:val="21"/>
                <w:szCs w:val="21"/>
              </w:rPr>
              <w:t>国际</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发展”)</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中国香港</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99"/>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9"/>
                <w:sz w:val="21"/>
                <w:szCs w:val="21"/>
              </w:rPr>
              <w:t> </w:t>
            </w:r>
            <w:r>
              <w:rPr>
                <w:rFonts w:ascii="宋体" w:hAnsi="宋体" w:cs="宋体" w:eastAsia="宋体" w:hint="default"/>
                <w:sz w:val="21"/>
                <w:szCs w:val="21"/>
              </w:rPr>
              <w:t>制</w:t>
            </w:r>
            <w:r>
              <w:rPr>
                <w:rFonts w:ascii="宋体" w:hAnsi="宋体" w:cs="宋体" w:eastAsia="宋体" w:hint="default"/>
                <w:spacing w:val="-57"/>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37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青岛港通</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宝航运有</w:t>
            </w:r>
            <w:r>
              <w:rPr>
                <w:rFonts w:ascii="宋体" w:hAnsi="宋体" w:cs="宋体" w:eastAsia="宋体" w:hint="default"/>
                <w:spacing w:val="-98"/>
                <w:sz w:val="21"/>
                <w:szCs w:val="21"/>
              </w:rPr>
              <w:t> </w:t>
            </w:r>
            <w:r>
              <w:rPr>
                <w:rFonts w:ascii="宋体" w:hAnsi="宋体" w:cs="宋体" w:eastAsia="宋体" w:hint="default"/>
                <w:sz w:val="21"/>
                <w:szCs w:val="21"/>
              </w:rPr>
              <w:t>限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通宝航</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物流运输</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37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青岛港通</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pacing w:val="42"/>
                <w:sz w:val="21"/>
                <w:szCs w:val="21"/>
              </w:rPr>
              <w:t>泽商贸有</w:t>
            </w:r>
            <w:r>
              <w:rPr>
                <w:rFonts w:ascii="宋体" w:hAnsi="宋体" w:cs="宋体" w:eastAsia="宋体" w:hint="default"/>
                <w:spacing w:val="-98"/>
                <w:sz w:val="21"/>
                <w:szCs w:val="21"/>
              </w:rPr>
              <w:t> </w:t>
            </w:r>
            <w:r>
              <w:rPr>
                <w:rFonts w:ascii="宋体" w:hAnsi="宋体" w:cs="宋体" w:eastAsia="宋体" w:hint="default"/>
                <w:sz w:val="21"/>
                <w:szCs w:val="21"/>
              </w:rPr>
              <w:t>限 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通泽商</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通用码头</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货物装卸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80%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37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青岛港施</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维策拖轮</w:t>
            </w:r>
            <w:r>
              <w:rPr>
                <w:rFonts w:ascii="宋体" w:hAnsi="宋体" w:cs="宋体" w:eastAsia="宋体" w:hint="default"/>
                <w:spacing w:val="-98"/>
                <w:sz w:val="21"/>
                <w:szCs w:val="21"/>
              </w:rPr>
              <w:t> </w:t>
            </w:r>
            <w:r>
              <w:rPr>
                <w:rFonts w:ascii="宋体" w:hAnsi="宋体" w:cs="宋体" w:eastAsia="宋体" w:hint="default"/>
                <w:spacing w:val="42"/>
                <w:sz w:val="21"/>
                <w:szCs w:val="21"/>
              </w:rPr>
              <w:t>有限公司</w:t>
            </w:r>
            <w:r>
              <w:rPr>
                <w:rFonts w:ascii="宋体" w:hAnsi="宋体" w:cs="宋体" w:eastAsia="宋体" w:hint="default"/>
                <w:spacing w:val="-98"/>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施维策</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拖轮”)</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拖轮驳运</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55%</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联化管道</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燃油储存</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41"/>
              <w:jc w:val="both"/>
              <w:rPr>
                <w:rFonts w:ascii="宋体" w:hAnsi="宋体" w:cs="宋体" w:eastAsia="宋体" w:hint="default"/>
                <w:sz w:val="21"/>
                <w:szCs w:val="21"/>
              </w:rPr>
            </w:pPr>
            <w:r>
              <w:rPr>
                <w:rFonts w:ascii="宋体" w:hAnsi="宋体" w:cs="宋体" w:eastAsia="宋体" w:hint="default"/>
                <w:spacing w:val="42"/>
                <w:sz w:val="21"/>
                <w:szCs w:val="21"/>
              </w:rPr>
              <w:t>欣国际物</w:t>
            </w:r>
            <w:r>
              <w:rPr>
                <w:rFonts w:ascii="宋体" w:hAnsi="宋体" w:cs="宋体" w:eastAsia="宋体" w:hint="default"/>
                <w:spacing w:val="-98"/>
                <w:sz w:val="21"/>
                <w:szCs w:val="21"/>
              </w:rPr>
              <w:t> </w:t>
            </w:r>
            <w:r>
              <w:rPr>
                <w:rFonts w:ascii="宋体" w:hAnsi="宋体" w:cs="宋体" w:eastAsia="宋体" w:hint="default"/>
                <w:spacing w:val="42"/>
                <w:sz w:val="21"/>
                <w:szCs w:val="21"/>
              </w:rPr>
              <w:t>流有限公</w:t>
            </w:r>
            <w:r>
              <w:rPr>
                <w:rFonts w:ascii="宋体" w:hAnsi="宋体" w:cs="宋体" w:eastAsia="宋体" w:hint="default"/>
                <w:spacing w:val="-98"/>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场站业务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58%</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潍坊港联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中国潍坊</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中国潍坊</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燃油储存</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0" w:footer="974" w:top="108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231"/>
        <w:gridCol w:w="1320"/>
        <w:gridCol w:w="1306"/>
        <w:gridCol w:w="1335"/>
        <w:gridCol w:w="1320"/>
        <w:gridCol w:w="1321"/>
        <w:gridCol w:w="1454"/>
      </w:tblGrid>
      <w:tr>
        <w:trPr>
          <w:trHeight w:val="281" w:hRule="exact"/>
        </w:trPr>
        <w:tc>
          <w:tcPr>
            <w:tcW w:w="1231" w:type="dxa"/>
            <w:vMerge w:val="restart"/>
            <w:tcBorders>
              <w:top w:val="single" w:sz="4" w:space="0" w:color="000000"/>
              <w:left w:val="single" w:sz="4" w:space="0" w:color="000000"/>
              <w:right w:val="single" w:sz="4" w:space="0" w:color="000000"/>
            </w:tcBorders>
          </w:tcPr>
          <w:p>
            <w:pPr>
              <w:pStyle w:val="TableParagraph"/>
              <w:spacing w:line="274" w:lineRule="exact"/>
              <w:ind w:left="398" w:right="19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10"/>
              <w:ind w:left="33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10"/>
              <w:ind w:left="24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54" w:type="dxa"/>
            <w:vMerge w:val="restart"/>
            <w:tcBorders>
              <w:top w:val="single" w:sz="4" w:space="0" w:color="000000"/>
              <w:left w:val="single" w:sz="4" w:space="0" w:color="000000"/>
              <w:right w:val="single" w:sz="4" w:space="0" w:color="000000"/>
            </w:tcBorders>
          </w:tcPr>
          <w:p>
            <w:pPr>
              <w:pStyle w:val="TableParagraph"/>
              <w:spacing w:line="274" w:lineRule="exact"/>
              <w:ind w:left="511" w:right="40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31"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54" w:type="dxa"/>
            <w:vMerge/>
            <w:tcBorders>
              <w:left w:val="single" w:sz="4" w:space="0" w:color="000000"/>
              <w:bottom w:val="single" w:sz="4" w:space="0" w:color="000000"/>
              <w:right w:val="single" w:sz="4" w:space="0" w:color="000000"/>
            </w:tcBorders>
          </w:tcPr>
          <w:p>
            <w:pPr/>
          </w:p>
        </w:tc>
      </w:tr>
      <w:tr>
        <w:trPr>
          <w:trHeight w:val="1918"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青岛港前</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pacing w:val="42"/>
                <w:sz w:val="21"/>
                <w:szCs w:val="21"/>
              </w:rPr>
              <w:t>湾港区保</w:t>
            </w:r>
            <w:r>
              <w:rPr>
                <w:rFonts w:ascii="宋体" w:hAnsi="宋体" w:cs="宋体" w:eastAsia="宋体" w:hint="default"/>
                <w:spacing w:val="-98"/>
                <w:sz w:val="21"/>
                <w:szCs w:val="21"/>
              </w:rPr>
              <w:t> </w:t>
            </w:r>
            <w:r>
              <w:rPr>
                <w:rFonts w:ascii="宋体" w:hAnsi="宋体" w:cs="宋体" w:eastAsia="宋体" w:hint="default"/>
                <w:spacing w:val="42"/>
                <w:sz w:val="21"/>
                <w:szCs w:val="21"/>
              </w:rPr>
              <w:t>税物流中</w:t>
            </w:r>
            <w:r>
              <w:rPr>
                <w:rFonts w:ascii="宋体" w:hAnsi="宋体" w:cs="宋体" w:eastAsia="宋体" w:hint="default"/>
                <w:spacing w:val="-98"/>
                <w:sz w:val="21"/>
                <w:szCs w:val="21"/>
              </w:rPr>
              <w:t> </w:t>
            </w:r>
            <w:r>
              <w:rPr>
                <w:rFonts w:ascii="宋体" w:hAnsi="宋体" w:cs="宋体" w:eastAsia="宋体" w:hint="default"/>
                <w:spacing w:val="42"/>
                <w:sz w:val="21"/>
                <w:szCs w:val="21"/>
              </w:rPr>
              <w:t>心有限公</w:t>
            </w:r>
            <w:r>
              <w:rPr>
                <w:rFonts w:ascii="宋体" w:hAnsi="宋体" w:cs="宋体" w:eastAsia="宋体" w:hint="default"/>
                <w:spacing w:val="-98"/>
                <w:sz w:val="21"/>
                <w:szCs w:val="21"/>
              </w:rPr>
              <w:t> </w:t>
            </w:r>
            <w:r>
              <w:rPr>
                <w:rFonts w:ascii="宋体" w:hAnsi="宋体" w:cs="宋体" w:eastAsia="宋体" w:hint="default"/>
                <w:sz w:val="21"/>
                <w:szCs w:val="21"/>
              </w:rPr>
              <w:t>司</w:t>
            </w:r>
            <w:r>
              <w:rPr>
                <w:rFonts w:ascii="宋体" w:hAnsi="宋体" w:cs="宋体" w:eastAsia="宋体" w:hint="default"/>
                <w:spacing w:val="-81"/>
                <w:sz w:val="21"/>
                <w:szCs w:val="21"/>
              </w:rPr>
              <w:t> </w:t>
            </w: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pacing w:val="11"/>
                <w:sz w:val="21"/>
                <w:szCs w:val="21"/>
              </w:rPr>
              <w:t>保税</w:t>
            </w:r>
            <w:r>
              <w:rPr>
                <w:rFonts w:ascii="宋体" w:hAnsi="宋体" w:cs="宋体" w:eastAsia="宋体" w:hint="default"/>
                <w:spacing w:val="-103"/>
                <w:sz w:val="21"/>
                <w:szCs w:val="21"/>
              </w:rPr>
              <w:t> </w:t>
            </w:r>
            <w:r>
              <w:rPr>
                <w:rFonts w:ascii="宋体" w:hAnsi="宋体" w:cs="宋体" w:eastAsia="宋体" w:hint="default"/>
                <w:sz w:val="21"/>
                <w:szCs w:val="21"/>
              </w:rPr>
              <w:t>物 流</w:t>
            </w:r>
            <w:r>
              <w:rPr>
                <w:rFonts w:ascii="宋体" w:hAnsi="宋体" w:cs="宋体" w:eastAsia="宋体" w:hint="default"/>
                <w:spacing w:val="72"/>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仓储服务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63%</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37%</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东营港联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中国东营</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中国东营</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燃油储存</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64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青岛港董</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2"/>
              <w:ind w:left="103" w:right="41"/>
              <w:jc w:val="both"/>
              <w:rPr>
                <w:rFonts w:ascii="宋体" w:hAnsi="宋体" w:cs="宋体" w:eastAsia="宋体" w:hint="default"/>
                <w:sz w:val="21"/>
                <w:szCs w:val="21"/>
              </w:rPr>
            </w:pPr>
            <w:r>
              <w:rPr>
                <w:rFonts w:ascii="宋体" w:hAnsi="宋体" w:cs="宋体" w:eastAsia="宋体" w:hint="default"/>
                <w:spacing w:val="42"/>
                <w:sz w:val="21"/>
                <w:szCs w:val="21"/>
              </w:rPr>
              <w:t>家口液体</w:t>
            </w:r>
            <w:r>
              <w:rPr>
                <w:rFonts w:ascii="宋体" w:hAnsi="宋体" w:cs="宋体" w:eastAsia="宋体" w:hint="default"/>
                <w:spacing w:val="-98"/>
                <w:sz w:val="21"/>
                <w:szCs w:val="21"/>
              </w:rPr>
              <w:t> </w:t>
            </w:r>
            <w:r>
              <w:rPr>
                <w:rFonts w:ascii="宋体" w:hAnsi="宋体" w:cs="宋体" w:eastAsia="宋体" w:hint="default"/>
                <w:spacing w:val="42"/>
                <w:sz w:val="21"/>
                <w:szCs w:val="21"/>
              </w:rPr>
              <w:t>化工码头</w:t>
            </w:r>
            <w:r>
              <w:rPr>
                <w:rFonts w:ascii="宋体" w:hAnsi="宋体" w:cs="宋体" w:eastAsia="宋体" w:hint="default"/>
                <w:spacing w:val="-98"/>
                <w:sz w:val="21"/>
                <w:szCs w:val="21"/>
              </w:rPr>
              <w:t> </w:t>
            </w:r>
            <w:r>
              <w:rPr>
                <w:rFonts w:ascii="宋体" w:hAnsi="宋体" w:cs="宋体" w:eastAsia="宋体" w:hint="default"/>
                <w:spacing w:val="42"/>
                <w:sz w:val="21"/>
                <w:szCs w:val="21"/>
              </w:rPr>
              <w:t>有限公司</w:t>
            </w:r>
            <w:r>
              <w:rPr>
                <w:rFonts w:ascii="宋体" w:hAnsi="宋体" w:cs="宋体" w:eastAsia="宋体" w:hint="default"/>
                <w:spacing w:val="-98"/>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4"/>
                <w:sz w:val="21"/>
                <w:szCs w:val="21"/>
              </w:rPr>
              <w:t>液体化</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工码头”)</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货物装卸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828"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青岛港联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pacing w:val="42"/>
                <w:sz w:val="21"/>
                <w:szCs w:val="21"/>
              </w:rPr>
              <w:t>华物流有</w:t>
            </w:r>
            <w:r>
              <w:rPr>
                <w:rFonts w:ascii="宋体" w:hAnsi="宋体" w:cs="宋体" w:eastAsia="宋体" w:hint="default"/>
                <w:spacing w:val="-98"/>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青岛联兴</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pacing w:val="42"/>
                <w:sz w:val="21"/>
                <w:szCs w:val="21"/>
              </w:rPr>
              <w:t>理货有限</w:t>
            </w:r>
            <w:r>
              <w:rPr>
                <w:rFonts w:ascii="宋体" w:hAnsi="宋体" w:cs="宋体" w:eastAsia="宋体" w:hint="default"/>
                <w:spacing w:val="-98"/>
                <w:sz w:val="21"/>
                <w:szCs w:val="21"/>
              </w:rPr>
              <w:t> </w:t>
            </w:r>
            <w:r>
              <w:rPr>
                <w:rFonts w:ascii="宋体" w:hAnsi="宋体" w:cs="宋体" w:eastAsia="宋体" w:hint="default"/>
                <w:spacing w:val="10"/>
                <w:sz w:val="21"/>
                <w:szCs w:val="21"/>
              </w:rPr>
              <w:t>公司</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联</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兴理货”)</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外轮理货</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港运泰物</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同</w:t>
            </w:r>
            <w:r>
              <w:rPr>
                <w:rFonts w:ascii="宋体" w:hAnsi="宋体" w:cs="宋体" w:eastAsia="宋体" w:hint="default"/>
                <w:spacing w:val="-59"/>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28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陆港物流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即墨物流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汽车供应</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链</w:t>
            </w:r>
            <w:r>
              <w:rPr>
                <w:rFonts w:ascii="宋体" w:hAnsi="宋体" w:cs="宋体" w:eastAsia="宋体" w:hint="default"/>
                <w:sz w:val="21"/>
                <w:szCs w:val="21"/>
              </w:rPr>
              <w:t>(i)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胜狮物流</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58%</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099"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山东青东</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7"/>
              <w:ind w:left="103" w:right="41"/>
              <w:jc w:val="left"/>
              <w:rPr>
                <w:rFonts w:ascii="宋体" w:hAnsi="宋体" w:cs="宋体" w:eastAsia="宋体" w:hint="default"/>
                <w:sz w:val="21"/>
                <w:szCs w:val="21"/>
              </w:rPr>
            </w:pPr>
            <w:r>
              <w:rPr>
                <w:rFonts w:ascii="宋体" w:hAnsi="宋体" w:cs="宋体" w:eastAsia="宋体" w:hint="default"/>
                <w:spacing w:val="42"/>
                <w:sz w:val="21"/>
                <w:szCs w:val="21"/>
              </w:rPr>
              <w:t>管道有限</w:t>
            </w:r>
            <w:r>
              <w:rPr>
                <w:rFonts w:ascii="宋体" w:hAnsi="宋体" w:cs="宋体" w:eastAsia="宋体" w:hint="default"/>
                <w:spacing w:val="-98"/>
                <w:sz w:val="21"/>
                <w:szCs w:val="21"/>
              </w:rPr>
              <w:t> </w:t>
            </w:r>
            <w:r>
              <w:rPr>
                <w:rFonts w:ascii="宋体" w:hAnsi="宋体" w:cs="宋体" w:eastAsia="宋体" w:hint="default"/>
                <w:spacing w:val="10"/>
                <w:sz w:val="21"/>
                <w:szCs w:val="21"/>
              </w:rPr>
              <w:t>公司</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青</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东管道”)</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11"/>
                <w:sz w:val="21"/>
                <w:szCs w:val="21"/>
              </w:rPr>
              <w:t>管道石油输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外理检验</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检验检测</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28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通安保安</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安保服务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8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东营青东</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pacing w:val="42"/>
                <w:sz w:val="21"/>
                <w:szCs w:val="21"/>
              </w:rPr>
              <w:t>物流有限</w:t>
            </w:r>
            <w:r>
              <w:rPr>
                <w:rFonts w:ascii="宋体" w:hAnsi="宋体" w:cs="宋体" w:eastAsia="宋体" w:hint="default"/>
                <w:spacing w:val="-98"/>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中国东营</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中国东营</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sz w:val="21"/>
                <w:szCs w:val="21"/>
              </w:rPr>
              <w:t>通达油气</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液化天然气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通安环保</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环保技术服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110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山东青淄</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pacing w:val="42"/>
                <w:sz w:val="21"/>
                <w:szCs w:val="21"/>
              </w:rPr>
              <w:t>物流有限</w:t>
            </w:r>
            <w:r>
              <w:rPr>
                <w:rFonts w:ascii="宋体" w:hAnsi="宋体" w:cs="宋体" w:eastAsia="宋体" w:hint="default"/>
                <w:spacing w:val="-98"/>
                <w:sz w:val="21"/>
                <w:szCs w:val="21"/>
              </w:rPr>
              <w:t> </w:t>
            </w:r>
            <w:r>
              <w:rPr>
                <w:rFonts w:ascii="宋体" w:hAnsi="宋体" w:cs="宋体" w:eastAsia="宋体" w:hint="default"/>
                <w:spacing w:val="10"/>
                <w:sz w:val="21"/>
                <w:szCs w:val="21"/>
              </w:rPr>
              <w:t>公司</w:t>
            </w:r>
            <w:r>
              <w:rPr>
                <w:rFonts w:ascii="宋体" w:hAnsi="宋体" w:cs="宋体" w:eastAsia="宋体" w:hint="default"/>
                <w:spacing w:val="-80"/>
                <w:sz w:val="21"/>
                <w:szCs w:val="21"/>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z w:val="21"/>
                <w:szCs w:val="21"/>
              </w:rPr>
              <w:t>青</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淄物流”)</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中国淄博</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物流服务、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管道运输</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0" w:footer="974" w:top="108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231"/>
        <w:gridCol w:w="1320"/>
        <w:gridCol w:w="1306"/>
        <w:gridCol w:w="1335"/>
        <w:gridCol w:w="1320"/>
        <w:gridCol w:w="1321"/>
        <w:gridCol w:w="1454"/>
      </w:tblGrid>
      <w:tr>
        <w:trPr>
          <w:trHeight w:val="281" w:hRule="exact"/>
        </w:trPr>
        <w:tc>
          <w:tcPr>
            <w:tcW w:w="1231" w:type="dxa"/>
            <w:vMerge w:val="restart"/>
            <w:tcBorders>
              <w:top w:val="single" w:sz="4" w:space="0" w:color="000000"/>
              <w:left w:val="single" w:sz="4" w:space="0" w:color="000000"/>
              <w:right w:val="single" w:sz="4" w:space="0" w:color="000000"/>
            </w:tcBorders>
          </w:tcPr>
          <w:p>
            <w:pPr>
              <w:pStyle w:val="TableParagraph"/>
              <w:spacing w:line="274" w:lineRule="exact"/>
              <w:ind w:left="398" w:right="19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10"/>
              <w:ind w:left="127"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10"/>
              <w:ind w:left="33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10"/>
              <w:ind w:left="242"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54" w:type="dxa"/>
            <w:vMerge w:val="restart"/>
            <w:tcBorders>
              <w:top w:val="single" w:sz="4" w:space="0" w:color="000000"/>
              <w:left w:val="single" w:sz="4" w:space="0" w:color="000000"/>
              <w:right w:val="single" w:sz="4" w:space="0" w:color="000000"/>
            </w:tcBorders>
          </w:tcPr>
          <w:p>
            <w:pPr>
              <w:pStyle w:val="TableParagraph"/>
              <w:spacing w:line="274" w:lineRule="exact"/>
              <w:ind w:left="511" w:right="40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31"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4"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54" w:type="dxa"/>
            <w:vMerge/>
            <w:tcBorders>
              <w:left w:val="single" w:sz="4" w:space="0" w:color="000000"/>
              <w:bottom w:val="single" w:sz="4" w:space="0" w:color="000000"/>
              <w:right w:val="single" w:sz="4" w:space="0" w:color="000000"/>
            </w:tcBorders>
          </w:tcPr>
          <w:p>
            <w:pP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振华石油</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燃油储存</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7"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中林青港</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货运代理</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r>
        <w:trPr>
          <w:trHeight w:val="55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南港油气</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液化天然气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55%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9"/>
              <w:jc w:val="center"/>
              <w:rPr>
                <w:rFonts w:ascii="宋体" w:hAnsi="宋体" w:cs="宋体" w:eastAsia="宋体" w:hint="default"/>
                <w:sz w:val="21"/>
                <w:szCs w:val="21"/>
              </w:rPr>
            </w:pPr>
            <w:r>
              <w:rPr>
                <w:rFonts w:ascii="宋体" w:hAnsi="宋体" w:cs="宋体" w:eastAsia="宋体" w:hint="default"/>
                <w:sz w:val="21"/>
                <w:szCs w:val="21"/>
              </w:rPr>
              <w:t>设立或投资</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314" w:lineRule="auto" w:before="75"/>
        <w:ind w:right="229" w:firstLine="420"/>
        <w:jc w:val="left"/>
        <w:rPr>
          <w:rFonts w:ascii="宋体" w:hAnsi="宋体" w:cs="宋体" w:eastAsia="宋体" w:hint="default"/>
        </w:rPr>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4"/>
        </w:rPr>
        <w:t> </w:t>
      </w:r>
      <w:r>
        <w:rPr/>
        <w:t>日，本公司通过增资扩股方式取得摩科瑞物流</w:t>
      </w:r>
      <w:r>
        <w:rPr>
          <w:spacing w:val="-53"/>
        </w:rPr>
        <w:t> </w:t>
      </w:r>
      <w:r>
        <w:rPr>
          <w:rFonts w:ascii="宋体" w:hAnsi="宋体" w:cs="宋体" w:eastAsia="宋体" w:hint="default"/>
        </w:rPr>
        <w:t>51%</w:t>
      </w:r>
      <w:r>
        <w:rPr/>
        <w:t>的股权，从而将摩科瑞物</w:t>
      </w:r>
      <w:r>
        <w:rPr>
          <w:w w:val="100"/>
        </w:rPr>
        <w:t> </w:t>
      </w:r>
      <w:r>
        <w:rPr/>
        <w:t>流作为子公司纳入合并范围，由于少数股东未出资完全，本公司按照实际出资比例</w:t>
      </w:r>
      <w:r>
        <w:rPr>
          <w:spacing w:val="-55"/>
        </w:rPr>
        <w:t> </w:t>
      </w:r>
      <w:r>
        <w:rPr>
          <w:rFonts w:ascii="宋体" w:hAnsi="宋体" w:cs="宋体" w:eastAsia="宋体" w:hint="default"/>
        </w:rPr>
        <w:t>62%</w:t>
      </w:r>
      <w:r>
        <w:rPr/>
        <w:t>享有权益。</w:t>
      </w:r>
      <w:r>
        <w:rPr>
          <w:w w:val="100"/>
        </w:rPr>
        <w:t> </w:t>
      </w:r>
      <w:r>
        <w:rPr/>
        <w:t>于</w:t>
      </w:r>
      <w:r>
        <w:rPr>
          <w:spacing w:val="-60"/>
        </w:rPr>
        <w:t> </w:t>
      </w:r>
      <w:r>
        <w:rPr>
          <w:rFonts w:ascii="宋体" w:hAnsi="宋体" w:cs="宋体" w:eastAsia="宋体" w:hint="default"/>
        </w:rPr>
        <w:t>2018</w:t>
      </w:r>
      <w:r>
        <w:rPr>
          <w:rFonts w:ascii="宋体" w:hAnsi="宋体" w:cs="宋体" w:eastAsia="宋体" w:hint="default"/>
          <w:spacing w:val="-60"/>
        </w:rPr>
        <w:t> </w:t>
      </w:r>
      <w:r>
        <w:rPr/>
        <w:t>年，摩科瑞物流修改公司章程，本公司按照新章程约定，持股比例</w:t>
      </w:r>
      <w:r>
        <w:rPr>
          <w:spacing w:val="-61"/>
        </w:rPr>
        <w:t> </w:t>
      </w:r>
      <w:r>
        <w:rPr>
          <w:rFonts w:ascii="宋体" w:hAnsi="宋体" w:cs="宋体" w:eastAsia="宋体" w:hint="default"/>
        </w:rPr>
        <w:t>62%</w:t>
      </w:r>
      <w:r>
        <w:rPr/>
        <w:t>。摩科瑞物流相关经</w:t>
      </w:r>
      <w:r>
        <w:rPr>
          <w:w w:val="100"/>
        </w:rPr>
        <w:t> </w:t>
      </w:r>
      <w:r>
        <w:rPr>
          <w:spacing w:val="-2"/>
        </w:rPr>
        <w:t>营活动的决策由董事会作出，董事会决议至少应经由出席董事会会议的过半数董事同意才能通过，</w:t>
      </w:r>
      <w:r>
        <w:rPr>
          <w:spacing w:val="-25"/>
        </w:rPr>
        <w:t> </w:t>
      </w:r>
      <w:r>
        <w:rPr>
          <w:spacing w:val="-25"/>
        </w:rPr>
      </w:r>
      <w:r>
        <w:rPr/>
        <w:t>摩科瑞物流董事会成员共</w:t>
      </w:r>
      <w:r>
        <w:rPr>
          <w:spacing w:val="-58"/>
        </w:rPr>
        <w:t> </w:t>
      </w:r>
      <w:r>
        <w:rPr>
          <w:rFonts w:ascii="宋体" w:hAnsi="宋体" w:cs="宋体" w:eastAsia="宋体" w:hint="default"/>
        </w:rPr>
        <w:t>5</w:t>
      </w:r>
      <w:r>
        <w:rPr>
          <w:rFonts w:ascii="宋体" w:hAnsi="宋体" w:cs="宋体" w:eastAsia="宋体" w:hint="default"/>
          <w:spacing w:val="-54"/>
        </w:rPr>
        <w:t> </w:t>
      </w:r>
      <w:r>
        <w:rPr/>
        <w:t>名，本公司有权派出</w:t>
      </w:r>
      <w:r>
        <w:rPr>
          <w:spacing w:val="-55"/>
        </w:rPr>
        <w:t> </w:t>
      </w:r>
      <w:r>
        <w:rPr>
          <w:rFonts w:ascii="宋体" w:hAnsi="宋体" w:cs="宋体" w:eastAsia="宋体" w:hint="default"/>
        </w:rPr>
        <w:t>3</w:t>
      </w:r>
      <w:r>
        <w:rPr>
          <w:rFonts w:ascii="宋体" w:hAnsi="宋体" w:cs="宋体" w:eastAsia="宋体" w:hint="default"/>
          <w:spacing w:val="-57"/>
        </w:rPr>
        <w:t> </w:t>
      </w:r>
      <w:r>
        <w:rPr/>
        <w:t>名董事，故本公司拥有的表决权比例为</w:t>
      </w:r>
      <w:r>
        <w:rPr>
          <w:spacing w:val="-54"/>
        </w:rPr>
        <w:t> </w:t>
      </w:r>
      <w:r>
        <w:rPr>
          <w:rFonts w:ascii="宋体" w:hAnsi="宋体" w:cs="宋体" w:eastAsia="宋体" w:hint="default"/>
        </w:rPr>
        <w:t>60%</w:t>
      </w:r>
      <w:r>
        <w:rPr/>
        <w:t>。</w:t>
      </w:r>
      <w:r>
        <w:rPr>
          <w:rFonts w:ascii="宋体" w:hAnsi="宋体" w:cs="宋体" w:eastAsia="宋体" w:hint="default"/>
        </w:rPr>
        <w:t> </w:t>
      </w:r>
    </w:p>
    <w:p>
      <w:pPr>
        <w:pStyle w:val="BodyText"/>
        <w:spacing w:line="240" w:lineRule="auto" w:before="20"/>
        <w:ind w:left="626" w:right="0"/>
        <w:jc w:val="left"/>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日，本公司通过增资扩股方式取得摩科瑞仓储</w:t>
      </w:r>
      <w:r>
        <w:rPr>
          <w:spacing w:val="-53"/>
        </w:rPr>
        <w:t> </w:t>
      </w:r>
      <w:r>
        <w:rPr>
          <w:rFonts w:ascii="宋体" w:hAnsi="宋体" w:cs="宋体" w:eastAsia="宋体" w:hint="default"/>
        </w:rPr>
        <w:t>65%</w:t>
      </w:r>
      <w:r>
        <w:rPr/>
        <w:t>的股权，从而将摩科瑞仓</w:t>
      </w:r>
    </w:p>
    <w:p>
      <w:pPr>
        <w:pStyle w:val="BodyText"/>
        <w:spacing w:line="314" w:lineRule="auto" w:before="85"/>
        <w:ind w:right="0"/>
        <w:jc w:val="left"/>
        <w:rPr>
          <w:rFonts w:ascii="宋体" w:hAnsi="宋体" w:cs="宋体" w:eastAsia="宋体" w:hint="default"/>
        </w:rPr>
      </w:pPr>
      <w:r>
        <w:rPr>
          <w:spacing w:val="-4"/>
        </w:rPr>
        <w:t>储作为子公司纳入合并范围。截至</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spacing w:val="-3"/>
        </w:rPr>
        <w:t>日，本公司及少数股东均未完成对摩科瑞仓储的</w:t>
      </w:r>
      <w:r>
        <w:rPr>
          <w:spacing w:val="-102"/>
        </w:rPr>
        <w:t> </w:t>
      </w:r>
      <w:r>
        <w:rPr>
          <w:spacing w:val="-102"/>
        </w:rPr>
      </w:r>
      <w:r>
        <w:rPr/>
        <w:t>出资，本公司按照实际出资比例</w:t>
      </w:r>
      <w:r>
        <w:rPr>
          <w:spacing w:val="-55"/>
        </w:rPr>
        <w:t> </w:t>
      </w:r>
      <w:r>
        <w:rPr>
          <w:rFonts w:ascii="宋体" w:hAnsi="宋体" w:cs="宋体" w:eastAsia="宋体" w:hint="default"/>
        </w:rPr>
        <w:t>71%</w:t>
      </w:r>
      <w:r>
        <w:rPr/>
        <w:t>享有权益。摩科瑞仓储相关经营活动的决策由董事会作出，董</w:t>
      </w:r>
      <w:r>
        <w:rPr>
          <w:w w:val="100"/>
        </w:rPr>
        <w:t> </w:t>
      </w:r>
      <w:r>
        <w:rPr/>
        <w:t>事会决议至少应经由出席董事会会议的过半数董事同意才能通过，摩科瑞仓储董事会成员共</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名，</w:t>
      </w:r>
      <w:r>
        <w:rPr>
          <w:spacing w:val="-3"/>
          <w:w w:val="100"/>
        </w:rPr>
        <w:t> </w:t>
      </w:r>
      <w:r>
        <w:rPr/>
        <w:t>本公司有权派出</w:t>
      </w:r>
      <w:r>
        <w:rPr>
          <w:spacing w:val="-56"/>
        </w:rPr>
        <w:t> </w:t>
      </w:r>
      <w:r>
        <w:rPr>
          <w:rFonts w:ascii="宋体" w:hAnsi="宋体" w:cs="宋体" w:eastAsia="宋体" w:hint="default"/>
        </w:rPr>
        <w:t>3</w:t>
      </w:r>
      <w:r>
        <w:rPr>
          <w:rFonts w:ascii="宋体" w:hAnsi="宋体" w:cs="宋体" w:eastAsia="宋体" w:hint="default"/>
          <w:spacing w:val="-56"/>
        </w:rPr>
        <w:t> </w:t>
      </w:r>
      <w:r>
        <w:rPr/>
        <w:t>名董事，故本公司拥有的表决权比例为</w:t>
      </w:r>
      <w:r>
        <w:rPr>
          <w:spacing w:val="-55"/>
        </w:rPr>
        <w:t> </w:t>
      </w:r>
      <w:r>
        <w:rPr>
          <w:rFonts w:ascii="宋体" w:hAnsi="宋体" w:cs="宋体" w:eastAsia="宋体" w:hint="default"/>
        </w:rPr>
        <w:t>60%</w:t>
      </w:r>
      <w:r>
        <w:rPr/>
        <w:t>。</w:t>
      </w:r>
      <w:r>
        <w:rPr>
          <w:rFonts w:ascii="宋体" w:hAnsi="宋体" w:cs="宋体" w:eastAsia="宋体" w:hint="default"/>
        </w:rPr>
        <w:t> </w:t>
      </w:r>
    </w:p>
    <w:p>
      <w:pPr>
        <w:pStyle w:val="BodyText"/>
        <w:spacing w:line="314" w:lineRule="auto" w:before="20"/>
        <w:ind w:right="229" w:firstLine="408"/>
        <w:jc w:val="both"/>
        <w:rPr>
          <w:rFonts w:ascii="宋体" w:hAnsi="宋体" w:cs="宋体" w:eastAsia="宋体" w:hint="default"/>
        </w:rPr>
      </w:pPr>
      <w:r>
        <w:rPr/>
        <w:t>本公司对怡之航冷链的持股比例为</w:t>
      </w:r>
      <w:r>
        <w:rPr>
          <w:spacing w:val="-16"/>
        </w:rPr>
        <w:t> </w:t>
      </w:r>
      <w:r>
        <w:rPr>
          <w:rFonts w:ascii="宋体" w:hAnsi="宋体" w:cs="宋体" w:eastAsia="宋体" w:hint="default"/>
          <w:spacing w:val="-6"/>
        </w:rPr>
        <w:t>70%</w:t>
      </w:r>
      <w:r>
        <w:rPr>
          <w:spacing w:val="-6"/>
        </w:rPr>
        <w:t>，怡之航冷链相关经营活动的决策由董事会作出，董事会</w:t>
      </w:r>
      <w:r>
        <w:rPr>
          <w:w w:val="100"/>
        </w:rPr>
        <w:t> </w:t>
      </w:r>
      <w:r>
        <w:rPr/>
        <w:t>决议至少应经由出席董事会会议的过半数董事同意才能通过，怡之航冷链董事会成员共</w:t>
      </w:r>
      <w:r>
        <w:rPr>
          <w:spacing w:val="-54"/>
        </w:rPr>
        <w:t> </w:t>
      </w:r>
      <w:r>
        <w:rPr>
          <w:rFonts w:ascii="宋体" w:hAnsi="宋体" w:cs="宋体" w:eastAsia="宋体" w:hint="default"/>
        </w:rPr>
        <w:t>5</w:t>
      </w:r>
      <w:r>
        <w:rPr>
          <w:rFonts w:ascii="宋体" w:hAnsi="宋体" w:cs="宋体" w:eastAsia="宋体" w:hint="default"/>
          <w:spacing w:val="-55"/>
        </w:rPr>
        <w:t> </w:t>
      </w:r>
      <w:r>
        <w:rPr/>
        <w:t>名，本公</w:t>
      </w:r>
      <w:r>
        <w:rPr>
          <w:w w:val="100"/>
        </w:rPr>
        <w:t> </w:t>
      </w:r>
      <w:r>
        <w:rPr/>
        <w:t>司有权派出</w:t>
      </w:r>
      <w:r>
        <w:rPr>
          <w:spacing w:val="-55"/>
        </w:rPr>
        <w:t> </w:t>
      </w:r>
      <w:r>
        <w:rPr>
          <w:rFonts w:ascii="宋体" w:hAnsi="宋体" w:cs="宋体" w:eastAsia="宋体" w:hint="default"/>
        </w:rPr>
        <w:t>3</w:t>
      </w:r>
      <w:r>
        <w:rPr>
          <w:rFonts w:ascii="宋体" w:hAnsi="宋体" w:cs="宋体" w:eastAsia="宋体" w:hint="default"/>
          <w:spacing w:val="-55"/>
        </w:rPr>
        <w:t> </w:t>
      </w:r>
      <w:r>
        <w:rPr/>
        <w:t>名董事，故本公司拥有的表决权比例为</w:t>
      </w:r>
      <w:r>
        <w:rPr>
          <w:spacing w:val="-55"/>
        </w:rPr>
        <w:t> </w:t>
      </w:r>
      <w:r>
        <w:rPr>
          <w:rFonts w:ascii="宋体" w:hAnsi="宋体" w:cs="宋体" w:eastAsia="宋体" w:hint="default"/>
        </w:rPr>
        <w:t>60%</w:t>
      </w:r>
      <w:r>
        <w:rPr/>
        <w:t>。</w:t>
      </w:r>
      <w:r>
        <w:rPr>
          <w:rFonts w:ascii="宋体" w:hAnsi="宋体" w:cs="宋体" w:eastAsia="宋体" w:hint="default"/>
        </w:rPr>
        <w:t> </w:t>
      </w:r>
    </w:p>
    <w:p>
      <w:pPr>
        <w:pStyle w:val="BodyText"/>
        <w:spacing w:line="314" w:lineRule="auto" w:before="20"/>
        <w:ind w:right="268" w:firstLine="199"/>
        <w:jc w:val="both"/>
        <w:rPr>
          <w:rFonts w:ascii="宋体" w:hAnsi="宋体" w:cs="宋体" w:eastAsia="宋体" w:hint="default"/>
        </w:rPr>
      </w:pPr>
      <w:r>
        <w:rPr>
          <w:rFonts w:ascii="宋体" w:hAnsi="宋体" w:cs="宋体" w:eastAsia="宋体" w:hint="default"/>
          <w:w w:val="100"/>
        </w:rPr>
        <w:t>  </w:t>
      </w:r>
      <w:r>
        <w:rPr/>
        <w:t>本公司对通用码头公司的实际持股比例为</w:t>
      </w:r>
      <w:r>
        <w:rPr>
          <w:spacing w:val="-56"/>
        </w:rPr>
        <w:t> </w:t>
      </w:r>
      <w:r>
        <w:rPr>
          <w:rFonts w:ascii="宋体" w:hAnsi="宋体" w:cs="宋体" w:eastAsia="宋体" w:hint="default"/>
        </w:rPr>
        <w:t>80%</w:t>
      </w:r>
      <w:r>
        <w:rPr/>
        <w:t>，通用码头公司相关经营活动的决策由董事会作</w:t>
      </w:r>
      <w:r>
        <w:rPr>
          <w:w w:val="100"/>
        </w:rPr>
        <w:t> </w:t>
      </w:r>
      <w:r>
        <w:rPr>
          <w:spacing w:val="-2"/>
        </w:rPr>
        <w:t>出，董事会决议至少应经由出席董事会会议的过半数董事同意才能通过，通用码头公司董事会成员</w:t>
      </w:r>
      <w:r>
        <w:rPr>
          <w:spacing w:val="-25"/>
        </w:rPr>
        <w:t> </w:t>
      </w:r>
      <w:r>
        <w:rPr>
          <w:spacing w:val="-25"/>
        </w:rPr>
      </w:r>
      <w:r>
        <w:rPr/>
        <w:t>共</w:t>
      </w:r>
      <w:r>
        <w:rPr>
          <w:spacing w:val="-55"/>
        </w:rPr>
        <w:t> </w:t>
      </w:r>
      <w:r>
        <w:rPr>
          <w:rFonts w:ascii="宋体" w:hAnsi="宋体" w:cs="宋体" w:eastAsia="宋体" w:hint="default"/>
        </w:rPr>
        <w:t>6</w:t>
      </w:r>
      <w:r>
        <w:rPr>
          <w:rFonts w:ascii="宋体" w:hAnsi="宋体" w:cs="宋体" w:eastAsia="宋体" w:hint="default"/>
          <w:spacing w:val="-55"/>
        </w:rPr>
        <w:t> </w:t>
      </w:r>
      <w:r>
        <w:rPr/>
        <w:t>名，本公司有权派出</w:t>
      </w:r>
      <w:r>
        <w:rPr>
          <w:spacing w:val="-58"/>
        </w:rPr>
        <w:t> </w:t>
      </w:r>
      <w:r>
        <w:rPr>
          <w:rFonts w:ascii="宋体" w:hAnsi="宋体" w:cs="宋体" w:eastAsia="宋体" w:hint="default"/>
        </w:rPr>
        <w:t>4</w:t>
      </w:r>
      <w:r>
        <w:rPr>
          <w:rFonts w:ascii="宋体" w:hAnsi="宋体" w:cs="宋体" w:eastAsia="宋体" w:hint="default"/>
          <w:spacing w:val="-54"/>
        </w:rPr>
        <w:t> </w:t>
      </w:r>
      <w:r>
        <w:rPr/>
        <w:t>名董事，故本公司拥有的表决权比例为</w:t>
      </w:r>
      <w:r>
        <w:rPr>
          <w:spacing w:val="-55"/>
        </w:rPr>
        <w:t> </w:t>
      </w:r>
      <w:r>
        <w:rPr>
          <w:rFonts w:ascii="宋体" w:hAnsi="宋体" w:cs="宋体" w:eastAsia="宋体" w:hint="default"/>
        </w:rPr>
        <w:t>67%</w:t>
      </w:r>
      <w:r>
        <w:rPr/>
        <w:t>。</w:t>
      </w:r>
      <w:r>
        <w:rPr>
          <w:rFonts w:ascii="宋体" w:hAnsi="宋体" w:cs="宋体" w:eastAsia="宋体" w:hint="default"/>
        </w:rPr>
        <w:t> </w:t>
      </w:r>
    </w:p>
    <w:p>
      <w:pPr>
        <w:pStyle w:val="BodyText"/>
        <w:spacing w:line="314" w:lineRule="auto" w:before="20"/>
        <w:ind w:right="0" w:firstLine="199"/>
        <w:jc w:val="left"/>
        <w:rPr>
          <w:rFonts w:ascii="宋体" w:hAnsi="宋体" w:cs="宋体" w:eastAsia="宋体" w:hint="default"/>
        </w:rPr>
      </w:pPr>
      <w:r>
        <w:rPr>
          <w:rFonts w:ascii="宋体" w:hAnsi="宋体" w:cs="宋体" w:eastAsia="宋体" w:hint="default"/>
          <w:w w:val="100"/>
        </w:rPr>
        <w:t>  </w:t>
      </w:r>
      <w:r>
        <w:rPr/>
        <w:t>本公司对施维策拖轮的实际持股比例为</w:t>
      </w:r>
      <w:r>
        <w:rPr>
          <w:spacing w:val="-54"/>
        </w:rPr>
        <w:t> </w:t>
      </w:r>
      <w:r>
        <w:rPr>
          <w:rFonts w:ascii="宋体" w:hAnsi="宋体" w:cs="宋体" w:eastAsia="宋体" w:hint="default"/>
        </w:rPr>
        <w:t>55%</w:t>
      </w:r>
      <w:r>
        <w:rPr/>
        <w:t>，施维策拖轮相关经营活动的决策由董事会作出，</w:t>
      </w:r>
      <w:r>
        <w:rPr>
          <w:w w:val="100"/>
        </w:rPr>
        <w:t> </w:t>
      </w:r>
      <w:r>
        <w:rPr>
          <w:spacing w:val="-3"/>
        </w:rPr>
        <w:t>董事会决议至少应经由出席董事会会议的过半数董事同意才能通过，施维策拖轮董事会成员共</w:t>
      </w:r>
      <w:r>
        <w:rPr>
          <w:spacing w:val="-32"/>
        </w:rPr>
        <w:t> </w:t>
      </w:r>
      <w:r>
        <w:rPr>
          <w:rFonts w:ascii="宋体" w:hAnsi="宋体" w:cs="宋体" w:eastAsia="宋体" w:hint="default"/>
        </w:rPr>
        <w:t>5</w:t>
      </w:r>
      <w:r>
        <w:rPr>
          <w:rFonts w:ascii="宋体" w:hAnsi="宋体" w:cs="宋体" w:eastAsia="宋体" w:hint="default"/>
          <w:spacing w:val="-32"/>
        </w:rPr>
        <w:t> </w:t>
      </w:r>
      <w:r>
        <w:rPr>
          <w:spacing w:val="-3"/>
        </w:rPr>
        <w:t>名，</w:t>
      </w:r>
      <w:r>
        <w:rPr>
          <w:spacing w:val="-96"/>
        </w:rPr>
        <w:t> </w:t>
      </w:r>
      <w:r>
        <w:rPr/>
        <w:t>本公司有权派出</w:t>
      </w:r>
      <w:r>
        <w:rPr>
          <w:spacing w:val="-56"/>
        </w:rPr>
        <w:t> </w:t>
      </w:r>
      <w:r>
        <w:rPr>
          <w:rFonts w:ascii="宋体" w:hAnsi="宋体" w:cs="宋体" w:eastAsia="宋体" w:hint="default"/>
        </w:rPr>
        <w:t>3</w:t>
      </w:r>
      <w:r>
        <w:rPr>
          <w:rFonts w:ascii="宋体" w:hAnsi="宋体" w:cs="宋体" w:eastAsia="宋体" w:hint="default"/>
          <w:spacing w:val="-56"/>
        </w:rPr>
        <w:t> </w:t>
      </w:r>
      <w:r>
        <w:rPr/>
        <w:t>名董事，故本公司拥有的表决权比例为</w:t>
      </w:r>
      <w:r>
        <w:rPr>
          <w:spacing w:val="-55"/>
        </w:rPr>
        <w:t> </w:t>
      </w:r>
      <w:r>
        <w:rPr>
          <w:rFonts w:ascii="宋体" w:hAnsi="宋体" w:cs="宋体" w:eastAsia="宋体" w:hint="default"/>
        </w:rPr>
        <w:t>60%</w:t>
      </w:r>
      <w:r>
        <w:rPr/>
        <w:t>。</w:t>
      </w:r>
      <w:r>
        <w:rPr>
          <w:rFonts w:ascii="宋体" w:hAnsi="宋体" w:cs="宋体" w:eastAsia="宋体" w:hint="default"/>
        </w:rPr>
        <w:t> </w:t>
      </w:r>
    </w:p>
    <w:p>
      <w:pPr>
        <w:pStyle w:val="BodyText"/>
        <w:spacing w:line="314" w:lineRule="auto" w:before="20"/>
        <w:ind w:right="229" w:firstLine="199"/>
        <w:jc w:val="both"/>
        <w:rPr>
          <w:rFonts w:ascii="宋体" w:hAnsi="宋体" w:cs="宋体" w:eastAsia="宋体" w:hint="default"/>
        </w:rPr>
      </w:pPr>
      <w:r>
        <w:rPr>
          <w:rFonts w:ascii="宋体" w:hAnsi="宋体" w:cs="宋体" w:eastAsia="宋体" w:hint="default"/>
          <w:w w:val="100"/>
        </w:rPr>
        <w:t>  </w:t>
      </w:r>
      <w:r>
        <w:rPr/>
        <w:t>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月，液体化工码头吸收少数股东投资，本公司对液体化工码头的实际持股比例由</w:t>
      </w:r>
      <w:r>
        <w:rPr>
          <w:w w:val="100"/>
        </w:rPr>
        <w:t> </w:t>
      </w:r>
      <w:r>
        <w:rPr>
          <w:rFonts w:ascii="宋体" w:hAnsi="宋体" w:cs="宋体" w:eastAsia="宋体" w:hint="default"/>
        </w:rPr>
        <w:t>100%</w:t>
      </w:r>
      <w:r>
        <w:rPr/>
        <w:t>变更为</w:t>
      </w:r>
      <w:r>
        <w:rPr>
          <w:spacing w:val="-55"/>
        </w:rPr>
        <w:t> </w:t>
      </w:r>
      <w:r>
        <w:rPr>
          <w:rFonts w:ascii="宋体" w:hAnsi="宋体" w:cs="宋体" w:eastAsia="宋体" w:hint="default"/>
        </w:rPr>
        <w:t>51%</w:t>
      </w:r>
      <w:r>
        <w:rPr/>
        <w:t>，液体化工码头相关经营活动的决策由董事会作出，董事会决议至少应经由出席董</w:t>
      </w:r>
      <w:r>
        <w:rPr>
          <w:w w:val="100"/>
        </w:rPr>
        <w:t> </w:t>
      </w:r>
      <w:r>
        <w:rPr>
          <w:spacing w:val="-5"/>
          <w:w w:val="100"/>
        </w:rPr>
        <w:t>事会会议的过半数董事同意才能通过，液体化工码头董事会成员共</w:t>
      </w:r>
      <w:r>
        <w:rPr>
          <w:spacing w:val="-48"/>
          <w:w w:val="100"/>
        </w:rPr>
        <w:t> </w:t>
      </w:r>
      <w:r>
        <w:rPr>
          <w:rFonts w:ascii="宋体" w:hAnsi="宋体" w:cs="宋体" w:eastAsia="宋体" w:hint="default"/>
          <w:w w:val="100"/>
        </w:rPr>
        <w:t>5</w:t>
      </w:r>
      <w:r>
        <w:rPr>
          <w:rFonts w:ascii="宋体" w:hAnsi="宋体" w:cs="宋体" w:eastAsia="宋体" w:hint="default"/>
          <w:spacing w:val="-50"/>
          <w:w w:val="100"/>
        </w:rPr>
        <w:t> </w:t>
      </w:r>
      <w:r>
        <w:rPr>
          <w:spacing w:val="-11"/>
          <w:w w:val="100"/>
        </w:rPr>
        <w:t>名，本公司有权派出</w:t>
      </w:r>
      <w:r>
        <w:rPr>
          <w:spacing w:val="-47"/>
          <w:w w:val="100"/>
        </w:rPr>
        <w:t> </w:t>
      </w:r>
      <w:r>
        <w:rPr>
          <w:rFonts w:ascii="宋体" w:hAnsi="宋体" w:cs="宋体" w:eastAsia="宋体" w:hint="default"/>
          <w:w w:val="100"/>
        </w:rPr>
        <w:t>3</w:t>
      </w:r>
      <w:r>
        <w:rPr>
          <w:rFonts w:ascii="宋体" w:hAnsi="宋体" w:cs="宋体" w:eastAsia="宋体" w:hint="default"/>
          <w:spacing w:val="-50"/>
          <w:w w:val="100"/>
        </w:rPr>
        <w:t> </w:t>
      </w:r>
      <w:r>
        <w:rPr>
          <w:spacing w:val="-2"/>
          <w:w w:val="100"/>
        </w:rPr>
        <w:t>名董事，</w:t>
      </w:r>
      <w:r>
        <w:rPr>
          <w:spacing w:val="-104"/>
          <w:w w:val="100"/>
        </w:rPr>
        <w:t> </w:t>
      </w:r>
      <w:r>
        <w:rPr>
          <w:spacing w:val="-104"/>
          <w:w w:val="100"/>
        </w:rPr>
      </w:r>
      <w:r>
        <w:rPr/>
        <w:t>故本公司拥有的表决权比例为</w:t>
      </w:r>
      <w:r>
        <w:rPr>
          <w:spacing w:val="-57"/>
        </w:rPr>
        <w:t> </w:t>
      </w:r>
      <w:r>
        <w:rPr>
          <w:rFonts w:ascii="宋体" w:hAnsi="宋体" w:cs="宋体" w:eastAsia="宋体" w:hint="default"/>
        </w:rPr>
        <w:t>60%</w:t>
      </w:r>
      <w:r>
        <w:rPr/>
        <w:t>。</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BodyText"/>
        <w:spacing w:line="314" w:lineRule="auto" w:before="73"/>
        <w:ind w:left="638" w:right="0" w:hanging="420"/>
        <w:jc w:val="left"/>
      </w:pPr>
      <w:r>
        <w:rPr>
          <w:spacing w:val="-6"/>
          <w:w w:val="100"/>
        </w:rPr>
        <w:t>持有半数或以下表决权但仍控制被投资单位、以及持有半数以上表决权但不控制被投资单位的依据：</w:t>
      </w:r>
      <w:r>
        <w:rPr>
          <w:spacing w:val="-79"/>
          <w:w w:val="100"/>
        </w:rPr>
        <w:t> </w:t>
      </w:r>
      <w:r>
        <w:rPr>
          <w:rFonts w:ascii="宋体" w:hAnsi="宋体" w:cs="宋体" w:eastAsia="宋体" w:hint="default"/>
          <w:spacing w:val="-79"/>
          <w:w w:val="100"/>
        </w:rPr>
      </w:r>
      <w:r>
        <w:rPr>
          <w:spacing w:val="-2"/>
        </w:rPr>
        <w:t>本公司之子公司青港物流对汽车供应链的持股比例为</w:t>
      </w:r>
      <w:r>
        <w:rPr>
          <w:spacing w:val="25"/>
        </w:rPr>
        <w:t> </w:t>
      </w:r>
      <w:r>
        <w:rPr>
          <w:rFonts w:ascii="宋体" w:hAnsi="宋体" w:cs="宋体" w:eastAsia="宋体" w:hint="default"/>
          <w:spacing w:val="-2"/>
        </w:rPr>
        <w:t>45%</w:t>
      </w:r>
      <w:r>
        <w:rPr>
          <w:spacing w:val="-2"/>
        </w:rPr>
        <w:t>，汽车供应链相关经营活动的决策由</w:t>
      </w:r>
    </w:p>
    <w:p>
      <w:pPr>
        <w:pStyle w:val="BodyText"/>
        <w:spacing w:line="314" w:lineRule="auto" w:before="20"/>
        <w:ind w:right="0"/>
        <w:jc w:val="left"/>
        <w:rPr>
          <w:rFonts w:ascii="宋体" w:hAnsi="宋体" w:cs="宋体" w:eastAsia="宋体" w:hint="default"/>
        </w:rPr>
      </w:pPr>
      <w:r>
        <w:rPr>
          <w:spacing w:val="-2"/>
        </w:rPr>
        <w:t>股东会作出，除对公司增加或者减少注册资本，公司合并、分立、解散、清算或者变更公司形式以</w:t>
      </w:r>
      <w:r>
        <w:rPr>
          <w:spacing w:val="-25"/>
        </w:rPr>
        <w:t> </w:t>
      </w:r>
      <w:r>
        <w:rPr>
          <w:spacing w:val="-25"/>
        </w:rPr>
      </w:r>
      <w:r>
        <w:rPr/>
        <w:t>及修改公司章程外，其他需股东会决议的事项，在青港物流方通过后视为股东会通过。</w:t>
      </w:r>
      <w:r>
        <w:rPr>
          <w:rFonts w:ascii="宋体" w:hAnsi="宋体" w:cs="宋体" w:eastAsia="宋体" w:hint="default"/>
        </w:rPr>
        <w:t> </w:t>
      </w:r>
    </w:p>
    <w:p>
      <w:pPr>
        <w:pStyle w:val="BodyText"/>
        <w:spacing w:line="217" w:lineRule="exact"/>
        <w:ind w:right="0"/>
        <w:jc w:val="left"/>
        <w:rPr>
          <w:rFonts w:ascii="宋体" w:hAnsi="宋体" w:cs="宋体" w:eastAsia="宋体" w:hint="default"/>
        </w:rPr>
      </w:pPr>
      <w:r>
        <w:rPr>
          <w:rFonts w:ascii="宋体"/>
          <w:w w:val="100"/>
        </w:rPr>
        <w:t> </w:t>
      </w:r>
    </w:p>
    <w:p>
      <w:pPr>
        <w:pStyle w:val="BodyText"/>
        <w:spacing w:line="272" w:lineRule="exact" w:before="27"/>
        <w:ind w:left="638" w:right="3868" w:hanging="420"/>
        <w:jc w:val="left"/>
        <w:rPr>
          <w:rFonts w:ascii="宋体" w:hAnsi="宋体" w:cs="宋体" w:eastAsia="宋体" w:hint="default"/>
        </w:rPr>
      </w:pPr>
      <w:r>
        <w:rPr/>
        <w:t>对于纳入合并范围的重要的结构化主体，控制的依据：</w:t>
      </w:r>
      <w:r>
        <w:rPr>
          <w:rFonts w:ascii="宋体" w:hAnsi="宋体" w:cs="宋体" w:eastAsia="宋体" w:hint="default"/>
          <w:w w:val="100"/>
        </w:rPr>
        <w:t> </w:t>
      </w:r>
      <w:r>
        <w:rPr/>
        <w:t>无。</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92"/>
          <w:pgSz w:w="11910" w:h="16840"/>
          <w:pgMar w:footer="974" w:header="0" w:top="1080" w:bottom="1160" w:left="1200" w:right="11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72" w:lineRule="exact"/>
        <w:ind w:right="0"/>
        <w:jc w:val="left"/>
        <w:rPr>
          <w:rFonts w:ascii="宋体" w:hAnsi="宋体" w:cs="宋体" w:eastAsia="宋体" w:hint="default"/>
        </w:rPr>
      </w:pPr>
      <w:r>
        <w:rPr>
          <w:rFonts w:ascii="宋体" w:hAnsi="宋体" w:cs="宋体" w:eastAsia="宋体" w:hint="default"/>
          <w:w w:val="100"/>
        </w:rPr>
        <w:t>  </w:t>
      </w:r>
      <w:r>
        <w:rPr>
          <w:w w:val="100"/>
        </w:rPr>
        <w:t>确定</w:t>
      </w:r>
      <w:r>
        <w:rPr>
          <w:spacing w:val="-3"/>
          <w:w w:val="100"/>
        </w:rPr>
        <w:t>公</w:t>
      </w:r>
      <w:r>
        <w:rPr>
          <w:w w:val="100"/>
        </w:rPr>
        <w:t>司</w:t>
      </w:r>
      <w:r>
        <w:rPr>
          <w:spacing w:val="-3"/>
          <w:w w:val="100"/>
        </w:rPr>
        <w:t>是</w:t>
      </w:r>
      <w:r>
        <w:rPr>
          <w:w w:val="100"/>
        </w:rPr>
        <w:t>代</w:t>
      </w:r>
      <w:r>
        <w:rPr>
          <w:spacing w:val="-3"/>
          <w:w w:val="100"/>
        </w:rPr>
        <w:t>理</w:t>
      </w:r>
      <w:r>
        <w:rPr>
          <w:w w:val="100"/>
        </w:rPr>
        <w:t>人</w:t>
      </w:r>
      <w:r>
        <w:rPr>
          <w:spacing w:val="-3"/>
          <w:w w:val="100"/>
        </w:rPr>
        <w:t>还</w:t>
      </w:r>
      <w:r>
        <w:rPr>
          <w:w w:val="100"/>
        </w:rPr>
        <w:t>是</w:t>
      </w:r>
      <w:r>
        <w:rPr>
          <w:spacing w:val="-3"/>
          <w:w w:val="100"/>
        </w:rPr>
        <w:t>委</w:t>
      </w:r>
      <w:r>
        <w:rPr>
          <w:w w:val="100"/>
        </w:rPr>
        <w:t>托人</w:t>
      </w:r>
      <w:r>
        <w:rPr>
          <w:spacing w:val="-3"/>
          <w:w w:val="100"/>
        </w:rPr>
        <w:t>的</w:t>
      </w:r>
      <w:r>
        <w:rPr>
          <w:w w:val="100"/>
        </w:rPr>
        <w:t>依</w:t>
      </w:r>
      <w:r>
        <w:rPr>
          <w:spacing w:val="-3"/>
          <w:w w:val="100"/>
        </w:rPr>
        <w:t>据：</w:t>
      </w:r>
      <w:r>
        <w:rPr>
          <w:rFonts w:ascii="宋体" w:hAnsi="宋体" w:cs="宋体" w:eastAsia="宋体" w:hint="default"/>
          <w:w w:val="100"/>
        </w:rPr>
        <w:t> </w:t>
      </w:r>
    </w:p>
    <w:p>
      <w:pPr>
        <w:pStyle w:val="BodyText"/>
        <w:spacing w:line="249" w:lineRule="exact"/>
        <w:ind w:left="638" w:right="0"/>
        <w:jc w:val="left"/>
        <w:rPr>
          <w:rFonts w:ascii="宋体" w:hAnsi="宋体" w:cs="宋体" w:eastAsia="宋体" w:hint="default"/>
        </w:rPr>
      </w:pPr>
      <w:r>
        <w:rPr/>
        <w:t>无。</w:t>
      </w:r>
      <w:r>
        <w:rPr>
          <w:rFonts w:ascii="宋体" w:hAnsi="宋体" w:cs="宋体" w:eastAsia="宋体" w:hint="default"/>
        </w:rPr>
        <w:t> </w:t>
      </w:r>
    </w:p>
    <w:p>
      <w:pPr>
        <w:spacing w:after="0" w:line="249" w:lineRule="exact"/>
        <w:jc w:val="left"/>
        <w:rPr>
          <w:rFonts w:ascii="宋体" w:hAnsi="宋体" w:cs="宋体" w:eastAsia="宋体" w:hint="default"/>
        </w:rPr>
        <w:sectPr>
          <w:footerReference w:type="default" r:id="rId93"/>
          <w:pgSz w:w="11910" w:h="16840"/>
          <w:pgMar w:footer="974" w:header="0" w:top="1080" w:bottom="1160" w:left="1200" w:right="1180"/>
        </w:sectPr>
      </w:pPr>
    </w:p>
    <w:p>
      <w:pPr>
        <w:pStyle w:val="Heading5"/>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3"/>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648" w:space="4322"/>
            <w:col w:w="256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654"/>
        <w:gridCol w:w="1863"/>
        <w:gridCol w:w="1988"/>
        <w:gridCol w:w="1994"/>
        <w:gridCol w:w="1789"/>
      </w:tblGrid>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0"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青港财务公司</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74,017,071</w:t>
            </w:r>
            <w:r>
              <w:rPr>
                <w:rFonts w:ascii="宋体"/>
                <w:sz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648,746,392</w:t>
            </w:r>
            <w:r>
              <w:rPr>
                <w:rFonts w:ascii="宋体"/>
                <w:sz w:val="21"/>
              </w:rPr>
              <w:t> </w:t>
            </w:r>
          </w:p>
        </w:tc>
      </w:tr>
      <w:tr>
        <w:trPr>
          <w:trHeight w:val="2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联化管道</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179,438,457</w:t>
            </w:r>
            <w:r>
              <w:rPr>
                <w:rFonts w:ascii="宋体"/>
                <w:sz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755,214,923</w:t>
            </w:r>
            <w:r>
              <w:rPr>
                <w:rFonts w:ascii="宋体"/>
                <w:sz w:val="21"/>
              </w:rPr>
              <w:t> </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液体化工码头</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360,145,461</w:t>
            </w:r>
            <w:r>
              <w:rPr>
                <w:rFonts w:ascii="宋体"/>
                <w:sz w:val="21"/>
              </w:rPr>
              <w:t> </w:t>
            </w:r>
          </w:p>
        </w:tc>
      </w:tr>
      <w:tr>
        <w:trPr>
          <w:trHeight w:val="28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青东管道</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1,054,976</w:t>
            </w:r>
            <w:r>
              <w:rPr>
                <w:rFonts w:ascii="宋体"/>
                <w:sz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246,129,522</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4" w:lineRule="exact" w:before="22"/>
        <w:ind w:left="638" w:right="61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联化管道主要财务信息由联化管道及其子公司潍坊港联化、东营港联化组成。</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rFonts w:ascii="宋体"/>
          <w:w w:val="100"/>
        </w:rPr>
        <w:t> </w:t>
      </w:r>
    </w:p>
    <w:p>
      <w:pPr>
        <w:pStyle w:val="BodyText"/>
        <w:tabs>
          <w:tab w:pos="3099"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type w:val="continuous"/>
          <w:pgSz w:w="11910" w:h="16840"/>
          <w:pgMar w:top="1120" w:bottom="1160" w:left="1200" w:right="1180"/>
        </w:sectPr>
      </w:pPr>
    </w:p>
    <w:p>
      <w:pPr>
        <w:spacing w:before="20"/>
        <w:ind w:left="7414" w:right="731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6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94"/>
          <w:footerReference w:type="default" r:id="rId95"/>
          <w:pgSz w:w="16840" w:h="11910" w:orient="landscape"/>
          <w:pgMar w:header="0" w:footer="0" w:top="800" w:bottom="280" w:left="320" w:right="440"/>
        </w:sectPr>
      </w:pPr>
    </w:p>
    <w:p>
      <w:pPr>
        <w:pStyle w:val="Heading5"/>
        <w:spacing w:line="240" w:lineRule="auto" w:before="36"/>
        <w:ind w:left="1098"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09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098"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160" w:left="320" w:right="440"/>
          <w:cols w:num="2" w:equalWidth="0">
            <w:col w:w="4791" w:space="7113"/>
            <w:col w:w="4176"/>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20"/>
        <w:gridCol w:w="1284"/>
        <w:gridCol w:w="1147"/>
        <w:gridCol w:w="1325"/>
        <w:gridCol w:w="1376"/>
        <w:gridCol w:w="1147"/>
        <w:gridCol w:w="1376"/>
        <w:gridCol w:w="1145"/>
        <w:gridCol w:w="1282"/>
        <w:gridCol w:w="1285"/>
        <w:gridCol w:w="1286"/>
        <w:gridCol w:w="1147"/>
        <w:gridCol w:w="1328"/>
      </w:tblGrid>
      <w:tr>
        <w:trPr>
          <w:trHeight w:val="252" w:hRule="exact"/>
        </w:trPr>
        <w:tc>
          <w:tcPr>
            <w:tcW w:w="720" w:type="dxa"/>
            <w:vMerge w:val="restart"/>
            <w:tcBorders>
              <w:top w:val="single" w:sz="4" w:space="0" w:color="000000"/>
              <w:left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子公</w:t>
            </w:r>
          </w:p>
          <w:p>
            <w:pPr>
              <w:pStyle w:val="TableParagraph"/>
              <w:spacing w:line="232" w:lineRule="exact" w:before="24"/>
              <w:ind w:left="273" w:right="167" w:hanging="92"/>
              <w:jc w:val="left"/>
              <w:rPr>
                <w:rFonts w:ascii="宋体" w:hAnsi="宋体" w:cs="宋体" w:eastAsia="宋体" w:hint="default"/>
                <w:sz w:val="18"/>
                <w:szCs w:val="18"/>
              </w:rPr>
            </w:pPr>
            <w:r>
              <w:rPr>
                <w:rFonts w:ascii="宋体" w:hAnsi="宋体" w:cs="宋体" w:eastAsia="宋体" w:hint="default"/>
                <w:sz w:val="18"/>
                <w:szCs w:val="18"/>
              </w:rPr>
              <w:t>司名 称</w:t>
            </w:r>
          </w:p>
        </w:tc>
        <w:tc>
          <w:tcPr>
            <w:tcW w:w="765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4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8" w:hRule="exact"/>
        </w:trPr>
        <w:tc>
          <w:tcPr>
            <w:tcW w:w="720" w:type="dxa"/>
            <w:vMerge/>
            <w:tcBorders>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8"/>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青港</w:t>
            </w: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财务 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12,857,944,556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3,500,665,009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16,358,609,565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14,192,468,743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3,652,847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14,196,121,590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11,924,008,98</w:t>
            </w: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2,963,118,464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14,887,127,450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12,963,891,486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4,175,392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12,968,066,878</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联化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管道</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745,467,592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3,268,729,763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4,014,197,355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670,392,893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1,910,161,343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2,580,554,236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989,381,246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3,104,090,322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4,093,471,568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906,405,198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2,119,487,570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3,025,892,768</w:t>
            </w:r>
          </w:p>
        </w:tc>
      </w:tr>
      <w:tr>
        <w:trPr>
          <w:trHeight w:val="71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液体</w:t>
            </w:r>
          </w:p>
          <w:p>
            <w:pPr>
              <w:pStyle w:val="TableParagraph"/>
              <w:spacing w:line="232" w:lineRule="exact" w:before="23"/>
              <w:ind w:left="103" w:right="245"/>
              <w:jc w:val="left"/>
              <w:rPr>
                <w:rFonts w:ascii="宋体" w:hAnsi="宋体" w:cs="宋体" w:eastAsia="宋体" w:hint="default"/>
                <w:sz w:val="18"/>
                <w:szCs w:val="18"/>
              </w:rPr>
            </w:pPr>
            <w:r>
              <w:rPr>
                <w:rFonts w:ascii="宋体" w:hAnsi="宋体" w:cs="宋体" w:eastAsia="宋体" w:hint="default"/>
                <w:sz w:val="18"/>
                <w:szCs w:val="18"/>
              </w:rPr>
              <w:t>化工 码头</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462,373,679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447,186,657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909,560,336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174,569,598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174,569,598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13,444,856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285,973,331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299,418,187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11,952,516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11,952,516</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青东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管道</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201,014,175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741,052,414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942,066,589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439,711,442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439,761,442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497,660,866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4,797,459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502,458,325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2,458,325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2,458,325</w:t>
            </w:r>
          </w:p>
        </w:tc>
      </w:tr>
    </w:tbl>
    <w:p>
      <w:pPr>
        <w:spacing w:line="240" w:lineRule="auto" w:before="9"/>
        <w:rPr>
          <w:rFonts w:ascii="宋体" w:hAnsi="宋体" w:cs="宋体" w:eastAsia="宋体" w:hint="default"/>
          <w:sz w:val="20"/>
          <w:szCs w:val="20"/>
        </w:rPr>
      </w:pPr>
    </w:p>
    <w:tbl>
      <w:tblPr>
        <w:tblW w:w="0" w:type="auto"/>
        <w:jc w:val="left"/>
        <w:tblInd w:w="414" w:type="dxa"/>
        <w:tblLayout w:type="fixed"/>
        <w:tblCellMar>
          <w:top w:w="0" w:type="dxa"/>
          <w:left w:w="0" w:type="dxa"/>
          <w:bottom w:w="0" w:type="dxa"/>
          <w:right w:w="0" w:type="dxa"/>
        </w:tblCellMar>
        <w:tblLook w:val="01E0"/>
      </w:tblPr>
      <w:tblGrid>
        <w:gridCol w:w="3240"/>
        <w:gridCol w:w="1316"/>
        <w:gridCol w:w="1387"/>
        <w:gridCol w:w="1478"/>
        <w:gridCol w:w="1642"/>
        <w:gridCol w:w="1404"/>
        <w:gridCol w:w="1385"/>
        <w:gridCol w:w="1478"/>
        <w:gridCol w:w="1940"/>
      </w:tblGrid>
      <w:tr>
        <w:trPr>
          <w:trHeight w:val="324" w:hRule="exact"/>
        </w:trPr>
        <w:tc>
          <w:tcPr>
            <w:tcW w:w="32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94"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8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62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636" w:hRule="exact"/>
        </w:trPr>
        <w:tc>
          <w:tcPr>
            <w:tcW w:w="3240" w:type="dxa"/>
            <w:vMerge/>
            <w:tcBorders>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8"/>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2"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08"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69"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right"/>
              <w:rPr>
                <w:rFonts w:ascii="宋体" w:hAnsi="宋体" w:cs="宋体" w:eastAsia="宋体" w:hint="default"/>
                <w:sz w:val="21"/>
                <w:szCs w:val="21"/>
              </w:rPr>
            </w:pPr>
            <w:r>
              <w:rPr>
                <w:rFonts w:ascii="宋体" w:hAnsi="宋体" w:cs="宋体" w:eastAsia="宋体" w:hint="default"/>
                <w:spacing w:val="-2"/>
                <w:sz w:val="21"/>
                <w:szCs w:val="21"/>
              </w:rPr>
              <w:t>综合收益总额</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r>
              <w:rPr>
                <w:rFonts w:ascii="宋体" w:hAnsi="宋体" w:cs="宋体" w:eastAsia="宋体" w:hint="default"/>
                <w:sz w:val="21"/>
                <w:szCs w:val="21"/>
              </w:rPr>
              <w:t> </w:t>
            </w:r>
          </w:p>
        </w:tc>
      </w:tr>
      <w:tr>
        <w:trPr>
          <w:trHeight w:val="27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青港财务公司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352,053,225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246,723,571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249,999,740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25,479,119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484,677,679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302,016,378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320,095,647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-3,422,636,883</w:t>
            </w:r>
          </w:p>
        </w:tc>
      </w:tr>
      <w:tr>
        <w:trPr>
          <w:trHeight w:val="27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联化管道</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910,220,852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366,200,933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365,700,933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713,116,904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341,773,772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67,869,009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67,869,009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103,745,231</w:t>
            </w:r>
          </w:p>
        </w:tc>
      </w:tr>
      <w:tr>
        <w:trPr>
          <w:trHeight w:val="27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液体化工码头</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-886,381</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-886,381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126,353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-167,566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-167,566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-177,498</w:t>
            </w:r>
          </w:p>
        </w:tc>
      </w:tr>
      <w:tr>
        <w:trPr>
          <w:trHeight w:val="27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青东管道</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z w:val="18"/>
              </w:rPr>
              <w:t>5,713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2,153,013</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2,153,013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2,711,295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63"/>
        <w:ind w:left="7414" w:right="7295" w:firstLine="0"/>
        <w:jc w:val="center"/>
        <w:rPr>
          <w:rFonts w:ascii="Calibri" w:hAnsi="Calibri" w:cs="Calibri" w:eastAsia="Calibri" w:hint="default"/>
          <w:sz w:val="18"/>
          <w:szCs w:val="18"/>
        </w:rPr>
      </w:pPr>
      <w:r>
        <w:rPr>
          <w:rFonts w:ascii="Calibri"/>
          <w:b/>
          <w:sz w:val="18"/>
        </w:rPr>
        <w:t>202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320" w:right="44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5"/>
          <w:szCs w:val="15"/>
        </w:rPr>
      </w:pPr>
    </w:p>
    <w:p>
      <w:pPr>
        <w:spacing w:after="0" w:line="240" w:lineRule="auto"/>
        <w:rPr>
          <w:rFonts w:ascii="Calibri" w:hAnsi="Calibri" w:cs="Calibri" w:eastAsia="Calibri" w:hint="default"/>
          <w:sz w:val="15"/>
          <w:szCs w:val="15"/>
        </w:rPr>
        <w:sectPr>
          <w:footerReference w:type="default" r:id="rId96"/>
          <w:pgSz w:w="11910" w:h="16840"/>
          <w:pgMar w:footer="974" w:header="0" w:top="1080" w:bottom="1160" w:left="1200" w:right="1180"/>
          <w:pgNumType w:start="203"/>
        </w:sectPr>
      </w:pPr>
    </w:p>
    <w:p>
      <w:pPr>
        <w:pStyle w:val="Heading5"/>
        <w:spacing w:line="290"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5"/>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6"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54"/>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40" w:lineRule="auto" w:before="57"/>
        <w:ind w:right="0"/>
        <w:jc w:val="left"/>
        <w:rPr>
          <w:rFonts w:ascii="宋体" w:hAnsi="宋体" w:cs="宋体" w:eastAsia="宋体" w:hint="default"/>
          <w:b w:val="0"/>
          <w:bCs w:val="0"/>
        </w:rPr>
      </w:pPr>
      <w:r>
        <w:rPr>
          <w:rFonts w:ascii="宋体" w:hAnsi="宋体" w:cs="宋体" w:eastAsia="宋体" w:hint="default"/>
        </w:rPr>
        <w:t>3</w:t>
      </w:r>
      <w:r>
        <w:rPr/>
        <w:t>、</w:t>
      </w:r>
      <w:r>
        <w:rPr>
          <w:spacing w:val="58"/>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6864" w:space="107"/>
            <w:col w:w="255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41"/>
        <w:gridCol w:w="1364"/>
        <w:gridCol w:w="1284"/>
        <w:gridCol w:w="1325"/>
        <w:gridCol w:w="1087"/>
        <w:gridCol w:w="1123"/>
        <w:gridCol w:w="1863"/>
      </w:tblGrid>
      <w:tr>
        <w:trPr>
          <w:trHeight w:val="461" w:hRule="exact"/>
        </w:trPr>
        <w:tc>
          <w:tcPr>
            <w:tcW w:w="1241" w:type="dxa"/>
            <w:vMerge w:val="restart"/>
            <w:tcBorders>
              <w:top w:val="single" w:sz="4" w:space="0" w:color="000000"/>
              <w:left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99" w:right="192"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2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63" w:type="dxa"/>
            <w:vMerge w:val="restart"/>
            <w:tcBorders>
              <w:top w:val="single" w:sz="4" w:space="0" w:color="000000"/>
              <w:left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401" w:right="188"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41"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5"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63" w:type="dxa"/>
            <w:vMerge/>
            <w:tcBorders>
              <w:left w:val="single" w:sz="4" w:space="0" w:color="000000"/>
              <w:bottom w:val="single" w:sz="4" w:space="0" w:color="000000"/>
              <w:right w:val="single" w:sz="4" w:space="0" w:color="000000"/>
            </w:tcBorders>
          </w:tcPr>
          <w:p>
            <w:pPr/>
          </w:p>
        </w:tc>
      </w:tr>
      <w:tr>
        <w:trPr>
          <w:trHeight w:val="554"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QQCT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集装箱的装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卸及存储</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51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57"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青岛实华</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中国青岛</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液体散货的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装卸及存储</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50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在合营企业或联营企业的持股比例不同于表决权比例的说明：</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240" w:lineRule="auto"/>
        <w:ind w:left="638" w:right="0"/>
        <w:jc w:val="left"/>
      </w:pPr>
      <w:r>
        <w:rPr/>
        <w:t>本公司于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22</w:t>
      </w:r>
      <w:r>
        <w:rPr>
          <w:rFonts w:ascii="宋体" w:hAnsi="宋体" w:cs="宋体" w:eastAsia="宋体" w:hint="default"/>
          <w:spacing w:val="-55"/>
        </w:rPr>
        <w:t> </w:t>
      </w:r>
      <w:r>
        <w:rPr/>
        <w:t>日向上海中海码头定向增发内资股</w:t>
      </w:r>
      <w:r>
        <w:rPr>
          <w:spacing w:val="-53"/>
        </w:rPr>
        <w:t> </w:t>
      </w:r>
      <w:r>
        <w:rPr>
          <w:rFonts w:ascii="宋体" w:hAnsi="宋体" w:cs="宋体" w:eastAsia="宋体" w:hint="default"/>
        </w:rPr>
        <w:t>1,015,520,000</w:t>
      </w:r>
      <w:r>
        <w:rPr>
          <w:rFonts w:ascii="宋体" w:hAnsi="宋体" w:cs="宋体" w:eastAsia="宋体" w:hint="default"/>
          <w:spacing w:val="-55"/>
        </w:rPr>
        <w:t> </w:t>
      </w:r>
      <w:r>
        <w:rPr/>
        <w:t>股，每股认购价为</w:t>
      </w:r>
    </w:p>
    <w:p>
      <w:pPr>
        <w:pStyle w:val="BodyText"/>
        <w:spacing w:line="314" w:lineRule="auto" w:before="85"/>
        <w:ind w:right="269"/>
        <w:jc w:val="left"/>
        <w:rPr>
          <w:rFonts w:ascii="宋体" w:hAnsi="宋体" w:cs="宋体" w:eastAsia="宋体" w:hint="default"/>
        </w:rPr>
      </w:pPr>
      <w:r>
        <w:rPr/>
        <w:t>人民币</w:t>
      </w:r>
      <w:r>
        <w:rPr>
          <w:spacing w:val="-54"/>
        </w:rPr>
        <w:t> </w:t>
      </w:r>
      <w:r>
        <w:rPr>
          <w:rFonts w:ascii="宋体" w:hAnsi="宋体" w:cs="宋体" w:eastAsia="宋体" w:hint="default"/>
        </w:rPr>
        <w:t>5.71</w:t>
      </w:r>
      <w:r>
        <w:rPr>
          <w:rFonts w:ascii="宋体" w:hAnsi="宋体" w:cs="宋体" w:eastAsia="宋体" w:hint="default"/>
          <w:spacing w:val="-54"/>
        </w:rPr>
        <w:t> </w:t>
      </w:r>
      <w:r>
        <w:rPr/>
        <w:t>元，认购金额为人民币</w:t>
      </w:r>
      <w:r>
        <w:rPr>
          <w:spacing w:val="-53"/>
        </w:rPr>
        <w:t> </w:t>
      </w:r>
      <w:r>
        <w:rPr>
          <w:rFonts w:ascii="宋体" w:hAnsi="宋体" w:cs="宋体" w:eastAsia="宋体" w:hint="default"/>
        </w:rPr>
        <w:t>5,798,619,200</w:t>
      </w:r>
      <w:r>
        <w:rPr>
          <w:rFonts w:ascii="宋体" w:hAnsi="宋体" w:cs="宋体" w:eastAsia="宋体" w:hint="default"/>
          <w:spacing w:val="-56"/>
        </w:rPr>
        <w:t> </w:t>
      </w:r>
      <w:r>
        <w:rPr/>
        <w:t>元。上海中海码头分别以现金人民币</w:t>
      </w:r>
      <w:r>
        <w:rPr>
          <w:w w:val="100"/>
        </w:rPr>
        <w:t> </w:t>
      </w:r>
      <w:r>
        <w:rPr>
          <w:rFonts w:ascii="宋体" w:hAnsi="宋体" w:cs="宋体" w:eastAsia="宋体" w:hint="default"/>
        </w:rPr>
        <w:t>2,599,968,360</w:t>
      </w:r>
      <w:r>
        <w:rPr>
          <w:rFonts w:ascii="宋体" w:hAnsi="宋体" w:cs="宋体" w:eastAsia="宋体" w:hint="default"/>
          <w:spacing w:val="-56"/>
        </w:rPr>
        <w:t> </w:t>
      </w:r>
      <w:r>
        <w:rPr/>
        <w:t>元及其持有的</w:t>
      </w:r>
      <w:r>
        <w:rPr>
          <w:spacing w:val="-53"/>
        </w:rPr>
        <w:t> </w:t>
      </w:r>
      <w:r>
        <w:rPr>
          <w:rFonts w:ascii="宋体" w:hAnsi="宋体" w:cs="宋体" w:eastAsia="宋体" w:hint="default"/>
        </w:rPr>
        <w:t>QQCT</w:t>
      </w:r>
      <w:r>
        <w:rPr>
          <w:rFonts w:ascii="宋体" w:hAnsi="宋体" w:cs="宋体" w:eastAsia="宋体" w:hint="default"/>
          <w:spacing w:val="-56"/>
        </w:rPr>
        <w:t> </w:t>
      </w:r>
      <w:r>
        <w:rPr/>
        <w:t>的</w:t>
      </w:r>
      <w:r>
        <w:rPr>
          <w:spacing w:val="-54"/>
        </w:rPr>
        <w:t> </w:t>
      </w:r>
      <w:r>
        <w:rPr>
          <w:rFonts w:ascii="宋体" w:hAnsi="宋体" w:cs="宋体" w:eastAsia="宋体" w:hint="default"/>
        </w:rPr>
        <w:t>20%</w:t>
      </w:r>
      <w:r>
        <w:rPr/>
        <w:t>的股权作价人民币</w:t>
      </w:r>
      <w:r>
        <w:rPr>
          <w:spacing w:val="-54"/>
        </w:rPr>
        <w:t> </w:t>
      </w:r>
      <w:r>
        <w:rPr>
          <w:rFonts w:ascii="宋体" w:hAnsi="宋体" w:cs="宋体" w:eastAsia="宋体" w:hint="default"/>
        </w:rPr>
        <w:t>3,198,650,840</w:t>
      </w:r>
      <w:r>
        <w:rPr>
          <w:rFonts w:ascii="宋体" w:hAnsi="宋体" w:cs="宋体" w:eastAsia="宋体" w:hint="default"/>
          <w:spacing w:val="-56"/>
        </w:rPr>
        <w:t> </w:t>
      </w:r>
      <w:r>
        <w:rPr/>
        <w:t>元支付。上述交易完成</w:t>
      </w:r>
      <w:r>
        <w:rPr>
          <w:w w:val="100"/>
        </w:rPr>
        <w:t> </w:t>
      </w:r>
      <w:r>
        <w:rPr/>
        <w:t>后，本公司对</w:t>
      </w:r>
      <w:r>
        <w:rPr>
          <w:spacing w:val="-54"/>
        </w:rPr>
        <w:t> </w:t>
      </w:r>
      <w:r>
        <w:rPr>
          <w:rFonts w:ascii="宋体" w:hAnsi="宋体" w:cs="宋体" w:eastAsia="宋体" w:hint="default"/>
        </w:rPr>
        <w:t>QQCT</w:t>
      </w:r>
      <w:r>
        <w:rPr>
          <w:rFonts w:ascii="宋体" w:hAnsi="宋体" w:cs="宋体" w:eastAsia="宋体" w:hint="default"/>
          <w:spacing w:val="-56"/>
        </w:rPr>
        <w:t> </w:t>
      </w:r>
      <w:r>
        <w:rPr/>
        <w:t>的持股比例变更为</w:t>
      </w:r>
      <w:r>
        <w:rPr>
          <w:spacing w:val="-53"/>
        </w:rPr>
        <w:t> </w:t>
      </w:r>
      <w:r>
        <w:rPr>
          <w:rFonts w:ascii="宋体" w:hAnsi="宋体" w:cs="宋体" w:eastAsia="宋体" w:hint="default"/>
        </w:rPr>
        <w:t>51%</w:t>
      </w:r>
      <w:r>
        <w:rPr/>
        <w:t>。</w:t>
      </w:r>
      <w:r>
        <w:rPr>
          <w:rFonts w:ascii="宋体" w:hAnsi="宋体" w:cs="宋体" w:eastAsia="宋体" w:hint="default"/>
        </w:rPr>
        <w:t>QQCT</w:t>
      </w:r>
      <w:r>
        <w:rPr>
          <w:rFonts w:ascii="宋体" w:hAnsi="宋体" w:cs="宋体" w:eastAsia="宋体" w:hint="default"/>
          <w:spacing w:val="-54"/>
        </w:rPr>
        <w:t> </w:t>
      </w:r>
      <w:r>
        <w:rPr/>
        <w:t>董事会成员共</w:t>
      </w:r>
      <w:r>
        <w:rPr>
          <w:spacing w:val="-54"/>
        </w:rPr>
        <w:t> </w:t>
      </w:r>
      <w:r>
        <w:rPr>
          <w:rFonts w:ascii="宋体" w:hAnsi="宋体" w:cs="宋体" w:eastAsia="宋体" w:hint="default"/>
        </w:rPr>
        <w:t>11</w:t>
      </w:r>
      <w:r>
        <w:rPr>
          <w:rFonts w:ascii="宋体" w:hAnsi="宋体" w:cs="宋体" w:eastAsia="宋体" w:hint="default"/>
          <w:spacing w:val="-56"/>
        </w:rPr>
        <w:t> </w:t>
      </w:r>
      <w:r>
        <w:rPr/>
        <w:t>名，其中本公司派出</w:t>
      </w:r>
      <w:r>
        <w:rPr>
          <w:spacing w:val="-53"/>
        </w:rPr>
        <w:t> </w:t>
      </w:r>
      <w:r>
        <w:rPr>
          <w:rFonts w:ascii="宋体" w:hAnsi="宋体" w:cs="宋体" w:eastAsia="宋体" w:hint="default"/>
        </w:rPr>
        <w:t>6</w:t>
      </w:r>
      <w:r>
        <w:rPr>
          <w:rFonts w:ascii="宋体" w:hAnsi="宋体" w:cs="宋体" w:eastAsia="宋体" w:hint="default"/>
          <w:spacing w:val="-56"/>
        </w:rPr>
        <w:t> </w:t>
      </w:r>
      <w:r>
        <w:rPr/>
        <w:t>名，根据</w:t>
      </w:r>
      <w:r>
        <w:rPr>
          <w:w w:val="100"/>
        </w:rPr>
        <w:t> </w:t>
      </w:r>
      <w:r>
        <w:rPr>
          <w:rFonts w:ascii="宋体" w:hAnsi="宋体" w:cs="宋体" w:eastAsia="宋体" w:hint="default"/>
        </w:rPr>
        <w:t>QQCT</w:t>
      </w:r>
      <w:r>
        <w:rPr>
          <w:rFonts w:ascii="宋体" w:hAnsi="宋体" w:cs="宋体" w:eastAsia="宋体" w:hint="default"/>
          <w:spacing w:val="-56"/>
        </w:rPr>
        <w:t> </w:t>
      </w:r>
      <w:r>
        <w:rPr/>
        <w:t>公司章程规定，</w:t>
      </w:r>
      <w:r>
        <w:rPr>
          <w:rFonts w:ascii="宋体" w:hAnsi="宋体" w:cs="宋体" w:eastAsia="宋体" w:hint="default"/>
        </w:rPr>
        <w:t>QQCT</w:t>
      </w:r>
      <w:r>
        <w:rPr>
          <w:rFonts w:ascii="宋体" w:hAnsi="宋体" w:cs="宋体" w:eastAsia="宋体" w:hint="default"/>
          <w:spacing w:val="-56"/>
        </w:rPr>
        <w:t> </w:t>
      </w:r>
      <w:r>
        <w:rPr/>
        <w:t>的重大财务及经营决策需要经过</w:t>
      </w:r>
      <w:r>
        <w:rPr>
          <w:spacing w:val="-53"/>
        </w:rPr>
        <w:t> </w:t>
      </w:r>
      <w:r>
        <w:rPr>
          <w:rFonts w:ascii="宋体" w:hAnsi="宋体" w:cs="宋体" w:eastAsia="宋体" w:hint="default"/>
        </w:rPr>
        <w:t>10</w:t>
      </w:r>
      <w:r>
        <w:rPr>
          <w:rFonts w:ascii="宋体" w:hAnsi="宋体" w:cs="宋体" w:eastAsia="宋体" w:hint="default"/>
          <w:spacing w:val="-56"/>
        </w:rPr>
        <w:t> </w:t>
      </w:r>
      <w:r>
        <w:rPr/>
        <w:t>名以上董事会成员通过，本公司仍不</w:t>
      </w:r>
      <w:r>
        <w:rPr>
          <w:w w:val="100"/>
        </w:rPr>
        <w:t> </w:t>
      </w:r>
      <w:r>
        <w:rPr/>
        <w:t>能单方面对</w:t>
      </w:r>
      <w:r>
        <w:rPr>
          <w:spacing w:val="-55"/>
        </w:rPr>
        <w:t> </w:t>
      </w:r>
      <w:r>
        <w:rPr>
          <w:rFonts w:ascii="宋体" w:hAnsi="宋体" w:cs="宋体" w:eastAsia="宋体" w:hint="default"/>
        </w:rPr>
        <w:t>QQCT</w:t>
      </w:r>
      <w:r>
        <w:rPr>
          <w:rFonts w:ascii="宋体" w:hAnsi="宋体" w:cs="宋体" w:eastAsia="宋体" w:hint="default"/>
          <w:spacing w:val="-55"/>
        </w:rPr>
        <w:t> </w:t>
      </w:r>
      <w:r>
        <w:rPr/>
        <w:t>实施控制，故仍将</w:t>
      </w:r>
      <w:r>
        <w:rPr>
          <w:spacing w:val="-54"/>
        </w:rPr>
        <w:t> </w:t>
      </w:r>
      <w:r>
        <w:rPr>
          <w:rFonts w:ascii="宋体" w:hAnsi="宋体" w:cs="宋体" w:eastAsia="宋体" w:hint="default"/>
        </w:rPr>
        <w:t>QQCT</w:t>
      </w:r>
      <w:r>
        <w:rPr>
          <w:rFonts w:ascii="宋体" w:hAnsi="宋体" w:cs="宋体" w:eastAsia="宋体" w:hint="default"/>
          <w:spacing w:val="-57"/>
        </w:rPr>
        <w:t> </w:t>
      </w:r>
      <w:r>
        <w:rPr/>
        <w:t>作为合营公司核算。</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36"/>
        <w:gridCol w:w="1622"/>
        <w:gridCol w:w="1678"/>
        <w:gridCol w:w="1622"/>
        <w:gridCol w:w="1729"/>
      </w:tblGrid>
      <w:tr>
        <w:trPr>
          <w:trHeight w:val="283" w:hRule="exact"/>
        </w:trPr>
        <w:tc>
          <w:tcPr>
            <w:tcW w:w="2636" w:type="dxa"/>
            <w:vMerge w:val="restart"/>
            <w:tcBorders>
              <w:top w:val="single" w:sz="4" w:space="0" w:color="000000"/>
              <w:left w:val="single" w:sz="4"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330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5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636" w:type="dxa"/>
            <w:vMerge/>
            <w:tcBorders>
              <w:left w:val="single" w:sz="4"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00" w:right="0"/>
              <w:jc w:val="left"/>
              <w:rPr>
                <w:rFonts w:ascii="宋体" w:hAnsi="宋体" w:cs="宋体" w:eastAsia="宋体" w:hint="default"/>
                <w:sz w:val="21"/>
                <w:szCs w:val="21"/>
              </w:rPr>
            </w:pPr>
            <w:r>
              <w:rPr>
                <w:rFonts w:ascii="宋体" w:hAnsi="宋体" w:cs="宋体" w:eastAsia="宋体" w:hint="default"/>
                <w:sz w:val="21"/>
                <w:szCs w:val="21"/>
              </w:rPr>
              <w:t>青岛实华</w:t>
            </w:r>
            <w:r>
              <w:rPr>
                <w:rFonts w:ascii="宋体" w:hAnsi="宋体" w:cs="宋体" w:eastAsia="宋体" w:hint="default"/>
                <w:sz w:val="21"/>
                <w:szCs w:val="21"/>
              </w:rPr>
              <w:t> </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37" w:right="0"/>
              <w:jc w:val="left"/>
              <w:rPr>
                <w:rFonts w:ascii="宋体" w:hAnsi="宋体" w:cs="宋体" w:eastAsia="宋体" w:hint="default"/>
                <w:sz w:val="21"/>
                <w:szCs w:val="21"/>
              </w:rPr>
            </w:pPr>
            <w:r>
              <w:rPr>
                <w:rFonts w:ascii="宋体"/>
                <w:sz w:val="21"/>
              </w:rPr>
              <w:t>QQCT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99" w:right="0"/>
              <w:jc w:val="left"/>
              <w:rPr>
                <w:rFonts w:ascii="宋体" w:hAnsi="宋体" w:cs="宋体" w:eastAsia="宋体" w:hint="default"/>
                <w:sz w:val="21"/>
                <w:szCs w:val="21"/>
              </w:rPr>
            </w:pPr>
            <w:r>
              <w:rPr>
                <w:rFonts w:ascii="宋体" w:hAnsi="宋体" w:cs="宋体" w:eastAsia="宋体" w:hint="default"/>
                <w:sz w:val="21"/>
                <w:szCs w:val="21"/>
              </w:rPr>
              <w:t>青岛实华</w:t>
            </w:r>
            <w:r>
              <w:rPr>
                <w:rFonts w:ascii="宋体" w:hAnsi="宋体" w:cs="宋体" w:eastAsia="宋体" w:hint="default"/>
                <w:sz w:val="21"/>
                <w:szCs w:val="21"/>
              </w:rPr>
              <w:t> </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sz w:val="21"/>
              </w:rPr>
              <w:t>QQCT </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3"/>
              <w:jc w:val="right"/>
              <w:rPr>
                <w:rFonts w:ascii="Times New Roman" w:hAnsi="Times New Roman" w:cs="Times New Roman" w:eastAsia="Times New Roman" w:hint="default"/>
                <w:sz w:val="21"/>
                <w:szCs w:val="21"/>
              </w:rPr>
            </w:pPr>
            <w:r>
              <w:rPr>
                <w:rFonts w:ascii="Times New Roman"/>
                <w:spacing w:val="-1"/>
                <w:sz w:val="21"/>
              </w:rPr>
              <w:t>881,524,424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4"/>
              <w:jc w:val="right"/>
              <w:rPr>
                <w:rFonts w:ascii="Times New Roman" w:hAnsi="Times New Roman" w:cs="Times New Roman" w:eastAsia="Times New Roman" w:hint="default"/>
                <w:sz w:val="21"/>
                <w:szCs w:val="21"/>
              </w:rPr>
            </w:pPr>
            <w:r>
              <w:rPr>
                <w:rFonts w:ascii="Times New Roman"/>
                <w:spacing w:val="-1"/>
                <w:sz w:val="21"/>
              </w:rPr>
              <w:t>1,270,759,616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381,565,599</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1,733,264,158</w:t>
            </w:r>
          </w:p>
        </w:tc>
      </w:tr>
      <w:tr>
        <w:trPr>
          <w:trHeight w:val="559"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和</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等价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3"/>
              <w:jc w:val="right"/>
              <w:rPr>
                <w:rFonts w:ascii="Times New Roman" w:hAnsi="Times New Roman" w:cs="Times New Roman" w:eastAsia="Times New Roman" w:hint="default"/>
                <w:sz w:val="21"/>
                <w:szCs w:val="21"/>
              </w:rPr>
            </w:pPr>
            <w:r>
              <w:rPr>
                <w:rFonts w:ascii="Times New Roman"/>
                <w:spacing w:val="-1"/>
                <w:sz w:val="21"/>
              </w:rPr>
              <w:t>815,663,613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54"/>
              <w:jc w:val="right"/>
              <w:rPr>
                <w:rFonts w:ascii="Times New Roman" w:hAnsi="Times New Roman" w:cs="Times New Roman" w:eastAsia="Times New Roman" w:hint="default"/>
                <w:sz w:val="21"/>
                <w:szCs w:val="21"/>
              </w:rPr>
            </w:pPr>
            <w:r>
              <w:rPr>
                <w:rFonts w:ascii="Times New Roman"/>
                <w:spacing w:val="-1"/>
                <w:sz w:val="21"/>
              </w:rPr>
              <w:t>990,415,517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290,177,262</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1,048,244,716</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3"/>
              <w:jc w:val="right"/>
              <w:rPr>
                <w:rFonts w:ascii="Times New Roman" w:hAnsi="Times New Roman" w:cs="Times New Roman" w:eastAsia="Times New Roman" w:hint="default"/>
                <w:sz w:val="21"/>
                <w:szCs w:val="21"/>
              </w:rPr>
            </w:pPr>
            <w:r>
              <w:rPr>
                <w:rFonts w:ascii="Times New Roman"/>
                <w:spacing w:val="-1"/>
                <w:sz w:val="21"/>
              </w:rPr>
              <w:t>2,503,178,544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4"/>
              <w:jc w:val="right"/>
              <w:rPr>
                <w:rFonts w:ascii="Times New Roman" w:hAnsi="Times New Roman" w:cs="Times New Roman" w:eastAsia="Times New Roman" w:hint="default"/>
                <w:sz w:val="21"/>
                <w:szCs w:val="21"/>
              </w:rPr>
            </w:pPr>
            <w:r>
              <w:rPr>
                <w:rFonts w:ascii="Times New Roman"/>
                <w:spacing w:val="-1"/>
                <w:sz w:val="21"/>
              </w:rPr>
              <w:t>12,123,541,853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2,596,445,096</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10,258,827,424</w:t>
            </w:r>
          </w:p>
        </w:tc>
      </w:tr>
      <w:tr>
        <w:trPr>
          <w:trHeight w:val="286"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3"/>
              <w:jc w:val="right"/>
              <w:rPr>
                <w:rFonts w:ascii="Times New Roman" w:hAnsi="Times New Roman" w:cs="Times New Roman" w:eastAsia="Times New Roman" w:hint="default"/>
                <w:sz w:val="21"/>
                <w:szCs w:val="21"/>
              </w:rPr>
            </w:pPr>
            <w:r>
              <w:rPr>
                <w:rFonts w:ascii="Times New Roman"/>
                <w:spacing w:val="-1"/>
                <w:sz w:val="21"/>
              </w:rPr>
              <w:t>3,384,702,968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4"/>
              <w:jc w:val="right"/>
              <w:rPr>
                <w:rFonts w:ascii="Times New Roman" w:hAnsi="Times New Roman" w:cs="Times New Roman" w:eastAsia="Times New Roman" w:hint="default"/>
                <w:sz w:val="21"/>
                <w:szCs w:val="21"/>
              </w:rPr>
            </w:pPr>
            <w:r>
              <w:rPr>
                <w:rFonts w:ascii="Times New Roman"/>
                <w:spacing w:val="-1"/>
                <w:sz w:val="21"/>
              </w:rPr>
              <w:t>13,394,301,469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2,978,010,695</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11,992,091,582</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13"/>
              <w:jc w:val="right"/>
              <w:rPr>
                <w:rFonts w:ascii="Times New Roman" w:hAnsi="Times New Roman" w:cs="Times New Roman" w:eastAsia="Times New Roman" w:hint="default"/>
                <w:sz w:val="21"/>
                <w:szCs w:val="21"/>
              </w:rPr>
            </w:pPr>
            <w:r>
              <w:rPr>
                <w:rFonts w:ascii="Times New Roman"/>
                <w:spacing w:val="-1"/>
                <w:sz w:val="21"/>
              </w:rPr>
              <w:t>546,425,845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84"/>
              <w:jc w:val="right"/>
              <w:rPr>
                <w:rFonts w:ascii="Times New Roman" w:hAnsi="Times New Roman" w:cs="Times New Roman" w:eastAsia="Times New Roman" w:hint="default"/>
                <w:sz w:val="21"/>
                <w:szCs w:val="21"/>
              </w:rPr>
            </w:pPr>
            <w:r>
              <w:rPr>
                <w:rFonts w:ascii="Times New Roman"/>
                <w:spacing w:val="-1"/>
                <w:sz w:val="21"/>
              </w:rPr>
              <w:t>3,038,581,768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121,918,329</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1,874,420,294</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174"/>
              <w:jc w:val="right"/>
              <w:rPr>
                <w:rFonts w:ascii="Times New Roman" w:hAnsi="Times New Roman" w:cs="Times New Roman" w:eastAsia="Times New Roman" w:hint="default"/>
                <w:sz w:val="21"/>
                <w:szCs w:val="21"/>
              </w:rPr>
            </w:pPr>
            <w:r>
              <w:rPr>
                <w:rFonts w:ascii="Times New Roman"/>
                <w:w w:val="100"/>
                <w:sz w:val="21"/>
              </w:rPr>
              <w:t>-</w:t>
            </w:r>
          </w:p>
        </w:tc>
        <w:tc>
          <w:tcPr>
            <w:tcW w:w="16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84"/>
              <w:jc w:val="right"/>
              <w:rPr>
                <w:rFonts w:ascii="Times New Roman" w:hAnsi="Times New Roman" w:cs="Times New Roman" w:eastAsia="Times New Roman" w:hint="default"/>
                <w:sz w:val="21"/>
                <w:szCs w:val="21"/>
              </w:rPr>
            </w:pPr>
            <w:r>
              <w:rPr>
                <w:rFonts w:ascii="Times New Roman"/>
                <w:spacing w:val="-1"/>
                <w:sz w:val="21"/>
              </w:rPr>
              <w:t>2,558,410,201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2,517,245,305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636"/>
        <w:gridCol w:w="1622"/>
        <w:gridCol w:w="1678"/>
        <w:gridCol w:w="1622"/>
        <w:gridCol w:w="1729"/>
      </w:tblGrid>
      <w:tr>
        <w:trPr>
          <w:trHeight w:val="286"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39" w:right="0"/>
              <w:jc w:val="left"/>
              <w:rPr>
                <w:rFonts w:ascii="Times New Roman" w:hAnsi="Times New Roman" w:cs="Times New Roman" w:eastAsia="Times New Roman" w:hint="default"/>
                <w:sz w:val="21"/>
                <w:szCs w:val="21"/>
              </w:rPr>
            </w:pPr>
            <w:r>
              <w:rPr>
                <w:rFonts w:ascii="Times New Roman"/>
                <w:sz w:val="21"/>
              </w:rPr>
              <w:t>546,425,845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7" w:right="0"/>
              <w:jc w:val="left"/>
              <w:rPr>
                <w:rFonts w:ascii="Times New Roman" w:hAnsi="Times New Roman" w:cs="Times New Roman" w:eastAsia="Times New Roman" w:hint="default"/>
                <w:sz w:val="21"/>
                <w:szCs w:val="21"/>
              </w:rPr>
            </w:pPr>
            <w:r>
              <w:rPr>
                <w:rFonts w:ascii="Times New Roman"/>
                <w:sz w:val="21"/>
              </w:rPr>
              <w:t>5,596,991,969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121,918,329</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4,391,665,599</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5"/>
              <w:jc w:val="right"/>
              <w:rPr>
                <w:rFonts w:ascii="Times New Roman" w:hAnsi="Times New Roman" w:cs="Times New Roman" w:eastAsia="Times New Roman" w:hint="default"/>
                <w:sz w:val="21"/>
                <w:szCs w:val="21"/>
              </w:rPr>
            </w:pPr>
            <w:r>
              <w:rPr>
                <w:rFonts w:ascii="Times New Roman"/>
                <w:w w:val="100"/>
                <w:sz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53" w:right="0"/>
              <w:jc w:val="left"/>
              <w:rPr>
                <w:rFonts w:ascii="Times New Roman" w:hAnsi="Times New Roman" w:cs="Times New Roman" w:eastAsia="Times New Roman" w:hint="default"/>
                <w:sz w:val="21"/>
                <w:szCs w:val="21"/>
              </w:rPr>
            </w:pPr>
            <w:r>
              <w:rPr>
                <w:rFonts w:ascii="Times New Roman"/>
                <w:sz w:val="21"/>
              </w:rPr>
              <w:t>482,741,043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465,414,932</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2,838,277,123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7" w:right="0"/>
              <w:jc w:val="left"/>
              <w:rPr>
                <w:rFonts w:ascii="Times New Roman" w:hAnsi="Times New Roman" w:cs="Times New Roman" w:eastAsia="Times New Roman" w:hint="default"/>
                <w:sz w:val="21"/>
                <w:szCs w:val="21"/>
              </w:rPr>
            </w:pPr>
            <w:r>
              <w:rPr>
                <w:rFonts w:ascii="Times New Roman"/>
                <w:sz w:val="21"/>
              </w:rPr>
              <w:t>7,314,568,457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2,856,092,366</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7,135,011,051</w:t>
            </w:r>
          </w:p>
        </w:tc>
      </w:tr>
      <w:tr>
        <w:trPr>
          <w:trHeight w:val="559"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78" w:right="0"/>
              <w:jc w:val="left"/>
              <w:rPr>
                <w:rFonts w:ascii="Times New Roman" w:hAnsi="Times New Roman" w:cs="Times New Roman" w:eastAsia="Times New Roman" w:hint="default"/>
                <w:sz w:val="21"/>
                <w:szCs w:val="21"/>
              </w:rPr>
            </w:pPr>
            <w:r>
              <w:rPr>
                <w:rFonts w:ascii="Times New Roman"/>
                <w:sz w:val="21"/>
              </w:rPr>
              <w:t>1,419,138,562</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76" w:right="0"/>
              <w:jc w:val="left"/>
              <w:rPr>
                <w:rFonts w:ascii="Times New Roman" w:hAnsi="Times New Roman" w:cs="Times New Roman" w:eastAsia="Times New Roman" w:hint="default"/>
                <w:sz w:val="21"/>
                <w:szCs w:val="21"/>
              </w:rPr>
            </w:pPr>
            <w:r>
              <w:rPr>
                <w:rFonts w:ascii="Times New Roman"/>
                <w:sz w:val="21"/>
              </w:rPr>
              <w:t>3,824,340,430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1,428,046,183</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3,745,865,524</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5"/>
              <w:jc w:val="right"/>
              <w:rPr>
                <w:rFonts w:ascii="Times New Roman" w:hAnsi="Times New Roman" w:cs="Times New Roman" w:eastAsia="Times New Roman" w:hint="default"/>
                <w:sz w:val="21"/>
                <w:szCs w:val="21"/>
              </w:rPr>
            </w:pPr>
            <w:r>
              <w:rPr>
                <w:rFonts w:ascii="Times New Roman"/>
                <w:spacing w:val="-1"/>
                <w:sz w:val="21"/>
              </w:rPr>
              <w:t>-68,631,724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1,594,358,798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-70,383,656</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1,624,123,741</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55" w:right="0"/>
              <w:jc w:val="left"/>
              <w:rPr>
                <w:rFonts w:ascii="Times New Roman" w:hAnsi="Times New Roman" w:cs="Times New Roman" w:eastAsia="Times New Roman" w:hint="default"/>
                <w:sz w:val="21"/>
                <w:szCs w:val="21"/>
              </w:rPr>
            </w:pPr>
            <w:r>
              <w:rPr>
                <w:rFonts w:ascii="Times New Roman"/>
                <w:sz w:val="21"/>
              </w:rPr>
              <w:t>1,672,785,426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1,672,785,426</w:t>
            </w:r>
          </w:p>
        </w:tc>
      </w:tr>
      <w:tr>
        <w:trPr>
          <w:trHeight w:val="286"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5"/>
              <w:jc w:val="right"/>
              <w:rPr>
                <w:rFonts w:ascii="Times New Roman" w:hAnsi="Times New Roman" w:cs="Times New Roman" w:eastAsia="Times New Roman" w:hint="default"/>
                <w:sz w:val="21"/>
                <w:szCs w:val="21"/>
              </w:rPr>
            </w:pPr>
            <w:r>
              <w:rPr>
                <w:rFonts w:ascii="Times New Roman"/>
                <w:spacing w:val="-1"/>
                <w:sz w:val="21"/>
              </w:rPr>
              <w:t>-68,631,724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-78,426,628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-70,383,656</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-48,661,685</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78" w:right="0"/>
              <w:jc w:val="left"/>
              <w:rPr>
                <w:rFonts w:ascii="Times New Roman" w:hAnsi="Times New Roman" w:cs="Times New Roman" w:eastAsia="Times New Roman" w:hint="default"/>
                <w:sz w:val="21"/>
                <w:szCs w:val="21"/>
              </w:rPr>
            </w:pPr>
            <w:r>
              <w:rPr>
                <w:rFonts w:ascii="Times New Roman"/>
                <w:sz w:val="21"/>
              </w:rPr>
              <w:t>1,350,506,838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76" w:right="0"/>
              <w:jc w:val="left"/>
              <w:rPr>
                <w:rFonts w:ascii="Times New Roman" w:hAnsi="Times New Roman" w:cs="Times New Roman" w:eastAsia="Times New Roman" w:hint="default"/>
                <w:sz w:val="21"/>
                <w:szCs w:val="21"/>
              </w:rPr>
            </w:pPr>
            <w:r>
              <w:rPr>
                <w:rFonts w:ascii="Times New Roman"/>
                <w:sz w:val="21"/>
              </w:rPr>
              <w:t>5,418,699,228</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1,357,662,527</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5,369,989,265</w:t>
            </w:r>
          </w:p>
        </w:tc>
      </w:tr>
      <w:tr>
        <w:trPr>
          <w:trHeight w:val="560"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2" w:right="0"/>
              <w:jc w:val="left"/>
              <w:rPr>
                <w:rFonts w:ascii="Times New Roman" w:hAnsi="Times New Roman" w:cs="Times New Roman" w:eastAsia="Times New Roman" w:hint="default"/>
                <w:sz w:val="21"/>
                <w:szCs w:val="21"/>
              </w:rPr>
            </w:pPr>
            <w:r>
              <w:rPr>
                <w:rFonts w:ascii="Times New Roman"/>
                <w:sz w:val="21"/>
              </w:rPr>
              <w:t>1,633,558,848</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7" w:right="0"/>
              <w:jc w:val="left"/>
              <w:rPr>
                <w:rFonts w:ascii="Times New Roman" w:hAnsi="Times New Roman" w:cs="Times New Roman" w:eastAsia="Times New Roman" w:hint="default"/>
                <w:sz w:val="21"/>
                <w:szCs w:val="21"/>
              </w:rPr>
            </w:pPr>
            <w:r>
              <w:rPr>
                <w:rFonts w:ascii="Times New Roman"/>
                <w:sz w:val="21"/>
              </w:rPr>
              <w:t>3,775,984,285</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1,815,247,038</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3,624,890,619</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3"/>
              <w:jc w:val="right"/>
              <w:rPr>
                <w:rFonts w:ascii="Times New Roman" w:hAnsi="Times New Roman" w:cs="Times New Roman" w:eastAsia="Times New Roman" w:hint="default"/>
                <w:sz w:val="21"/>
                <w:szCs w:val="21"/>
              </w:rPr>
            </w:pPr>
            <w:r>
              <w:rPr>
                <w:rFonts w:ascii="Times New Roman"/>
                <w:spacing w:val="-1"/>
                <w:sz w:val="21"/>
              </w:rPr>
              <w:t>8,955,876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41" w:right="0"/>
              <w:jc w:val="left"/>
              <w:rPr>
                <w:rFonts w:ascii="Times New Roman" w:hAnsi="Times New Roman" w:cs="Times New Roman" w:eastAsia="Times New Roman" w:hint="default"/>
                <w:sz w:val="21"/>
                <w:szCs w:val="21"/>
              </w:rPr>
            </w:pPr>
            <w:r>
              <w:rPr>
                <w:rFonts w:ascii="Times New Roman"/>
                <w:sz w:val="21"/>
              </w:rPr>
              <w:t>-111,788,141</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4,677,561</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-124,153,558</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83" w:right="0"/>
              <w:jc w:val="left"/>
              <w:rPr>
                <w:rFonts w:ascii="Times New Roman" w:hAnsi="Times New Roman" w:cs="Times New Roman" w:eastAsia="Times New Roman" w:hint="default"/>
                <w:sz w:val="21"/>
                <w:szCs w:val="21"/>
              </w:rPr>
            </w:pPr>
            <w:r>
              <w:rPr>
                <w:rFonts w:ascii="Times New Roman"/>
                <w:sz w:val="21"/>
              </w:rPr>
              <w:t>-223,833,071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41" w:right="0"/>
              <w:jc w:val="left"/>
              <w:rPr>
                <w:rFonts w:ascii="Times New Roman" w:hAnsi="Times New Roman" w:cs="Times New Roman" w:eastAsia="Times New Roman" w:hint="default"/>
                <w:sz w:val="21"/>
                <w:szCs w:val="21"/>
              </w:rPr>
            </w:pPr>
            <w:r>
              <w:rPr>
                <w:rFonts w:ascii="Times New Roman"/>
                <w:sz w:val="21"/>
              </w:rPr>
              <w:t>-466,576,922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-201,836,058</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-465,369,975</w:t>
            </w:r>
          </w:p>
        </w:tc>
      </w:tr>
      <w:tr>
        <w:trPr>
          <w:trHeight w:val="286"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z w:val="21"/>
              </w:rPr>
              <w:t>782,184,756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7" w:right="0"/>
              <w:jc w:val="left"/>
              <w:rPr>
                <w:rFonts w:ascii="Times New Roman" w:hAnsi="Times New Roman" w:cs="Times New Roman" w:eastAsia="Times New Roman" w:hint="default"/>
                <w:sz w:val="21"/>
                <w:szCs w:val="21"/>
              </w:rPr>
            </w:pPr>
            <w:r>
              <w:rPr>
                <w:rFonts w:ascii="Times New Roman"/>
                <w:sz w:val="21"/>
              </w:rPr>
              <w:t>1,737,005,689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678,073,284</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1,673,583,106</w:t>
            </w: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63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z w:val="21"/>
              </w:rPr>
              <w:t>782,184,756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97" w:right="0"/>
              <w:jc w:val="left"/>
              <w:rPr>
                <w:rFonts w:ascii="Times New Roman" w:hAnsi="Times New Roman" w:cs="Times New Roman" w:eastAsia="Times New Roman" w:hint="default"/>
                <w:sz w:val="21"/>
                <w:szCs w:val="21"/>
              </w:rPr>
            </w:pPr>
            <w:r>
              <w:rPr>
                <w:rFonts w:ascii="Times New Roman"/>
                <w:sz w:val="21"/>
              </w:rPr>
              <w:t>1,719,717,410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678,073,284</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1,649,354,548</w:t>
            </w:r>
          </w:p>
        </w:tc>
      </w:tr>
      <w:tr>
        <w:trPr>
          <w:trHeight w:val="559" w:hRule="exact"/>
        </w:trPr>
        <w:tc>
          <w:tcPr>
            <w:tcW w:w="263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r>
              <w:rPr>
                <w:rFonts w:ascii="宋体" w:hAnsi="宋体" w:cs="宋体" w:eastAsia="宋体" w:hint="default"/>
                <w:sz w:val="21"/>
                <w:szCs w:val="21"/>
              </w:rPr>
              <w:t> </w:t>
            </w:r>
          </w:p>
        </w:tc>
        <w:tc>
          <w:tcPr>
            <w:tcW w:w="162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7"/>
              <w:ind w:left="398" w:right="0"/>
              <w:jc w:val="left"/>
              <w:rPr>
                <w:rFonts w:ascii="Times New Roman" w:hAnsi="Times New Roman" w:cs="Times New Roman" w:eastAsia="Times New Roman" w:hint="default"/>
                <w:sz w:val="21"/>
                <w:szCs w:val="21"/>
              </w:rPr>
            </w:pPr>
            <w:r>
              <w:rPr>
                <w:rFonts w:ascii="Times New Roman"/>
                <w:sz w:val="21"/>
              </w:rPr>
              <w:t>400,000,000</w:t>
            </w:r>
          </w:p>
        </w:tc>
        <w:tc>
          <w:tcPr>
            <w:tcW w:w="16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7"/>
              <w:ind w:left="453" w:right="0"/>
              <w:jc w:val="left"/>
              <w:rPr>
                <w:rFonts w:ascii="Times New Roman" w:hAnsi="Times New Roman" w:cs="Times New Roman" w:eastAsia="Times New Roman" w:hint="default"/>
                <w:sz w:val="21"/>
                <w:szCs w:val="21"/>
              </w:rPr>
            </w:pPr>
            <w:r>
              <w:rPr>
                <w:rFonts w:ascii="Times New Roman"/>
                <w:sz w:val="21"/>
              </w:rPr>
              <w:t>792,889,894</w:t>
            </w:r>
          </w:p>
        </w:tc>
        <w:tc>
          <w:tcPr>
            <w:tcW w:w="162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325,000,000</w:t>
            </w:r>
          </w:p>
        </w:tc>
        <w:tc>
          <w:tcPr>
            <w:tcW w:w="17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670,280,945</w:t>
            </w:r>
          </w:p>
        </w:tc>
      </w:tr>
    </w:tbl>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4" w:lineRule="auto" w:before="73"/>
        <w:ind w:right="268" w:firstLine="420"/>
        <w:jc w:val="both"/>
        <w:rPr>
          <w:rFonts w:ascii="宋体" w:hAnsi="宋体" w:cs="宋体" w:eastAsia="宋体" w:hint="default"/>
        </w:rPr>
      </w:pPr>
      <w:r>
        <w:rPr>
          <w:spacing w:val="-2"/>
        </w:rPr>
        <w:t>本集团以合营企业合并财务报表中归属于母公司的金额为基础，按持股比例计算应享有的净资</w:t>
      </w:r>
      <w:r>
        <w:rPr>
          <w:w w:val="100"/>
        </w:rPr>
        <w:t> </w:t>
      </w:r>
      <w:r>
        <w:rPr>
          <w:spacing w:val="-2"/>
        </w:rPr>
        <w:t>产份额。合营企业合并财务报表中的金额考虑了取得投资时合营企业可辨认资产和负债的公允价值</w:t>
      </w:r>
      <w:r>
        <w:rPr>
          <w:spacing w:val="-25"/>
        </w:rPr>
        <w:t> </w:t>
      </w:r>
      <w:r>
        <w:rPr>
          <w:spacing w:val="-25"/>
        </w:rPr>
      </w:r>
      <w:r>
        <w:rPr/>
        <w:t>以及统一会计政策的影响。</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908"/>
        <w:gridCol w:w="2691"/>
        <w:gridCol w:w="2689"/>
      </w:tblGrid>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2,041,682,212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1,904,187,300</w:t>
            </w: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143,360,954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156,072,811</w:t>
            </w: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143,360,954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156,072,811</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328,241,918</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193,417,721</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sz w:val="22"/>
              </w:rPr>
              <w:t>19,862,772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6,465,745</w:t>
            </w:r>
          </w:p>
        </w:tc>
      </w:tr>
      <w:tr>
        <w:trPr>
          <w:trHeight w:val="28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19,862,772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6,465,745</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0" w:footer="974" w:top="1080" w:bottom="1160" w:left="1200" w:right="11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138" w:right="192"/>
        <w:jc w:val="left"/>
        <w:rPr>
          <w:rFonts w:ascii="宋体" w:hAnsi="宋体" w:cs="宋体" w:eastAsia="宋体" w:hint="default"/>
        </w:rPr>
      </w:pPr>
      <w:r>
        <w:rPr/>
        <w:t>其他说明</w:t>
      </w:r>
      <w:r>
        <w:rPr>
          <w:rFonts w:ascii="宋体" w:hAnsi="宋体" w:cs="宋体" w:eastAsia="宋体" w:hint="default"/>
        </w:rPr>
        <w:t> </w:t>
      </w:r>
    </w:p>
    <w:p>
      <w:pPr>
        <w:pStyle w:val="BodyText"/>
        <w:spacing w:line="314" w:lineRule="auto" w:before="73"/>
        <w:ind w:left="138" w:right="148" w:firstLine="420"/>
        <w:jc w:val="both"/>
        <w:rPr>
          <w:rFonts w:ascii="宋体" w:hAnsi="宋体" w:cs="宋体" w:eastAsia="宋体" w:hint="default"/>
        </w:rPr>
      </w:pPr>
      <w:r>
        <w:rPr>
          <w:spacing w:val="-2"/>
        </w:rPr>
        <w:t>净利润和其他综合收益均已考虑取得投资时可辨认资产和负债的公允价值以及统一会计政策的</w:t>
      </w:r>
      <w:r>
        <w:rPr>
          <w:w w:val="100"/>
        </w:rPr>
        <w:t> </w:t>
      </w:r>
      <w:r>
        <w:rPr/>
        <w:t>调整影响。</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Heading5"/>
        <w:spacing w:line="290"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3"/>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2"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w:t>
      </w:r>
      <w:r>
        <w:rPr>
          <w:spacing w:val="-1"/>
          <w:w w:val="100"/>
        </w:rPr>
        <w:t>业</w:t>
      </w:r>
      <w:r>
        <w:rPr>
          <w:w w:val="100"/>
        </w:rPr>
        <w:t>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90" w:lineRule="auto" w:before="0"/>
        <w:ind w:left="138" w:right="19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5"/>
        <w:spacing w:line="240" w:lineRule="auto" w:before="58"/>
        <w:ind w:left="138" w:right="192"/>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6"/>
        <w:ind w:left="138" w:right="19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7"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5"/>
        <w:tabs>
          <w:tab w:pos="978" w:val="left" w:leader="none"/>
        </w:tabs>
        <w:spacing w:line="240" w:lineRule="auto" w:before="58"/>
        <w:ind w:left="138" w:right="192"/>
        <w:jc w:val="left"/>
        <w:rPr>
          <w:rFonts w:ascii="宋体" w:hAnsi="宋体" w:cs="宋体" w:eastAsia="宋体" w:hint="default"/>
          <w:b w:val="0"/>
          <w:bCs w:val="0"/>
        </w:rPr>
      </w:pPr>
      <w:r>
        <w:rPr/>
        <w:t>十、</w:t>
      </w:r>
      <w:r>
        <w:rPr>
          <w:rFonts w:ascii="宋体" w:hAnsi="宋体" w:cs="宋体" w:eastAsia="宋体" w:hint="default"/>
        </w:rPr>
        <w:tab/>
      </w:r>
      <w:r>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本集团的经营活动会面临各种金融风险，主要包括市场风险</w:t>
      </w:r>
      <w:r>
        <w:rPr>
          <w:rFonts w:ascii="Times New Roman" w:hAnsi="Times New Roman" w:cs="Times New Roman" w:eastAsia="Times New Roman" w:hint="default"/>
          <w:spacing w:val="-3"/>
        </w:rPr>
        <w:t>(</w:t>
      </w:r>
      <w:r>
        <w:rPr>
          <w:spacing w:val="-3"/>
        </w:rPr>
        <w:t>主要为外汇风险、利率风险和其他</w:t>
      </w:r>
    </w:p>
    <w:p>
      <w:pPr>
        <w:pStyle w:val="BodyText"/>
        <w:spacing w:line="297" w:lineRule="auto" w:before="4"/>
        <w:ind w:left="138" w:right="0"/>
        <w:jc w:val="left"/>
      </w:pPr>
      <w:r>
        <w:rPr>
          <w:spacing w:val="-3"/>
        </w:rPr>
        <w:t>价格风险</w:t>
      </w:r>
      <w:r>
        <w:rPr>
          <w:rFonts w:ascii="Times New Roman" w:hAnsi="Times New Roman" w:cs="Times New Roman" w:eastAsia="Times New Roman" w:hint="default"/>
          <w:spacing w:val="-3"/>
        </w:rPr>
        <w:t>)</w:t>
      </w:r>
      <w:r>
        <w:rPr>
          <w:spacing w:val="-3"/>
        </w:rPr>
        <w:t>、信用风险和流动性风险。上述金融风险以及本集团为降低这些风险所采取的风险管理政</w:t>
      </w:r>
      <w:r>
        <w:rPr>
          <w:spacing w:val="-16"/>
        </w:rPr>
        <w:t> </w:t>
      </w:r>
      <w:r>
        <w:rPr>
          <w:spacing w:val="-16"/>
        </w:rPr>
      </w:r>
      <w:r>
        <w:rPr/>
        <w:t>策如下所述：</w:t>
      </w:r>
    </w:p>
    <w:p>
      <w:pPr>
        <w:pStyle w:val="BodyText"/>
        <w:spacing w:line="314" w:lineRule="auto" w:before="34"/>
        <w:ind w:left="138" w:right="109" w:firstLine="420"/>
        <w:jc w:val="both"/>
      </w:pPr>
      <w:r>
        <w:rPr>
          <w:spacing w:val="-1"/>
        </w:rPr>
        <w:t>董事会负责规划并建立本集团的风险管理架构，制定本集团的风险管理政策和相关指引并监督</w:t>
      </w:r>
      <w:r>
        <w:rPr>
          <w:w w:val="100"/>
        </w:rPr>
        <w:t> </w:t>
      </w:r>
      <w:r>
        <w:rPr>
          <w:spacing w:val="-1"/>
        </w:rPr>
        <w:t>风险管理措施的执行情况。本集团己制定风险管理政策以识别和分析本集团所面临的风险，这些风</w:t>
      </w:r>
      <w:r>
        <w:rPr>
          <w:spacing w:val="-20"/>
        </w:rPr>
        <w:t> </w:t>
      </w:r>
      <w:r>
        <w:rPr>
          <w:spacing w:val="-20"/>
        </w:rPr>
      </w:r>
      <w:r>
        <w:rPr>
          <w:spacing w:val="-6"/>
          <w:w w:val="100"/>
        </w:rPr>
        <w:t>险管理政策对特定风险进行了明确规定，涵盖了市场风险、信用风险和流动性风险管理等诸多方面。</w:t>
      </w:r>
      <w:r>
        <w:rPr>
          <w:spacing w:val="-75"/>
          <w:w w:val="100"/>
        </w:rPr>
        <w:t> </w:t>
      </w:r>
      <w:r>
        <w:rPr>
          <w:spacing w:val="-75"/>
          <w:w w:val="100"/>
        </w:rPr>
      </w:r>
      <w:r>
        <w:rPr>
          <w:spacing w:val="-1"/>
        </w:rPr>
        <w:t>本集团定期评估市场环境及本集团经营活动的变化以决定是否对风险管理政策及系统进行更新。本</w:t>
      </w:r>
      <w:r>
        <w:rPr>
          <w:spacing w:val="-20"/>
        </w:rPr>
        <w:t> </w:t>
      </w:r>
      <w:r>
        <w:rPr>
          <w:spacing w:val="-20"/>
        </w:rPr>
      </w:r>
      <w:r>
        <w:rPr>
          <w:spacing w:val="-1"/>
        </w:rPr>
        <w:t>集团的风险管理由风险管理委员会按照董事会批准的政策开展。风险管理委员会通过与本集团其他</w:t>
      </w:r>
      <w:r>
        <w:rPr>
          <w:spacing w:val="-20"/>
        </w:rPr>
        <w:t> </w:t>
      </w:r>
      <w:r>
        <w:rPr>
          <w:spacing w:val="-20"/>
        </w:rPr>
      </w:r>
      <w:r>
        <w:rPr>
          <w:spacing w:val="-1"/>
        </w:rPr>
        <w:t>业务部门的紧密合作来识别、评价和规避相关风险。本集团内部审计部门就风险管理控制及程序进</w:t>
      </w:r>
      <w:r>
        <w:rPr>
          <w:spacing w:val="-20"/>
        </w:rPr>
        <w:t> </w:t>
      </w:r>
      <w:r>
        <w:rPr>
          <w:spacing w:val="-20"/>
        </w:rPr>
      </w:r>
      <w:r>
        <w:rPr/>
        <w:t>行定期的审核，并将审核结果上报本集团的审计委员会。</w:t>
      </w:r>
    </w:p>
    <w:p>
      <w:pPr>
        <w:pStyle w:val="BodyText"/>
        <w:spacing w:line="297" w:lineRule="auto" w:before="20"/>
        <w:ind w:left="546" w:right="7666"/>
        <w:jc w:val="center"/>
      </w:pPr>
      <w:r>
        <w:rPr>
          <w:rFonts w:ascii="Times New Roman" w:hAnsi="Times New Roman" w:cs="Times New Roman" w:eastAsia="Times New Roman" w:hint="default"/>
          <w:spacing w:val="-1"/>
        </w:rPr>
        <w:t>(1)</w:t>
      </w:r>
      <w:r>
        <w:rPr>
          <w:spacing w:val="-1"/>
        </w:rPr>
        <w:t>市场风险</w:t>
      </w:r>
      <w:r>
        <w:rPr>
          <w:spacing w:val="-101"/>
        </w:rPr>
        <w:t> </w:t>
      </w:r>
      <w:r>
        <w:rPr>
          <w:spacing w:val="-101"/>
        </w:rPr>
      </w:r>
      <w:r>
        <w:rPr>
          <w:rFonts w:ascii="Times New Roman" w:hAnsi="Times New Roman" w:cs="Times New Roman" w:eastAsia="Times New Roman" w:hint="default"/>
        </w:rPr>
        <w:t>(a)</w:t>
      </w:r>
      <w:r>
        <w:rPr/>
        <w:t>外汇风险</w:t>
      </w:r>
    </w:p>
    <w:p>
      <w:pPr>
        <w:spacing w:after="0" w:line="297" w:lineRule="auto"/>
        <w:jc w:val="center"/>
        <w:sectPr>
          <w:pgSz w:w="11910" w:h="16840"/>
          <w:pgMar w:header="0" w:footer="974" w:top="1080" w:bottom="1160" w:left="128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04" w:lineRule="auto" w:before="36"/>
        <w:ind w:left="378" w:right="429" w:firstLine="420"/>
        <w:jc w:val="both"/>
      </w:pPr>
      <w:r>
        <w:rPr>
          <w:spacing w:val="-1"/>
        </w:rPr>
        <w:t>本集团的主要经营位于中国境内，主要业务以人民币结算。本集团已确认的外币资产和负债及</w:t>
      </w:r>
      <w:r>
        <w:rPr>
          <w:w w:val="100"/>
        </w:rPr>
        <w:t> </w:t>
      </w:r>
      <w:r>
        <w:rPr>
          <w:spacing w:val="-4"/>
          <w:w w:val="100"/>
        </w:rPr>
        <w:t>未来的外币交易</w:t>
      </w:r>
      <w:r>
        <w:rPr>
          <w:rFonts w:ascii="Times New Roman" w:hAnsi="Times New Roman" w:cs="Times New Roman" w:eastAsia="Times New Roman" w:hint="default"/>
          <w:spacing w:val="-4"/>
          <w:w w:val="100"/>
        </w:rPr>
        <w:t>(</w:t>
      </w:r>
      <w:r>
        <w:rPr>
          <w:spacing w:val="-4"/>
          <w:w w:val="100"/>
        </w:rPr>
        <w:t>外币资产和负债及外币交易的计价货币主要为美元和欧元</w:t>
      </w:r>
      <w:r>
        <w:rPr>
          <w:rFonts w:ascii="Times New Roman" w:hAnsi="Times New Roman" w:cs="Times New Roman" w:eastAsia="Times New Roman" w:hint="default"/>
          <w:spacing w:val="-4"/>
          <w:w w:val="100"/>
        </w:rPr>
        <w:t>)</w:t>
      </w:r>
      <w:r>
        <w:rPr>
          <w:spacing w:val="-4"/>
          <w:w w:val="100"/>
        </w:rPr>
        <w:t>存在外汇风险。本集团持</w:t>
      </w:r>
      <w:r>
        <w:rPr>
          <w:spacing w:val="-87"/>
          <w:w w:val="100"/>
        </w:rPr>
        <w:t> </w:t>
      </w:r>
      <w:r>
        <w:rPr>
          <w:spacing w:val="-87"/>
          <w:w w:val="100"/>
        </w:rPr>
      </w:r>
      <w:r>
        <w:rPr>
          <w:spacing w:val="-1"/>
        </w:rPr>
        <w:t>续监控集团外币交易和外币资产及负债的规模，以最大程度降低面临的外汇风险；为此，本集团可</w:t>
      </w:r>
      <w:r>
        <w:rPr>
          <w:spacing w:val="-20"/>
        </w:rPr>
        <w:t> </w:t>
      </w:r>
      <w:r>
        <w:rPr>
          <w:spacing w:val="-20"/>
        </w:rPr>
      </w:r>
      <w:r>
        <w:rPr>
          <w:spacing w:val="-3"/>
        </w:rPr>
        <w:t>通过签署远期外汇合约或货币互换合约的方式来达到规避外汇风险的目的。于 </w:t>
      </w:r>
      <w:r>
        <w:rPr>
          <w:rFonts w:ascii="Times New Roman" w:hAnsi="Times New Roman" w:cs="Times New Roman" w:eastAsia="Times New Roman" w:hint="default"/>
        </w:rPr>
        <w:t>2019 </w:t>
      </w:r>
      <w:r>
        <w:rPr>
          <w:spacing w:val="-7"/>
        </w:rPr>
        <w:t>年度，本集团未</w:t>
      </w:r>
      <w:r>
        <w:rPr>
          <w:spacing w:val="-77"/>
        </w:rPr>
        <w:t> </w:t>
      </w:r>
      <w:r>
        <w:rPr>
          <w:spacing w:val="-77"/>
        </w:rPr>
      </w:r>
      <w:r>
        <w:rPr/>
        <w:t>签署任何远期外汇合约或货币互换合约。</w:t>
      </w:r>
    </w:p>
    <w:p>
      <w:pPr>
        <w:pStyle w:val="BodyText"/>
        <w:spacing w:line="297" w:lineRule="auto" w:before="28"/>
        <w:ind w:left="378" w:right="470" w:firstLine="420"/>
        <w:jc w:val="both"/>
      </w:pPr>
      <w:r>
        <w:rPr/>
        <w:t>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日及</w:t>
      </w:r>
      <w:r>
        <w:rPr>
          <w:spacing w:val="-54"/>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日，本集团内记账本位币为人民币的公司持有的外币</w:t>
      </w:r>
      <w:r>
        <w:rPr>
          <w:w w:val="100"/>
        </w:rPr>
        <w:t> </w:t>
      </w:r>
      <w:r>
        <w:rPr/>
        <w:t>金融资产和外币金融负债折算成人民币的金额列示如下：</w:t>
      </w:r>
    </w:p>
    <w:tbl>
      <w:tblPr>
        <w:tblW w:w="0" w:type="auto"/>
        <w:jc w:val="left"/>
        <w:tblInd w:w="104" w:type="dxa"/>
        <w:tblLayout w:type="fixed"/>
        <w:tblCellMar>
          <w:top w:w="0" w:type="dxa"/>
          <w:left w:w="0" w:type="dxa"/>
          <w:bottom w:w="0" w:type="dxa"/>
          <w:right w:w="0" w:type="dxa"/>
        </w:tblCellMar>
        <w:tblLook w:val="01E0"/>
      </w:tblPr>
      <w:tblGrid>
        <w:gridCol w:w="616"/>
        <w:gridCol w:w="1963"/>
        <w:gridCol w:w="299"/>
        <w:gridCol w:w="1648"/>
        <w:gridCol w:w="406"/>
        <w:gridCol w:w="1287"/>
        <w:gridCol w:w="378"/>
        <w:gridCol w:w="1258"/>
        <w:gridCol w:w="700"/>
        <w:gridCol w:w="1124"/>
      </w:tblGrid>
      <w:tr>
        <w:trPr>
          <w:trHeight w:val="262"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4"/>
                <w:szCs w:val="24"/>
              </w:rPr>
            </w:pPr>
            <w:bookmarkStart w:name="newtable_2.00_166.00" w:id="23"/>
            <w:bookmarkEnd w:id="23"/>
            <w:r>
              <w:rPr/>
            </w: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21"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21"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single" w:sz="4" w:space="0" w:color="000000"/>
              <w:right w:val="nil" w:sz="6" w:space="0" w:color="auto"/>
            </w:tcBorders>
          </w:tcPr>
          <w:p>
            <w:pPr/>
          </w:p>
        </w:tc>
        <w:tc>
          <w:tcPr>
            <w:tcW w:w="406" w:type="dxa"/>
            <w:tcBorders>
              <w:top w:val="nil" w:sz="6" w:space="0" w:color="auto"/>
              <w:left w:val="nil" w:sz="6" w:space="0" w:color="auto"/>
              <w:bottom w:val="single" w:sz="4" w:space="0" w:color="000000"/>
              <w:right w:val="nil" w:sz="6" w:space="0" w:color="auto"/>
            </w:tcBorders>
          </w:tcPr>
          <w:p>
            <w:pPr/>
          </w:p>
        </w:tc>
        <w:tc>
          <w:tcPr>
            <w:tcW w:w="2923" w:type="dxa"/>
            <w:gridSpan w:val="3"/>
            <w:tcBorders>
              <w:top w:val="nil" w:sz="6" w:space="0" w:color="auto"/>
              <w:left w:val="nil" w:sz="6" w:space="0" w:color="auto"/>
              <w:bottom w:val="single" w:sz="4" w:space="0" w:color="000000"/>
              <w:right w:val="nil" w:sz="6" w:space="0" w:color="auto"/>
            </w:tcBorders>
          </w:tcPr>
          <w:p>
            <w:pPr>
              <w:pStyle w:val="TableParagraph"/>
              <w:spacing w:line="221" w:lineRule="exact"/>
              <w:ind w:left="438" w:right="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pacing w:val="-3"/>
                <w:sz w:val="22"/>
                <w:szCs w:val="22"/>
              </w:rPr>
              <w:t>日</w:t>
            </w:r>
            <w:r>
              <w:rPr>
                <w:rFonts w:ascii="宋体" w:hAnsi="宋体" w:cs="宋体" w:eastAsia="宋体" w:hint="default"/>
                <w:sz w:val="22"/>
                <w:szCs w:val="22"/>
              </w:rPr>
              <w:t> </w:t>
            </w:r>
          </w:p>
        </w:tc>
        <w:tc>
          <w:tcPr>
            <w:tcW w:w="700"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
        </w:tc>
      </w:tr>
      <w:tr>
        <w:trPr>
          <w:trHeight w:val="314"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4"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4" w:lineRule="exact"/>
              <w:ind w:right="62"/>
              <w:jc w:val="right"/>
              <w:rPr>
                <w:rFonts w:ascii="宋体" w:hAnsi="宋体" w:cs="宋体" w:eastAsia="宋体" w:hint="default"/>
                <w:sz w:val="22"/>
                <w:szCs w:val="22"/>
              </w:rPr>
            </w:pPr>
            <w:r>
              <w:rPr>
                <w:rFonts w:ascii="宋体"/>
                <w:w w:val="100"/>
                <w:sz w:val="22"/>
              </w:rPr>
              <w:t> </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9" w:lineRule="exact"/>
              <w:ind w:right="66"/>
              <w:jc w:val="right"/>
              <w:rPr>
                <w:rFonts w:ascii="宋体" w:hAnsi="宋体" w:cs="宋体" w:eastAsia="宋体" w:hint="default"/>
                <w:sz w:val="22"/>
                <w:szCs w:val="22"/>
              </w:rPr>
            </w:pPr>
            <w:r>
              <w:rPr>
                <w:rFonts w:ascii="宋体" w:hAnsi="宋体" w:cs="宋体" w:eastAsia="宋体" w:hint="default"/>
                <w:spacing w:val="-1"/>
                <w:sz w:val="22"/>
                <w:szCs w:val="22"/>
              </w:rPr>
              <w:t>美元项目</w:t>
            </w:r>
            <w:r>
              <w:rPr>
                <w:rFonts w:ascii="宋体" w:hAnsi="宋体" w:cs="宋体" w:eastAsia="宋体" w:hint="default"/>
                <w:sz w:val="22"/>
                <w:szCs w:val="22"/>
              </w:rPr>
              <w:t> </w:t>
            </w:r>
          </w:p>
        </w:tc>
        <w:tc>
          <w:tcPr>
            <w:tcW w:w="406" w:type="dxa"/>
            <w:tcBorders>
              <w:top w:val="single" w:sz="4" w:space="0" w:color="000000"/>
              <w:left w:val="nil" w:sz="6" w:space="0" w:color="auto"/>
              <w:bottom w:val="nil" w:sz="6" w:space="0" w:color="auto"/>
              <w:right w:val="nil" w:sz="6" w:space="0" w:color="auto"/>
            </w:tcBorders>
          </w:tcPr>
          <w:p>
            <w:pPr>
              <w:pStyle w:val="TableParagraph"/>
              <w:spacing w:line="249" w:lineRule="exact"/>
              <w:ind w:left="58" w:right="0"/>
              <w:jc w:val="left"/>
              <w:rPr>
                <w:rFonts w:ascii="宋体" w:hAnsi="宋体" w:cs="宋体" w:eastAsia="宋体" w:hint="default"/>
                <w:sz w:val="22"/>
                <w:szCs w:val="22"/>
              </w:rPr>
            </w:pPr>
            <w:r>
              <w:rPr>
                <w:rFonts w:ascii="宋体"/>
                <w:w w:val="100"/>
                <w:sz w:val="22"/>
              </w:rPr>
              <w:t> </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76" w:lineRule="exact"/>
              <w:ind w:right="66"/>
              <w:jc w:val="right"/>
              <w:rPr>
                <w:rFonts w:ascii="宋体" w:hAnsi="宋体" w:cs="宋体" w:eastAsia="宋体" w:hint="default"/>
                <w:sz w:val="22"/>
                <w:szCs w:val="22"/>
              </w:rPr>
            </w:pPr>
            <w:r>
              <w:rPr>
                <w:rFonts w:ascii="宋体" w:hAnsi="宋体" w:cs="宋体" w:eastAsia="宋体" w:hint="default"/>
                <w:spacing w:val="-1"/>
                <w:sz w:val="22"/>
                <w:szCs w:val="22"/>
              </w:rPr>
              <w:t>欧元项目</w:t>
            </w:r>
            <w:r>
              <w:rPr>
                <w:rFonts w:ascii="宋体" w:hAnsi="宋体" w:cs="宋体" w:eastAsia="宋体" w:hint="default"/>
                <w:sz w:val="22"/>
                <w:szCs w:val="22"/>
              </w:rPr>
              <w:t> </w:t>
            </w:r>
          </w:p>
        </w:tc>
        <w:tc>
          <w:tcPr>
            <w:tcW w:w="378" w:type="dxa"/>
            <w:tcBorders>
              <w:top w:val="single" w:sz="4" w:space="0" w:color="000000"/>
              <w:left w:val="nil" w:sz="6" w:space="0" w:color="auto"/>
              <w:bottom w:val="nil" w:sz="6" w:space="0" w:color="auto"/>
              <w:right w:val="nil" w:sz="6" w:space="0" w:color="auto"/>
            </w:tcBorders>
          </w:tcPr>
          <w:p>
            <w:pPr>
              <w:pStyle w:val="TableParagraph"/>
              <w:spacing w:line="276" w:lineRule="exact"/>
              <w:ind w:left="58" w:right="0"/>
              <w:jc w:val="left"/>
              <w:rPr>
                <w:rFonts w:ascii="宋体" w:hAnsi="宋体" w:cs="宋体" w:eastAsia="宋体" w:hint="default"/>
                <w:sz w:val="22"/>
                <w:szCs w:val="22"/>
              </w:rPr>
            </w:pPr>
            <w:r>
              <w:rPr>
                <w:rFonts w:ascii="宋体"/>
                <w:w w:val="100"/>
                <w:sz w:val="22"/>
              </w:rPr>
              <w:t> </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76" w:lineRule="exact"/>
              <w:ind w:right="65"/>
              <w:jc w:val="right"/>
              <w:rPr>
                <w:rFonts w:ascii="宋体" w:hAnsi="宋体" w:cs="宋体" w:eastAsia="宋体" w:hint="default"/>
                <w:sz w:val="22"/>
                <w:szCs w:val="22"/>
              </w:rPr>
            </w:pPr>
            <w:r>
              <w:rPr>
                <w:rFonts w:ascii="宋体" w:hAnsi="宋体" w:cs="宋体" w:eastAsia="宋体" w:hint="default"/>
                <w:spacing w:val="-1"/>
                <w:sz w:val="22"/>
                <w:szCs w:val="22"/>
              </w:rPr>
              <w:t>其他项目</w:t>
            </w:r>
            <w:r>
              <w:rPr>
                <w:rFonts w:ascii="宋体" w:hAnsi="宋体" w:cs="宋体" w:eastAsia="宋体" w:hint="default"/>
                <w:sz w:val="22"/>
                <w:szCs w:val="22"/>
              </w:rPr>
              <w:t> </w:t>
            </w:r>
          </w:p>
        </w:tc>
        <w:tc>
          <w:tcPr>
            <w:tcW w:w="700" w:type="dxa"/>
            <w:tcBorders>
              <w:top w:val="single" w:sz="4" w:space="0" w:color="000000"/>
              <w:left w:val="nil" w:sz="6" w:space="0" w:color="auto"/>
              <w:bottom w:val="nil" w:sz="6" w:space="0" w:color="auto"/>
              <w:right w:val="nil" w:sz="6" w:space="0" w:color="auto"/>
            </w:tcBorders>
          </w:tcPr>
          <w:p>
            <w:pPr>
              <w:pStyle w:val="TableParagraph"/>
              <w:spacing w:line="276" w:lineRule="exact"/>
              <w:ind w:left="57" w:right="0"/>
              <w:jc w:val="left"/>
              <w:rPr>
                <w:rFonts w:ascii="宋体" w:hAnsi="宋体" w:cs="宋体" w:eastAsia="宋体" w:hint="default"/>
                <w:sz w:val="22"/>
                <w:szCs w:val="22"/>
              </w:rPr>
            </w:pPr>
            <w:r>
              <w:rPr>
                <w:rFonts w:ascii="宋体"/>
                <w:w w:val="100"/>
                <w:sz w:val="22"/>
              </w:rPr>
              <w:t> </w:t>
            </w:r>
          </w:p>
        </w:tc>
        <w:tc>
          <w:tcPr>
            <w:tcW w:w="1124" w:type="dxa"/>
            <w:tcBorders>
              <w:top w:val="single" w:sz="4" w:space="0" w:color="000000"/>
              <w:left w:val="nil" w:sz="6" w:space="0" w:color="auto"/>
              <w:bottom w:val="nil" w:sz="6" w:space="0" w:color="auto"/>
              <w:right w:val="nil" w:sz="6" w:space="0" w:color="auto"/>
            </w:tcBorders>
          </w:tcPr>
          <w:p>
            <w:pPr>
              <w:pStyle w:val="TableParagraph"/>
              <w:spacing w:line="276" w:lineRule="exact"/>
              <w:ind w:right="50"/>
              <w:jc w:val="right"/>
              <w:rPr>
                <w:rFonts w:ascii="宋体" w:hAnsi="宋体" w:cs="宋体" w:eastAsia="宋体" w:hint="default"/>
                <w:sz w:val="22"/>
                <w:szCs w:val="22"/>
              </w:rPr>
            </w:pPr>
            <w:r>
              <w:rPr>
                <w:rFonts w:ascii="宋体" w:hAnsi="宋体" w:cs="宋体" w:eastAsia="宋体" w:hint="default"/>
                <w:spacing w:val="-2"/>
                <w:sz w:val="22"/>
                <w:szCs w:val="22"/>
              </w:rPr>
              <w:t>合计</w:t>
            </w:r>
            <w:r>
              <w:rPr>
                <w:rFonts w:ascii="宋体" w:hAnsi="宋体" w:cs="宋体" w:eastAsia="宋体" w:hint="default"/>
                <w:sz w:val="22"/>
                <w:szCs w:val="22"/>
              </w:rPr>
              <w:t> </w:t>
            </w:r>
          </w:p>
        </w:tc>
      </w:tr>
      <w:tr>
        <w:trPr>
          <w:trHeight w:val="30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74" w:lineRule="exact"/>
              <w:ind w:left="296" w:right="0"/>
              <w:jc w:val="left"/>
              <w:rPr>
                <w:rFonts w:ascii="宋体" w:hAnsi="宋体" w:cs="宋体" w:eastAsia="宋体" w:hint="default"/>
                <w:sz w:val="24"/>
                <w:szCs w:val="24"/>
              </w:rPr>
            </w:pPr>
            <w:r>
              <w:rPr>
                <w:rFonts w:ascii="宋体"/>
                <w:sz w:val="24"/>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74" w:lineRule="exact"/>
              <w:ind w:right="51"/>
              <w:jc w:val="right"/>
              <w:rPr>
                <w:rFonts w:ascii="宋体" w:hAnsi="宋体" w:cs="宋体" w:eastAsia="宋体" w:hint="default"/>
                <w:sz w:val="24"/>
                <w:szCs w:val="24"/>
              </w:rPr>
            </w:pPr>
            <w:r>
              <w:rPr>
                <w:rFonts w:ascii="宋体"/>
                <w:sz w:val="24"/>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74" w:lineRule="exact"/>
              <w:ind w:right="56"/>
              <w:jc w:val="right"/>
              <w:rPr>
                <w:rFonts w:ascii="宋体" w:hAnsi="宋体" w:cs="宋体" w:eastAsia="宋体" w:hint="default"/>
                <w:sz w:val="24"/>
                <w:szCs w:val="24"/>
              </w:rPr>
            </w:pPr>
            <w:r>
              <w:rPr>
                <w:rFonts w:ascii="宋体"/>
                <w:sz w:val="24"/>
              </w:rPr>
              <w:t> </w:t>
            </w:r>
          </w:p>
        </w:tc>
        <w:tc>
          <w:tcPr>
            <w:tcW w:w="406" w:type="dxa"/>
            <w:tcBorders>
              <w:top w:val="nil" w:sz="6" w:space="0" w:color="auto"/>
              <w:left w:val="nil" w:sz="6" w:space="0" w:color="auto"/>
              <w:bottom w:val="nil" w:sz="6" w:space="0" w:color="auto"/>
              <w:right w:val="nil" w:sz="6" w:space="0" w:color="auto"/>
            </w:tcBorders>
          </w:tcPr>
          <w:p>
            <w:pPr>
              <w:pStyle w:val="TableParagraph"/>
              <w:spacing w:line="274" w:lineRule="exact"/>
              <w:ind w:left="58" w:right="0"/>
              <w:jc w:val="left"/>
              <w:rPr>
                <w:rFonts w:ascii="宋体" w:hAnsi="宋体" w:cs="宋体" w:eastAsia="宋体" w:hint="default"/>
                <w:sz w:val="24"/>
                <w:szCs w:val="24"/>
              </w:rPr>
            </w:pPr>
            <w:r>
              <w:rPr>
                <w:rFonts w:ascii="宋体"/>
                <w:sz w:val="24"/>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74" w:lineRule="exact"/>
              <w:ind w:right="56"/>
              <w:jc w:val="right"/>
              <w:rPr>
                <w:rFonts w:ascii="宋体" w:hAnsi="宋体" w:cs="宋体" w:eastAsia="宋体" w:hint="default"/>
                <w:sz w:val="24"/>
                <w:szCs w:val="24"/>
              </w:rPr>
            </w:pPr>
            <w:r>
              <w:rPr>
                <w:rFonts w:ascii="宋体"/>
                <w:sz w:val="24"/>
              </w:rPr>
              <w:t> </w:t>
            </w:r>
          </w:p>
        </w:tc>
        <w:tc>
          <w:tcPr>
            <w:tcW w:w="378" w:type="dxa"/>
            <w:tcBorders>
              <w:top w:val="nil" w:sz="6" w:space="0" w:color="auto"/>
              <w:left w:val="nil" w:sz="6" w:space="0" w:color="auto"/>
              <w:bottom w:val="nil" w:sz="6" w:space="0" w:color="auto"/>
              <w:right w:val="nil" w:sz="6" w:space="0" w:color="auto"/>
            </w:tcBorders>
          </w:tcPr>
          <w:p>
            <w:pPr>
              <w:pStyle w:val="TableParagraph"/>
              <w:spacing w:line="274" w:lineRule="exact"/>
              <w:ind w:left="58" w:right="0"/>
              <w:jc w:val="left"/>
              <w:rPr>
                <w:rFonts w:ascii="宋体" w:hAnsi="宋体" w:cs="宋体" w:eastAsia="宋体" w:hint="default"/>
                <w:sz w:val="24"/>
                <w:szCs w:val="24"/>
              </w:rPr>
            </w:pPr>
            <w:r>
              <w:rPr>
                <w:rFonts w:ascii="宋体"/>
                <w:sz w:val="24"/>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74" w:lineRule="exact"/>
              <w:ind w:right="55"/>
              <w:jc w:val="right"/>
              <w:rPr>
                <w:rFonts w:ascii="宋体" w:hAnsi="宋体" w:cs="宋体" w:eastAsia="宋体" w:hint="default"/>
                <w:sz w:val="24"/>
                <w:szCs w:val="24"/>
              </w:rPr>
            </w:pPr>
            <w:r>
              <w:rPr>
                <w:rFonts w:ascii="宋体"/>
                <w:sz w:val="24"/>
              </w:rPr>
              <w:t> </w:t>
            </w:r>
          </w:p>
        </w:tc>
        <w:tc>
          <w:tcPr>
            <w:tcW w:w="700" w:type="dxa"/>
            <w:tcBorders>
              <w:top w:val="nil" w:sz="6" w:space="0" w:color="auto"/>
              <w:left w:val="nil" w:sz="6" w:space="0" w:color="auto"/>
              <w:bottom w:val="nil" w:sz="6" w:space="0" w:color="auto"/>
              <w:right w:val="nil" w:sz="6" w:space="0" w:color="auto"/>
            </w:tcBorders>
          </w:tcPr>
          <w:p>
            <w:pPr>
              <w:pStyle w:val="TableParagraph"/>
              <w:spacing w:line="274" w:lineRule="exact"/>
              <w:ind w:left="57" w:right="0"/>
              <w:jc w:val="left"/>
              <w:rPr>
                <w:rFonts w:ascii="宋体" w:hAnsi="宋体" w:cs="宋体" w:eastAsia="宋体" w:hint="default"/>
                <w:sz w:val="24"/>
                <w:szCs w:val="24"/>
              </w:rPr>
            </w:pPr>
            <w:r>
              <w:rPr>
                <w:rFonts w:ascii="宋体"/>
                <w:sz w:val="24"/>
              </w:rPr>
              <w:t> </w:t>
            </w:r>
          </w:p>
        </w:tc>
        <w:tc>
          <w:tcPr>
            <w:tcW w:w="1124" w:type="dxa"/>
            <w:tcBorders>
              <w:top w:val="nil" w:sz="6" w:space="0" w:color="auto"/>
              <w:left w:val="nil" w:sz="6" w:space="0" w:color="auto"/>
              <w:bottom w:val="nil" w:sz="6" w:space="0" w:color="auto"/>
              <w:right w:val="nil" w:sz="6" w:space="0" w:color="auto"/>
            </w:tcBorders>
          </w:tcPr>
          <w:p>
            <w:pPr>
              <w:pStyle w:val="TableParagraph"/>
              <w:spacing w:line="274" w:lineRule="exact"/>
              <w:ind w:right="41"/>
              <w:jc w:val="right"/>
              <w:rPr>
                <w:rFonts w:ascii="宋体" w:hAnsi="宋体" w:cs="宋体" w:eastAsia="宋体" w:hint="default"/>
                <w:sz w:val="24"/>
                <w:szCs w:val="24"/>
              </w:rPr>
            </w:pPr>
            <w:r>
              <w:rPr>
                <w:rFonts w:ascii="宋体"/>
                <w:sz w:val="24"/>
              </w:rPr>
              <w:t> </w:t>
            </w:r>
          </w:p>
        </w:tc>
      </w:tr>
      <w:tr>
        <w:trPr>
          <w:trHeight w:val="314"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4" w:lineRule="exact"/>
              <w:ind w:left="296" w:right="0"/>
              <w:jc w:val="left"/>
              <w:rPr>
                <w:rFonts w:ascii="宋体" w:hAnsi="宋体" w:cs="宋体" w:eastAsia="宋体" w:hint="default"/>
                <w:sz w:val="22"/>
                <w:szCs w:val="22"/>
              </w:rPr>
            </w:pPr>
            <w:r>
              <w:rPr>
                <w:rFonts w:ascii="宋体" w:hAnsi="宋体" w:cs="宋体" w:eastAsia="宋体" w:hint="default"/>
                <w:sz w:val="22"/>
                <w:szCs w:val="22"/>
              </w:rPr>
              <w:t>外币金融资产</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4"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81" w:lineRule="exact"/>
              <w:ind w:right="66"/>
              <w:jc w:val="right"/>
              <w:rPr>
                <w:rFonts w:ascii="宋体" w:hAnsi="宋体" w:cs="宋体" w:eastAsia="宋体" w:hint="default"/>
                <w:sz w:val="22"/>
                <w:szCs w:val="22"/>
              </w:rPr>
            </w:pPr>
            <w:r>
              <w:rPr>
                <w:rFonts w:ascii="宋体"/>
                <w:w w:val="100"/>
                <w:sz w:val="22"/>
              </w:rPr>
              <w:t> </w:t>
            </w:r>
          </w:p>
        </w:tc>
        <w:tc>
          <w:tcPr>
            <w:tcW w:w="406" w:type="dxa"/>
            <w:tcBorders>
              <w:top w:val="nil" w:sz="6" w:space="0" w:color="auto"/>
              <w:left w:val="nil" w:sz="6" w:space="0" w:color="auto"/>
              <w:bottom w:val="nil" w:sz="6" w:space="0" w:color="auto"/>
              <w:right w:val="nil" w:sz="6" w:space="0" w:color="auto"/>
            </w:tcBorders>
          </w:tcPr>
          <w:p>
            <w:pPr>
              <w:pStyle w:val="TableParagraph"/>
              <w:spacing w:line="281" w:lineRule="exact"/>
              <w:ind w:left="58" w:right="0"/>
              <w:jc w:val="left"/>
              <w:rPr>
                <w:rFonts w:ascii="宋体" w:hAnsi="宋体" w:cs="宋体" w:eastAsia="宋体" w:hint="default"/>
                <w:sz w:val="22"/>
                <w:szCs w:val="22"/>
              </w:rPr>
            </w:pPr>
            <w:r>
              <w:rPr>
                <w:rFonts w:ascii="宋体"/>
                <w:w w:val="100"/>
                <w:sz w:val="22"/>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81" w:lineRule="exact"/>
              <w:ind w:right="66"/>
              <w:jc w:val="right"/>
              <w:rPr>
                <w:rFonts w:ascii="宋体" w:hAnsi="宋体" w:cs="宋体" w:eastAsia="宋体" w:hint="default"/>
                <w:sz w:val="22"/>
                <w:szCs w:val="22"/>
              </w:rPr>
            </w:pPr>
            <w:r>
              <w:rPr>
                <w:rFonts w:ascii="宋体"/>
                <w:w w:val="100"/>
                <w:sz w:val="22"/>
              </w:rPr>
              <w:t> </w:t>
            </w:r>
          </w:p>
        </w:tc>
        <w:tc>
          <w:tcPr>
            <w:tcW w:w="378" w:type="dxa"/>
            <w:tcBorders>
              <w:top w:val="nil" w:sz="6" w:space="0" w:color="auto"/>
              <w:left w:val="nil" w:sz="6" w:space="0" w:color="auto"/>
              <w:bottom w:val="nil" w:sz="6" w:space="0" w:color="auto"/>
              <w:right w:val="nil" w:sz="6" w:space="0" w:color="auto"/>
            </w:tcBorders>
          </w:tcPr>
          <w:p>
            <w:pPr>
              <w:pStyle w:val="TableParagraph"/>
              <w:spacing w:line="281" w:lineRule="exact"/>
              <w:ind w:left="58" w:right="0"/>
              <w:jc w:val="left"/>
              <w:rPr>
                <w:rFonts w:ascii="宋体" w:hAnsi="宋体" w:cs="宋体" w:eastAsia="宋体" w:hint="default"/>
                <w:sz w:val="22"/>
                <w:szCs w:val="22"/>
              </w:rPr>
            </w:pPr>
            <w:r>
              <w:rPr>
                <w:rFonts w:ascii="宋体"/>
                <w:w w:val="100"/>
                <w:sz w:val="22"/>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81" w:lineRule="exact"/>
              <w:ind w:right="65"/>
              <w:jc w:val="right"/>
              <w:rPr>
                <w:rFonts w:ascii="宋体" w:hAnsi="宋体" w:cs="宋体" w:eastAsia="宋体" w:hint="default"/>
                <w:sz w:val="22"/>
                <w:szCs w:val="22"/>
              </w:rPr>
            </w:pPr>
            <w:r>
              <w:rPr>
                <w:rFonts w:ascii="宋体"/>
                <w:w w:val="100"/>
                <w:sz w:val="22"/>
              </w:rPr>
              <w:t> </w:t>
            </w:r>
          </w:p>
        </w:tc>
        <w:tc>
          <w:tcPr>
            <w:tcW w:w="700" w:type="dxa"/>
            <w:tcBorders>
              <w:top w:val="nil" w:sz="6" w:space="0" w:color="auto"/>
              <w:left w:val="nil" w:sz="6" w:space="0" w:color="auto"/>
              <w:bottom w:val="nil" w:sz="6" w:space="0" w:color="auto"/>
              <w:right w:val="nil" w:sz="6" w:space="0" w:color="auto"/>
            </w:tcBorders>
          </w:tcPr>
          <w:p>
            <w:pPr>
              <w:pStyle w:val="TableParagraph"/>
              <w:spacing w:line="281" w:lineRule="exact"/>
              <w:ind w:left="57" w:right="0"/>
              <w:jc w:val="left"/>
              <w:rPr>
                <w:rFonts w:ascii="宋体" w:hAnsi="宋体" w:cs="宋体" w:eastAsia="宋体" w:hint="default"/>
                <w:sz w:val="22"/>
                <w:szCs w:val="22"/>
              </w:rPr>
            </w:pPr>
            <w:r>
              <w:rPr>
                <w:rFonts w:ascii="宋体"/>
                <w:w w:val="100"/>
                <w:sz w:val="22"/>
              </w:rPr>
              <w:t> </w:t>
            </w:r>
          </w:p>
        </w:tc>
        <w:tc>
          <w:tcPr>
            <w:tcW w:w="1124" w:type="dxa"/>
            <w:tcBorders>
              <w:top w:val="nil" w:sz="6" w:space="0" w:color="auto"/>
              <w:left w:val="nil" w:sz="6" w:space="0" w:color="auto"/>
              <w:bottom w:val="nil" w:sz="6" w:space="0" w:color="auto"/>
              <w:right w:val="nil" w:sz="6" w:space="0" w:color="auto"/>
            </w:tcBorders>
          </w:tcPr>
          <w:p>
            <w:pPr>
              <w:pStyle w:val="TableParagraph"/>
              <w:spacing w:line="281" w:lineRule="exact"/>
              <w:ind w:right="50"/>
              <w:jc w:val="right"/>
              <w:rPr>
                <w:rFonts w:ascii="宋体" w:hAnsi="宋体" w:cs="宋体" w:eastAsia="宋体" w:hint="default"/>
                <w:sz w:val="22"/>
                <w:szCs w:val="22"/>
              </w:rPr>
            </w:pPr>
            <w:r>
              <w:rPr>
                <w:rFonts w:ascii="宋体"/>
                <w:w w:val="100"/>
                <w:sz w:val="22"/>
              </w:rPr>
              <w:t> </w:t>
            </w:r>
          </w:p>
        </w:tc>
      </w:tr>
      <w:tr>
        <w:trPr>
          <w:trHeight w:val="323"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8"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3" w:lineRule="exact"/>
              <w:ind w:left="296"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3"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4" w:right="0"/>
              <w:jc w:val="left"/>
              <w:rPr>
                <w:rFonts w:ascii="Times New Roman" w:hAnsi="Times New Roman" w:cs="Times New Roman" w:eastAsia="Times New Roman" w:hint="default"/>
                <w:sz w:val="22"/>
                <w:szCs w:val="22"/>
              </w:rPr>
            </w:pPr>
            <w:r>
              <w:rPr>
                <w:rFonts w:ascii="Times New Roman"/>
                <w:sz w:val="22"/>
              </w:rPr>
              <w:t>1,142,562,629</w:t>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7"/>
              <w:jc w:val="right"/>
              <w:rPr>
                <w:rFonts w:ascii="Times New Roman" w:hAnsi="Times New Roman" w:cs="Times New Roman" w:eastAsia="Times New Roman" w:hint="default"/>
                <w:sz w:val="22"/>
                <w:szCs w:val="22"/>
              </w:rPr>
            </w:pPr>
            <w:r>
              <w:rPr>
                <w:rFonts w:ascii="Times New Roman"/>
                <w:w w:val="100"/>
                <w:sz w:val="22"/>
              </w:rPr>
              <w:t>-</w:t>
            </w:r>
          </w:p>
        </w:tc>
        <w:tc>
          <w:tcPr>
            <w:tcW w:w="37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5" w:right="0"/>
              <w:jc w:val="left"/>
              <w:rPr>
                <w:rFonts w:ascii="Times New Roman" w:hAnsi="Times New Roman" w:cs="Times New Roman" w:eastAsia="Times New Roman" w:hint="default"/>
                <w:sz w:val="22"/>
                <w:szCs w:val="22"/>
              </w:rPr>
            </w:pPr>
            <w:r>
              <w:rPr>
                <w:rFonts w:ascii="Times New Roman"/>
                <w:sz w:val="22"/>
              </w:rPr>
              <w:t>15,101</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396" w:right="0"/>
              <w:jc w:val="left"/>
              <w:rPr>
                <w:rFonts w:ascii="Times New Roman" w:hAnsi="Times New Roman" w:cs="Times New Roman" w:eastAsia="Times New Roman" w:hint="default"/>
                <w:sz w:val="22"/>
                <w:szCs w:val="22"/>
              </w:rPr>
            </w:pPr>
            <w:r>
              <w:rPr>
                <w:rFonts w:ascii="Times New Roman"/>
                <w:sz w:val="22"/>
              </w:rPr>
              <w:t>1,142,577,730</w:t>
            </w:r>
          </w:p>
        </w:tc>
      </w:tr>
      <w:tr>
        <w:trPr>
          <w:trHeight w:val="319"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exact"/>
              <w:ind w:left="296" w:right="0"/>
              <w:jc w:val="left"/>
              <w:rPr>
                <w:rFonts w:ascii="宋体" w:hAnsi="宋体" w:cs="宋体" w:eastAsia="宋体" w:hint="default"/>
                <w:sz w:val="22"/>
                <w:szCs w:val="22"/>
              </w:rPr>
            </w:pPr>
            <w:r>
              <w:rPr>
                <w:rFonts w:ascii="宋体" w:hAnsi="宋体" w:cs="宋体" w:eastAsia="宋体" w:hint="default"/>
                <w:sz w:val="22"/>
                <w:szCs w:val="22"/>
              </w:rPr>
              <w:t>应收款项</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369" w:val="left" w:leader="none"/>
                <w:tab w:pos="1634" w:val="left" w:leader="none"/>
              </w:tabs>
              <w:spacing w:line="240" w:lineRule="auto" w:before="44"/>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pacing w:val="-1"/>
                <w:sz w:val="22"/>
                <w:u w:val="single" w:color="000000"/>
              </w:rPr>
              <w:t>466,019,248</w:t>
              <w:tab/>
            </w:r>
            <w:r>
              <w:rPr>
                <w:rFonts w:ascii="Times New Roman"/>
                <w:spacing w:val="-1"/>
                <w:sz w:val="22"/>
              </w:rPr>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tabs>
                <w:tab w:pos="392" w:val="left" w:leader="none"/>
                <w:tab w:pos="1275" w:val="left" w:leader="none"/>
              </w:tabs>
              <w:spacing w:line="240" w:lineRule="auto" w:before="44"/>
              <w:ind w:left="-182" w:right="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471,103</w:t>
              <w:tab/>
            </w:r>
            <w:r>
              <w:rPr>
                <w:rFonts w:ascii="Times New Roman"/>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853" w:val="left" w:leader="none"/>
                <w:tab w:pos="1623" w:val="left" w:leader="none"/>
              </w:tabs>
              <w:spacing w:line="240" w:lineRule="auto" w:before="44"/>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76,958</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561" w:val="left" w:leader="none"/>
                <w:tab w:pos="1824" w:val="left" w:leader="none"/>
              </w:tabs>
              <w:spacing w:line="240" w:lineRule="auto" w:before="44"/>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466,567,309</w:t>
              <w:tab/>
            </w:r>
            <w:r>
              <w:rPr>
                <w:rFonts w:ascii="Times New Roman"/>
                <w:sz w:val="22"/>
              </w:rPr>
            </w:r>
          </w:p>
        </w:tc>
      </w:tr>
      <w:tr>
        <w:trPr>
          <w:trHeight w:val="330"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67" w:lineRule="exact"/>
              <w:ind w:left="296" w:right="0"/>
              <w:jc w:val="left"/>
              <w:rPr>
                <w:rFonts w:ascii="宋体" w:hAnsi="宋体" w:cs="宋体" w:eastAsia="宋体" w:hint="default"/>
                <w:sz w:val="24"/>
                <w:szCs w:val="24"/>
              </w:rPr>
            </w:pPr>
            <w:r>
              <w:rPr>
                <w:rFonts w:ascii="宋体"/>
                <w:sz w:val="24"/>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67" w:lineRule="exact"/>
              <w:ind w:right="51"/>
              <w:jc w:val="right"/>
              <w:rPr>
                <w:rFonts w:ascii="宋体" w:hAnsi="宋体" w:cs="宋体" w:eastAsia="宋体" w:hint="default"/>
                <w:sz w:val="24"/>
                <w:szCs w:val="24"/>
              </w:rPr>
            </w:pPr>
            <w:r>
              <w:rPr>
                <w:rFonts w:ascii="宋体"/>
                <w:sz w:val="24"/>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1634" w:val="left" w:leader="none"/>
              </w:tabs>
              <w:spacing w:line="240" w:lineRule="auto" w:before="46"/>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  </w:t>
            </w:r>
            <w:r>
              <w:rPr>
                <w:rFonts w:ascii="Times New Roman"/>
                <w:spacing w:val="-17"/>
                <w:sz w:val="22"/>
                <w:u w:val="thick" w:color="000000"/>
              </w:rPr>
              <w:t> </w:t>
            </w:r>
            <w:r>
              <w:rPr>
                <w:rFonts w:ascii="Times New Roman"/>
                <w:spacing w:val="-1"/>
                <w:sz w:val="22"/>
                <w:u w:val="thick" w:color="000000"/>
              </w:rPr>
              <w:t>1,608,581,877</w:t>
              <w:tab/>
            </w:r>
            <w:r>
              <w:rPr>
                <w:rFonts w:ascii="Times New Roman"/>
                <w:spacing w:val="-1"/>
                <w:sz w:val="22"/>
              </w:rPr>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tabs>
                <w:tab w:pos="392" w:val="left" w:leader="none"/>
                <w:tab w:pos="1275" w:val="left" w:leader="none"/>
              </w:tabs>
              <w:spacing w:line="240" w:lineRule="auto" w:before="46"/>
              <w:ind w:left="-182" w:right="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471,103</w:t>
              <w:tab/>
            </w:r>
            <w:r>
              <w:rPr>
                <w:rFonts w:ascii="Times New Roman"/>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853" w:val="left" w:leader="none"/>
                <w:tab w:pos="1623" w:val="left" w:leader="none"/>
              </w:tabs>
              <w:spacing w:line="240" w:lineRule="auto" w:before="46"/>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92,059</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1824" w:val="left" w:leader="none"/>
              </w:tabs>
              <w:spacing w:line="240" w:lineRule="auto" w:before="46"/>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 </w:t>
            </w:r>
            <w:r>
              <w:rPr>
                <w:rFonts w:ascii="Times New Roman"/>
                <w:spacing w:val="7"/>
                <w:sz w:val="22"/>
                <w:u w:val="thick" w:color="000000"/>
              </w:rPr>
              <w:t> </w:t>
            </w:r>
            <w:r>
              <w:rPr>
                <w:rFonts w:ascii="Times New Roman"/>
                <w:sz w:val="22"/>
                <w:u w:val="thick" w:color="000000"/>
              </w:rPr>
              <w:t>1,609,145,039</w:t>
              <w:tab/>
            </w:r>
            <w:r>
              <w:rPr>
                <w:rFonts w:ascii="Times New Roman"/>
                <w:sz w:val="22"/>
              </w:rPr>
            </w:r>
          </w:p>
        </w:tc>
      </w:tr>
      <w:tr>
        <w:trPr>
          <w:trHeight w:val="312"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80"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5"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5"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636" w:type="dxa"/>
            <w:gridSpan w:val="2"/>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79" w:lineRule="exact"/>
              <w:ind w:left="296" w:right="0"/>
              <w:jc w:val="left"/>
              <w:rPr>
                <w:rFonts w:ascii="宋体" w:hAnsi="宋体" w:cs="宋体" w:eastAsia="宋体" w:hint="default"/>
                <w:sz w:val="22"/>
                <w:szCs w:val="22"/>
              </w:rPr>
            </w:pPr>
            <w:r>
              <w:rPr>
                <w:rFonts w:ascii="宋体" w:hAnsi="宋体" w:cs="宋体" w:eastAsia="宋体" w:hint="default"/>
                <w:sz w:val="22"/>
                <w:szCs w:val="22"/>
              </w:rPr>
              <w:t>外币金融负债</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3"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636" w:type="dxa"/>
            <w:gridSpan w:val="2"/>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24"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79" w:lineRule="exact"/>
              <w:ind w:left="296" w:right="0"/>
              <w:jc w:val="left"/>
              <w:rPr>
                <w:rFonts w:ascii="宋体" w:hAnsi="宋体" w:cs="宋体" w:eastAsia="宋体" w:hint="default"/>
                <w:sz w:val="22"/>
                <w:szCs w:val="22"/>
              </w:rPr>
            </w:pPr>
            <w:r>
              <w:rPr>
                <w:rFonts w:ascii="宋体" w:hAnsi="宋体" w:cs="宋体" w:eastAsia="宋体" w:hint="default"/>
                <w:sz w:val="22"/>
                <w:szCs w:val="22"/>
              </w:rPr>
              <w:t>应付款项</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3"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22"/>
                <w:szCs w:val="22"/>
              </w:rPr>
            </w:pPr>
            <w:r>
              <w:rPr>
                <w:rFonts w:ascii="Times New Roman"/>
                <w:spacing w:val="-1"/>
                <w:sz w:val="22"/>
              </w:rPr>
              <w:t>(396,123,222)</w:t>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7"/>
              <w:jc w:val="right"/>
              <w:rPr>
                <w:rFonts w:ascii="Times New Roman" w:hAnsi="Times New Roman" w:cs="Times New Roman" w:eastAsia="Times New Roman" w:hint="default"/>
                <w:sz w:val="22"/>
                <w:szCs w:val="22"/>
              </w:rPr>
            </w:pPr>
            <w:r>
              <w:rPr>
                <w:rFonts w:ascii="Times New Roman"/>
                <w:w w:val="100"/>
                <w:sz w:val="22"/>
              </w:rPr>
              <w:t>-</w:t>
            </w:r>
          </w:p>
        </w:tc>
        <w:tc>
          <w:tcPr>
            <w:tcW w:w="16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776" w:right="0"/>
              <w:jc w:val="left"/>
              <w:rPr>
                <w:rFonts w:ascii="Times New Roman" w:hAnsi="Times New Roman" w:cs="Times New Roman" w:eastAsia="Times New Roman" w:hint="default"/>
                <w:sz w:val="22"/>
                <w:szCs w:val="22"/>
              </w:rPr>
            </w:pPr>
            <w:r>
              <w:rPr>
                <w:rFonts w:ascii="Times New Roman"/>
                <w:sz w:val="22"/>
              </w:rPr>
              <w:t>(32,883)</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485" w:right="0"/>
              <w:jc w:val="left"/>
              <w:rPr>
                <w:rFonts w:ascii="Times New Roman" w:hAnsi="Times New Roman" w:cs="Times New Roman" w:eastAsia="Times New Roman" w:hint="default"/>
                <w:sz w:val="22"/>
                <w:szCs w:val="22"/>
              </w:rPr>
            </w:pPr>
            <w:r>
              <w:rPr>
                <w:rFonts w:ascii="Times New Roman"/>
                <w:sz w:val="22"/>
              </w:rPr>
              <w:t>(396,156,105)</w:t>
            </w:r>
          </w:p>
        </w:tc>
      </w:tr>
      <w:tr>
        <w:trPr>
          <w:trHeight w:val="313"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65" w:lineRule="exact"/>
              <w:ind w:left="296" w:right="0"/>
              <w:jc w:val="left"/>
              <w:rPr>
                <w:rFonts w:ascii="宋体" w:hAnsi="宋体" w:cs="宋体" w:eastAsia="宋体" w:hint="default"/>
                <w:sz w:val="22"/>
                <w:szCs w:val="22"/>
              </w:rPr>
            </w:pPr>
            <w:r>
              <w:rPr>
                <w:rFonts w:ascii="宋体" w:hAnsi="宋体" w:cs="宋体" w:eastAsia="宋体" w:hint="default"/>
                <w:sz w:val="22"/>
                <w:szCs w:val="22"/>
              </w:rPr>
              <w:t>短期借款</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1"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8" w:right="0"/>
              <w:jc w:val="left"/>
              <w:rPr>
                <w:rFonts w:ascii="Times New Roman" w:hAnsi="Times New Roman" w:cs="Times New Roman" w:eastAsia="Times New Roman" w:hint="default"/>
                <w:sz w:val="22"/>
                <w:szCs w:val="22"/>
              </w:rPr>
            </w:pPr>
            <w:r>
              <w:rPr>
                <w:rFonts w:ascii="Times New Roman"/>
                <w:sz w:val="22"/>
              </w:rPr>
              <w:t>(18,941,400)</w:t>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7"/>
              <w:jc w:val="right"/>
              <w:rPr>
                <w:rFonts w:ascii="Times New Roman" w:hAnsi="Times New Roman" w:cs="Times New Roman" w:eastAsia="Times New Roman" w:hint="default"/>
                <w:sz w:val="22"/>
                <w:szCs w:val="22"/>
              </w:rPr>
            </w:pPr>
            <w:r>
              <w:rPr>
                <w:rFonts w:ascii="Times New Roman"/>
                <w:w w:val="100"/>
                <w:sz w:val="22"/>
              </w:rPr>
              <w:t>-</w:t>
            </w:r>
          </w:p>
        </w:tc>
        <w:tc>
          <w:tcPr>
            <w:tcW w:w="37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6"/>
              <w:jc w:val="right"/>
              <w:rPr>
                <w:rFonts w:ascii="Times New Roman" w:hAnsi="Times New Roman" w:cs="Times New Roman" w:eastAsia="Times New Roman" w:hint="default"/>
                <w:sz w:val="22"/>
                <w:szCs w:val="22"/>
              </w:rPr>
            </w:pPr>
            <w:r>
              <w:rPr>
                <w:rFonts w:ascii="Times New Roman"/>
                <w:w w:val="100"/>
                <w:sz w:val="22"/>
              </w:rPr>
              <w:t>-</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593" w:right="0"/>
              <w:jc w:val="left"/>
              <w:rPr>
                <w:rFonts w:ascii="Times New Roman" w:hAnsi="Times New Roman" w:cs="Times New Roman" w:eastAsia="Times New Roman" w:hint="default"/>
                <w:sz w:val="22"/>
                <w:szCs w:val="22"/>
              </w:rPr>
            </w:pPr>
            <w:r>
              <w:rPr>
                <w:rFonts w:ascii="Times New Roman"/>
                <w:sz w:val="22"/>
              </w:rPr>
              <w:t>(18,941,400)</w:t>
            </w:r>
          </w:p>
        </w:tc>
      </w:tr>
      <w:tr>
        <w:trPr>
          <w:trHeight w:val="31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64" w:lineRule="exact"/>
              <w:ind w:left="296" w:right="0"/>
              <w:jc w:val="left"/>
              <w:rPr>
                <w:rFonts w:ascii="宋体" w:hAnsi="宋体" w:cs="宋体" w:eastAsia="宋体" w:hint="default"/>
                <w:sz w:val="24"/>
                <w:szCs w:val="24"/>
              </w:rPr>
            </w:pPr>
            <w:r>
              <w:rPr>
                <w:rFonts w:ascii="宋体" w:hAnsi="宋体" w:cs="宋体" w:eastAsia="宋体" w:hint="default"/>
                <w:sz w:val="22"/>
                <w:szCs w:val="22"/>
              </w:rPr>
              <w:t>长期借款</w:t>
            </w:r>
            <w:r>
              <w:rPr>
                <w:rFonts w:ascii="宋体" w:hAnsi="宋体" w:cs="宋体" w:eastAsia="宋体" w:hint="default"/>
                <w:sz w:val="24"/>
                <w:szCs w:val="24"/>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62" w:lineRule="exact"/>
              <w:ind w:right="51"/>
              <w:jc w:val="right"/>
              <w:rPr>
                <w:rFonts w:ascii="宋体" w:hAnsi="宋体" w:cs="宋体" w:eastAsia="宋体" w:hint="default"/>
                <w:sz w:val="24"/>
                <w:szCs w:val="24"/>
              </w:rPr>
            </w:pPr>
            <w:r>
              <w:rPr>
                <w:rFonts w:ascii="宋体"/>
                <w:sz w:val="24"/>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1394" w:val="left" w:leader="none"/>
                <w:tab w:pos="1634" w:val="left" w:leader="none"/>
              </w:tabs>
              <w:spacing w:line="240" w:lineRule="auto" w:before="41"/>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406" w:type="dxa"/>
            <w:tcBorders>
              <w:top w:val="nil" w:sz="6" w:space="0" w:color="auto"/>
              <w:left w:val="nil" w:sz="6" w:space="0" w:color="auto"/>
              <w:bottom w:val="nil" w:sz="6" w:space="0" w:color="auto"/>
              <w:right w:val="nil" w:sz="6" w:space="0" w:color="auto"/>
            </w:tcBorders>
          </w:tcPr>
          <w:p>
            <w:pPr>
              <w:pStyle w:val="TableParagraph"/>
              <w:tabs>
                <w:tab w:pos="225" w:val="left" w:leader="none"/>
              </w:tabs>
              <w:spacing w:line="240" w:lineRule="auto" w:before="41"/>
              <w:ind w:right="-4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rPr>
            </w:r>
          </w:p>
        </w:tc>
        <w:tc>
          <w:tcPr>
            <w:tcW w:w="1287" w:type="dxa"/>
            <w:tcBorders>
              <w:top w:val="nil" w:sz="6" w:space="0" w:color="auto"/>
              <w:left w:val="nil" w:sz="6" w:space="0" w:color="auto"/>
              <w:bottom w:val="nil" w:sz="6" w:space="0" w:color="auto"/>
              <w:right w:val="nil" w:sz="6" w:space="0" w:color="auto"/>
            </w:tcBorders>
          </w:tcPr>
          <w:p>
            <w:pPr>
              <w:pStyle w:val="TableParagraph"/>
              <w:tabs>
                <w:tab w:pos="1231" w:val="left" w:leader="none"/>
              </w:tabs>
              <w:spacing w:line="240" w:lineRule="auto" w:before="41"/>
              <w:ind w:right="8"/>
              <w:jc w:val="right"/>
              <w:rPr>
                <w:rFonts w:ascii="Times New Roman" w:hAnsi="Times New Roman" w:cs="Times New Roman" w:eastAsia="Times New Roman" w:hint="default"/>
                <w:sz w:val="22"/>
                <w:szCs w:val="22"/>
              </w:rPr>
            </w:pPr>
            <w:r>
              <w:rPr>
                <w:rFonts w:ascii="Times New Roman"/>
                <w:w w:val="100"/>
                <w:sz w:val="22"/>
              </w:rPr>
            </w:r>
            <w:r>
              <w:rPr>
                <w:rFonts w:ascii="Times New Roman"/>
                <w:spacing w:val="-1"/>
                <w:sz w:val="22"/>
                <w:u w:val="single" w:color="000000"/>
              </w:rPr>
              <w:t>(76,309,390)</w:t>
              <w:tab/>
            </w:r>
            <w:r>
              <w:rPr>
                <w:rFonts w:ascii="Times New Roman"/>
                <w:spacing w:val="-1"/>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1383" w:val="left" w:leader="none"/>
                <w:tab w:pos="1623" w:val="left" w:leader="none"/>
              </w:tabs>
              <w:spacing w:line="240" w:lineRule="auto" w:before="41"/>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593" w:val="left" w:leader="none"/>
                <w:tab w:pos="1824" w:val="left" w:leader="none"/>
              </w:tabs>
              <w:spacing w:line="240" w:lineRule="auto" w:before="41"/>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(76,309,390)</w:t>
              <w:tab/>
            </w:r>
            <w:r>
              <w:rPr>
                <w:rFonts w:ascii="Times New Roman"/>
                <w:sz w:val="22"/>
              </w:rPr>
            </w:r>
          </w:p>
        </w:tc>
      </w:tr>
      <w:tr>
        <w:trPr>
          <w:trHeight w:val="32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67" w:lineRule="exact"/>
              <w:ind w:left="296" w:right="0"/>
              <w:jc w:val="left"/>
              <w:rPr>
                <w:rFonts w:ascii="宋体" w:hAnsi="宋体" w:cs="宋体" w:eastAsia="宋体" w:hint="default"/>
                <w:sz w:val="24"/>
                <w:szCs w:val="24"/>
              </w:rPr>
            </w:pPr>
            <w:r>
              <w:rPr>
                <w:rFonts w:ascii="宋体"/>
                <w:sz w:val="24"/>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67" w:lineRule="exact"/>
              <w:ind w:right="51"/>
              <w:jc w:val="right"/>
              <w:rPr>
                <w:rFonts w:ascii="宋体" w:hAnsi="宋体" w:cs="宋体" w:eastAsia="宋体" w:hint="default"/>
                <w:sz w:val="24"/>
                <w:szCs w:val="24"/>
              </w:rPr>
            </w:pPr>
            <w:r>
              <w:rPr>
                <w:rFonts w:ascii="宋体"/>
                <w:sz w:val="24"/>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295" w:val="left" w:leader="none"/>
                <w:tab w:pos="1634" w:val="left" w:leader="none"/>
              </w:tabs>
              <w:spacing w:line="240" w:lineRule="auto" w:before="44"/>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(415,064,622)</w:t>
              <w:tab/>
            </w:r>
            <w:r>
              <w:rPr>
                <w:rFonts w:ascii="Times New Roman"/>
                <w:spacing w:val="-1"/>
                <w:sz w:val="22"/>
              </w:rPr>
            </w:r>
          </w:p>
        </w:tc>
        <w:tc>
          <w:tcPr>
            <w:tcW w:w="406" w:type="dxa"/>
            <w:tcBorders>
              <w:top w:val="nil" w:sz="6" w:space="0" w:color="auto"/>
              <w:left w:val="nil" w:sz="6" w:space="0" w:color="auto"/>
              <w:bottom w:val="nil" w:sz="6" w:space="0" w:color="auto"/>
              <w:right w:val="nil" w:sz="6" w:space="0" w:color="auto"/>
            </w:tcBorders>
          </w:tcPr>
          <w:p>
            <w:pPr>
              <w:pStyle w:val="TableParagraph"/>
              <w:tabs>
                <w:tab w:pos="225" w:val="left" w:leader="none"/>
              </w:tabs>
              <w:spacing w:line="240" w:lineRule="auto" w:before="44"/>
              <w:ind w:right="-4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z w:val="22"/>
              </w:rPr>
            </w:r>
          </w:p>
        </w:tc>
        <w:tc>
          <w:tcPr>
            <w:tcW w:w="1287" w:type="dxa"/>
            <w:tcBorders>
              <w:top w:val="nil" w:sz="6" w:space="0" w:color="auto"/>
              <w:left w:val="nil" w:sz="6" w:space="0" w:color="auto"/>
              <w:bottom w:val="nil" w:sz="6" w:space="0" w:color="auto"/>
              <w:right w:val="nil" w:sz="6" w:space="0" w:color="auto"/>
            </w:tcBorders>
          </w:tcPr>
          <w:p>
            <w:pPr>
              <w:pStyle w:val="TableParagraph"/>
              <w:tabs>
                <w:tab w:pos="1231" w:val="left" w:leader="none"/>
              </w:tabs>
              <w:spacing w:line="240" w:lineRule="auto" w:before="44"/>
              <w:ind w:right="8"/>
              <w:jc w:val="right"/>
              <w:rPr>
                <w:rFonts w:ascii="Times New Roman" w:hAnsi="Times New Roman" w:cs="Times New Roman" w:eastAsia="Times New Roman" w:hint="default"/>
                <w:sz w:val="22"/>
                <w:szCs w:val="22"/>
              </w:rPr>
            </w:pPr>
            <w:r>
              <w:rPr>
                <w:rFonts w:ascii="Times New Roman"/>
                <w:w w:val="100"/>
                <w:sz w:val="22"/>
              </w:rPr>
            </w:r>
            <w:r>
              <w:rPr>
                <w:rFonts w:ascii="Times New Roman"/>
                <w:spacing w:val="-1"/>
                <w:sz w:val="22"/>
                <w:u w:val="thick" w:color="000000"/>
              </w:rPr>
              <w:t>(76,309,390)</w:t>
              <w:tab/>
            </w:r>
            <w:r>
              <w:rPr>
                <w:rFonts w:ascii="Times New Roman"/>
                <w:spacing w:val="-1"/>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776" w:val="left" w:leader="none"/>
                <w:tab w:pos="1623" w:val="left" w:leader="none"/>
              </w:tabs>
              <w:spacing w:line="240" w:lineRule="auto" w:before="44"/>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(32,883)</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485" w:val="left" w:leader="none"/>
                <w:tab w:pos="1824" w:val="left" w:leader="none"/>
              </w:tabs>
              <w:spacing w:line="240" w:lineRule="auto" w:before="44"/>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(491,406,895)</w:t>
              <w:tab/>
            </w:r>
            <w:r>
              <w:rPr>
                <w:rFonts w:ascii="Times New Roman"/>
                <w:sz w:val="22"/>
              </w:rPr>
            </w:r>
          </w:p>
        </w:tc>
      </w:tr>
      <w:tr>
        <w:trPr>
          <w:trHeight w:val="315"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80"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82"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5"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2923" w:type="dxa"/>
            <w:gridSpan w:val="3"/>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r>
      <w:tr>
        <w:trPr>
          <w:trHeight w:val="321"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8" w:lineRule="exact"/>
              <w:ind w:left="200" w:right="0"/>
              <w:jc w:val="left"/>
              <w:rPr>
                <w:rFonts w:ascii="宋体" w:hAnsi="宋体" w:cs="宋体" w:eastAsia="宋体" w:hint="default"/>
                <w:sz w:val="24"/>
                <w:szCs w:val="24"/>
              </w:rPr>
            </w:pPr>
            <w:bookmarkStart w:name="newtable_2.00_167.00" w:id="24"/>
            <w:bookmarkEnd w:id="24"/>
            <w:r>
              <w:rPr/>
            </w: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3"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3"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single" w:sz="4" w:space="0" w:color="000000"/>
              <w:right w:val="nil" w:sz="6" w:space="0" w:color="auto"/>
            </w:tcBorders>
          </w:tcPr>
          <w:p>
            <w:pPr/>
          </w:p>
        </w:tc>
        <w:tc>
          <w:tcPr>
            <w:tcW w:w="406" w:type="dxa"/>
            <w:tcBorders>
              <w:top w:val="nil" w:sz="6" w:space="0" w:color="auto"/>
              <w:left w:val="nil" w:sz="6" w:space="0" w:color="auto"/>
              <w:bottom w:val="single" w:sz="4" w:space="0" w:color="000000"/>
              <w:right w:val="nil" w:sz="6" w:space="0" w:color="auto"/>
            </w:tcBorders>
          </w:tcPr>
          <w:p>
            <w:pPr/>
          </w:p>
        </w:tc>
        <w:tc>
          <w:tcPr>
            <w:tcW w:w="2923" w:type="dxa"/>
            <w:gridSpan w:val="3"/>
            <w:tcBorders>
              <w:top w:val="nil" w:sz="6" w:space="0" w:color="auto"/>
              <w:left w:val="nil" w:sz="6" w:space="0" w:color="auto"/>
              <w:bottom w:val="single" w:sz="4" w:space="0" w:color="000000"/>
              <w:right w:val="nil" w:sz="6" w:space="0" w:color="auto"/>
            </w:tcBorders>
          </w:tcPr>
          <w:p>
            <w:pPr>
              <w:pStyle w:val="TableParagraph"/>
              <w:spacing w:line="280" w:lineRule="exact"/>
              <w:ind w:left="438" w:right="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pacing w:val="-3"/>
                <w:sz w:val="22"/>
                <w:szCs w:val="22"/>
              </w:rPr>
              <w:t>日</w:t>
            </w:r>
            <w:r>
              <w:rPr>
                <w:rFonts w:ascii="宋体" w:hAnsi="宋体" w:cs="宋体" w:eastAsia="宋体" w:hint="default"/>
                <w:sz w:val="22"/>
                <w:szCs w:val="22"/>
              </w:rPr>
              <w:t> </w:t>
            </w:r>
          </w:p>
        </w:tc>
        <w:tc>
          <w:tcPr>
            <w:tcW w:w="700"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
        </w:tc>
      </w:tr>
      <w:tr>
        <w:trPr>
          <w:trHeight w:val="316"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4"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4" w:lineRule="exact"/>
              <w:ind w:right="62"/>
              <w:jc w:val="right"/>
              <w:rPr>
                <w:rFonts w:ascii="宋体" w:hAnsi="宋体" w:cs="宋体" w:eastAsia="宋体" w:hint="default"/>
                <w:sz w:val="22"/>
                <w:szCs w:val="22"/>
              </w:rPr>
            </w:pPr>
            <w:r>
              <w:rPr>
                <w:rFonts w:ascii="宋体"/>
                <w:w w:val="100"/>
                <w:sz w:val="22"/>
              </w:rPr>
              <w:t> </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9" w:lineRule="exact"/>
              <w:ind w:right="174"/>
              <w:jc w:val="right"/>
              <w:rPr>
                <w:rFonts w:ascii="宋体" w:hAnsi="宋体" w:cs="宋体" w:eastAsia="宋体" w:hint="default"/>
                <w:sz w:val="22"/>
                <w:szCs w:val="22"/>
              </w:rPr>
            </w:pPr>
            <w:r>
              <w:rPr>
                <w:rFonts w:ascii="宋体" w:hAnsi="宋体" w:cs="宋体" w:eastAsia="宋体" w:hint="default"/>
                <w:sz w:val="22"/>
                <w:szCs w:val="22"/>
              </w:rPr>
              <w:t>美元项目</w:t>
            </w:r>
          </w:p>
        </w:tc>
        <w:tc>
          <w:tcPr>
            <w:tcW w:w="406" w:type="dxa"/>
            <w:tcBorders>
              <w:top w:val="single" w:sz="4" w:space="0" w:color="000000"/>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nil" w:sz="6" w:space="0" w:color="auto"/>
              <w:right w:val="nil" w:sz="6" w:space="0" w:color="auto"/>
            </w:tcBorders>
          </w:tcPr>
          <w:p>
            <w:pPr>
              <w:pStyle w:val="TableParagraph"/>
              <w:spacing w:line="276" w:lineRule="exact"/>
              <w:ind w:left="226" w:right="0"/>
              <w:jc w:val="left"/>
              <w:rPr>
                <w:rFonts w:ascii="宋体" w:hAnsi="宋体" w:cs="宋体" w:eastAsia="宋体" w:hint="default"/>
                <w:sz w:val="22"/>
                <w:szCs w:val="22"/>
              </w:rPr>
            </w:pPr>
            <w:r>
              <w:rPr>
                <w:rFonts w:ascii="宋体" w:hAnsi="宋体" w:cs="宋体" w:eastAsia="宋体" w:hint="default"/>
                <w:sz w:val="22"/>
                <w:szCs w:val="22"/>
              </w:rPr>
              <w:t>欧元项目</w:t>
            </w:r>
          </w:p>
        </w:tc>
        <w:tc>
          <w:tcPr>
            <w:tcW w:w="378"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Style w:val="TableParagraph"/>
              <w:spacing w:line="276" w:lineRule="exact"/>
              <w:ind w:left="225" w:right="0"/>
              <w:jc w:val="left"/>
              <w:rPr>
                <w:rFonts w:ascii="宋体" w:hAnsi="宋体" w:cs="宋体" w:eastAsia="宋体" w:hint="default"/>
                <w:sz w:val="22"/>
                <w:szCs w:val="22"/>
              </w:rPr>
            </w:pPr>
            <w:r>
              <w:rPr>
                <w:rFonts w:ascii="宋体" w:hAnsi="宋体" w:cs="宋体" w:eastAsia="宋体" w:hint="default"/>
                <w:sz w:val="22"/>
                <w:szCs w:val="22"/>
              </w:rPr>
              <w:t>其他项目</w:t>
            </w:r>
          </w:p>
        </w:tc>
        <w:tc>
          <w:tcPr>
            <w:tcW w:w="700" w:type="dxa"/>
            <w:tcBorders>
              <w:top w:val="single" w:sz="4" w:space="0" w:color="000000"/>
              <w:left w:val="nil" w:sz="6" w:space="0" w:color="auto"/>
              <w:bottom w:val="nil" w:sz="6" w:space="0" w:color="auto"/>
              <w:right w:val="nil" w:sz="6" w:space="0" w:color="auto"/>
            </w:tcBorders>
          </w:tcPr>
          <w:p>
            <w:pPr/>
          </w:p>
        </w:tc>
        <w:tc>
          <w:tcPr>
            <w:tcW w:w="1124" w:type="dxa"/>
            <w:tcBorders>
              <w:top w:val="single" w:sz="4" w:space="0" w:color="000000"/>
              <w:left w:val="nil" w:sz="6" w:space="0" w:color="auto"/>
              <w:bottom w:val="nil" w:sz="6" w:space="0" w:color="auto"/>
              <w:right w:val="nil" w:sz="6" w:space="0" w:color="auto"/>
            </w:tcBorders>
          </w:tcPr>
          <w:p>
            <w:pPr>
              <w:pStyle w:val="TableParagraph"/>
              <w:spacing w:line="276" w:lineRule="exact"/>
              <w:ind w:left="521" w:right="0"/>
              <w:jc w:val="left"/>
              <w:rPr>
                <w:rFonts w:ascii="宋体" w:hAnsi="宋体" w:cs="宋体" w:eastAsia="宋体" w:hint="default"/>
                <w:sz w:val="22"/>
                <w:szCs w:val="22"/>
              </w:rPr>
            </w:pPr>
            <w:r>
              <w:rPr>
                <w:rFonts w:ascii="宋体" w:hAnsi="宋体" w:cs="宋体" w:eastAsia="宋体" w:hint="default"/>
                <w:sz w:val="22"/>
                <w:szCs w:val="22"/>
              </w:rPr>
              <w:t>合计</w:t>
            </w:r>
          </w:p>
        </w:tc>
      </w:tr>
      <w:tr>
        <w:trPr>
          <w:trHeight w:val="30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5"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75" w:lineRule="exact"/>
              <w:ind w:left="296" w:right="0"/>
              <w:jc w:val="left"/>
              <w:rPr>
                <w:rFonts w:ascii="宋体" w:hAnsi="宋体" w:cs="宋体" w:eastAsia="宋体" w:hint="default"/>
                <w:sz w:val="24"/>
                <w:szCs w:val="24"/>
              </w:rPr>
            </w:pPr>
            <w:r>
              <w:rPr>
                <w:rFonts w:ascii="宋体"/>
                <w:sz w:val="24"/>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75" w:lineRule="exact"/>
              <w:ind w:right="51"/>
              <w:jc w:val="right"/>
              <w:rPr>
                <w:rFonts w:ascii="宋体" w:hAnsi="宋体" w:cs="宋体" w:eastAsia="宋体" w:hint="default"/>
                <w:sz w:val="24"/>
                <w:szCs w:val="24"/>
              </w:rPr>
            </w:pPr>
            <w:r>
              <w:rPr>
                <w:rFonts w:ascii="宋体"/>
                <w:sz w:val="24"/>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11"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3" w:lineRule="exact"/>
              <w:ind w:left="296" w:right="0"/>
              <w:jc w:val="left"/>
              <w:rPr>
                <w:rFonts w:ascii="宋体" w:hAnsi="宋体" w:cs="宋体" w:eastAsia="宋体" w:hint="default"/>
                <w:sz w:val="22"/>
                <w:szCs w:val="22"/>
              </w:rPr>
            </w:pPr>
            <w:r>
              <w:rPr>
                <w:rFonts w:ascii="宋体" w:hAnsi="宋体" w:cs="宋体" w:eastAsia="宋体" w:hint="default"/>
                <w:sz w:val="22"/>
                <w:szCs w:val="22"/>
              </w:rPr>
              <w:t>外币金融资产</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3"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37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25"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4" w:lineRule="exact"/>
              <w:ind w:left="296"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4"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4" w:right="0"/>
              <w:jc w:val="left"/>
              <w:rPr>
                <w:rFonts w:ascii="Times New Roman" w:hAnsi="Times New Roman" w:cs="Times New Roman" w:eastAsia="Times New Roman" w:hint="default"/>
                <w:sz w:val="22"/>
                <w:szCs w:val="22"/>
              </w:rPr>
            </w:pPr>
            <w:r>
              <w:rPr>
                <w:rFonts w:ascii="Times New Roman"/>
                <w:sz w:val="22"/>
              </w:rPr>
              <w:t>1,153,078,854</w:t>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7"/>
              <w:jc w:val="right"/>
              <w:rPr>
                <w:rFonts w:ascii="Times New Roman" w:hAnsi="Times New Roman" w:cs="Times New Roman" w:eastAsia="Times New Roman" w:hint="default"/>
                <w:sz w:val="22"/>
                <w:szCs w:val="22"/>
              </w:rPr>
            </w:pPr>
            <w:r>
              <w:rPr>
                <w:rFonts w:ascii="Times New Roman"/>
                <w:w w:val="100"/>
                <w:sz w:val="22"/>
              </w:rPr>
              <w:t>-</w:t>
            </w:r>
          </w:p>
        </w:tc>
        <w:tc>
          <w:tcPr>
            <w:tcW w:w="37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1" w:right="0"/>
              <w:jc w:val="left"/>
              <w:rPr>
                <w:rFonts w:ascii="Times New Roman" w:hAnsi="Times New Roman" w:cs="Times New Roman" w:eastAsia="Times New Roman" w:hint="default"/>
                <w:sz w:val="22"/>
                <w:szCs w:val="22"/>
              </w:rPr>
            </w:pPr>
            <w:r>
              <w:rPr>
                <w:rFonts w:ascii="Times New Roman"/>
                <w:sz w:val="22"/>
              </w:rPr>
              <w:t>171,963</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96" w:right="0"/>
              <w:jc w:val="left"/>
              <w:rPr>
                <w:rFonts w:ascii="Times New Roman" w:hAnsi="Times New Roman" w:cs="Times New Roman" w:eastAsia="Times New Roman" w:hint="default"/>
                <w:sz w:val="22"/>
                <w:szCs w:val="22"/>
              </w:rPr>
            </w:pPr>
            <w:r>
              <w:rPr>
                <w:rFonts w:ascii="Times New Roman"/>
                <w:sz w:val="22"/>
              </w:rPr>
              <w:t>1,153,250,817</w:t>
            </w:r>
          </w:p>
        </w:tc>
      </w:tr>
      <w:tr>
        <w:trPr>
          <w:trHeight w:val="316"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41" w:lineRule="exact"/>
              <w:ind w:left="296" w:right="0"/>
              <w:jc w:val="left"/>
              <w:rPr>
                <w:rFonts w:ascii="宋体" w:hAnsi="宋体" w:cs="宋体" w:eastAsia="宋体" w:hint="default"/>
                <w:sz w:val="22"/>
                <w:szCs w:val="22"/>
              </w:rPr>
            </w:pPr>
            <w:r>
              <w:rPr>
                <w:rFonts w:ascii="宋体" w:hAnsi="宋体" w:cs="宋体" w:eastAsia="宋体" w:hint="default"/>
                <w:sz w:val="22"/>
                <w:szCs w:val="22"/>
              </w:rPr>
              <w:t>应收款项</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1"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477" w:val="left" w:leader="none"/>
                <w:tab w:pos="1634" w:val="left" w:leader="none"/>
              </w:tabs>
              <w:spacing w:line="240" w:lineRule="auto" w:before="43"/>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96,487,714</w:t>
              <w:tab/>
            </w:r>
            <w:r>
              <w:rPr>
                <w:rFonts w:ascii="Times New Roman"/>
                <w:sz w:val="22"/>
              </w:rPr>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tabs>
                <w:tab w:pos="1033" w:val="left" w:leader="none"/>
                <w:tab w:pos="1275" w:val="left" w:leader="none"/>
              </w:tabs>
              <w:spacing w:line="240" w:lineRule="auto" w:before="43"/>
              <w:ind w:left="-182" w:right="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769" w:val="left" w:leader="none"/>
                <w:tab w:pos="1623" w:val="left" w:leader="none"/>
              </w:tabs>
              <w:spacing w:line="240" w:lineRule="auto" w:before="43"/>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312,326</w:t>
              <w:tab/>
            </w:r>
            <w:r>
              <w:rPr>
                <w:rFonts w:ascii="Times New Roman"/>
                <w:sz w:val="22"/>
              </w:rPr>
            </w:r>
          </w:p>
        </w:tc>
        <w:tc>
          <w:tcPr>
            <w:tcW w:w="700"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43"/>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z w:val="22"/>
              </w:rPr>
            </w:r>
          </w:p>
        </w:tc>
        <w:tc>
          <w:tcPr>
            <w:tcW w:w="1124" w:type="dxa"/>
            <w:tcBorders>
              <w:top w:val="nil" w:sz="6" w:space="0" w:color="auto"/>
              <w:left w:val="nil" w:sz="6" w:space="0" w:color="auto"/>
              <w:bottom w:val="nil" w:sz="6" w:space="0" w:color="auto"/>
              <w:right w:val="nil" w:sz="6" w:space="0" w:color="auto"/>
            </w:tcBorders>
          </w:tcPr>
          <w:p>
            <w:pPr>
              <w:pStyle w:val="TableParagraph"/>
              <w:tabs>
                <w:tab w:pos="1124" w:val="left" w:leader="none"/>
              </w:tabs>
              <w:spacing w:line="240" w:lineRule="auto" w:before="43"/>
              <w:ind w:left="-31" w:right="0"/>
              <w:jc w:val="right"/>
              <w:rPr>
                <w:rFonts w:ascii="Times New Roman" w:hAnsi="Times New Roman" w:cs="Times New Roman" w:eastAsia="Times New Roman" w:hint="default"/>
                <w:sz w:val="22"/>
                <w:szCs w:val="22"/>
              </w:rPr>
            </w:pPr>
            <w:r>
              <w:rPr>
                <w:rFonts w:ascii="Times New Roman"/>
                <w:w w:val="100"/>
                <w:sz w:val="22"/>
              </w:rPr>
            </w:r>
            <w:r>
              <w:rPr>
                <w:rFonts w:ascii="Times New Roman"/>
                <w:sz w:val="22"/>
                <w:u w:val="single" w:color="000000"/>
              </w:rPr>
              <w:t>96,800,040</w:t>
              <w:tab/>
            </w:r>
            <w:r>
              <w:rPr>
                <w:rFonts w:ascii="Times New Roman"/>
                <w:sz w:val="22"/>
              </w:rPr>
            </w:r>
          </w:p>
        </w:tc>
      </w:tr>
      <w:tr>
        <w:trPr>
          <w:trHeight w:val="335"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45"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5"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1634" w:val="left" w:leader="none"/>
              </w:tabs>
              <w:spacing w:line="240" w:lineRule="auto" w:before="49"/>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  </w:t>
            </w:r>
            <w:r>
              <w:rPr>
                <w:rFonts w:ascii="Times New Roman"/>
                <w:spacing w:val="-17"/>
                <w:sz w:val="22"/>
                <w:u w:val="thick" w:color="000000"/>
              </w:rPr>
              <w:t> </w:t>
            </w:r>
            <w:r>
              <w:rPr>
                <w:rFonts w:ascii="Times New Roman"/>
                <w:spacing w:val="-1"/>
                <w:sz w:val="22"/>
                <w:u w:val="thick" w:color="000000"/>
              </w:rPr>
              <w:t>1,249,566,568</w:t>
              <w:tab/>
            </w:r>
            <w:r>
              <w:rPr>
                <w:rFonts w:ascii="Times New Roman"/>
                <w:spacing w:val="-1"/>
                <w:sz w:val="22"/>
              </w:rPr>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tabs>
                <w:tab w:pos="1033" w:val="left" w:leader="none"/>
                <w:tab w:pos="1275" w:val="left" w:leader="none"/>
              </w:tabs>
              <w:spacing w:line="240" w:lineRule="auto" w:before="49"/>
              <w:ind w:left="-182" w:right="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w:t>
              <w:tab/>
            </w:r>
            <w:r>
              <w:rPr>
                <w:rFonts w:ascii="Times New Roman"/>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769" w:val="left" w:leader="none"/>
                <w:tab w:pos="1623" w:val="left" w:leader="none"/>
              </w:tabs>
              <w:spacing w:line="240" w:lineRule="auto" w:before="49"/>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484,289</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1824" w:val="left" w:leader="none"/>
              </w:tabs>
              <w:spacing w:line="240" w:lineRule="auto" w:before="49"/>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 </w:t>
            </w:r>
            <w:r>
              <w:rPr>
                <w:rFonts w:ascii="Times New Roman"/>
                <w:spacing w:val="7"/>
                <w:sz w:val="22"/>
                <w:u w:val="thick" w:color="000000"/>
              </w:rPr>
              <w:t> </w:t>
            </w:r>
            <w:r>
              <w:rPr>
                <w:rFonts w:ascii="Times New Roman"/>
                <w:sz w:val="22"/>
                <w:u w:val="thick" w:color="000000"/>
              </w:rPr>
              <w:t>1,250,050,857</w:t>
              <w:tab/>
            </w:r>
            <w:r>
              <w:rPr>
                <w:rFonts w:ascii="Times New Roman"/>
                <w:sz w:val="22"/>
              </w:rPr>
            </w:r>
          </w:p>
        </w:tc>
      </w:tr>
      <w:tr>
        <w:trPr>
          <w:trHeight w:val="310"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77" w:lineRule="exact"/>
              <w:ind w:left="296" w:right="0"/>
              <w:jc w:val="left"/>
              <w:rPr>
                <w:rFonts w:ascii="宋体" w:hAnsi="宋体" w:cs="宋体" w:eastAsia="宋体" w:hint="default"/>
                <w:sz w:val="24"/>
                <w:szCs w:val="24"/>
              </w:rPr>
            </w:pPr>
            <w:r>
              <w:rPr>
                <w:rFonts w:ascii="宋体"/>
                <w:sz w:val="24"/>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77" w:lineRule="exact"/>
              <w:ind w:right="51"/>
              <w:jc w:val="right"/>
              <w:rPr>
                <w:rFonts w:ascii="宋体" w:hAnsi="宋体" w:cs="宋体" w:eastAsia="宋体" w:hint="default"/>
                <w:sz w:val="24"/>
                <w:szCs w:val="24"/>
              </w:rPr>
            </w:pPr>
            <w:r>
              <w:rPr>
                <w:rFonts w:ascii="宋体"/>
                <w:sz w:val="24"/>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636" w:type="dxa"/>
            <w:gridSpan w:val="2"/>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11"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3" w:lineRule="exact"/>
              <w:ind w:left="296" w:right="0"/>
              <w:jc w:val="left"/>
              <w:rPr>
                <w:rFonts w:ascii="宋体" w:hAnsi="宋体" w:cs="宋体" w:eastAsia="宋体" w:hint="default"/>
                <w:sz w:val="22"/>
                <w:szCs w:val="22"/>
              </w:rPr>
            </w:pPr>
            <w:r>
              <w:rPr>
                <w:rFonts w:ascii="宋体" w:hAnsi="宋体" w:cs="宋体" w:eastAsia="宋体" w:hint="default"/>
                <w:sz w:val="22"/>
                <w:szCs w:val="22"/>
              </w:rPr>
              <w:t>外币金融负债</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3"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1636" w:type="dxa"/>
            <w:gridSpan w:val="2"/>
            <w:tcBorders>
              <w:top w:val="nil" w:sz="6" w:space="0" w:color="auto"/>
              <w:left w:val="nil" w:sz="6" w:space="0" w:color="auto"/>
              <w:bottom w:val="nil" w:sz="6" w:space="0" w:color="auto"/>
              <w:right w:val="nil" w:sz="6" w:space="0" w:color="auto"/>
            </w:tcBorders>
          </w:tcPr>
          <w:p>
            <w:pPr/>
          </w:p>
        </w:tc>
        <w:tc>
          <w:tcPr>
            <w:tcW w:w="1824" w:type="dxa"/>
            <w:gridSpan w:val="2"/>
            <w:tcBorders>
              <w:top w:val="nil" w:sz="6" w:space="0" w:color="auto"/>
              <w:left w:val="nil" w:sz="6" w:space="0" w:color="auto"/>
              <w:bottom w:val="nil" w:sz="6" w:space="0" w:color="auto"/>
              <w:right w:val="nil" w:sz="6" w:space="0" w:color="auto"/>
            </w:tcBorders>
          </w:tcPr>
          <w:p>
            <w:pPr/>
          </w:p>
        </w:tc>
      </w:tr>
      <w:tr>
        <w:trPr>
          <w:trHeight w:val="325"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54" w:lineRule="exact"/>
              <w:ind w:left="296" w:right="0"/>
              <w:jc w:val="left"/>
              <w:rPr>
                <w:rFonts w:ascii="宋体" w:hAnsi="宋体" w:cs="宋体" w:eastAsia="宋体" w:hint="default"/>
                <w:sz w:val="22"/>
                <w:szCs w:val="22"/>
              </w:rPr>
            </w:pPr>
            <w:r>
              <w:rPr>
                <w:rFonts w:ascii="宋体" w:hAnsi="宋体" w:cs="宋体" w:eastAsia="宋体" w:hint="default"/>
                <w:sz w:val="22"/>
                <w:szCs w:val="22"/>
              </w:rPr>
              <w:t>应付款项</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54"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2"/>
                <w:szCs w:val="22"/>
              </w:rPr>
            </w:pPr>
            <w:r>
              <w:rPr>
                <w:rFonts w:ascii="Times New Roman"/>
                <w:spacing w:val="-1"/>
                <w:sz w:val="22"/>
              </w:rPr>
              <w:t>(58,923,791)</w:t>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7"/>
              <w:jc w:val="right"/>
              <w:rPr>
                <w:rFonts w:ascii="Times New Roman" w:hAnsi="Times New Roman" w:cs="Times New Roman" w:eastAsia="Times New Roman" w:hint="default"/>
                <w:sz w:val="22"/>
                <w:szCs w:val="22"/>
              </w:rPr>
            </w:pPr>
            <w:r>
              <w:rPr>
                <w:rFonts w:ascii="Times New Roman"/>
                <w:w w:val="100"/>
                <w:sz w:val="22"/>
              </w:rPr>
              <w:t>-</w:t>
            </w:r>
          </w:p>
        </w:tc>
        <w:tc>
          <w:tcPr>
            <w:tcW w:w="16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805" w:right="0"/>
              <w:jc w:val="left"/>
              <w:rPr>
                <w:rFonts w:ascii="Times New Roman" w:hAnsi="Times New Roman" w:cs="Times New Roman" w:eastAsia="Times New Roman" w:hint="default"/>
                <w:sz w:val="22"/>
                <w:szCs w:val="22"/>
              </w:rPr>
            </w:pPr>
            <w:r>
              <w:rPr>
                <w:rFonts w:ascii="Times New Roman"/>
                <w:sz w:val="22"/>
              </w:rPr>
              <w:t>(19,735)</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621" w:right="0"/>
              <w:jc w:val="left"/>
              <w:rPr>
                <w:rFonts w:ascii="Times New Roman" w:hAnsi="Times New Roman" w:cs="Times New Roman" w:eastAsia="Times New Roman" w:hint="default"/>
                <w:sz w:val="22"/>
                <w:szCs w:val="22"/>
              </w:rPr>
            </w:pPr>
            <w:r>
              <w:rPr>
                <w:rFonts w:ascii="Times New Roman"/>
                <w:sz w:val="22"/>
              </w:rPr>
              <w:t>(58,943,526)</w:t>
            </w:r>
          </w:p>
        </w:tc>
      </w:tr>
      <w:tr>
        <w:trPr>
          <w:trHeight w:val="311"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41" w:lineRule="exact"/>
              <w:ind w:left="296" w:right="0"/>
              <w:jc w:val="left"/>
              <w:rPr>
                <w:rFonts w:ascii="宋体" w:hAnsi="宋体" w:cs="宋体" w:eastAsia="宋体" w:hint="default"/>
                <w:sz w:val="22"/>
                <w:szCs w:val="22"/>
              </w:rPr>
            </w:pPr>
            <w:r>
              <w:rPr>
                <w:rFonts w:ascii="宋体" w:hAnsi="宋体" w:cs="宋体" w:eastAsia="宋体" w:hint="default"/>
                <w:sz w:val="22"/>
                <w:szCs w:val="22"/>
              </w:rPr>
              <w:t>短期借款</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1"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2"/>
                <w:szCs w:val="22"/>
              </w:rPr>
            </w:pPr>
            <w:r>
              <w:rPr>
                <w:rFonts w:ascii="Times New Roman"/>
                <w:spacing w:val="-1"/>
                <w:sz w:val="22"/>
              </w:rPr>
              <w:t>(44,853,424)</w:t>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77"/>
              <w:jc w:val="right"/>
              <w:rPr>
                <w:rFonts w:ascii="Times New Roman" w:hAnsi="Times New Roman" w:cs="Times New Roman" w:eastAsia="Times New Roman" w:hint="default"/>
                <w:sz w:val="22"/>
                <w:szCs w:val="22"/>
              </w:rPr>
            </w:pPr>
            <w:r>
              <w:rPr>
                <w:rFonts w:ascii="Times New Roman"/>
                <w:w w:val="100"/>
                <w:sz w:val="22"/>
              </w:rPr>
              <w:t>-</w:t>
            </w:r>
          </w:p>
        </w:tc>
        <w:tc>
          <w:tcPr>
            <w:tcW w:w="37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0"/>
              <w:jc w:val="right"/>
              <w:rPr>
                <w:rFonts w:ascii="Times New Roman" w:hAnsi="Times New Roman" w:cs="Times New Roman" w:eastAsia="Times New Roman" w:hint="default"/>
                <w:sz w:val="22"/>
                <w:szCs w:val="22"/>
              </w:rPr>
            </w:pPr>
            <w:r>
              <w:rPr>
                <w:rFonts w:ascii="Times New Roman"/>
                <w:w w:val="100"/>
                <w:sz w:val="22"/>
              </w:rPr>
              <w:t>-</w:t>
            </w:r>
          </w:p>
        </w:tc>
        <w:tc>
          <w:tcPr>
            <w:tcW w:w="18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621" w:right="0"/>
              <w:jc w:val="left"/>
              <w:rPr>
                <w:rFonts w:ascii="Times New Roman" w:hAnsi="Times New Roman" w:cs="Times New Roman" w:eastAsia="Times New Roman" w:hint="default"/>
                <w:sz w:val="22"/>
                <w:szCs w:val="22"/>
              </w:rPr>
            </w:pPr>
            <w:r>
              <w:rPr>
                <w:rFonts w:ascii="Times New Roman"/>
                <w:sz w:val="22"/>
              </w:rPr>
              <w:t>(44,853,424)</w:t>
            </w:r>
          </w:p>
        </w:tc>
      </w:tr>
      <w:tr>
        <w:trPr>
          <w:trHeight w:val="317"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exact"/>
              <w:ind w:left="296" w:right="0"/>
              <w:jc w:val="left"/>
              <w:rPr>
                <w:rFonts w:ascii="宋体" w:hAnsi="宋体" w:cs="宋体" w:eastAsia="宋体" w:hint="default"/>
                <w:sz w:val="22"/>
                <w:szCs w:val="22"/>
              </w:rPr>
            </w:pPr>
            <w:r>
              <w:rPr>
                <w:rFonts w:ascii="宋体" w:hAnsi="宋体" w:cs="宋体" w:eastAsia="宋体" w:hint="default"/>
                <w:sz w:val="22"/>
                <w:szCs w:val="22"/>
              </w:rPr>
              <w:t>长期借款</w:t>
            </w:r>
            <w:r>
              <w:rPr>
                <w:rFonts w:ascii="宋体" w:hAnsi="宋体" w:cs="宋体" w:eastAsia="宋体" w:hint="default"/>
                <w:sz w:val="22"/>
                <w:szCs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1394" w:val="left" w:leader="none"/>
                <w:tab w:pos="1634" w:val="left" w:leader="none"/>
              </w:tabs>
              <w:spacing w:line="240" w:lineRule="auto" w:before="45"/>
              <w:ind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45"/>
              <w:ind w:left="-182" w:right="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  </w:t>
            </w:r>
            <w:r>
              <w:rPr>
                <w:rFonts w:ascii="Times New Roman"/>
                <w:spacing w:val="15"/>
                <w:sz w:val="22"/>
                <w:u w:val="single" w:color="000000"/>
              </w:rPr>
              <w:t> </w:t>
            </w:r>
            <w:r>
              <w:rPr>
                <w:rFonts w:ascii="Times New Roman"/>
                <w:spacing w:val="-1"/>
                <w:sz w:val="22"/>
                <w:u w:val="single" w:color="000000"/>
              </w:rPr>
              <w:t>(80,524,826)</w:t>
              <w:tab/>
            </w:r>
            <w:r>
              <w:rPr>
                <w:rFonts w:ascii="Times New Roman"/>
                <w:spacing w:val="-1"/>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1409" w:val="left" w:leader="none"/>
                <w:tab w:pos="1623" w:val="left" w:leader="none"/>
              </w:tabs>
              <w:spacing w:line="240" w:lineRule="auto" w:before="45"/>
              <w:ind w:left="224"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621" w:val="left" w:leader="none"/>
                <w:tab w:pos="1824" w:val="left" w:leader="none"/>
              </w:tabs>
              <w:spacing w:line="240" w:lineRule="auto" w:before="45"/>
              <w:ind w:left="223"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(80,524,826)</w:t>
              <w:tab/>
            </w:r>
            <w:r>
              <w:rPr>
                <w:rFonts w:ascii="Times New Roman"/>
                <w:sz w:val="22"/>
              </w:rPr>
            </w:r>
          </w:p>
        </w:tc>
      </w:tr>
      <w:tr>
        <w:trPr>
          <w:trHeight w:val="298" w:hRule="exact"/>
        </w:trPr>
        <w:tc>
          <w:tcPr>
            <w:tcW w:w="616"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宋体" w:hAnsi="宋体" w:cs="宋体" w:eastAsia="宋体" w:hint="default"/>
                <w:sz w:val="24"/>
                <w:szCs w:val="24"/>
              </w:rPr>
            </w:pPr>
            <w:r>
              <w:rPr>
                <w:rFonts w:ascii="宋体"/>
                <w:sz w:val="24"/>
              </w:rPr>
              <w:t> </w:t>
            </w:r>
          </w:p>
        </w:tc>
        <w:tc>
          <w:tcPr>
            <w:tcW w:w="1963" w:type="dxa"/>
            <w:tcBorders>
              <w:top w:val="nil" w:sz="6" w:space="0" w:color="auto"/>
              <w:left w:val="nil" w:sz="6" w:space="0" w:color="auto"/>
              <w:bottom w:val="nil" w:sz="6" w:space="0" w:color="auto"/>
              <w:right w:val="nil" w:sz="6" w:space="0" w:color="auto"/>
            </w:tcBorders>
          </w:tcPr>
          <w:p>
            <w:pPr>
              <w:pStyle w:val="TableParagraph"/>
              <w:spacing w:line="271" w:lineRule="exact"/>
              <w:ind w:left="296" w:right="0"/>
              <w:jc w:val="left"/>
              <w:rPr>
                <w:rFonts w:ascii="宋体" w:hAnsi="宋体" w:cs="宋体" w:eastAsia="宋体" w:hint="default"/>
                <w:sz w:val="22"/>
                <w:szCs w:val="22"/>
              </w:rPr>
            </w:pPr>
            <w:r>
              <w:rPr>
                <w:rFonts w:ascii="宋体"/>
                <w:w w:val="100"/>
                <w:sz w:val="22"/>
              </w:rPr>
              <w:t> </w:t>
            </w:r>
          </w:p>
        </w:tc>
        <w:tc>
          <w:tcPr>
            <w:tcW w:w="299" w:type="dxa"/>
            <w:tcBorders>
              <w:top w:val="nil" w:sz="6" w:space="0" w:color="auto"/>
              <w:left w:val="nil" w:sz="6" w:space="0" w:color="auto"/>
              <w:bottom w:val="nil" w:sz="6" w:space="0" w:color="auto"/>
              <w:right w:val="nil" w:sz="6" w:space="0" w:color="auto"/>
            </w:tcBorders>
          </w:tcPr>
          <w:p>
            <w:pPr>
              <w:pStyle w:val="TableParagraph"/>
              <w:spacing w:line="245" w:lineRule="exact"/>
              <w:ind w:right="62"/>
              <w:jc w:val="right"/>
              <w:rPr>
                <w:rFonts w:ascii="宋体" w:hAnsi="宋体" w:cs="宋体" w:eastAsia="宋体" w:hint="default"/>
                <w:sz w:val="22"/>
                <w:szCs w:val="22"/>
              </w:rPr>
            </w:pPr>
            <w:r>
              <w:rPr>
                <w:rFonts w:ascii="宋体"/>
                <w:w w:val="100"/>
                <w:sz w:val="22"/>
              </w:rPr>
              <w:t> </w:t>
            </w:r>
          </w:p>
        </w:tc>
        <w:tc>
          <w:tcPr>
            <w:tcW w:w="1648" w:type="dxa"/>
            <w:tcBorders>
              <w:top w:val="nil" w:sz="6" w:space="0" w:color="auto"/>
              <w:left w:val="nil" w:sz="6" w:space="0" w:color="auto"/>
              <w:bottom w:val="nil" w:sz="6" w:space="0" w:color="auto"/>
              <w:right w:val="nil" w:sz="6" w:space="0" w:color="auto"/>
            </w:tcBorders>
          </w:tcPr>
          <w:p>
            <w:pPr>
              <w:pStyle w:val="TableParagraph"/>
              <w:tabs>
                <w:tab w:pos="295" w:val="left" w:leader="none"/>
                <w:tab w:pos="1634" w:val="left" w:leader="none"/>
              </w:tabs>
              <w:spacing w:line="240" w:lineRule="auto" w:before="49"/>
              <w:ind w:left="-15" w:right="11"/>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(103,777,215)</w:t>
              <w:tab/>
            </w:r>
            <w:r>
              <w:rPr>
                <w:rFonts w:ascii="Times New Roman"/>
                <w:spacing w:val="-1"/>
                <w:sz w:val="22"/>
              </w:rPr>
            </w:r>
          </w:p>
        </w:tc>
        <w:tc>
          <w:tcPr>
            <w:tcW w:w="406"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49"/>
              <w:ind w:left="-196" w:right="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   </w:t>
            </w:r>
            <w:r>
              <w:rPr>
                <w:rFonts w:ascii="Times New Roman"/>
                <w:spacing w:val="-26"/>
                <w:sz w:val="22"/>
                <w:u w:val="thick" w:color="000000"/>
              </w:rPr>
              <w:t> </w:t>
            </w:r>
            <w:r>
              <w:rPr>
                <w:rFonts w:ascii="Times New Roman"/>
                <w:spacing w:val="-1"/>
                <w:sz w:val="22"/>
                <w:u w:val="thick" w:color="000000"/>
              </w:rPr>
              <w:t>(80,524,826)</w:t>
              <w:tab/>
            </w:r>
            <w:r>
              <w:rPr>
                <w:rFonts w:ascii="Times New Roman"/>
                <w:spacing w:val="-1"/>
                <w:sz w:val="22"/>
              </w:rPr>
            </w:r>
          </w:p>
        </w:tc>
        <w:tc>
          <w:tcPr>
            <w:tcW w:w="1636" w:type="dxa"/>
            <w:gridSpan w:val="2"/>
            <w:tcBorders>
              <w:top w:val="nil" w:sz="6" w:space="0" w:color="auto"/>
              <w:left w:val="nil" w:sz="6" w:space="0" w:color="auto"/>
              <w:bottom w:val="nil" w:sz="6" w:space="0" w:color="auto"/>
              <w:right w:val="nil" w:sz="6" w:space="0" w:color="auto"/>
            </w:tcBorders>
          </w:tcPr>
          <w:p>
            <w:pPr>
              <w:pStyle w:val="TableParagraph"/>
              <w:tabs>
                <w:tab w:pos="805" w:val="left" w:leader="none"/>
                <w:tab w:pos="1623" w:val="left" w:leader="none"/>
              </w:tabs>
              <w:spacing w:line="240" w:lineRule="auto" w:before="49"/>
              <w:ind w:left="209"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(19,735)</w:t>
              <w:tab/>
            </w:r>
            <w:r>
              <w:rPr>
                <w:rFonts w:ascii="Times New Roman"/>
                <w:sz w:val="22"/>
              </w:rPr>
            </w:r>
          </w:p>
        </w:tc>
        <w:tc>
          <w:tcPr>
            <w:tcW w:w="1824" w:type="dxa"/>
            <w:gridSpan w:val="2"/>
            <w:tcBorders>
              <w:top w:val="nil" w:sz="6" w:space="0" w:color="auto"/>
              <w:left w:val="nil" w:sz="6" w:space="0" w:color="auto"/>
              <w:bottom w:val="nil" w:sz="6" w:space="0" w:color="auto"/>
              <w:right w:val="nil" w:sz="6" w:space="0" w:color="auto"/>
            </w:tcBorders>
          </w:tcPr>
          <w:p>
            <w:pPr>
              <w:pStyle w:val="TableParagraph"/>
              <w:tabs>
                <w:tab w:pos="513" w:val="left" w:leader="none"/>
                <w:tab w:pos="1824" w:val="left" w:leader="none"/>
              </w:tabs>
              <w:spacing w:line="240" w:lineRule="auto" w:before="49"/>
              <w:ind w:left="209"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(184,321,776)</w:t>
              <w:tab/>
            </w:r>
            <w:r>
              <w:rPr>
                <w:rFonts w:ascii="Times New Roman"/>
                <w:sz w:val="22"/>
              </w:rPr>
            </w:r>
          </w:p>
        </w:tc>
      </w:tr>
    </w:tbl>
    <w:p>
      <w:pPr>
        <w:pStyle w:val="BodyText"/>
        <w:spacing w:line="240" w:lineRule="auto" w:before="25"/>
        <w:ind w:left="798" w:right="0"/>
        <w:jc w:val="left"/>
        <w:rPr>
          <w:rFonts w:ascii="宋体" w:hAnsi="宋体" w:cs="宋体" w:eastAsia="宋体" w:hint="default"/>
        </w:rPr>
      </w:pPr>
      <w:r>
        <w:rPr>
          <w:rFonts w:ascii="宋体"/>
          <w:w w:val="100"/>
        </w:rPr>
        <w:t> </w:t>
      </w:r>
    </w:p>
    <w:p>
      <w:pPr>
        <w:pStyle w:val="BodyText"/>
        <w:spacing w:line="240" w:lineRule="auto" w:before="75"/>
        <w:ind w:left="798" w:right="0"/>
        <w:jc w:val="left"/>
      </w:pPr>
      <w:r>
        <w:rPr>
          <w:w w:val="100"/>
        </w:rPr>
        <w:t>于</w:t>
      </w:r>
      <w:r>
        <w:rPr>
          <w:spacing w:val="-62"/>
        </w:rPr>
        <w:t> </w:t>
      </w:r>
      <w:r>
        <w:rPr>
          <w:rFonts w:ascii="Arial" w:hAnsi="Arial" w:cs="Arial" w:eastAsia="Arial" w:hint="default"/>
          <w:w w:val="100"/>
        </w:rPr>
        <w:t>20</w:t>
      </w:r>
      <w:r>
        <w:rPr>
          <w:rFonts w:ascii="Arial" w:hAnsi="Arial" w:cs="Arial" w:eastAsia="Arial" w:hint="default"/>
          <w:spacing w:val="-3"/>
          <w:w w:val="100"/>
        </w:rPr>
        <w:t>1</w:t>
      </w:r>
      <w:r>
        <w:rPr>
          <w:rFonts w:ascii="Arial" w:hAnsi="Arial" w:cs="Arial" w:eastAsia="Arial" w:hint="default"/>
          <w:w w:val="100"/>
        </w:rPr>
        <w:t>9</w:t>
      </w:r>
      <w:r>
        <w:rPr>
          <w:rFonts w:ascii="Arial" w:hAnsi="Arial" w:cs="Arial" w:eastAsia="Arial" w:hint="default"/>
          <w:spacing w:val="-15"/>
        </w:rPr>
        <w:t> </w:t>
      </w:r>
      <w:r>
        <w:rPr>
          <w:w w:val="100"/>
        </w:rPr>
        <w:t>年</w:t>
      </w:r>
      <w:r>
        <w:rPr>
          <w:spacing w:val="-62"/>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15"/>
        </w:rPr>
        <w:t> </w:t>
      </w:r>
      <w:r>
        <w:rPr>
          <w:w w:val="100"/>
        </w:rPr>
        <w:t>月</w:t>
      </w:r>
      <w:r>
        <w:rPr>
          <w:spacing w:val="-62"/>
        </w:rPr>
        <w:t> </w:t>
      </w:r>
      <w:r>
        <w:rPr>
          <w:rFonts w:ascii="Arial" w:hAnsi="Arial" w:cs="Arial" w:eastAsia="Arial" w:hint="default"/>
          <w:spacing w:val="-3"/>
          <w:w w:val="100"/>
        </w:rPr>
        <w:t>3</w:t>
      </w:r>
      <w:r>
        <w:rPr>
          <w:rFonts w:ascii="Arial" w:hAnsi="Arial" w:cs="Arial" w:eastAsia="Arial" w:hint="default"/>
          <w:w w:val="100"/>
        </w:rPr>
        <w:t>1</w:t>
      </w:r>
      <w:r>
        <w:rPr>
          <w:rFonts w:ascii="Arial" w:hAnsi="Arial" w:cs="Arial" w:eastAsia="Arial" w:hint="default"/>
          <w:spacing w:val="-15"/>
        </w:rPr>
        <w:t> </w:t>
      </w:r>
      <w:r>
        <w:rPr>
          <w:w w:val="100"/>
        </w:rPr>
        <w:t>日</w:t>
      </w:r>
      <w:r>
        <w:rPr>
          <w:spacing w:val="-108"/>
          <w:w w:val="100"/>
        </w:rPr>
        <w:t>，</w:t>
      </w:r>
      <w:r>
        <w:rPr>
          <w:spacing w:val="-3"/>
          <w:w w:val="100"/>
        </w:rPr>
        <w:t>对</w:t>
      </w:r>
      <w:r>
        <w:rPr>
          <w:w w:val="100"/>
        </w:rPr>
        <w:t>于本</w:t>
      </w:r>
      <w:r>
        <w:rPr>
          <w:spacing w:val="-3"/>
          <w:w w:val="100"/>
        </w:rPr>
        <w:t>集</w:t>
      </w:r>
      <w:r>
        <w:rPr>
          <w:w w:val="100"/>
        </w:rPr>
        <w:t>团</w:t>
      </w:r>
      <w:r>
        <w:rPr>
          <w:spacing w:val="-3"/>
          <w:w w:val="100"/>
        </w:rPr>
        <w:t>记</w:t>
      </w:r>
      <w:r>
        <w:rPr>
          <w:w w:val="100"/>
        </w:rPr>
        <w:t>账</w:t>
      </w:r>
      <w:r>
        <w:rPr>
          <w:spacing w:val="-3"/>
          <w:w w:val="100"/>
        </w:rPr>
        <w:t>本</w:t>
      </w:r>
      <w:r>
        <w:rPr>
          <w:w w:val="100"/>
        </w:rPr>
        <w:t>位</w:t>
      </w:r>
      <w:r>
        <w:rPr>
          <w:spacing w:val="-3"/>
          <w:w w:val="100"/>
        </w:rPr>
        <w:t>币</w:t>
      </w:r>
      <w:r>
        <w:rPr>
          <w:w w:val="100"/>
        </w:rPr>
        <w:t>为</w:t>
      </w:r>
      <w:r>
        <w:rPr>
          <w:spacing w:val="-3"/>
          <w:w w:val="100"/>
        </w:rPr>
        <w:t>人</w:t>
      </w:r>
      <w:r>
        <w:rPr>
          <w:w w:val="100"/>
        </w:rPr>
        <w:t>民币</w:t>
      </w:r>
      <w:r>
        <w:rPr>
          <w:spacing w:val="-3"/>
          <w:w w:val="100"/>
        </w:rPr>
        <w:t>的</w:t>
      </w:r>
      <w:r>
        <w:rPr>
          <w:w w:val="100"/>
        </w:rPr>
        <w:t>各</w:t>
      </w:r>
      <w:r>
        <w:rPr>
          <w:spacing w:val="-3"/>
          <w:w w:val="100"/>
        </w:rPr>
        <w:t>类</w:t>
      </w:r>
      <w:r>
        <w:rPr>
          <w:w w:val="100"/>
        </w:rPr>
        <w:t>美</w:t>
      </w:r>
      <w:r>
        <w:rPr>
          <w:spacing w:val="-3"/>
          <w:w w:val="100"/>
        </w:rPr>
        <w:t>元</w:t>
      </w:r>
      <w:r>
        <w:rPr>
          <w:w w:val="100"/>
        </w:rPr>
        <w:t>金</w:t>
      </w:r>
      <w:r>
        <w:rPr>
          <w:spacing w:val="-3"/>
          <w:w w:val="100"/>
        </w:rPr>
        <w:t>融</w:t>
      </w:r>
      <w:r>
        <w:rPr>
          <w:w w:val="100"/>
        </w:rPr>
        <w:t>资</w:t>
      </w:r>
      <w:r>
        <w:rPr>
          <w:spacing w:val="-3"/>
          <w:w w:val="100"/>
        </w:rPr>
        <w:t>产</w:t>
      </w:r>
      <w:r>
        <w:rPr>
          <w:w w:val="100"/>
        </w:rPr>
        <w:t>和美</w:t>
      </w:r>
      <w:r>
        <w:rPr>
          <w:spacing w:val="-3"/>
          <w:w w:val="100"/>
        </w:rPr>
        <w:t>元</w:t>
      </w:r>
      <w:r>
        <w:rPr>
          <w:w w:val="100"/>
        </w:rPr>
        <w:t>金</w:t>
      </w:r>
      <w:r>
        <w:rPr>
          <w:spacing w:val="-3"/>
          <w:w w:val="100"/>
        </w:rPr>
        <w:t>融</w:t>
      </w:r>
      <w:r>
        <w:rPr>
          <w:w w:val="100"/>
        </w:rPr>
        <w:t>负</w:t>
      </w:r>
      <w:r>
        <w:rPr>
          <w:spacing w:val="-3"/>
          <w:w w:val="100"/>
        </w:rPr>
        <w:t>债</w:t>
      </w:r>
      <w:r>
        <w:rPr>
          <w:w w:val="100"/>
        </w:rPr>
        <w:t>，</w:t>
      </w:r>
    </w:p>
    <w:p>
      <w:pPr>
        <w:pStyle w:val="BodyText"/>
        <w:spacing w:line="240" w:lineRule="auto" w:before="70"/>
        <w:ind w:left="378" w:right="0"/>
        <w:jc w:val="both"/>
        <w:rPr>
          <w:rFonts w:ascii="Arial" w:hAnsi="Arial" w:cs="Arial" w:eastAsia="Arial" w:hint="default"/>
        </w:rPr>
      </w:pPr>
      <w:r>
        <w:rPr/>
        <w:t>如果人民币对美元升值或贬值 </w:t>
      </w:r>
      <w:r>
        <w:rPr>
          <w:rFonts w:ascii="Arial" w:hAnsi="Arial" w:cs="Arial" w:eastAsia="Arial" w:hint="default"/>
          <w:spacing w:val="-8"/>
        </w:rPr>
        <w:t>4%</w:t>
      </w:r>
      <w:r>
        <w:rPr>
          <w:spacing w:val="-8"/>
        </w:rPr>
        <w:t>，其他因素保持不变，则本集团将减少或增加净利润约</w:t>
      </w:r>
      <w:r>
        <w:rPr>
          <w:spacing w:val="-66"/>
        </w:rPr>
        <w:t> </w:t>
      </w:r>
      <w:r>
        <w:rPr>
          <w:rFonts w:ascii="Arial" w:hAnsi="Arial" w:cs="Arial" w:eastAsia="Arial" w:hint="default"/>
        </w:rPr>
        <w:t>35,806,000</w:t>
      </w:r>
    </w:p>
    <w:p>
      <w:pPr>
        <w:pStyle w:val="BodyText"/>
        <w:spacing w:line="307" w:lineRule="auto" w:before="70"/>
        <w:ind w:left="378" w:right="468"/>
        <w:jc w:val="both"/>
      </w:pPr>
      <w:r>
        <w:rPr/>
        <w:t>元</w:t>
      </w:r>
      <w:r>
        <w:rPr>
          <w:rFonts w:ascii="Arial" w:hAnsi="Arial" w:cs="Arial" w:eastAsia="Arial" w:hint="default"/>
        </w:rPr>
        <w:t>(2018</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日：约</w:t>
      </w:r>
      <w:r>
        <w:rPr>
          <w:spacing w:val="-53"/>
        </w:rPr>
        <w:t> </w:t>
      </w:r>
      <w:r>
        <w:rPr>
          <w:rFonts w:ascii="Arial" w:hAnsi="Arial" w:cs="Arial" w:eastAsia="Arial" w:hint="default"/>
        </w:rPr>
        <w:t>34,374,000</w:t>
      </w:r>
      <w:r>
        <w:rPr>
          <w:rFonts w:ascii="Arial" w:hAnsi="Arial" w:cs="Arial" w:eastAsia="Arial" w:hint="default"/>
          <w:spacing w:val="-7"/>
        </w:rPr>
        <w:t> </w:t>
      </w:r>
      <w:r>
        <w:rPr/>
        <w:t>元</w:t>
      </w:r>
      <w:r>
        <w:rPr>
          <w:rFonts w:ascii="Arial" w:hAnsi="Arial" w:cs="Arial" w:eastAsia="Arial" w:hint="default"/>
        </w:rPr>
        <w:t>)</w:t>
      </w:r>
      <w:r>
        <w:rPr/>
        <w:t>，对其他综合收益无影响；于</w:t>
      </w:r>
      <w:r>
        <w:rPr>
          <w:spacing w:val="-54"/>
        </w:rPr>
        <w:t> </w:t>
      </w:r>
      <w:r>
        <w:rPr>
          <w:rFonts w:ascii="Arial" w:hAnsi="Arial" w:cs="Arial" w:eastAsia="Arial" w:hint="default"/>
        </w:rPr>
        <w:t>2019</w:t>
      </w:r>
      <w:r>
        <w:rPr>
          <w:rFonts w:ascii="Arial" w:hAnsi="Arial" w:cs="Arial" w:eastAsia="Arial" w:hint="default"/>
          <w:spacing w:val="-6"/>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日，对</w:t>
      </w:r>
      <w:r>
        <w:rPr>
          <w:w w:val="100"/>
        </w:rPr>
        <w:t> </w:t>
      </w:r>
      <w:r>
        <w:rPr>
          <w:spacing w:val="-2"/>
        </w:rPr>
        <w:t>于本集团记账本位币为人民币的各类欧元金融资产和欧元金融负债，如果人民币对欧元升值或贬值</w:t>
      </w:r>
      <w:r>
        <w:rPr>
          <w:spacing w:val="-26"/>
        </w:rPr>
        <w:t> </w:t>
      </w:r>
      <w:r>
        <w:rPr>
          <w:spacing w:val="-26"/>
        </w:rPr>
      </w:r>
      <w:r>
        <w:rPr>
          <w:rFonts w:ascii="Arial" w:hAnsi="Arial" w:cs="Arial" w:eastAsia="Arial" w:hint="default"/>
        </w:rPr>
        <w:t>4%</w:t>
      </w:r>
      <w:r>
        <w:rPr/>
        <w:t>，其他因素保持不变，则本集团将增加或减少净利润约</w:t>
      </w:r>
      <w:r>
        <w:rPr>
          <w:spacing w:val="-54"/>
        </w:rPr>
        <w:t> </w:t>
      </w:r>
      <w:r>
        <w:rPr>
          <w:rFonts w:ascii="Arial" w:hAnsi="Arial" w:cs="Arial" w:eastAsia="Arial" w:hint="default"/>
        </w:rPr>
        <w:t>2,391,000</w:t>
      </w:r>
      <w:r>
        <w:rPr>
          <w:rFonts w:ascii="Arial" w:hAnsi="Arial" w:cs="Arial" w:eastAsia="Arial" w:hint="default"/>
          <w:spacing w:val="-9"/>
        </w:rPr>
        <w:t> </w:t>
      </w:r>
      <w:r>
        <w:rPr/>
        <w:t>元</w:t>
      </w:r>
      <w:r>
        <w:rPr>
          <w:rFonts w:ascii="Arial" w:hAnsi="Arial" w:cs="Arial" w:eastAsia="Arial" w:hint="default"/>
        </w:rPr>
        <w:t>(2018</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6"/>
        </w:rPr>
        <w:t> </w:t>
      </w:r>
      <w:r>
        <w:rPr>
          <w:rFonts w:ascii="Arial" w:hAnsi="Arial" w:cs="Arial" w:eastAsia="Arial" w:hint="default"/>
        </w:rPr>
        <w:t>31</w:t>
      </w:r>
      <w:r>
        <w:rPr>
          <w:rFonts w:ascii="Arial" w:hAnsi="Arial" w:cs="Arial" w:eastAsia="Arial" w:hint="default"/>
          <w:spacing w:val="-9"/>
        </w:rPr>
        <w:t> </w:t>
      </w:r>
      <w:r>
        <w:rPr/>
        <w:t>日：约</w:t>
      </w:r>
    </w:p>
    <w:p>
      <w:pPr>
        <w:pStyle w:val="BodyText"/>
        <w:spacing w:line="240" w:lineRule="auto" w:before="4"/>
        <w:ind w:left="378" w:right="0"/>
        <w:jc w:val="both"/>
        <w:rPr>
          <w:rFonts w:ascii="宋体" w:hAnsi="宋体" w:cs="宋体" w:eastAsia="宋体" w:hint="default"/>
        </w:rPr>
      </w:pPr>
      <w:r>
        <w:rPr>
          <w:rFonts w:ascii="Arial" w:hAnsi="Arial" w:cs="Arial" w:eastAsia="Arial" w:hint="default"/>
        </w:rPr>
        <w:t>2,415,000</w:t>
      </w:r>
      <w:r>
        <w:rPr>
          <w:rFonts w:ascii="Arial" w:hAnsi="Arial" w:cs="Arial" w:eastAsia="Arial" w:hint="default"/>
          <w:spacing w:val="-11"/>
        </w:rPr>
        <w:t> </w:t>
      </w:r>
      <w:r>
        <w:rPr/>
        <w:t>元</w:t>
      </w:r>
      <w:r>
        <w:rPr>
          <w:rFonts w:ascii="Arial" w:hAnsi="Arial" w:cs="Arial" w:eastAsia="Arial" w:hint="default"/>
        </w:rPr>
        <w:t>)</w:t>
      </w:r>
      <w:r>
        <w:rPr/>
        <w:t>，对其他综合收益无影响。</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0" w:footer="974" w:top="1080" w:bottom="1160" w:left="104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97" w:lineRule="auto" w:before="36"/>
        <w:ind w:left="558" w:right="0"/>
        <w:jc w:val="left"/>
      </w:pPr>
      <w:r>
        <w:rPr>
          <w:rFonts w:ascii="Times New Roman" w:hAnsi="Times New Roman" w:cs="Times New Roman" w:eastAsia="Times New Roman" w:hint="default"/>
        </w:rPr>
        <w:t>(b)</w:t>
      </w:r>
      <w:r>
        <w:rPr/>
        <w:t>利率风险</w:t>
      </w:r>
      <w:r>
        <w:rPr>
          <w:w w:val="100"/>
        </w:rPr>
        <w:t> </w:t>
      </w:r>
      <w:r>
        <w:rPr>
          <w:spacing w:val="-2"/>
        </w:rPr>
        <w:t>本集团的利率风险主要产生于货币资金、向关联方及第三方提供的贷款、青港财务公司吸收存</w:t>
      </w:r>
    </w:p>
    <w:p>
      <w:pPr>
        <w:pStyle w:val="BodyText"/>
        <w:spacing w:line="314" w:lineRule="auto" w:before="34"/>
        <w:ind w:left="138" w:right="247"/>
        <w:jc w:val="both"/>
      </w:pPr>
      <w:r>
        <w:rPr>
          <w:spacing w:val="-2"/>
        </w:rPr>
        <w:t>款、银行借款及应付债券，除部分货币资金、部分青港财务公司吸收存款、部分银行借款及向关联</w:t>
      </w:r>
      <w:r>
        <w:rPr>
          <w:spacing w:val="-25"/>
        </w:rPr>
        <w:t> </w:t>
      </w:r>
      <w:r>
        <w:rPr>
          <w:spacing w:val="-25"/>
        </w:rPr>
      </w:r>
      <w:r>
        <w:rPr>
          <w:spacing w:val="-2"/>
        </w:rPr>
        <w:t>方及第三方提供的按固定利率计息的贷款及应付债券外，均按浮动利率计息。浮动利率的金融负债</w:t>
      </w:r>
      <w:r>
        <w:rPr>
          <w:spacing w:val="-26"/>
        </w:rPr>
        <w:t> </w:t>
      </w:r>
      <w:r>
        <w:rPr>
          <w:spacing w:val="-26"/>
        </w:rPr>
      </w:r>
      <w:r>
        <w:rPr>
          <w:spacing w:val="-2"/>
        </w:rPr>
        <w:t>使本集团面临现金流量利率风险，固定利率的金融负债使本集团面临公允价值利率风险。本集团根</w:t>
      </w:r>
      <w:r>
        <w:rPr>
          <w:spacing w:val="-27"/>
        </w:rPr>
        <w:t> </w:t>
      </w:r>
      <w:r>
        <w:rPr>
          <w:spacing w:val="-27"/>
        </w:rPr>
      </w:r>
      <w:r>
        <w:rPr/>
        <w:t>据当时的市场环境来决定固定利率及浮动利率合同的相对比例。</w:t>
      </w:r>
    </w:p>
    <w:p>
      <w:pPr>
        <w:pStyle w:val="BodyText"/>
        <w:spacing w:line="240" w:lineRule="auto" w:before="20"/>
        <w:ind w:left="558" w:right="0"/>
        <w:jc w:val="left"/>
      </w:pPr>
      <w:r>
        <w:rPr/>
        <w:t>于</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日，本集团带息负债包括青港财务公司吸收存款本金</w:t>
      </w:r>
      <w:r>
        <w:rPr>
          <w:spacing w:val="-54"/>
        </w:rPr>
        <w:t> </w:t>
      </w:r>
      <w:r>
        <w:rPr>
          <w:rFonts w:ascii="Arial" w:hAnsi="Arial" w:cs="Arial" w:eastAsia="Arial" w:hint="default"/>
        </w:rPr>
        <w:t>4,759,108,178</w:t>
      </w:r>
      <w:r>
        <w:rPr>
          <w:rFonts w:ascii="Arial" w:hAnsi="Arial" w:cs="Arial" w:eastAsia="Arial" w:hint="default"/>
          <w:spacing w:val="-8"/>
        </w:rPr>
        <w:t> </w:t>
      </w:r>
      <w:r>
        <w:rPr/>
        <w:t>元，</w:t>
      </w:r>
    </w:p>
    <w:p>
      <w:pPr>
        <w:pStyle w:val="BodyText"/>
        <w:spacing w:line="240" w:lineRule="auto" w:before="70"/>
        <w:ind w:left="138" w:right="0"/>
        <w:jc w:val="both"/>
        <w:rPr>
          <w:rFonts w:ascii="Arial" w:hAnsi="Arial" w:cs="Arial" w:eastAsia="Arial" w:hint="default"/>
        </w:rPr>
      </w:pPr>
      <w:r>
        <w:rPr/>
        <w:t>其中</w:t>
      </w:r>
      <w:r>
        <w:rPr>
          <w:spacing w:val="-57"/>
        </w:rPr>
        <w:t> </w:t>
      </w:r>
      <w:r>
        <w:rPr>
          <w:rFonts w:ascii="Arial" w:hAnsi="Arial" w:cs="Arial" w:eastAsia="Arial" w:hint="default"/>
        </w:rPr>
        <w:t>4,619,657,587</w:t>
      </w:r>
      <w:r>
        <w:rPr>
          <w:rFonts w:ascii="Arial" w:hAnsi="Arial" w:cs="Arial" w:eastAsia="Arial" w:hint="default"/>
          <w:spacing w:val="-10"/>
        </w:rPr>
        <w:t> </w:t>
      </w:r>
      <w:r>
        <w:rPr/>
        <w:t>元按浮动利率计息，其余部分按固定利率计息；应付债券本金</w:t>
      </w:r>
      <w:r>
        <w:rPr>
          <w:spacing w:val="-57"/>
        </w:rPr>
        <w:t> </w:t>
      </w:r>
      <w:r>
        <w:rPr>
          <w:rFonts w:ascii="Arial" w:hAnsi="Arial" w:cs="Arial" w:eastAsia="Arial" w:hint="default"/>
        </w:rPr>
        <w:t>2,116,900,000</w:t>
      </w:r>
    </w:p>
    <w:p>
      <w:pPr>
        <w:pStyle w:val="BodyText"/>
        <w:spacing w:line="297" w:lineRule="auto" w:before="70"/>
        <w:ind w:left="138" w:right="209"/>
        <w:jc w:val="both"/>
      </w:pPr>
      <w:r>
        <w:rPr>
          <w:spacing w:val="-4"/>
        </w:rPr>
        <w:t>元，按固定利率计息；银行借款本金</w:t>
      </w:r>
      <w:r>
        <w:rPr>
          <w:spacing w:val="-42"/>
        </w:rPr>
        <w:t> </w:t>
      </w:r>
      <w:r>
        <w:rPr>
          <w:rFonts w:ascii="Arial" w:hAnsi="Arial" w:cs="Arial" w:eastAsia="Arial" w:hint="default"/>
        </w:rPr>
        <w:t>289,191,577</w:t>
      </w:r>
      <w:r>
        <w:rPr>
          <w:rFonts w:ascii="Arial" w:hAnsi="Arial" w:cs="Arial" w:eastAsia="Arial" w:hint="default"/>
          <w:spacing w:val="1"/>
        </w:rPr>
        <w:t> </w:t>
      </w:r>
      <w:r>
        <w:rPr>
          <w:spacing w:val="-6"/>
        </w:rPr>
        <w:t>元，其中</w:t>
      </w:r>
      <w:r>
        <w:rPr>
          <w:spacing w:val="-46"/>
        </w:rPr>
        <w:t> </w:t>
      </w:r>
      <w:r>
        <w:rPr>
          <w:rFonts w:ascii="Arial" w:hAnsi="Arial" w:cs="Arial" w:eastAsia="Arial" w:hint="default"/>
        </w:rPr>
        <w:t>85,160,687</w:t>
      </w:r>
      <w:r>
        <w:rPr>
          <w:rFonts w:ascii="Arial" w:hAnsi="Arial" w:cs="Arial" w:eastAsia="Arial" w:hint="default"/>
          <w:spacing w:val="1"/>
        </w:rPr>
        <w:t> </w:t>
      </w:r>
      <w:r>
        <w:rPr>
          <w:spacing w:val="-3"/>
        </w:rPr>
        <w:t>元为浮动利率合同，其余部</w:t>
      </w:r>
      <w:r>
        <w:rPr>
          <w:spacing w:val="-101"/>
        </w:rPr>
        <w:t> </w:t>
      </w:r>
      <w:r>
        <w:rPr>
          <w:spacing w:val="-101"/>
        </w:rPr>
      </w:r>
      <w:r>
        <w:rPr/>
        <w:t>分为固定利率合同。</w:t>
      </w:r>
    </w:p>
    <w:p>
      <w:pPr>
        <w:pStyle w:val="BodyText"/>
        <w:spacing w:line="307" w:lineRule="auto" w:before="35"/>
        <w:ind w:left="138" w:right="0" w:firstLine="420"/>
        <w:jc w:val="left"/>
      </w:pPr>
      <w:r>
        <w:rPr/>
        <w:t>于</w:t>
      </w:r>
      <w:r>
        <w:rPr>
          <w:spacing w:val="-51"/>
        </w:rPr>
        <w:t> </w:t>
      </w:r>
      <w:r>
        <w:rPr>
          <w:rFonts w:ascii="Arial" w:hAnsi="Arial" w:cs="Arial" w:eastAsia="Arial" w:hint="default"/>
        </w:rPr>
        <w:t>2019</w:t>
      </w:r>
      <w:r>
        <w:rPr>
          <w:rFonts w:ascii="Arial" w:hAnsi="Arial" w:cs="Arial" w:eastAsia="Arial" w:hint="default"/>
          <w:spacing w:val="-6"/>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4"/>
        </w:rPr>
        <w:t> </w:t>
      </w:r>
      <w:r>
        <w:rPr>
          <w:spacing w:val="-4"/>
        </w:rPr>
        <w:t>日，本集团带息资产包括货币资金</w:t>
      </w:r>
      <w:r>
        <w:rPr>
          <w:spacing w:val="-50"/>
        </w:rPr>
        <w:t> </w:t>
      </w:r>
      <w:r>
        <w:rPr>
          <w:rFonts w:ascii="Arial" w:hAnsi="Arial" w:cs="Arial" w:eastAsia="Arial" w:hint="default"/>
        </w:rPr>
        <w:t>6,846,399,847</w:t>
      </w:r>
      <w:r>
        <w:rPr>
          <w:rFonts w:ascii="Arial" w:hAnsi="Arial" w:cs="Arial" w:eastAsia="Arial" w:hint="default"/>
          <w:spacing w:val="-4"/>
        </w:rPr>
        <w:t> </w:t>
      </w:r>
      <w:r>
        <w:rPr>
          <w:spacing w:val="-10"/>
        </w:rPr>
        <w:t>元，其中</w:t>
      </w:r>
      <w:r>
        <w:rPr>
          <w:spacing w:val="-50"/>
        </w:rPr>
        <w:t> </w:t>
      </w:r>
      <w:r>
        <w:rPr>
          <w:rFonts w:ascii="Arial" w:hAnsi="Arial" w:cs="Arial" w:eastAsia="Arial" w:hint="default"/>
        </w:rPr>
        <w:t>4,720,623,847</w:t>
      </w:r>
      <w:r>
        <w:rPr>
          <w:rFonts w:ascii="Arial" w:hAnsi="Arial" w:cs="Arial" w:eastAsia="Arial" w:hint="default"/>
          <w:w w:val="100"/>
        </w:rPr>
        <w:t> </w:t>
      </w:r>
      <w:r>
        <w:rPr/>
        <w:t>元按浮动利率计息，其余部分按固定利率计息；以及向关联方及第三方提供的贷款本金</w:t>
      </w:r>
      <w:r>
        <w:rPr>
          <w:w w:val="100"/>
        </w:rPr>
        <w:t> </w:t>
      </w:r>
      <w:r>
        <w:rPr>
          <w:rFonts w:ascii="Arial" w:hAnsi="Arial" w:cs="Arial" w:eastAsia="Arial" w:hint="default"/>
        </w:rPr>
        <w:t>2,599,309,735</w:t>
      </w:r>
      <w:r>
        <w:rPr>
          <w:rFonts w:ascii="Arial" w:hAnsi="Arial" w:cs="Arial" w:eastAsia="Arial" w:hint="default"/>
          <w:spacing w:val="-8"/>
        </w:rPr>
        <w:t> </w:t>
      </w:r>
      <w:r>
        <w:rPr/>
        <w:t>元，其中</w:t>
      </w:r>
      <w:r>
        <w:rPr>
          <w:spacing w:val="-55"/>
        </w:rPr>
        <w:t> </w:t>
      </w:r>
      <w:r>
        <w:rPr>
          <w:rFonts w:ascii="Arial" w:hAnsi="Arial" w:cs="Arial" w:eastAsia="Arial" w:hint="default"/>
        </w:rPr>
        <w:t>801,733,002</w:t>
      </w:r>
      <w:r>
        <w:rPr>
          <w:rFonts w:ascii="Arial" w:hAnsi="Arial" w:cs="Arial" w:eastAsia="Arial" w:hint="default"/>
          <w:spacing w:val="-9"/>
        </w:rPr>
        <w:t> </w:t>
      </w:r>
      <w:r>
        <w:rPr/>
        <w:t>元为浮动利率合同，其余部分为固定利率合同。</w:t>
      </w:r>
    </w:p>
    <w:p>
      <w:pPr>
        <w:pStyle w:val="BodyText"/>
        <w:spacing w:line="309" w:lineRule="auto" w:before="4"/>
        <w:ind w:left="138" w:right="212" w:firstLine="420"/>
        <w:jc w:val="both"/>
      </w:pPr>
      <w:r>
        <w:rPr>
          <w:spacing w:val="-2"/>
        </w:rPr>
        <w:t>本集团持续监控集团利率水平。利率上升会增加新增带息债务的成本以及本集团尚未付清的以</w:t>
      </w:r>
      <w:r>
        <w:rPr>
          <w:w w:val="100"/>
        </w:rPr>
        <w:t> </w:t>
      </w:r>
      <w:r>
        <w:rPr>
          <w:spacing w:val="-2"/>
        </w:rPr>
        <w:t>浮动利率计息的带息债务的利息支出，并对本集团的财务业绩产生不利影响，管理层会依据最新的</w:t>
      </w:r>
      <w:r>
        <w:rPr>
          <w:spacing w:val="-25"/>
        </w:rPr>
        <w:t> </w:t>
      </w:r>
      <w:r>
        <w:rPr>
          <w:spacing w:val="-25"/>
        </w:rPr>
      </w:r>
      <w:r>
        <w:rPr>
          <w:spacing w:val="-8"/>
          <w:w w:val="100"/>
        </w:rPr>
        <w:t>市场状况及时做出调整，这些调整可能是进行利率互换的安排来降低利率风险。于</w:t>
      </w:r>
      <w:r>
        <w:rPr>
          <w:spacing w:val="-45"/>
          <w:w w:val="100"/>
        </w:rPr>
        <w:t> </w:t>
      </w:r>
      <w:r>
        <w:rPr>
          <w:rFonts w:ascii="Arial" w:hAnsi="Arial" w:cs="Arial" w:eastAsia="Arial" w:hint="default"/>
          <w:spacing w:val="-2"/>
          <w:w w:val="100"/>
        </w:rPr>
        <w:t>2019</w:t>
      </w:r>
      <w:r>
        <w:rPr>
          <w:rFonts w:ascii="Arial" w:hAnsi="Arial" w:cs="Arial" w:eastAsia="Arial" w:hint="default"/>
          <w:spacing w:val="3"/>
          <w:w w:val="100"/>
        </w:rPr>
        <w:t> </w:t>
      </w:r>
      <w:r>
        <w:rPr>
          <w:spacing w:val="-1"/>
          <w:w w:val="100"/>
        </w:rPr>
        <w:t>年度及</w:t>
      </w:r>
      <w:r>
        <w:rPr>
          <w:spacing w:val="-47"/>
          <w:w w:val="100"/>
        </w:rPr>
        <w:t> </w:t>
      </w:r>
      <w:r>
        <w:rPr>
          <w:rFonts w:ascii="Arial" w:hAnsi="Arial" w:cs="Arial" w:eastAsia="Arial" w:hint="default"/>
          <w:spacing w:val="-1"/>
          <w:w w:val="100"/>
        </w:rPr>
        <w:t>2018</w:t>
      </w:r>
      <w:r>
        <w:rPr>
          <w:rFonts w:ascii="Arial" w:hAnsi="Arial" w:cs="Arial" w:eastAsia="Arial" w:hint="default"/>
          <w:spacing w:val="-55"/>
          <w:w w:val="100"/>
        </w:rPr>
        <w:t> </w:t>
      </w:r>
      <w:r>
        <w:rPr>
          <w:rFonts w:ascii="Arial" w:hAnsi="Arial" w:cs="Arial" w:eastAsia="Arial" w:hint="default"/>
          <w:spacing w:val="-55"/>
          <w:w w:val="100"/>
        </w:rPr>
      </w:r>
      <w:r>
        <w:rPr/>
        <w:t>年度本集团并无利率互换安排。</w:t>
      </w:r>
    </w:p>
    <w:p>
      <w:pPr>
        <w:pStyle w:val="BodyText"/>
        <w:spacing w:line="240" w:lineRule="auto" w:before="24"/>
        <w:ind w:left="558" w:right="0"/>
        <w:jc w:val="left"/>
      </w:pPr>
      <w:r>
        <w:rPr/>
        <w:t>于</w:t>
      </w:r>
      <w:r>
        <w:rPr>
          <w:spacing w:val="-46"/>
        </w:rPr>
        <w:t> </w:t>
      </w:r>
      <w:r>
        <w:rPr>
          <w:rFonts w:ascii="Arial" w:hAnsi="Arial" w:cs="Arial" w:eastAsia="Arial" w:hint="default"/>
        </w:rPr>
        <w:t>2019</w:t>
      </w:r>
      <w:r>
        <w:rPr>
          <w:rFonts w:ascii="Arial" w:hAnsi="Arial" w:cs="Arial" w:eastAsia="Arial" w:hint="default"/>
          <w:spacing w:val="-1"/>
        </w:rPr>
        <w:t> </w:t>
      </w:r>
      <w:r>
        <w:rPr/>
        <w:t>年</w:t>
      </w:r>
      <w:r>
        <w:rPr>
          <w:spacing w:val="-46"/>
        </w:rPr>
        <w:t> </w:t>
      </w:r>
      <w:r>
        <w:rPr>
          <w:rFonts w:ascii="Arial" w:hAnsi="Arial" w:cs="Arial" w:eastAsia="Arial" w:hint="default"/>
        </w:rPr>
        <w:t>12</w:t>
      </w:r>
      <w:r>
        <w:rPr>
          <w:rFonts w:ascii="Arial" w:hAnsi="Arial" w:cs="Arial" w:eastAsia="Arial" w:hint="default"/>
          <w:spacing w:val="-1"/>
        </w:rPr>
        <w:t> </w:t>
      </w:r>
      <w:r>
        <w:rPr/>
        <w:t>月</w:t>
      </w:r>
      <w:r>
        <w:rPr>
          <w:spacing w:val="-46"/>
        </w:rPr>
        <w:t> </w:t>
      </w:r>
      <w:r>
        <w:rPr>
          <w:rFonts w:ascii="Arial" w:hAnsi="Arial" w:cs="Arial" w:eastAsia="Arial" w:hint="default"/>
        </w:rPr>
        <w:t>31</w:t>
      </w:r>
      <w:r>
        <w:rPr>
          <w:rFonts w:ascii="Arial" w:hAnsi="Arial" w:cs="Arial" w:eastAsia="Arial" w:hint="default"/>
          <w:spacing w:val="1"/>
        </w:rPr>
        <w:t> </w:t>
      </w:r>
      <w:r>
        <w:rPr>
          <w:spacing w:val="-4"/>
        </w:rPr>
        <w:t>日，如果以浮动利率计算的借款利率上升或下降</w:t>
      </w:r>
      <w:r>
        <w:rPr>
          <w:spacing w:val="-45"/>
        </w:rPr>
        <w:t> </w:t>
      </w:r>
      <w:r>
        <w:rPr>
          <w:rFonts w:ascii="Arial" w:hAnsi="Arial" w:cs="Arial" w:eastAsia="Arial" w:hint="default"/>
        </w:rPr>
        <w:t>50</w:t>
      </w:r>
      <w:r>
        <w:rPr>
          <w:rFonts w:ascii="Arial" w:hAnsi="Arial" w:cs="Arial" w:eastAsia="Arial" w:hint="default"/>
          <w:spacing w:val="1"/>
        </w:rPr>
        <w:t> </w:t>
      </w:r>
      <w:r>
        <w:rPr>
          <w:spacing w:val="-6"/>
        </w:rPr>
        <w:t>个基点，其他因素保持</w:t>
      </w:r>
    </w:p>
    <w:p>
      <w:pPr>
        <w:pStyle w:val="BodyText"/>
        <w:spacing w:line="240" w:lineRule="auto" w:before="70"/>
        <w:ind w:left="138" w:right="0"/>
        <w:jc w:val="both"/>
      </w:pPr>
      <w:r>
        <w:rPr/>
        <w:t>不变，则本集团的净利润会减少或增加约</w:t>
      </w:r>
      <w:r>
        <w:rPr>
          <w:spacing w:val="-53"/>
        </w:rPr>
        <w:t> </w:t>
      </w:r>
      <w:r>
        <w:rPr>
          <w:rFonts w:ascii="Arial" w:hAnsi="Arial" w:cs="Arial" w:eastAsia="Arial" w:hint="default"/>
        </w:rPr>
        <w:t>320,000</w:t>
      </w:r>
      <w:r>
        <w:rPr>
          <w:rFonts w:ascii="Arial" w:hAnsi="Arial" w:cs="Arial" w:eastAsia="Arial" w:hint="default"/>
          <w:spacing w:val="-8"/>
        </w:rPr>
        <w:t> </w:t>
      </w:r>
      <w:r>
        <w:rPr/>
        <w:t>元</w:t>
      </w:r>
      <w:r>
        <w:rPr>
          <w:rFonts w:ascii="Arial" w:hAnsi="Arial" w:cs="Arial" w:eastAsia="Arial" w:hint="default"/>
        </w:rPr>
        <w:t>(2018</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日：约</w:t>
      </w:r>
      <w:r>
        <w:rPr>
          <w:spacing w:val="-53"/>
        </w:rPr>
        <w:t> </w:t>
      </w:r>
      <w:r>
        <w:rPr>
          <w:rFonts w:ascii="Arial" w:hAnsi="Arial" w:cs="Arial" w:eastAsia="Arial" w:hint="default"/>
        </w:rPr>
        <w:t>790,000</w:t>
      </w:r>
      <w:r>
        <w:rPr>
          <w:rFonts w:ascii="Arial" w:hAnsi="Arial" w:cs="Arial" w:eastAsia="Arial" w:hint="default"/>
          <w:spacing w:val="-7"/>
        </w:rPr>
        <w:t> </w:t>
      </w:r>
      <w:r>
        <w:rPr/>
        <w:t>元</w:t>
      </w:r>
      <w:r>
        <w:rPr>
          <w:rFonts w:ascii="Arial" w:hAnsi="Arial" w:cs="Arial" w:eastAsia="Arial" w:hint="default"/>
        </w:rPr>
        <w:t>)</w:t>
      </w:r>
      <w:r>
        <w:rPr/>
        <w:t>。</w:t>
      </w:r>
    </w:p>
    <w:p>
      <w:pPr>
        <w:pStyle w:val="BodyText"/>
        <w:spacing w:line="297" w:lineRule="auto" w:before="70"/>
        <w:ind w:left="138" w:right="212" w:firstLine="420"/>
        <w:jc w:val="both"/>
      </w:pPr>
      <w:r>
        <w:rPr/>
        <w:t>于</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日，如果以浮动利率计算的货币资金、向关联方提供的贷款、青港财务公</w:t>
      </w:r>
      <w:r>
        <w:rPr>
          <w:w w:val="100"/>
        </w:rPr>
        <w:t> </w:t>
      </w:r>
      <w:r>
        <w:rPr/>
        <w:t>司吸收存款的利率在</w:t>
      </w:r>
      <w:r>
        <w:rPr>
          <w:spacing w:val="-45"/>
        </w:rPr>
        <w:t> </w:t>
      </w:r>
      <w:r>
        <w:rPr>
          <w:rFonts w:ascii="Arial" w:hAnsi="Arial" w:cs="Arial" w:eastAsia="Arial" w:hint="default"/>
        </w:rPr>
        <w:t>2019</w:t>
      </w:r>
      <w:r>
        <w:rPr>
          <w:rFonts w:ascii="Arial" w:hAnsi="Arial" w:cs="Arial" w:eastAsia="Arial" w:hint="default"/>
          <w:spacing w:val="3"/>
        </w:rPr>
        <w:t> </w:t>
      </w:r>
      <w:r>
        <w:rPr/>
        <w:t>年度平均利率基础上上升或下降</w:t>
      </w:r>
      <w:r>
        <w:rPr>
          <w:spacing w:val="-45"/>
        </w:rPr>
        <w:t> </w:t>
      </w:r>
      <w:r>
        <w:rPr>
          <w:rFonts w:ascii="Arial" w:hAnsi="Arial" w:cs="Arial" w:eastAsia="Arial" w:hint="default"/>
          <w:spacing w:val="-5"/>
        </w:rPr>
        <w:t>8%</w:t>
      </w:r>
      <w:r>
        <w:rPr>
          <w:spacing w:val="-5"/>
        </w:rPr>
        <w:t>，而其他因素保持不变，本集团的净</w:t>
      </w:r>
      <w:r>
        <w:rPr>
          <w:spacing w:val="-102"/>
        </w:rPr>
        <w:t> </w:t>
      </w:r>
      <w:r>
        <w:rPr>
          <w:spacing w:val="-102"/>
        </w:rPr>
      </w:r>
      <w:r>
        <w:rPr/>
        <w:t>利润会增加或减少约</w:t>
      </w:r>
      <w:r>
        <w:rPr>
          <w:spacing w:val="-53"/>
        </w:rPr>
        <w:t> </w:t>
      </w:r>
      <w:r>
        <w:rPr>
          <w:rFonts w:ascii="Arial" w:hAnsi="Arial" w:cs="Arial" w:eastAsia="Arial" w:hint="default"/>
        </w:rPr>
        <w:t>2,121,000</w:t>
      </w:r>
      <w:r>
        <w:rPr>
          <w:rFonts w:ascii="Arial" w:hAnsi="Arial" w:cs="Arial" w:eastAsia="Arial" w:hint="default"/>
          <w:spacing w:val="-7"/>
        </w:rPr>
        <w:t> </w:t>
      </w:r>
      <w:r>
        <w:rPr/>
        <w:t>元</w:t>
      </w: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6"/>
        </w:rPr>
        <w:t> </w:t>
      </w:r>
      <w:r>
        <w:rPr/>
        <w:t>日：</w:t>
      </w:r>
      <w:r>
        <w:rPr>
          <w:rFonts w:ascii="Arial" w:hAnsi="Arial" w:cs="Arial" w:eastAsia="Arial" w:hint="default"/>
        </w:rPr>
        <w:t>5,644,000</w:t>
      </w:r>
      <w:r>
        <w:rPr>
          <w:rFonts w:ascii="Arial" w:hAnsi="Arial" w:cs="Arial" w:eastAsia="Arial" w:hint="default"/>
          <w:spacing w:val="-8"/>
        </w:rPr>
        <w:t> </w:t>
      </w:r>
      <w:r>
        <w:rPr/>
        <w:t>元</w:t>
      </w:r>
      <w:r>
        <w:rPr>
          <w:rFonts w:ascii="Arial" w:hAnsi="Arial" w:cs="Arial" w:eastAsia="Arial" w:hint="default"/>
        </w:rPr>
        <w:t>)</w:t>
      </w:r>
      <w:r>
        <w:rPr/>
        <w:t>。</w:t>
      </w:r>
    </w:p>
    <w:p>
      <w:pPr>
        <w:pStyle w:val="BodyText"/>
        <w:spacing w:line="297" w:lineRule="auto" w:before="14"/>
        <w:ind w:left="558" w:right="0"/>
        <w:jc w:val="left"/>
      </w:pPr>
      <w:r>
        <w:rPr>
          <w:rFonts w:ascii="Times New Roman" w:hAnsi="Times New Roman" w:cs="Times New Roman" w:eastAsia="Times New Roman" w:hint="default"/>
        </w:rPr>
        <w:t>(c)</w:t>
      </w:r>
      <w:r>
        <w:rPr/>
        <w:t>其他价格风险</w:t>
      </w:r>
      <w:r>
        <w:rPr>
          <w:rFonts w:ascii="宋体" w:hAnsi="宋体" w:cs="宋体" w:eastAsia="宋体" w:hint="default"/>
          <w:w w:val="100"/>
        </w:rPr>
        <w:t> </w:t>
      </w:r>
      <w:r>
        <w:rPr>
          <w:spacing w:val="-2"/>
        </w:rPr>
        <w:t>本集团其他价格风险主要产生于各类权益工具投资，存在权益工具价格变动的风险。</w:t>
      </w:r>
    </w:p>
    <w:p>
      <w:pPr>
        <w:pStyle w:val="BodyText"/>
        <w:spacing w:line="240" w:lineRule="auto" w:before="34"/>
        <w:ind w:left="558" w:right="0"/>
        <w:jc w:val="left"/>
      </w:pPr>
      <w:r>
        <w:rPr/>
        <w:t>于</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日，如果本集团各类权益工具投资的预期价格上涨或下跌</w:t>
      </w:r>
      <w:r>
        <w:rPr>
          <w:spacing w:val="-54"/>
        </w:rPr>
        <w:t> </w:t>
      </w:r>
      <w:r>
        <w:rPr>
          <w:rFonts w:ascii="Arial" w:hAnsi="Arial" w:cs="Arial" w:eastAsia="Arial" w:hint="default"/>
        </w:rPr>
        <w:t>10%</w:t>
      </w:r>
      <w:r>
        <w:rPr/>
        <w:t>，其他因素</w:t>
      </w:r>
    </w:p>
    <w:p>
      <w:pPr>
        <w:pStyle w:val="BodyText"/>
        <w:spacing w:line="240" w:lineRule="auto" w:before="70"/>
        <w:ind w:left="138" w:right="0"/>
        <w:jc w:val="both"/>
        <w:rPr>
          <w:rFonts w:ascii="宋体" w:hAnsi="宋体" w:cs="宋体" w:eastAsia="宋体" w:hint="default"/>
        </w:rPr>
      </w:pPr>
      <w:r>
        <w:rPr>
          <w:w w:val="100"/>
        </w:rPr>
        <w:t>保持</w:t>
      </w:r>
      <w:r>
        <w:rPr>
          <w:spacing w:val="-3"/>
          <w:w w:val="100"/>
        </w:rPr>
        <w:t>不</w:t>
      </w:r>
      <w:r>
        <w:rPr>
          <w:w w:val="100"/>
        </w:rPr>
        <w:t>变</w:t>
      </w:r>
      <w:r>
        <w:rPr>
          <w:spacing w:val="-3"/>
          <w:w w:val="100"/>
        </w:rPr>
        <w:t>，</w:t>
      </w:r>
      <w:r>
        <w:rPr>
          <w:w w:val="100"/>
        </w:rPr>
        <w:t>则</w:t>
      </w:r>
      <w:r>
        <w:rPr>
          <w:spacing w:val="-3"/>
          <w:w w:val="100"/>
        </w:rPr>
        <w:t>本</w:t>
      </w:r>
      <w:r>
        <w:rPr>
          <w:w w:val="100"/>
        </w:rPr>
        <w:t>集</w:t>
      </w:r>
      <w:r>
        <w:rPr>
          <w:spacing w:val="-3"/>
          <w:w w:val="100"/>
        </w:rPr>
        <w:t>团</w:t>
      </w:r>
      <w:r>
        <w:rPr>
          <w:w w:val="100"/>
        </w:rPr>
        <w:t>将</w:t>
      </w:r>
      <w:r>
        <w:rPr>
          <w:spacing w:val="-3"/>
          <w:w w:val="100"/>
        </w:rPr>
        <w:t>增</w:t>
      </w:r>
      <w:r>
        <w:rPr>
          <w:w w:val="100"/>
        </w:rPr>
        <w:t>加或</w:t>
      </w:r>
      <w:r>
        <w:rPr>
          <w:spacing w:val="-3"/>
          <w:w w:val="100"/>
        </w:rPr>
        <w:t>减</w:t>
      </w:r>
      <w:r>
        <w:rPr>
          <w:w w:val="100"/>
        </w:rPr>
        <w:t>少</w:t>
      </w:r>
      <w:r>
        <w:rPr>
          <w:spacing w:val="-3"/>
          <w:w w:val="100"/>
        </w:rPr>
        <w:t>净</w:t>
      </w:r>
      <w:r>
        <w:rPr>
          <w:w w:val="100"/>
        </w:rPr>
        <w:t>利</w:t>
      </w:r>
      <w:r>
        <w:rPr>
          <w:spacing w:val="-3"/>
          <w:w w:val="100"/>
        </w:rPr>
        <w:t>润</w:t>
      </w:r>
      <w:r>
        <w:rPr>
          <w:w w:val="100"/>
        </w:rPr>
        <w:t>约</w:t>
      </w:r>
      <w:r>
        <w:rPr>
          <w:spacing w:val="-50"/>
        </w:rPr>
        <w:t> </w:t>
      </w:r>
      <w:r>
        <w:rPr>
          <w:rFonts w:ascii="Arial" w:hAnsi="Arial" w:cs="Arial" w:eastAsia="Arial" w:hint="default"/>
          <w:spacing w:val="2"/>
          <w:w w:val="100"/>
        </w:rPr>
        <w:t>5</w:t>
      </w:r>
      <w:r>
        <w:rPr>
          <w:rFonts w:ascii="Arial" w:hAnsi="Arial" w:cs="Arial" w:eastAsia="Arial" w:hint="default"/>
          <w:spacing w:val="1"/>
          <w:w w:val="100"/>
        </w:rPr>
        <w:t>,</w:t>
      </w:r>
      <w:r>
        <w:rPr>
          <w:rFonts w:ascii="Arial" w:hAnsi="Arial" w:cs="Arial" w:eastAsia="Arial" w:hint="default"/>
          <w:w w:val="100"/>
        </w:rPr>
        <w:t>4</w:t>
      </w:r>
      <w:r>
        <w:rPr>
          <w:rFonts w:ascii="Arial" w:hAnsi="Arial" w:cs="Arial" w:eastAsia="Arial" w:hint="default"/>
          <w:spacing w:val="2"/>
          <w:w w:val="100"/>
        </w:rPr>
        <w:t>16</w:t>
      </w:r>
      <w:r>
        <w:rPr>
          <w:rFonts w:ascii="Arial" w:hAnsi="Arial" w:cs="Arial" w:eastAsia="Arial" w:hint="default"/>
          <w:spacing w:val="1"/>
          <w:w w:val="100"/>
        </w:rPr>
        <w:t>,</w:t>
      </w:r>
      <w:r>
        <w:rPr>
          <w:rFonts w:ascii="Arial" w:hAnsi="Arial" w:cs="Arial" w:eastAsia="Arial" w:hint="default"/>
          <w:w w:val="100"/>
        </w:rPr>
        <w:t>0</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spacing w:val="-2"/>
        </w:rPr>
        <w:t> </w:t>
      </w:r>
      <w:r>
        <w:rPr>
          <w:spacing w:val="2"/>
          <w:w w:val="100"/>
        </w:rPr>
        <w:t>元</w:t>
      </w:r>
      <w:r>
        <w:rPr>
          <w:rFonts w:ascii="Arial" w:hAnsi="Arial" w:cs="Arial" w:eastAsia="Arial" w:hint="default"/>
          <w:spacing w:val="1"/>
          <w:w w:val="100"/>
        </w:rPr>
        <w:t>(</w:t>
      </w:r>
      <w:r>
        <w:rPr>
          <w:rFonts w:ascii="Arial" w:hAnsi="Arial" w:cs="Arial" w:eastAsia="Arial" w:hint="default"/>
          <w:w w:val="100"/>
        </w:rPr>
        <w:t>2</w:t>
      </w:r>
      <w:r>
        <w:rPr>
          <w:rFonts w:ascii="Arial" w:hAnsi="Arial" w:cs="Arial" w:eastAsia="Arial" w:hint="default"/>
          <w:spacing w:val="2"/>
          <w:w w:val="100"/>
        </w:rPr>
        <w:t>0</w:t>
      </w:r>
      <w:r>
        <w:rPr>
          <w:rFonts w:ascii="Arial" w:hAnsi="Arial" w:cs="Arial" w:eastAsia="Arial" w:hint="default"/>
          <w:w w:val="100"/>
        </w:rPr>
        <w:t>18</w:t>
      </w:r>
      <w:r>
        <w:rPr>
          <w:rFonts w:ascii="Arial" w:hAnsi="Arial" w:cs="Arial" w:eastAsia="Arial" w:hint="default"/>
          <w:spacing w:val="-3"/>
        </w:rPr>
        <w:t> </w:t>
      </w:r>
      <w:r>
        <w:rPr>
          <w:w w:val="100"/>
        </w:rPr>
        <w:t>年</w:t>
      </w:r>
      <w:r>
        <w:rPr>
          <w:spacing w:val="-53"/>
        </w:rPr>
        <w:t> </w:t>
      </w:r>
      <w:r>
        <w:rPr>
          <w:rFonts w:ascii="Arial" w:hAnsi="Arial" w:cs="Arial" w:eastAsia="Arial" w:hint="default"/>
          <w:spacing w:val="2"/>
          <w:w w:val="100"/>
        </w:rPr>
        <w:t>1</w:t>
      </w:r>
      <w:r>
        <w:rPr>
          <w:rFonts w:ascii="Arial" w:hAnsi="Arial" w:cs="Arial" w:eastAsia="Arial" w:hint="default"/>
          <w:w w:val="100"/>
        </w:rPr>
        <w:t>2</w:t>
      </w:r>
      <w:r>
        <w:rPr>
          <w:rFonts w:ascii="Arial" w:hAnsi="Arial" w:cs="Arial" w:eastAsia="Arial" w:hint="default"/>
          <w:spacing w:val="-6"/>
        </w:rPr>
        <w:t> </w:t>
      </w:r>
      <w:r>
        <w:rPr>
          <w:w w:val="100"/>
        </w:rPr>
        <w:t>月</w:t>
      </w:r>
      <w:r>
        <w:rPr>
          <w:spacing w:val="-50"/>
        </w:rPr>
        <w:t> </w:t>
      </w:r>
      <w:r>
        <w:rPr>
          <w:rFonts w:ascii="Arial" w:hAnsi="Arial" w:cs="Arial" w:eastAsia="Arial" w:hint="default"/>
          <w:spacing w:val="2"/>
          <w:w w:val="100"/>
        </w:rPr>
        <w:t>3</w:t>
      </w:r>
      <w:r>
        <w:rPr>
          <w:rFonts w:ascii="Arial" w:hAnsi="Arial" w:cs="Arial" w:eastAsia="Arial" w:hint="default"/>
          <w:w w:val="100"/>
        </w:rPr>
        <w:t>1</w:t>
      </w:r>
      <w:r>
        <w:rPr>
          <w:rFonts w:ascii="Arial" w:hAnsi="Arial" w:cs="Arial" w:eastAsia="Arial" w:hint="default"/>
          <w:spacing w:val="-6"/>
        </w:rPr>
        <w:t> </w:t>
      </w:r>
      <w:r>
        <w:rPr>
          <w:w w:val="100"/>
        </w:rPr>
        <w:t>日</w:t>
      </w:r>
      <w:r>
        <w:rPr>
          <w:spacing w:val="2"/>
          <w:w w:val="100"/>
        </w:rPr>
        <w:t>：</w:t>
      </w:r>
      <w:r>
        <w:rPr>
          <w:w w:val="100"/>
        </w:rPr>
        <w:t>约</w:t>
      </w:r>
      <w:r>
        <w:rPr>
          <w:spacing w:val="-49"/>
        </w:rPr>
        <w:t> </w:t>
      </w:r>
      <w:r>
        <w:rPr>
          <w:rFonts w:ascii="Arial" w:hAnsi="Arial" w:cs="Arial" w:eastAsia="Arial" w:hint="default"/>
          <w:spacing w:val="2"/>
          <w:w w:val="100"/>
        </w:rPr>
        <w:t>5</w:t>
      </w:r>
      <w:r>
        <w:rPr>
          <w:rFonts w:ascii="Arial" w:hAnsi="Arial" w:cs="Arial" w:eastAsia="Arial" w:hint="default"/>
          <w:spacing w:val="1"/>
          <w:w w:val="100"/>
        </w:rPr>
        <w:t>,</w:t>
      </w:r>
      <w:r>
        <w:rPr>
          <w:rFonts w:ascii="Arial" w:hAnsi="Arial" w:cs="Arial" w:eastAsia="Arial" w:hint="default"/>
          <w:w w:val="100"/>
        </w:rPr>
        <w:t>4</w:t>
      </w:r>
      <w:r>
        <w:rPr>
          <w:rFonts w:ascii="Arial" w:hAnsi="Arial" w:cs="Arial" w:eastAsia="Arial" w:hint="default"/>
          <w:spacing w:val="2"/>
          <w:w w:val="100"/>
        </w:rPr>
        <w:t>16</w:t>
      </w:r>
      <w:r>
        <w:rPr>
          <w:rFonts w:ascii="Arial" w:hAnsi="Arial" w:cs="Arial" w:eastAsia="Arial" w:hint="default"/>
          <w:spacing w:val="1"/>
          <w:w w:val="100"/>
        </w:rPr>
        <w:t>,</w:t>
      </w:r>
      <w:r>
        <w:rPr>
          <w:rFonts w:ascii="Arial" w:hAnsi="Arial" w:cs="Arial" w:eastAsia="Arial" w:hint="default"/>
          <w:spacing w:val="2"/>
          <w:w w:val="100"/>
        </w:rPr>
        <w:t>0</w:t>
      </w:r>
      <w:r>
        <w:rPr>
          <w:rFonts w:ascii="Arial" w:hAnsi="Arial" w:cs="Arial" w:eastAsia="Arial" w:hint="default"/>
          <w:w w:val="100"/>
        </w:rPr>
        <w:t>00</w:t>
      </w:r>
      <w:r>
        <w:rPr>
          <w:rFonts w:ascii="Arial" w:hAnsi="Arial" w:cs="Arial" w:eastAsia="Arial" w:hint="default"/>
          <w:spacing w:val="-2"/>
        </w:rPr>
        <w:t> </w:t>
      </w:r>
      <w:r>
        <w:rPr>
          <w:spacing w:val="2"/>
          <w:w w:val="100"/>
        </w:rPr>
        <w:t>元</w:t>
      </w:r>
      <w:r>
        <w:rPr>
          <w:rFonts w:ascii="Arial" w:hAnsi="Arial" w:cs="Arial" w:eastAsia="Arial" w:hint="default"/>
          <w:spacing w:val="-1"/>
          <w:w w:val="100"/>
        </w:rPr>
        <w:t>)</w:t>
      </w:r>
      <w:r>
        <w:rPr>
          <w:spacing w:val="-106"/>
          <w:w w:val="100"/>
        </w:rPr>
        <w:t>。</w:t>
      </w:r>
      <w:r>
        <w:rPr>
          <w:rFonts w:ascii="宋体" w:hAnsi="宋体" w:cs="宋体" w:eastAsia="宋体" w:hint="default"/>
          <w:w w:val="100"/>
        </w:rPr>
        <w:t> </w:t>
      </w:r>
    </w:p>
    <w:p>
      <w:pPr>
        <w:pStyle w:val="BodyText"/>
        <w:spacing w:line="314" w:lineRule="auto" w:before="70"/>
        <w:ind w:left="558" w:right="0"/>
        <w:jc w:val="left"/>
      </w:pPr>
      <w:r>
        <w:rPr/>
        <w:t>（</w:t>
      </w:r>
      <w:r>
        <w:rPr>
          <w:rFonts w:ascii="宋体" w:hAnsi="宋体" w:cs="宋体" w:eastAsia="宋体" w:hint="default"/>
        </w:rPr>
        <w:t>2</w:t>
      </w:r>
      <w:r>
        <w:rPr/>
        <w:t>）信用风险</w:t>
      </w:r>
      <w:r>
        <w:rPr>
          <w:w w:val="100"/>
        </w:rPr>
        <w:t> </w:t>
      </w:r>
      <w:r>
        <w:rPr>
          <w:spacing w:val="-2"/>
        </w:rPr>
        <w:t>本集团信用风险主要产生于货币资金、应收票据、应收账款、应收款项融资、其他应收款、合</w:t>
      </w:r>
    </w:p>
    <w:p>
      <w:pPr>
        <w:pStyle w:val="BodyText"/>
        <w:spacing w:line="309" w:lineRule="auto" w:before="20"/>
        <w:ind w:left="138" w:right="209"/>
        <w:jc w:val="both"/>
      </w:pPr>
      <w:r>
        <w:rPr>
          <w:spacing w:val="-2"/>
        </w:rPr>
        <w:t>同资产、债权投资、其他债权投资和财务担保合同等，以及未纳入减值评估范围的以公允价值计量</w:t>
      </w:r>
      <w:r>
        <w:rPr>
          <w:spacing w:val="-25"/>
        </w:rPr>
        <w:t> </w:t>
      </w:r>
      <w:r>
        <w:rPr>
          <w:spacing w:val="-25"/>
        </w:rPr>
      </w:r>
      <w:r>
        <w:rPr>
          <w:spacing w:val="-2"/>
        </w:rPr>
        <w:t>且其变动计入当期损益的债务工具。于资产负债表日，本集团金融资产的账面价值已代表其最大信</w:t>
      </w:r>
      <w:r>
        <w:rPr>
          <w:spacing w:val="-25"/>
        </w:rPr>
        <w:t> </w:t>
      </w:r>
      <w:r>
        <w:rPr>
          <w:spacing w:val="-25"/>
        </w:rPr>
      </w:r>
      <w:r>
        <w:rPr>
          <w:spacing w:val="-3"/>
        </w:rPr>
        <w:t>用风险敞口；除本节十四、承诺及或有事项 </w:t>
      </w:r>
      <w:r>
        <w:rPr>
          <w:rFonts w:ascii="Arial" w:hAnsi="Arial" w:cs="Arial" w:eastAsia="Arial" w:hint="default"/>
          <w:spacing w:val="-3"/>
        </w:rPr>
        <w:t>1</w:t>
      </w:r>
      <w:r>
        <w:rPr>
          <w:spacing w:val="-3"/>
        </w:rPr>
        <w:t>、（</w:t>
      </w:r>
      <w:r>
        <w:rPr>
          <w:rFonts w:ascii="Arial" w:hAnsi="Arial" w:cs="Arial" w:eastAsia="Arial" w:hint="default"/>
          <w:spacing w:val="-3"/>
        </w:rPr>
        <w:t>3</w:t>
      </w:r>
      <w:r>
        <w:rPr>
          <w:spacing w:val="-3"/>
        </w:rPr>
        <w:t>）所述的本公司对青港物流期货交割库业务的担</w:t>
      </w:r>
      <w:r>
        <w:rPr>
          <w:spacing w:val="-70"/>
        </w:rPr>
        <w:t> </w:t>
      </w:r>
      <w:r>
        <w:rPr>
          <w:spacing w:val="-70"/>
        </w:rPr>
      </w:r>
      <w:r>
        <w:rPr>
          <w:spacing w:val="-2"/>
        </w:rPr>
        <w:t>保外，资产负债表表外的最大信用风险敞口为履行开具承兑汇票和保函的财务担保所需支付的最大</w:t>
      </w:r>
      <w:r>
        <w:rPr>
          <w:spacing w:val="-25"/>
        </w:rPr>
        <w:t> </w:t>
      </w:r>
      <w:r>
        <w:rPr>
          <w:spacing w:val="-25"/>
        </w:rPr>
      </w:r>
      <w:r>
        <w:rPr/>
        <w:t>金额</w:t>
      </w:r>
      <w:r>
        <w:rPr>
          <w:spacing w:val="-53"/>
        </w:rPr>
        <w:t> </w:t>
      </w:r>
      <w:r>
        <w:rPr>
          <w:rFonts w:ascii="Arial" w:hAnsi="Arial" w:cs="Arial" w:eastAsia="Arial" w:hint="default"/>
        </w:rPr>
        <w:t>246,650,767</w:t>
      </w:r>
      <w:r>
        <w:rPr>
          <w:rFonts w:ascii="Arial" w:hAnsi="Arial" w:cs="Arial" w:eastAsia="Arial" w:hint="default"/>
          <w:spacing w:val="-6"/>
        </w:rPr>
        <w:t> </w:t>
      </w:r>
      <w:r>
        <w:rPr>
          <w:spacing w:val="-3"/>
        </w:rPr>
        <w:t>元。</w:t>
      </w:r>
      <w:r>
        <w:rPr/>
      </w:r>
    </w:p>
    <w:p>
      <w:pPr>
        <w:pStyle w:val="BodyText"/>
        <w:spacing w:line="314" w:lineRule="auto" w:before="2"/>
        <w:ind w:left="138" w:right="248" w:firstLine="420"/>
        <w:jc w:val="right"/>
      </w:pPr>
      <w:r>
        <w:rPr>
          <w:spacing w:val="-2"/>
        </w:rPr>
        <w:t>本集团货币资金主要为存放于声誉良好并拥有较高信用评级的国有银行和其他大中型上市银行</w:t>
      </w:r>
      <w:r>
        <w:rPr>
          <w:w w:val="100"/>
        </w:rPr>
        <w:t> </w:t>
      </w:r>
      <w:r>
        <w:rPr>
          <w:spacing w:val="-2"/>
        </w:rPr>
        <w:t>的银行存款，本集团认为其不存在重大的信用风险，几乎不会产生因银行违约而导致的重大损失。</w:t>
      </w:r>
      <w:r>
        <w:rPr>
          <w:spacing w:val="-44"/>
        </w:rPr>
        <w:t> </w:t>
      </w:r>
      <w:r>
        <w:rPr>
          <w:spacing w:val="-44"/>
        </w:rPr>
      </w:r>
      <w:r>
        <w:rPr>
          <w:spacing w:val="-2"/>
        </w:rPr>
        <w:t>此外，对于应收票据、应收账款、应收款项融资、其他应收款和合同资产等，本集团设定相关</w:t>
      </w:r>
      <w:r>
        <w:rPr>
          <w:w w:val="100"/>
        </w:rPr>
        <w:t> </w:t>
      </w:r>
      <w:r>
        <w:rPr>
          <w:spacing w:val="-2"/>
        </w:rPr>
        <w:t>政策以控制信用风险敞口。本集团基于对客户的财务状况、从第三方获取担保的可能性、信用记录</w:t>
      </w:r>
      <w:r>
        <w:rPr>
          <w:spacing w:val="-44"/>
        </w:rPr>
        <w:t> </w:t>
      </w:r>
      <w:r>
        <w:rPr>
          <w:spacing w:val="-44"/>
        </w:rPr>
      </w:r>
      <w:r>
        <w:rPr>
          <w:spacing w:val="-2"/>
        </w:rPr>
        <w:t>及其他因素诸如目前市场状况等评估客户的信用资质并设置相应信用期。本集团会定期对客户信用</w:t>
      </w:r>
    </w:p>
    <w:p>
      <w:pPr>
        <w:spacing w:after="0" w:line="314" w:lineRule="auto"/>
        <w:jc w:val="right"/>
        <w:sectPr>
          <w:pgSz w:w="11910" w:h="16840"/>
          <w:pgMar w:header="0" w:footer="974" w:top="1080" w:bottom="1160" w:left="1280" w:right="12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14" w:lineRule="auto" w:before="36"/>
        <w:ind w:left="458" w:right="0"/>
        <w:jc w:val="left"/>
      </w:pPr>
      <w:r>
        <w:rPr>
          <w:spacing w:val="-2"/>
        </w:rPr>
        <w:t>记录进行监控，对于信用记录不良的客户，本集团会采用书面催款、缩短信用期或取消信用期等方</w:t>
      </w:r>
      <w:r>
        <w:rPr>
          <w:spacing w:val="-25"/>
        </w:rPr>
        <w:t> </w:t>
      </w:r>
      <w:r>
        <w:rPr>
          <w:spacing w:val="-25"/>
        </w:rPr>
      </w:r>
      <w:r>
        <w:rPr/>
        <w:t>式，以确保本集团的整体信用风险在可控的范围内。</w:t>
      </w:r>
    </w:p>
    <w:p>
      <w:pPr>
        <w:pStyle w:val="BodyText"/>
        <w:spacing w:line="240" w:lineRule="auto" w:before="20"/>
        <w:ind w:left="878" w:right="0"/>
        <w:jc w:val="left"/>
      </w:pPr>
      <w:r>
        <w:rPr/>
        <w:t>于</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日，本集团无重大的因债务人抵押而持有的担保物和其他信用增级。</w:t>
      </w:r>
    </w:p>
    <w:p>
      <w:pPr>
        <w:pStyle w:val="BodyText"/>
        <w:spacing w:line="314" w:lineRule="auto" w:before="70"/>
        <w:ind w:left="878" w:right="0" w:hanging="108"/>
        <w:jc w:val="left"/>
      </w:pPr>
      <w:r>
        <w:rPr/>
        <w:t>（</w:t>
      </w:r>
      <w:r>
        <w:rPr>
          <w:rFonts w:ascii="宋体" w:hAnsi="宋体" w:cs="宋体" w:eastAsia="宋体" w:hint="default"/>
        </w:rPr>
        <w:t>3</w:t>
      </w:r>
      <w:r>
        <w:rPr/>
        <w:t>）流动性风险</w:t>
      </w:r>
      <w:r>
        <w:rPr>
          <w:rFonts w:ascii="宋体" w:hAnsi="宋体" w:cs="宋体" w:eastAsia="宋体" w:hint="default"/>
          <w:w w:val="100"/>
        </w:rPr>
        <w:t> </w:t>
      </w:r>
      <w:r>
        <w:rPr>
          <w:spacing w:val="-3"/>
        </w:rPr>
        <w:t>本集团内各子公司负责其自身的现金流量预测。本集团在汇总各子公司现金流量预测的基础上，</w:t>
      </w:r>
    </w:p>
    <w:p>
      <w:pPr>
        <w:pStyle w:val="BodyText"/>
        <w:spacing w:line="314" w:lineRule="auto" w:before="20"/>
        <w:ind w:left="458" w:right="0"/>
        <w:jc w:val="left"/>
      </w:pPr>
      <w:r>
        <w:rPr>
          <w:spacing w:val="-2"/>
        </w:rPr>
        <w:t>在集团层面持续监控短期和长期的资金需求，以确保维持充裕的现金储备；同时持续监控是否符合</w:t>
      </w:r>
      <w:r>
        <w:rPr>
          <w:spacing w:val="-25"/>
        </w:rPr>
        <w:t> </w:t>
      </w:r>
      <w:r>
        <w:rPr>
          <w:spacing w:val="-25"/>
        </w:rPr>
      </w:r>
      <w:r>
        <w:rPr>
          <w:spacing w:val="-2"/>
        </w:rPr>
        <w:t>借款协议的规定，从主要金融机构获得提供足够备用资金的承诺，以满足短期和长期的资金需求。</w:t>
      </w:r>
    </w:p>
    <w:p>
      <w:pPr>
        <w:pStyle w:val="BodyText"/>
        <w:spacing w:line="240" w:lineRule="auto" w:before="20"/>
        <w:ind w:left="878" w:right="0"/>
        <w:jc w:val="left"/>
        <w:rPr>
          <w:rFonts w:ascii="宋体" w:hAnsi="宋体" w:cs="宋体" w:eastAsia="宋体" w:hint="default"/>
        </w:rPr>
      </w:pPr>
      <w:r>
        <w:rPr/>
        <w:t>于资产负债表日，本集团各项金融负债以未折现的合同现金流量按到期日列示如下：</w:t>
      </w:r>
      <w:r>
        <w:rPr>
          <w:rFonts w:ascii="宋体" w:hAnsi="宋体" w:cs="宋体" w:eastAsia="宋体" w:hint="default"/>
        </w:rPr>
        <w:t> </w:t>
      </w:r>
    </w:p>
    <w:p>
      <w:pPr>
        <w:pStyle w:val="Heading5"/>
        <w:spacing w:line="240" w:lineRule="auto" w:before="8"/>
        <w:ind w:left="881" w:right="0"/>
        <w:jc w:val="left"/>
        <w:rPr>
          <w:rFonts w:ascii="宋体" w:hAnsi="宋体" w:cs="宋体" w:eastAsia="宋体" w:hint="default"/>
          <w:b w:val="0"/>
          <w:bCs w:val="0"/>
        </w:rPr>
      </w:pPr>
      <w:r>
        <w:rPr>
          <w:rFonts w:ascii="宋体"/>
          <w:w w:val="99"/>
        </w:rPr>
        <w:t> </w:t>
      </w:r>
      <w:r>
        <w:rPr>
          <w:rFonts w:ascii="宋体"/>
          <w:b w:val="0"/>
        </w:rPr>
      </w:r>
    </w:p>
    <w:p>
      <w:pPr>
        <w:spacing w:line="240" w:lineRule="auto" w:before="3"/>
        <w:rPr>
          <w:rFonts w:ascii="宋体" w:hAnsi="宋体" w:cs="宋体" w:eastAsia="宋体"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1470"/>
        <w:gridCol w:w="1659"/>
        <w:gridCol w:w="262"/>
        <w:gridCol w:w="1454"/>
        <w:gridCol w:w="252"/>
        <w:gridCol w:w="1292"/>
        <w:gridCol w:w="262"/>
        <w:gridCol w:w="1286"/>
        <w:gridCol w:w="260"/>
        <w:gridCol w:w="1591"/>
      </w:tblGrid>
      <w:tr>
        <w:trPr>
          <w:trHeight w:val="212" w:hRule="exact"/>
        </w:trPr>
        <w:tc>
          <w:tcPr>
            <w:tcW w:w="9788"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1431"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79" w:hRule="exact"/>
        </w:trPr>
        <w:tc>
          <w:tcPr>
            <w:tcW w:w="1470" w:type="dxa"/>
            <w:tcBorders>
              <w:top w:val="nil" w:sz="6" w:space="0" w:color="auto"/>
              <w:left w:val="nil" w:sz="6" w:space="0" w:color="auto"/>
              <w:bottom w:val="nil" w:sz="6" w:space="0" w:color="auto"/>
              <w:right w:val="nil" w:sz="6" w:space="0" w:color="auto"/>
            </w:tcBorders>
          </w:tcPr>
          <w:p>
            <w:pPr/>
          </w:p>
        </w:tc>
        <w:tc>
          <w:tcPr>
            <w:tcW w:w="1659" w:type="dxa"/>
            <w:tcBorders>
              <w:top w:val="single" w:sz="4" w:space="0" w:color="000000"/>
              <w:left w:val="nil" w:sz="6" w:space="0" w:color="auto"/>
              <w:bottom w:val="nil" w:sz="6" w:space="0" w:color="auto"/>
              <w:right w:val="nil" w:sz="6" w:space="0" w:color="auto"/>
            </w:tcBorders>
          </w:tcPr>
          <w:p>
            <w:pPr>
              <w:pStyle w:val="TableParagraph"/>
              <w:spacing w:line="208" w:lineRule="exact"/>
              <w:ind w:right="9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62" w:type="dxa"/>
            <w:tcBorders>
              <w:top w:val="single" w:sz="4" w:space="0" w:color="000000"/>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08" w:lineRule="exact"/>
              <w:ind w:right="91"/>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252" w:type="dxa"/>
            <w:tcBorders>
              <w:top w:val="single" w:sz="4" w:space="0" w:color="000000"/>
              <w:left w:val="nil" w:sz="6" w:space="0" w:color="auto"/>
              <w:bottom w:val="nil" w:sz="6" w:space="0" w:color="auto"/>
              <w:right w:val="nil" w:sz="6" w:space="0" w:color="auto"/>
            </w:tcBorders>
          </w:tcPr>
          <w:p>
            <w:pPr/>
          </w:p>
        </w:tc>
        <w:tc>
          <w:tcPr>
            <w:tcW w:w="1292" w:type="dxa"/>
            <w:tcBorders>
              <w:top w:val="single" w:sz="4" w:space="0" w:color="000000"/>
              <w:left w:val="nil" w:sz="6" w:space="0" w:color="auto"/>
              <w:bottom w:val="nil" w:sz="6" w:space="0" w:color="auto"/>
              <w:right w:val="nil" w:sz="6" w:space="0" w:color="auto"/>
            </w:tcBorders>
          </w:tcPr>
          <w:p>
            <w:pPr>
              <w:pStyle w:val="TableParagraph"/>
              <w:spacing w:line="208" w:lineRule="exact"/>
              <w:ind w:right="91"/>
              <w:jc w:val="right"/>
              <w:rPr>
                <w:rFonts w:ascii="宋体" w:hAnsi="宋体" w:cs="宋体" w:eastAsia="宋体" w:hint="default"/>
                <w:sz w:val="18"/>
                <w:szCs w:val="18"/>
              </w:rPr>
            </w:pPr>
            <w:r>
              <w:rPr>
                <w:rFonts w:ascii="宋体" w:hAnsi="宋体" w:cs="宋体" w:eastAsia="宋体" w:hint="default"/>
                <w:sz w:val="18"/>
                <w:szCs w:val="18"/>
              </w:rPr>
              <w:t>二到五年</w:t>
            </w:r>
          </w:p>
        </w:tc>
        <w:tc>
          <w:tcPr>
            <w:tcW w:w="262" w:type="dxa"/>
            <w:tcBorders>
              <w:top w:val="single" w:sz="4" w:space="0" w:color="000000"/>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08" w:lineRule="exact"/>
              <w:ind w:right="91"/>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260" w:type="dxa"/>
            <w:tcBorders>
              <w:top w:val="single" w:sz="4" w:space="0" w:color="000000"/>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nil" w:sz="6" w:space="0" w:color="auto"/>
              <w:right w:val="nil" w:sz="6" w:space="0" w:color="auto"/>
            </w:tcBorders>
          </w:tcPr>
          <w:p>
            <w:pPr>
              <w:pStyle w:val="TableParagraph"/>
              <w:spacing w:line="208" w:lineRule="exact"/>
              <w:ind w:right="120"/>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19"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53"/>
              <w:jc w:val="right"/>
              <w:rPr>
                <w:rFonts w:ascii="Times New Roman" w:hAnsi="Times New Roman" w:cs="Times New Roman" w:eastAsia="Times New Roman" w:hint="default"/>
                <w:sz w:val="21"/>
                <w:szCs w:val="21"/>
              </w:rPr>
            </w:pPr>
            <w:r>
              <w:rPr>
                <w:rFonts w:ascii="Times New Roman"/>
                <w:spacing w:val="-1"/>
                <w:sz w:val="21"/>
              </w:rPr>
              <w:t>130,583,654</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54"/>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52"/>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456" w:right="0"/>
              <w:jc w:val="left"/>
              <w:rPr>
                <w:rFonts w:ascii="Times New Roman" w:hAnsi="Times New Roman" w:cs="Times New Roman" w:eastAsia="Times New Roman" w:hint="default"/>
                <w:sz w:val="21"/>
                <w:szCs w:val="21"/>
              </w:rPr>
            </w:pPr>
            <w:r>
              <w:rPr>
                <w:rFonts w:ascii="Times New Roman"/>
                <w:sz w:val="21"/>
              </w:rPr>
              <w:t>130,583,654</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3" w:right="0"/>
              <w:jc w:val="left"/>
              <w:rPr>
                <w:rFonts w:ascii="Times New Roman" w:hAnsi="Times New Roman" w:cs="Times New Roman" w:eastAsia="Times New Roman" w:hint="default"/>
                <w:sz w:val="21"/>
                <w:szCs w:val="21"/>
              </w:rPr>
            </w:pPr>
            <w:r>
              <w:rPr>
                <w:rFonts w:ascii="Times New Roman"/>
                <w:sz w:val="21"/>
              </w:rPr>
              <w:t>1,164,769,783</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2"/>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0" w:right="0"/>
              <w:jc w:val="left"/>
              <w:rPr>
                <w:rFonts w:ascii="Times New Roman" w:hAnsi="Times New Roman" w:cs="Times New Roman" w:eastAsia="Times New Roman" w:hint="default"/>
                <w:sz w:val="21"/>
                <w:szCs w:val="21"/>
              </w:rPr>
            </w:pPr>
            <w:r>
              <w:rPr>
                <w:rFonts w:ascii="Times New Roman"/>
                <w:sz w:val="21"/>
              </w:rPr>
              <w:t>1,164,769,783</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3" w:right="0"/>
              <w:jc w:val="left"/>
              <w:rPr>
                <w:rFonts w:ascii="Times New Roman" w:hAnsi="Times New Roman" w:cs="Times New Roman" w:eastAsia="Times New Roman" w:hint="default"/>
                <w:sz w:val="21"/>
                <w:szCs w:val="21"/>
              </w:rPr>
            </w:pPr>
            <w:r>
              <w:rPr>
                <w:rFonts w:ascii="Times New Roman"/>
                <w:sz w:val="21"/>
              </w:rPr>
              <w:t>1,411,666,083</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0" w:right="0"/>
              <w:jc w:val="left"/>
              <w:rPr>
                <w:rFonts w:ascii="Times New Roman" w:hAnsi="Times New Roman" w:cs="Times New Roman" w:eastAsia="Times New Roman" w:hint="default"/>
                <w:sz w:val="21"/>
                <w:szCs w:val="21"/>
              </w:rPr>
            </w:pPr>
            <w:r>
              <w:rPr>
                <w:rFonts w:ascii="Times New Roman"/>
                <w:sz w:val="21"/>
              </w:rPr>
              <w:t>1,411,666,083</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2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3" w:right="0"/>
              <w:jc w:val="left"/>
              <w:rPr>
                <w:rFonts w:ascii="Times New Roman" w:hAnsi="Times New Roman" w:cs="Times New Roman" w:eastAsia="Times New Roman" w:hint="default"/>
                <w:sz w:val="21"/>
                <w:szCs w:val="21"/>
              </w:rPr>
            </w:pPr>
            <w:r>
              <w:rPr>
                <w:rFonts w:ascii="Times New Roman"/>
                <w:sz w:val="21"/>
              </w:rPr>
              <w:t>7,217,951,386</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2"/>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0" w:right="0"/>
              <w:jc w:val="left"/>
              <w:rPr>
                <w:rFonts w:ascii="Times New Roman" w:hAnsi="Times New Roman" w:cs="Times New Roman" w:eastAsia="Times New Roman" w:hint="default"/>
                <w:sz w:val="21"/>
                <w:szCs w:val="21"/>
              </w:rPr>
            </w:pPr>
            <w:r>
              <w:rPr>
                <w:rFonts w:ascii="Times New Roman"/>
                <w:sz w:val="21"/>
              </w:rPr>
              <w:t>7,217,951,386</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Times New Roman" w:hAnsi="Times New Roman" w:cs="Times New Roman" w:eastAsia="Times New Roman" w:hint="default"/>
                <w:sz w:val="21"/>
                <w:szCs w:val="21"/>
              </w:rPr>
            </w:pPr>
            <w:r>
              <w:rPr>
                <w:rFonts w:ascii="Times New Roman"/>
                <w:spacing w:val="-1"/>
                <w:sz w:val="21"/>
              </w:rPr>
              <w:t>104,061,215</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4" w:right="0"/>
              <w:jc w:val="left"/>
              <w:rPr>
                <w:rFonts w:ascii="Times New Roman" w:hAnsi="Times New Roman" w:cs="Times New Roman" w:eastAsia="Times New Roman" w:hint="default"/>
                <w:sz w:val="21"/>
                <w:szCs w:val="21"/>
              </w:rPr>
            </w:pPr>
            <w:r>
              <w:rPr>
                <w:rFonts w:ascii="Times New Roman"/>
                <w:sz w:val="21"/>
              </w:rPr>
              <w:t>301,649,787</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3" w:right="0"/>
              <w:jc w:val="left"/>
              <w:rPr>
                <w:rFonts w:ascii="Times New Roman" w:hAnsi="Times New Roman" w:cs="Times New Roman" w:eastAsia="Times New Roman" w:hint="default"/>
                <w:sz w:val="21"/>
                <w:szCs w:val="21"/>
              </w:rPr>
            </w:pPr>
            <w:r>
              <w:rPr>
                <w:rFonts w:ascii="Times New Roman"/>
                <w:sz w:val="21"/>
              </w:rPr>
              <w:t>10,863,511</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6" w:right="0"/>
              <w:jc w:val="left"/>
              <w:rPr>
                <w:rFonts w:ascii="Times New Roman" w:hAnsi="Times New Roman" w:cs="Times New Roman" w:eastAsia="Times New Roman" w:hint="default"/>
                <w:sz w:val="21"/>
                <w:szCs w:val="21"/>
              </w:rPr>
            </w:pPr>
            <w:r>
              <w:rPr>
                <w:rFonts w:ascii="Times New Roman"/>
                <w:sz w:val="21"/>
              </w:rPr>
              <w:t>416,574,513</w:t>
            </w:r>
          </w:p>
        </w:tc>
      </w:tr>
      <w:tr>
        <w:trPr>
          <w:trHeight w:val="81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411" w:right="0" w:hanging="205"/>
              <w:jc w:val="left"/>
              <w:rPr>
                <w:rFonts w:ascii="宋体" w:hAnsi="宋体" w:cs="宋体" w:eastAsia="宋体" w:hint="default"/>
                <w:sz w:val="21"/>
                <w:szCs w:val="21"/>
              </w:rPr>
            </w:pPr>
            <w:r>
              <w:rPr>
                <w:rFonts w:ascii="宋体" w:hAnsi="宋体" w:cs="宋体" w:eastAsia="宋体" w:hint="default"/>
                <w:spacing w:val="-1"/>
                <w:sz w:val="21"/>
                <w:szCs w:val="21"/>
              </w:rPr>
              <w:t>一年内到期的</w:t>
            </w:r>
          </w:p>
          <w:p>
            <w:pPr>
              <w:pStyle w:val="TableParagraph"/>
              <w:spacing w:line="272" w:lineRule="exact" w:before="27"/>
              <w:ind w:left="207" w:right="213" w:firstLine="204"/>
              <w:jc w:val="left"/>
              <w:rPr>
                <w:rFonts w:ascii="宋体" w:hAnsi="宋体" w:cs="宋体" w:eastAsia="宋体" w:hint="default"/>
                <w:sz w:val="21"/>
                <w:szCs w:val="21"/>
              </w:rPr>
            </w:pPr>
            <w:r>
              <w:rPr>
                <w:rFonts w:ascii="宋体" w:hAnsi="宋体" w:cs="宋体" w:eastAsia="宋体" w:hint="default"/>
                <w:spacing w:val="-1"/>
                <w:sz w:val="21"/>
                <w:szCs w:val="21"/>
              </w:rPr>
              <w:t>非流动负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3"/>
              <w:jc w:val="right"/>
              <w:rPr>
                <w:rFonts w:ascii="Times New Roman" w:hAnsi="Times New Roman" w:cs="Times New Roman" w:eastAsia="Times New Roman" w:hint="default"/>
                <w:sz w:val="21"/>
                <w:szCs w:val="21"/>
              </w:rPr>
            </w:pPr>
            <w:r>
              <w:rPr>
                <w:rFonts w:ascii="Times New Roman"/>
                <w:spacing w:val="-1"/>
                <w:sz w:val="21"/>
              </w:rPr>
              <w:t>256,301,164</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4"/>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2"/>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456" w:right="0"/>
              <w:jc w:val="left"/>
              <w:rPr>
                <w:rFonts w:ascii="Times New Roman" w:hAnsi="Times New Roman" w:cs="Times New Roman" w:eastAsia="Times New Roman" w:hint="default"/>
                <w:sz w:val="21"/>
                <w:szCs w:val="21"/>
              </w:rPr>
            </w:pPr>
            <w:r>
              <w:rPr>
                <w:rFonts w:ascii="Times New Roman"/>
                <w:sz w:val="21"/>
              </w:rPr>
              <w:t>256,301,164</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Times New Roman" w:hAnsi="Times New Roman" w:cs="Times New Roman" w:eastAsia="Times New Roman" w:hint="default"/>
                <w:sz w:val="21"/>
                <w:szCs w:val="21"/>
              </w:rPr>
            </w:pPr>
            <w:r>
              <w:rPr>
                <w:rFonts w:ascii="Times New Roman"/>
                <w:spacing w:val="-1"/>
                <w:sz w:val="21"/>
              </w:rPr>
              <w:t>22,811,686</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Times New Roman" w:hAnsi="Times New Roman" w:cs="Times New Roman" w:eastAsia="Times New Roman" w:hint="default"/>
                <w:sz w:val="21"/>
                <w:szCs w:val="21"/>
              </w:rPr>
            </w:pPr>
            <w:r>
              <w:rPr>
                <w:rFonts w:ascii="Times New Roman"/>
                <w:spacing w:val="-1"/>
                <w:sz w:val="21"/>
              </w:rPr>
              <w:t>2,218,695,577</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2"/>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0" w:right="0"/>
              <w:jc w:val="left"/>
              <w:rPr>
                <w:rFonts w:ascii="Times New Roman" w:hAnsi="Times New Roman" w:cs="Times New Roman" w:eastAsia="Times New Roman" w:hint="default"/>
                <w:sz w:val="21"/>
                <w:szCs w:val="21"/>
              </w:rPr>
            </w:pPr>
            <w:r>
              <w:rPr>
                <w:rFonts w:ascii="Times New Roman"/>
                <w:sz w:val="21"/>
              </w:rPr>
              <w:t>2,241,507,263</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20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Times New Roman" w:hAnsi="Times New Roman" w:cs="Times New Roman" w:eastAsia="Times New Roman" w:hint="default"/>
                <w:sz w:val="21"/>
                <w:szCs w:val="21"/>
              </w:rPr>
            </w:pPr>
            <w:r>
              <w:rPr>
                <w:rFonts w:ascii="Times New Roman"/>
                <w:spacing w:val="-1"/>
                <w:sz w:val="21"/>
              </w:rPr>
              <w:t>4,970,623</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Times New Roman" w:hAnsi="Times New Roman" w:cs="Times New Roman" w:eastAsia="Times New Roman" w:hint="default"/>
                <w:sz w:val="21"/>
                <w:szCs w:val="21"/>
              </w:rPr>
            </w:pPr>
            <w:r>
              <w:rPr>
                <w:rFonts w:ascii="Times New Roman"/>
                <w:spacing w:val="-1"/>
                <w:sz w:val="21"/>
              </w:rPr>
              <w:t>34,615,277</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84" w:right="0"/>
              <w:jc w:val="left"/>
              <w:rPr>
                <w:rFonts w:ascii="Times New Roman" w:hAnsi="Times New Roman" w:cs="Times New Roman" w:eastAsia="Times New Roman" w:hint="default"/>
                <w:sz w:val="21"/>
                <w:szCs w:val="21"/>
              </w:rPr>
            </w:pPr>
            <w:r>
              <w:rPr>
                <w:rFonts w:ascii="Times New Roman"/>
                <w:sz w:val="21"/>
              </w:rPr>
              <w:t>104,448,355</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56" w:right="0"/>
              <w:jc w:val="left"/>
              <w:rPr>
                <w:rFonts w:ascii="Times New Roman" w:hAnsi="Times New Roman" w:cs="Times New Roman" w:eastAsia="Times New Roman" w:hint="default"/>
                <w:sz w:val="21"/>
                <w:szCs w:val="21"/>
              </w:rPr>
            </w:pPr>
            <w:r>
              <w:rPr>
                <w:rFonts w:ascii="Times New Roman"/>
                <w:sz w:val="21"/>
              </w:rPr>
              <w:t>144,034,255</w:t>
            </w:r>
          </w:p>
        </w:tc>
      </w:tr>
      <w:tr>
        <w:trPr>
          <w:trHeight w:val="271"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59" w:type="dxa"/>
            <w:tcBorders>
              <w:top w:val="nil" w:sz="6" w:space="0" w:color="auto"/>
              <w:left w:val="nil" w:sz="6" w:space="0" w:color="auto"/>
              <w:bottom w:val="nil" w:sz="6" w:space="0" w:color="auto"/>
              <w:right w:val="nil" w:sz="6" w:space="0" w:color="auto"/>
            </w:tcBorders>
          </w:tcPr>
          <w:p>
            <w:pPr>
              <w:pStyle w:val="TableParagraph"/>
              <w:tabs>
                <w:tab w:pos="1531" w:val="left" w:leader="none"/>
                <w:tab w:pos="1659" w:val="left" w:leader="none"/>
              </w:tabs>
              <w:spacing w:line="240" w:lineRule="auto" w:before="13"/>
              <w:ind w:left="-10"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556" w:val="left" w:leader="none"/>
                <w:tab w:pos="1454" w:val="left" w:leader="none"/>
              </w:tabs>
              <w:spacing w:line="240" w:lineRule="auto" w:before="13"/>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2,100,000</w:t>
              <w:tab/>
            </w:r>
            <w:r>
              <w:rPr>
                <w:rFonts w:ascii="Times New Roman"/>
                <w:spacing w:val="-1"/>
                <w:sz w:val="21"/>
              </w:rPr>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tabs>
                <w:tab w:pos="389" w:val="left" w:leader="none"/>
                <w:tab w:pos="1284" w:val="left" w:leader="none"/>
              </w:tabs>
              <w:spacing w:line="240" w:lineRule="auto" w:before="13"/>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6,300,000</w:t>
              <w:tab/>
            </w:r>
            <w:r>
              <w:rPr>
                <w:rFonts w:ascii="Times New Roman"/>
                <w:spacing w:val="-1"/>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tabs>
                <w:tab w:pos="283" w:val="left" w:leader="none"/>
                <w:tab w:pos="1286" w:val="left" w:leader="none"/>
              </w:tabs>
              <w:spacing w:line="240" w:lineRule="auto" w:before="13"/>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34,695,019</w:t>
              <w:tab/>
            </w:r>
            <w:r>
              <w:rPr>
                <w:rFonts w:ascii="Times New Roman"/>
                <w:spacing w:val="-1"/>
                <w:sz w:val="21"/>
              </w:rPr>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tabs>
                <w:tab w:pos="561" w:val="left" w:leader="none"/>
                <w:tab w:pos="1562" w:val="left" w:leader="none"/>
              </w:tabs>
              <w:spacing w:line="240" w:lineRule="auto" w:before="13"/>
              <w:ind w:right="26"/>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43,095,019</w:t>
              <w:tab/>
            </w:r>
            <w:r>
              <w:rPr>
                <w:rFonts w:ascii="Times New Roman"/>
                <w:spacing w:val="-1"/>
                <w:sz w:val="21"/>
              </w:rPr>
            </w:r>
          </w:p>
        </w:tc>
      </w:tr>
      <w:tr>
        <w:trPr>
          <w:trHeight w:val="258" w:hRule="exact"/>
        </w:trPr>
        <w:tc>
          <w:tcPr>
            <w:tcW w:w="3129"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left="1757" w:right="0"/>
              <w:jc w:val="left"/>
              <w:rPr>
                <w:rFonts w:ascii="Times New Roman" w:hAnsi="Times New Roman" w:cs="Times New Roman" w:eastAsia="Times New Roman" w:hint="default"/>
                <w:sz w:val="21"/>
                <w:szCs w:val="21"/>
              </w:rPr>
            </w:pPr>
            <w:r>
              <w:rPr>
                <w:rFonts w:ascii="Times New Roman"/>
                <w:sz w:val="21"/>
              </w:rPr>
              <w:t>10,209,054,379</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36" w:lineRule="exact"/>
              <w:ind w:right="53"/>
              <w:jc w:val="right"/>
              <w:rPr>
                <w:rFonts w:ascii="Times New Roman" w:hAnsi="Times New Roman" w:cs="Times New Roman" w:eastAsia="Times New Roman" w:hint="default"/>
                <w:sz w:val="21"/>
                <w:szCs w:val="21"/>
              </w:rPr>
            </w:pPr>
            <w:r>
              <w:rPr>
                <w:rFonts w:ascii="Times New Roman"/>
                <w:spacing w:val="-1"/>
                <w:sz w:val="21"/>
              </w:rPr>
              <w:t>2,359,472,069</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12" w:space="0" w:color="000000"/>
              <w:right w:val="nil" w:sz="6" w:space="0" w:color="auto"/>
            </w:tcBorders>
          </w:tcPr>
          <w:p>
            <w:pPr>
              <w:pStyle w:val="TableParagraph"/>
              <w:spacing w:line="236" w:lineRule="exact"/>
              <w:ind w:left="184" w:right="0"/>
              <w:jc w:val="left"/>
              <w:rPr>
                <w:rFonts w:ascii="Times New Roman" w:hAnsi="Times New Roman" w:cs="Times New Roman" w:eastAsia="Times New Roman" w:hint="default"/>
                <w:sz w:val="21"/>
                <w:szCs w:val="21"/>
              </w:rPr>
            </w:pPr>
            <w:r>
              <w:rPr>
                <w:rFonts w:ascii="Times New Roman"/>
                <w:sz w:val="21"/>
              </w:rPr>
              <w:t>412,398,142</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12" w:space="0" w:color="000000"/>
              <w:right w:val="nil" w:sz="6" w:space="0" w:color="auto"/>
            </w:tcBorders>
          </w:tcPr>
          <w:p>
            <w:pPr>
              <w:pStyle w:val="TableParagraph"/>
              <w:spacing w:line="236" w:lineRule="exact"/>
              <w:ind w:left="283" w:right="0"/>
              <w:jc w:val="left"/>
              <w:rPr>
                <w:rFonts w:ascii="Times New Roman" w:hAnsi="Times New Roman" w:cs="Times New Roman" w:eastAsia="Times New Roman" w:hint="default"/>
                <w:sz w:val="21"/>
                <w:szCs w:val="21"/>
              </w:rPr>
            </w:pPr>
            <w:r>
              <w:rPr>
                <w:rFonts w:ascii="Times New Roman"/>
                <w:sz w:val="21"/>
              </w:rPr>
              <w:t>45,558,530</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12" w:space="0" w:color="000000"/>
              <w:right w:val="nil" w:sz="6" w:space="0" w:color="auto"/>
            </w:tcBorders>
          </w:tcPr>
          <w:p>
            <w:pPr>
              <w:pStyle w:val="TableParagraph"/>
              <w:spacing w:line="236" w:lineRule="exact"/>
              <w:ind w:left="194" w:right="0"/>
              <w:jc w:val="left"/>
              <w:rPr>
                <w:rFonts w:ascii="Times New Roman" w:hAnsi="Times New Roman" w:cs="Times New Roman" w:eastAsia="Times New Roman" w:hint="default"/>
                <w:sz w:val="21"/>
                <w:szCs w:val="21"/>
              </w:rPr>
            </w:pPr>
            <w:r>
              <w:rPr>
                <w:rFonts w:ascii="Times New Roman"/>
                <w:sz w:val="21"/>
              </w:rPr>
              <w:t>13,026,483,120</w:t>
            </w:r>
          </w:p>
        </w:tc>
      </w:tr>
      <w:tr>
        <w:trPr>
          <w:trHeight w:val="293" w:hRule="exact"/>
        </w:trPr>
        <w:tc>
          <w:tcPr>
            <w:tcW w:w="9788" w:type="dxa"/>
            <w:gridSpan w:val="10"/>
            <w:tcBorders>
              <w:top w:val="nil" w:sz="6" w:space="0" w:color="auto"/>
              <w:left w:val="nil" w:sz="6" w:space="0" w:color="auto"/>
              <w:bottom w:val="nil" w:sz="6" w:space="0" w:color="auto"/>
              <w:right w:val="nil" w:sz="6" w:space="0" w:color="auto"/>
            </w:tcBorders>
          </w:tcPr>
          <w:p>
            <w:pPr>
              <w:pStyle w:val="TableParagraph"/>
              <w:spacing w:line="271" w:lineRule="exact"/>
              <w:ind w:left="148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97" w:hRule="exact"/>
        </w:trPr>
        <w:tc>
          <w:tcPr>
            <w:tcW w:w="1470" w:type="dxa"/>
            <w:tcBorders>
              <w:top w:val="nil" w:sz="6" w:space="0" w:color="auto"/>
              <w:left w:val="nil" w:sz="6" w:space="0" w:color="auto"/>
              <w:bottom w:val="nil" w:sz="6" w:space="0" w:color="auto"/>
              <w:right w:val="nil" w:sz="6" w:space="0" w:color="auto"/>
            </w:tcBorders>
          </w:tcPr>
          <w:p>
            <w:pPr/>
          </w:p>
        </w:tc>
        <w:tc>
          <w:tcPr>
            <w:tcW w:w="1659"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262" w:type="dxa"/>
            <w:tcBorders>
              <w:top w:val="single" w:sz="4" w:space="0" w:color="000000"/>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一到二年</w:t>
            </w:r>
          </w:p>
        </w:tc>
        <w:tc>
          <w:tcPr>
            <w:tcW w:w="252" w:type="dxa"/>
            <w:tcBorders>
              <w:top w:val="single" w:sz="4" w:space="0" w:color="000000"/>
              <w:left w:val="nil" w:sz="6" w:space="0" w:color="auto"/>
              <w:bottom w:val="nil" w:sz="6" w:space="0" w:color="auto"/>
              <w:right w:val="nil" w:sz="6" w:space="0" w:color="auto"/>
            </w:tcBorders>
          </w:tcPr>
          <w:p>
            <w:pPr/>
          </w:p>
        </w:tc>
        <w:tc>
          <w:tcPr>
            <w:tcW w:w="1292" w:type="dxa"/>
            <w:tcBorders>
              <w:top w:val="single" w:sz="4" w:space="0" w:color="000000"/>
              <w:left w:val="nil" w:sz="6" w:space="0" w:color="auto"/>
              <w:bottom w:val="nil" w:sz="6" w:space="0" w:color="auto"/>
              <w:right w:val="nil" w:sz="6" w:space="0" w:color="auto"/>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1"/>
                <w:sz w:val="21"/>
                <w:szCs w:val="21"/>
              </w:rPr>
              <w:t>二到五年</w:t>
            </w:r>
          </w:p>
        </w:tc>
        <w:tc>
          <w:tcPr>
            <w:tcW w:w="262" w:type="dxa"/>
            <w:tcBorders>
              <w:top w:val="single" w:sz="4" w:space="0" w:color="000000"/>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260" w:type="dxa"/>
            <w:tcBorders>
              <w:top w:val="single" w:sz="4" w:space="0" w:color="000000"/>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404"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21"/>
                <w:szCs w:val="21"/>
              </w:rPr>
            </w:pPr>
            <w:r>
              <w:rPr>
                <w:rFonts w:ascii="Times New Roman"/>
                <w:spacing w:val="-1"/>
                <w:sz w:val="21"/>
              </w:rPr>
              <w:t>170,570,263</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0"/>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31" w:right="0"/>
              <w:jc w:val="left"/>
              <w:rPr>
                <w:rFonts w:ascii="Times New Roman" w:hAnsi="Times New Roman" w:cs="Times New Roman" w:eastAsia="Times New Roman" w:hint="default"/>
                <w:sz w:val="21"/>
                <w:szCs w:val="21"/>
              </w:rPr>
            </w:pPr>
            <w:r>
              <w:rPr>
                <w:rFonts w:ascii="Times New Roman"/>
                <w:sz w:val="21"/>
              </w:rPr>
              <w:t>170,570,263</w:t>
            </w:r>
          </w:p>
        </w:tc>
      </w:tr>
      <w:tr>
        <w:trPr>
          <w:trHeight w:val="271"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Times New Roman" w:hAnsi="Times New Roman" w:cs="Times New Roman" w:eastAsia="Times New Roman" w:hint="default"/>
                <w:sz w:val="21"/>
                <w:szCs w:val="21"/>
              </w:rPr>
            </w:pPr>
            <w:r>
              <w:rPr>
                <w:rFonts w:ascii="Times New Roman"/>
                <w:spacing w:val="-1"/>
                <w:sz w:val="21"/>
              </w:rPr>
              <w:t>957,024,876</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1" w:right="0"/>
              <w:jc w:val="left"/>
              <w:rPr>
                <w:rFonts w:ascii="Times New Roman" w:hAnsi="Times New Roman" w:cs="Times New Roman" w:eastAsia="Times New Roman" w:hint="default"/>
                <w:sz w:val="21"/>
                <w:szCs w:val="21"/>
              </w:rPr>
            </w:pPr>
            <w:r>
              <w:rPr>
                <w:rFonts w:ascii="Times New Roman"/>
                <w:sz w:val="21"/>
              </w:rPr>
              <w:t>957,024,876</w:t>
            </w:r>
          </w:p>
        </w:tc>
      </w:tr>
      <w:tr>
        <w:trPr>
          <w:trHeight w:val="274"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3" w:right="0"/>
              <w:jc w:val="left"/>
              <w:rPr>
                <w:rFonts w:ascii="Times New Roman" w:hAnsi="Times New Roman" w:cs="Times New Roman" w:eastAsia="Times New Roman" w:hint="default"/>
                <w:sz w:val="21"/>
                <w:szCs w:val="21"/>
              </w:rPr>
            </w:pPr>
            <w:r>
              <w:rPr>
                <w:rFonts w:ascii="Times New Roman"/>
                <w:sz w:val="21"/>
              </w:rPr>
              <w:t>1,581,607,319</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6" w:right="0"/>
              <w:jc w:val="left"/>
              <w:rPr>
                <w:rFonts w:ascii="Times New Roman" w:hAnsi="Times New Roman" w:cs="Times New Roman" w:eastAsia="Times New Roman" w:hint="default"/>
                <w:sz w:val="21"/>
                <w:szCs w:val="21"/>
              </w:rPr>
            </w:pPr>
            <w:r>
              <w:rPr>
                <w:rFonts w:ascii="Times New Roman"/>
                <w:sz w:val="21"/>
              </w:rPr>
              <w:t>1,581,607,319</w:t>
            </w:r>
          </w:p>
        </w:tc>
      </w:tr>
      <w:tr>
        <w:trPr>
          <w:trHeight w:val="271"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left"/>
              <w:rPr>
                <w:rFonts w:ascii="Times New Roman" w:hAnsi="Times New Roman" w:cs="Times New Roman" w:eastAsia="Times New Roman" w:hint="default"/>
                <w:sz w:val="21"/>
                <w:szCs w:val="21"/>
              </w:rPr>
            </w:pPr>
            <w:r>
              <w:rPr>
                <w:rFonts w:ascii="Times New Roman"/>
                <w:sz w:val="21"/>
              </w:rPr>
              <w:t>5,972,349,017</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6" w:right="0"/>
              <w:jc w:val="left"/>
              <w:rPr>
                <w:rFonts w:ascii="Times New Roman" w:hAnsi="Times New Roman" w:cs="Times New Roman" w:eastAsia="Times New Roman" w:hint="default"/>
                <w:sz w:val="21"/>
                <w:szCs w:val="21"/>
              </w:rPr>
            </w:pPr>
            <w:r>
              <w:rPr>
                <w:rFonts w:ascii="Times New Roman"/>
                <w:sz w:val="21"/>
              </w:rPr>
              <w:t>5,972,349,017</w:t>
            </w:r>
          </w:p>
        </w:tc>
      </w:tr>
      <w:tr>
        <w:trPr>
          <w:trHeight w:val="817"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411" w:right="0" w:hanging="205"/>
              <w:jc w:val="left"/>
              <w:rPr>
                <w:rFonts w:ascii="宋体" w:hAnsi="宋体" w:cs="宋体" w:eastAsia="宋体" w:hint="default"/>
                <w:sz w:val="21"/>
                <w:szCs w:val="21"/>
              </w:rPr>
            </w:pPr>
            <w:r>
              <w:rPr>
                <w:rFonts w:ascii="宋体" w:hAnsi="宋体" w:cs="宋体" w:eastAsia="宋体" w:hint="default"/>
                <w:spacing w:val="-1"/>
                <w:sz w:val="21"/>
                <w:szCs w:val="21"/>
              </w:rPr>
              <w:t>一年内到期的</w:t>
            </w:r>
          </w:p>
          <w:p>
            <w:pPr>
              <w:pStyle w:val="TableParagraph"/>
              <w:spacing w:line="240" w:lineRule="auto"/>
              <w:ind w:left="207" w:right="213" w:firstLine="204"/>
              <w:jc w:val="left"/>
              <w:rPr>
                <w:rFonts w:ascii="宋体" w:hAnsi="宋体" w:cs="宋体" w:eastAsia="宋体" w:hint="default"/>
                <w:sz w:val="21"/>
                <w:szCs w:val="21"/>
              </w:rPr>
            </w:pPr>
            <w:r>
              <w:rPr>
                <w:rFonts w:ascii="宋体" w:hAnsi="宋体" w:cs="宋体" w:eastAsia="宋体" w:hint="default"/>
                <w:spacing w:val="-1"/>
                <w:sz w:val="21"/>
                <w:szCs w:val="21"/>
              </w:rPr>
              <w:t>非流动负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343" w:right="0"/>
              <w:jc w:val="left"/>
              <w:rPr>
                <w:rFonts w:ascii="Times New Roman" w:hAnsi="Times New Roman" w:cs="Times New Roman" w:eastAsia="Times New Roman" w:hint="default"/>
                <w:sz w:val="21"/>
                <w:szCs w:val="21"/>
              </w:rPr>
            </w:pPr>
            <w:r>
              <w:rPr>
                <w:rFonts w:ascii="Times New Roman"/>
                <w:sz w:val="21"/>
              </w:rPr>
              <w:t>3,653,353,489</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w w:val="100"/>
                <w:sz w:val="21"/>
              </w:rPr>
              <w:t>-</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3,653,353,489</w:t>
            </w:r>
          </w:p>
        </w:tc>
      </w:tr>
      <w:tr>
        <w:trPr>
          <w:trHeight w:val="272"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0" w:lineRule="exact"/>
              <w:ind w:left="20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5,492,813</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33,527,124</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6" w:right="0"/>
              <w:jc w:val="left"/>
              <w:rPr>
                <w:rFonts w:ascii="Times New Roman" w:hAnsi="Times New Roman" w:cs="Times New Roman" w:eastAsia="Times New Roman" w:hint="default"/>
                <w:sz w:val="21"/>
                <w:szCs w:val="21"/>
              </w:rPr>
            </w:pPr>
            <w:r>
              <w:rPr>
                <w:rFonts w:ascii="Times New Roman"/>
                <w:sz w:val="21"/>
              </w:rPr>
              <w:t>139,063,632</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t>-</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1" w:right="0"/>
              <w:jc w:val="left"/>
              <w:rPr>
                <w:rFonts w:ascii="Times New Roman" w:hAnsi="Times New Roman" w:cs="Times New Roman" w:eastAsia="Times New Roman" w:hint="default"/>
                <w:sz w:val="21"/>
                <w:szCs w:val="21"/>
              </w:rPr>
            </w:pPr>
            <w:r>
              <w:rPr>
                <w:rFonts w:ascii="Times New Roman"/>
                <w:sz w:val="21"/>
              </w:rPr>
              <w:t>178,083,569</w:t>
            </w:r>
          </w:p>
        </w:tc>
      </w:tr>
      <w:tr>
        <w:trPr>
          <w:trHeight w:val="273" w:hRule="exact"/>
        </w:trPr>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59" w:type="dxa"/>
            <w:tcBorders>
              <w:top w:val="nil" w:sz="6" w:space="0" w:color="auto"/>
              <w:left w:val="nil" w:sz="6" w:space="0" w:color="auto"/>
              <w:bottom w:val="nil" w:sz="6" w:space="0" w:color="auto"/>
              <w:right w:val="nil" w:sz="6" w:space="0" w:color="auto"/>
            </w:tcBorders>
          </w:tcPr>
          <w:p>
            <w:pPr>
              <w:pStyle w:val="TableParagraph"/>
              <w:tabs>
                <w:tab w:pos="1481" w:val="left" w:leader="none"/>
                <w:tab w:pos="1644" w:val="left" w:leader="none"/>
              </w:tabs>
              <w:spacing w:line="240" w:lineRule="auto" w:before="15"/>
              <w:ind w:left="-10" w:right="12"/>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tabs>
                <w:tab w:pos="292" w:val="left" w:leader="none"/>
                <w:tab w:pos="1437" w:val="left" w:leader="none"/>
              </w:tabs>
              <w:spacing w:line="240" w:lineRule="auto" w:before="15"/>
              <w:ind w:right="14"/>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137,254,611</w:t>
              <w:tab/>
            </w:r>
            <w:r>
              <w:rPr>
                <w:rFonts w:ascii="Times New Roman"/>
                <w:spacing w:val="-1"/>
                <w:sz w:val="21"/>
              </w:rPr>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5"/>
              <w:ind w:left="-8" w:right="-1"/>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 </w:t>
            </w:r>
            <w:r>
              <w:rPr>
                <w:rFonts w:ascii="Times New Roman"/>
                <w:spacing w:val="-5"/>
                <w:sz w:val="21"/>
                <w:u w:val="single" w:color="000000"/>
              </w:rPr>
              <w:t> </w:t>
            </w:r>
            <w:r>
              <w:rPr>
                <w:rFonts w:ascii="Times New Roman"/>
                <w:spacing w:val="-1"/>
                <w:sz w:val="21"/>
                <w:u w:val="single" w:color="000000"/>
              </w:rPr>
              <w:t>392,409,982</w:t>
              <w:tab/>
            </w:r>
            <w:r>
              <w:rPr>
                <w:rFonts w:ascii="Times New Roman"/>
                <w:spacing w:val="-1"/>
                <w:sz w:val="21"/>
              </w:rPr>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tabs>
                <w:tab w:pos="1269" w:val="left" w:leader="none"/>
              </w:tabs>
              <w:spacing w:line="240" w:lineRule="auto" w:before="15"/>
              <w:ind w:right="14"/>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  </w:t>
            </w:r>
            <w:r>
              <w:rPr>
                <w:rFonts w:ascii="Times New Roman"/>
                <w:spacing w:val="20"/>
                <w:sz w:val="21"/>
                <w:u w:val="single" w:color="000000"/>
              </w:rPr>
              <w:t> </w:t>
            </w:r>
            <w:r>
              <w:rPr>
                <w:rFonts w:ascii="Times New Roman"/>
                <w:spacing w:val="-1"/>
                <w:sz w:val="21"/>
                <w:u w:val="single" w:color="000000"/>
              </w:rPr>
              <w:t>55,378,897</w:t>
              <w:tab/>
            </w:r>
            <w:r>
              <w:rPr>
                <w:rFonts w:ascii="Times New Roman"/>
                <w:spacing w:val="-1"/>
                <w:sz w:val="21"/>
              </w:rPr>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tabs>
                <w:tab w:pos="431" w:val="left" w:leader="none"/>
                <w:tab w:pos="1576" w:val="left" w:leader="none"/>
              </w:tabs>
              <w:spacing w:line="240" w:lineRule="auto" w:before="15"/>
              <w:ind w:right="12"/>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585,043,490</w:t>
              <w:tab/>
            </w:r>
            <w:r>
              <w:rPr>
                <w:rFonts w:ascii="Times New Roman"/>
                <w:spacing w:val="-1"/>
                <w:sz w:val="21"/>
              </w:rPr>
            </w:r>
          </w:p>
        </w:tc>
      </w:tr>
      <w:tr>
        <w:trPr>
          <w:trHeight w:val="256" w:hRule="exact"/>
        </w:trPr>
        <w:tc>
          <w:tcPr>
            <w:tcW w:w="3129"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left="1707" w:right="0"/>
              <w:jc w:val="left"/>
              <w:rPr>
                <w:rFonts w:ascii="Times New Roman" w:hAnsi="Times New Roman" w:cs="Times New Roman" w:eastAsia="Times New Roman" w:hint="default"/>
                <w:sz w:val="21"/>
                <w:szCs w:val="21"/>
              </w:rPr>
            </w:pPr>
            <w:r>
              <w:rPr>
                <w:rFonts w:ascii="Times New Roman"/>
                <w:sz w:val="21"/>
              </w:rPr>
              <w:t>12,340,397,777</w:t>
            </w:r>
          </w:p>
        </w:tc>
        <w:tc>
          <w:tcPr>
            <w:tcW w:w="262"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12" w:space="0" w:color="000000"/>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170,781,735</w:t>
            </w:r>
          </w:p>
        </w:tc>
        <w:tc>
          <w:tcPr>
            <w:tcW w:w="25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single" w:sz="12" w:space="0" w:color="000000"/>
              <w:right w:val="nil" w:sz="6" w:space="0" w:color="auto"/>
            </w:tcBorders>
          </w:tcPr>
          <w:p>
            <w:pPr>
              <w:pStyle w:val="TableParagraph"/>
              <w:spacing w:line="236" w:lineRule="exact"/>
              <w:ind w:left="146" w:right="0"/>
              <w:jc w:val="left"/>
              <w:rPr>
                <w:rFonts w:ascii="Times New Roman" w:hAnsi="Times New Roman" w:cs="Times New Roman" w:eastAsia="Times New Roman" w:hint="default"/>
                <w:sz w:val="21"/>
                <w:szCs w:val="21"/>
              </w:rPr>
            </w:pPr>
            <w:r>
              <w:rPr>
                <w:rFonts w:ascii="Times New Roman"/>
                <w:sz w:val="21"/>
              </w:rPr>
              <w:t>531,473,614</w:t>
            </w:r>
          </w:p>
        </w:tc>
        <w:tc>
          <w:tcPr>
            <w:tcW w:w="262"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12" w:space="0" w:color="000000"/>
              <w:right w:val="nil" w:sz="6" w:space="0" w:color="auto"/>
            </w:tcBorders>
          </w:tcPr>
          <w:p>
            <w:pPr>
              <w:pStyle w:val="TableParagraph"/>
              <w:spacing w:line="236" w:lineRule="exact"/>
              <w:ind w:left="230" w:right="0"/>
              <w:jc w:val="left"/>
              <w:rPr>
                <w:rFonts w:ascii="Times New Roman" w:hAnsi="Times New Roman" w:cs="Times New Roman" w:eastAsia="Times New Roman" w:hint="default"/>
                <w:sz w:val="21"/>
                <w:szCs w:val="21"/>
              </w:rPr>
            </w:pPr>
            <w:r>
              <w:rPr>
                <w:rFonts w:ascii="Times New Roman"/>
                <w:sz w:val="21"/>
              </w:rPr>
              <w:t>55,378,897</w:t>
            </w:r>
          </w:p>
        </w:tc>
        <w:tc>
          <w:tcPr>
            <w:tcW w:w="260"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12" w:space="0" w:color="000000"/>
              <w:right w:val="nil" w:sz="6" w:space="0" w:color="auto"/>
            </w:tcBorders>
          </w:tcPr>
          <w:p>
            <w:pPr>
              <w:pStyle w:val="TableParagraph"/>
              <w:spacing w:line="236" w:lineRule="exact"/>
              <w:ind w:left="170" w:right="0"/>
              <w:jc w:val="left"/>
              <w:rPr>
                <w:rFonts w:ascii="Times New Roman" w:hAnsi="Times New Roman" w:cs="Times New Roman" w:eastAsia="Times New Roman" w:hint="default"/>
                <w:sz w:val="21"/>
                <w:szCs w:val="21"/>
              </w:rPr>
            </w:pPr>
            <w:r>
              <w:rPr>
                <w:rFonts w:ascii="Times New Roman"/>
                <w:sz w:val="21"/>
              </w:rPr>
              <w:t>13,098,032,023</w:t>
            </w:r>
          </w:p>
        </w:tc>
      </w:tr>
      <w:tr>
        <w:trPr>
          <w:trHeight w:val="923" w:hRule="exact"/>
        </w:trPr>
        <w:tc>
          <w:tcPr>
            <w:tcW w:w="9788"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45" w:right="132"/>
              <w:jc w:val="left"/>
              <w:rPr>
                <w:rFonts w:ascii="宋体" w:hAnsi="宋体" w:cs="宋体" w:eastAsia="宋体" w:hint="default"/>
                <w:sz w:val="21"/>
                <w:szCs w:val="21"/>
              </w:rPr>
            </w:pPr>
            <w:r>
              <w:rPr>
                <w:rFonts w:ascii="宋体" w:hAnsi="宋体" w:cs="宋体" w:eastAsia="宋体" w:hint="default"/>
                <w:spacing w:val="-2"/>
                <w:sz w:val="21"/>
                <w:szCs w:val="21"/>
              </w:rPr>
              <w:t>于资产负债表日，对于本集团对外提供的财务担保的最大担保金额，相关方能够要求支付的时</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间均为一年以内。</w:t>
            </w:r>
          </w:p>
        </w:tc>
      </w:tr>
      <w:tr>
        <w:trPr>
          <w:trHeight w:val="362" w:hRule="exact"/>
        </w:trPr>
        <w:tc>
          <w:tcPr>
            <w:tcW w:w="9788"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87"/>
              <w:ind w:left="1045" w:right="0"/>
              <w:jc w:val="left"/>
              <w:rPr>
                <w:rFonts w:ascii="宋体" w:hAnsi="宋体" w:cs="宋体" w:eastAsia="宋体" w:hint="default"/>
                <w:sz w:val="21"/>
                <w:szCs w:val="21"/>
              </w:rPr>
            </w:pPr>
            <w:bookmarkStart w:name="newtable_11.00_13.00" w:id="25"/>
            <w:bookmarkEnd w:id="25"/>
            <w:r>
              <w:rPr/>
            </w:r>
            <w:r>
              <w:rPr>
                <w:rFonts w:ascii="宋体" w:hAnsi="宋体" w:cs="宋体" w:eastAsia="宋体" w:hint="default"/>
                <w:sz w:val="21"/>
                <w:szCs w:val="21"/>
              </w:rPr>
              <w:t>银行借款及应付债券偿还期分析如下：</w:t>
            </w:r>
          </w:p>
        </w:tc>
      </w:tr>
    </w:tbl>
    <w:p>
      <w:pPr>
        <w:spacing w:line="240" w:lineRule="auto" w:before="1"/>
        <w:rPr>
          <w:rFonts w:ascii="宋体" w:hAnsi="宋体" w:cs="宋体" w:eastAsia="宋体" w:hint="default"/>
          <w:b/>
          <w:bCs/>
          <w:sz w:val="23"/>
          <w:szCs w:val="23"/>
        </w:rPr>
      </w:pPr>
    </w:p>
    <w:tbl>
      <w:tblPr>
        <w:tblW w:w="0" w:type="auto"/>
        <w:jc w:val="left"/>
        <w:tblInd w:w="213" w:type="dxa"/>
        <w:tblLayout w:type="fixed"/>
        <w:tblCellMar>
          <w:top w:w="0" w:type="dxa"/>
          <w:left w:w="0" w:type="dxa"/>
          <w:bottom w:w="0" w:type="dxa"/>
          <w:right w:w="0" w:type="dxa"/>
        </w:tblCellMar>
        <w:tblLook w:val="01E0"/>
      </w:tblPr>
      <w:tblGrid>
        <w:gridCol w:w="2242"/>
        <w:gridCol w:w="1954"/>
        <w:gridCol w:w="683"/>
        <w:gridCol w:w="923"/>
        <w:gridCol w:w="259"/>
        <w:gridCol w:w="1948"/>
        <w:gridCol w:w="1645"/>
      </w:tblGrid>
      <w:tr>
        <w:trPr>
          <w:trHeight w:val="246" w:hRule="exact"/>
        </w:trPr>
        <w:tc>
          <w:tcPr>
            <w:tcW w:w="4879"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3154" w:right="-11"/>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23" w:type="dxa"/>
            <w:tcBorders>
              <w:top w:val="nil" w:sz="6" w:space="0" w:color="auto"/>
              <w:left w:val="nil" w:sz="6" w:space="0" w:color="auto"/>
              <w:bottom w:val="single" w:sz="4" w:space="0" w:color="000000"/>
              <w:right w:val="nil" w:sz="6" w:space="0" w:color="auto"/>
            </w:tcBorders>
          </w:tcPr>
          <w:p>
            <w:pPr/>
          </w:p>
        </w:tc>
        <w:tc>
          <w:tcPr>
            <w:tcW w:w="3853"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1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99" w:hRule="exact"/>
        </w:trPr>
        <w:tc>
          <w:tcPr>
            <w:tcW w:w="2242" w:type="dxa"/>
            <w:tcBorders>
              <w:top w:val="nil" w:sz="6" w:space="0" w:color="auto"/>
              <w:left w:val="nil" w:sz="6" w:space="0" w:color="auto"/>
              <w:bottom w:val="nil" w:sz="6" w:space="0" w:color="auto"/>
              <w:right w:val="nil" w:sz="6" w:space="0" w:color="auto"/>
            </w:tcBorders>
          </w:tcPr>
          <w:p>
            <w:pPr/>
          </w:p>
        </w:tc>
        <w:tc>
          <w:tcPr>
            <w:tcW w:w="1954" w:type="dxa"/>
            <w:tcBorders>
              <w:top w:val="single" w:sz="4" w:space="0" w:color="000000"/>
              <w:left w:val="nil" w:sz="6" w:space="0" w:color="auto"/>
              <w:bottom w:val="nil" w:sz="6" w:space="0" w:color="auto"/>
              <w:right w:val="nil" w:sz="6" w:space="0" w:color="auto"/>
            </w:tcBorders>
          </w:tcPr>
          <w:p>
            <w:pPr>
              <w:pStyle w:val="TableParagraph"/>
              <w:spacing w:line="243" w:lineRule="exact"/>
              <w:ind w:right="302"/>
              <w:jc w:val="right"/>
              <w:rPr>
                <w:rFonts w:ascii="宋体" w:hAnsi="宋体" w:cs="宋体" w:eastAsia="宋体" w:hint="default"/>
                <w:sz w:val="21"/>
                <w:szCs w:val="21"/>
              </w:rPr>
            </w:pPr>
            <w:r>
              <w:rPr>
                <w:rFonts w:ascii="宋体" w:hAnsi="宋体" w:cs="宋体" w:eastAsia="宋体" w:hint="default"/>
                <w:spacing w:val="-1"/>
                <w:sz w:val="21"/>
                <w:szCs w:val="21"/>
              </w:rPr>
              <w:t>银行借款</w:t>
            </w:r>
          </w:p>
        </w:tc>
        <w:tc>
          <w:tcPr>
            <w:tcW w:w="683" w:type="dxa"/>
            <w:tcBorders>
              <w:top w:val="single" w:sz="4" w:space="0" w:color="000000"/>
              <w:left w:val="nil" w:sz="6" w:space="0" w:color="auto"/>
              <w:bottom w:val="nil" w:sz="6" w:space="0" w:color="auto"/>
              <w:right w:val="nil" w:sz="6" w:space="0" w:color="auto"/>
            </w:tcBorders>
          </w:tcPr>
          <w:p>
            <w:pPr/>
          </w:p>
        </w:tc>
        <w:tc>
          <w:tcPr>
            <w:tcW w:w="923" w:type="dxa"/>
            <w:tcBorders>
              <w:top w:val="single" w:sz="4" w:space="0" w:color="000000"/>
              <w:left w:val="nil" w:sz="6" w:space="0" w:color="auto"/>
              <w:bottom w:val="nil" w:sz="6" w:space="0" w:color="auto"/>
              <w:right w:val="nil" w:sz="6" w:space="0" w:color="auto"/>
            </w:tcBorders>
          </w:tcPr>
          <w:p>
            <w:pPr>
              <w:pStyle w:val="TableParagraph"/>
              <w:spacing w:line="243" w:lineRule="exact"/>
              <w:ind w:left="-11" w:right="89"/>
              <w:jc w:val="right"/>
              <w:rPr>
                <w:rFonts w:ascii="宋体" w:hAnsi="宋体" w:cs="宋体" w:eastAsia="宋体" w:hint="default"/>
                <w:sz w:val="21"/>
                <w:szCs w:val="21"/>
              </w:rPr>
            </w:pPr>
            <w:r>
              <w:rPr>
                <w:rFonts w:ascii="宋体" w:hAnsi="宋体" w:cs="宋体" w:eastAsia="宋体" w:hint="default"/>
                <w:spacing w:val="-1"/>
                <w:sz w:val="21"/>
                <w:szCs w:val="21"/>
              </w:rPr>
              <w:t>应付债券</w:t>
            </w:r>
          </w:p>
        </w:tc>
        <w:tc>
          <w:tcPr>
            <w:tcW w:w="259" w:type="dxa"/>
            <w:tcBorders>
              <w:top w:val="nil" w:sz="6" w:space="0" w:color="auto"/>
              <w:left w:val="nil" w:sz="6" w:space="0" w:color="auto"/>
              <w:bottom w:val="nil" w:sz="6" w:space="0" w:color="auto"/>
              <w:right w:val="nil" w:sz="6" w:space="0" w:color="auto"/>
            </w:tcBorders>
          </w:tcPr>
          <w:p>
            <w:pPr/>
          </w:p>
        </w:tc>
        <w:tc>
          <w:tcPr>
            <w:tcW w:w="1948" w:type="dxa"/>
            <w:tcBorders>
              <w:top w:val="single" w:sz="4" w:space="0" w:color="000000"/>
              <w:left w:val="nil" w:sz="6" w:space="0" w:color="auto"/>
              <w:bottom w:val="nil" w:sz="6" w:space="0" w:color="auto"/>
              <w:right w:val="nil" w:sz="6" w:space="0" w:color="auto"/>
            </w:tcBorders>
          </w:tcPr>
          <w:p>
            <w:pPr>
              <w:pStyle w:val="TableParagraph"/>
              <w:spacing w:line="243" w:lineRule="exact"/>
              <w:ind w:right="340"/>
              <w:jc w:val="right"/>
              <w:rPr>
                <w:rFonts w:ascii="宋体" w:hAnsi="宋体" w:cs="宋体" w:eastAsia="宋体" w:hint="default"/>
                <w:sz w:val="21"/>
                <w:szCs w:val="21"/>
              </w:rPr>
            </w:pPr>
            <w:r>
              <w:rPr>
                <w:rFonts w:ascii="宋体" w:hAnsi="宋体" w:cs="宋体" w:eastAsia="宋体" w:hint="default"/>
                <w:spacing w:val="-1"/>
                <w:sz w:val="21"/>
                <w:szCs w:val="21"/>
              </w:rPr>
              <w:t>银行借款</w:t>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3" w:lineRule="exact"/>
              <w:ind w:right="91"/>
              <w:jc w:val="right"/>
              <w:rPr>
                <w:rFonts w:ascii="宋体" w:hAnsi="宋体" w:cs="宋体" w:eastAsia="宋体" w:hint="default"/>
                <w:sz w:val="21"/>
                <w:szCs w:val="21"/>
              </w:rPr>
            </w:pPr>
            <w:r>
              <w:rPr>
                <w:rFonts w:ascii="宋体" w:hAnsi="宋体" w:cs="宋体" w:eastAsia="宋体" w:hint="default"/>
                <w:spacing w:val="-1"/>
                <w:sz w:val="21"/>
                <w:szCs w:val="21"/>
              </w:rPr>
              <w:t>应付债券</w:t>
            </w:r>
          </w:p>
        </w:tc>
      </w:tr>
      <w:tr>
        <w:trPr>
          <w:trHeight w:val="403"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02"/>
              <w:jc w:val="right"/>
              <w:rPr>
                <w:rFonts w:ascii="Times New Roman" w:hAnsi="Times New Roman" w:cs="Times New Roman" w:eastAsia="Times New Roman" w:hint="default"/>
                <w:sz w:val="21"/>
                <w:szCs w:val="21"/>
              </w:rPr>
            </w:pPr>
            <w:r>
              <w:rPr>
                <w:rFonts w:ascii="Times New Roman"/>
                <w:spacing w:val="-1"/>
                <w:sz w:val="21"/>
              </w:rPr>
              <w:t>156,308,589</w:t>
            </w:r>
          </w:p>
        </w:tc>
        <w:tc>
          <w:tcPr>
            <w:tcW w:w="683" w:type="dxa"/>
            <w:tcBorders>
              <w:top w:val="nil" w:sz="6" w:space="0" w:color="auto"/>
              <w:left w:val="nil" w:sz="6" w:space="0" w:color="auto"/>
              <w:bottom w:val="nil" w:sz="6" w:space="0" w:color="auto"/>
              <w:right w:val="nil" w:sz="6" w:space="0" w:color="auto"/>
            </w:tcBorders>
          </w:tcPr>
          <w:p>
            <w:pP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0"/>
              <w:jc w:val="right"/>
              <w:rPr>
                <w:rFonts w:ascii="Times New Roman" w:hAnsi="Times New Roman" w:cs="Times New Roman" w:eastAsia="Times New Roman" w:hint="default"/>
                <w:sz w:val="21"/>
                <w:szCs w:val="21"/>
              </w:rPr>
            </w:pPr>
            <w:r>
              <w:rPr>
                <w:rFonts w:ascii="Times New Roman"/>
                <w:w w:val="100"/>
                <w:sz w:val="21"/>
              </w:rPr>
              <w:t>-</w:t>
            </w:r>
          </w:p>
        </w:tc>
        <w:tc>
          <w:tcPr>
            <w:tcW w:w="259" w:type="dxa"/>
            <w:tcBorders>
              <w:top w:val="nil" w:sz="6" w:space="0" w:color="auto"/>
              <w:left w:val="nil" w:sz="6" w:space="0" w:color="auto"/>
              <w:bottom w:val="nil" w:sz="6" w:space="0" w:color="auto"/>
              <w:right w:val="nil" w:sz="6" w:space="0" w:color="auto"/>
            </w:tcBorders>
          </w:tcPr>
          <w:p>
            <w:pP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40"/>
              <w:jc w:val="right"/>
              <w:rPr>
                <w:rFonts w:ascii="Times New Roman" w:hAnsi="Times New Roman" w:cs="Times New Roman" w:eastAsia="Times New Roman" w:hint="default"/>
                <w:sz w:val="21"/>
                <w:szCs w:val="21"/>
              </w:rPr>
            </w:pPr>
            <w:r>
              <w:rPr>
                <w:rFonts w:ascii="Times New Roman"/>
                <w:spacing w:val="-1"/>
                <w:sz w:val="21"/>
              </w:rPr>
              <w:t>194,092,204</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1"/>
              <w:jc w:val="right"/>
              <w:rPr>
                <w:rFonts w:ascii="Times New Roman" w:hAnsi="Times New Roman" w:cs="Times New Roman" w:eastAsia="Times New Roman" w:hint="default"/>
                <w:sz w:val="21"/>
                <w:szCs w:val="21"/>
              </w:rPr>
            </w:pPr>
            <w:r>
              <w:rPr>
                <w:rFonts w:ascii="Times New Roman"/>
                <w:spacing w:val="-1"/>
                <w:sz w:val="21"/>
              </w:rPr>
              <w:t>3,500,000,000</w:t>
            </w:r>
          </w:p>
        </w:tc>
      </w:tr>
      <w:tr>
        <w:trPr>
          <w:trHeight w:val="252"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一至两年</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2"/>
              <w:jc w:val="right"/>
              <w:rPr>
                <w:rFonts w:ascii="Times New Roman" w:hAnsi="Times New Roman" w:cs="Times New Roman" w:eastAsia="Times New Roman" w:hint="default"/>
                <w:sz w:val="21"/>
                <w:szCs w:val="21"/>
              </w:rPr>
            </w:pPr>
            <w:r>
              <w:rPr>
                <w:rFonts w:ascii="Times New Roman"/>
                <w:spacing w:val="-1"/>
                <w:sz w:val="21"/>
              </w:rPr>
              <w:t>30,430,000</w:t>
            </w:r>
          </w:p>
        </w:tc>
        <w:tc>
          <w:tcPr>
            <w:tcW w:w="16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304" w:right="0"/>
              <w:jc w:val="left"/>
              <w:rPr>
                <w:rFonts w:ascii="Times New Roman" w:hAnsi="Times New Roman" w:cs="Times New Roman" w:eastAsia="Times New Roman" w:hint="default"/>
                <w:sz w:val="21"/>
                <w:szCs w:val="21"/>
              </w:rPr>
            </w:pPr>
            <w:r>
              <w:rPr>
                <w:rFonts w:ascii="Times New Roman"/>
                <w:sz w:val="21"/>
              </w:rPr>
              <w:t>2,116,900,000</w:t>
            </w:r>
          </w:p>
        </w:tc>
        <w:tc>
          <w:tcPr>
            <w:tcW w:w="259" w:type="dxa"/>
            <w:tcBorders>
              <w:top w:val="nil" w:sz="6" w:space="0" w:color="auto"/>
              <w:left w:val="nil" w:sz="6" w:space="0" w:color="auto"/>
              <w:bottom w:val="nil" w:sz="6" w:space="0" w:color="auto"/>
              <w:right w:val="nil" w:sz="6" w:space="0" w:color="auto"/>
            </w:tcBorders>
          </w:tcPr>
          <w:p>
            <w:pP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0"/>
              <w:jc w:val="right"/>
              <w:rPr>
                <w:rFonts w:ascii="Times New Roman" w:hAnsi="Times New Roman" w:cs="Times New Roman" w:eastAsia="Times New Roman" w:hint="default"/>
                <w:sz w:val="21"/>
                <w:szCs w:val="21"/>
              </w:rPr>
            </w:pPr>
            <w:r>
              <w:rPr>
                <w:rFonts w:ascii="Times New Roman"/>
                <w:spacing w:val="-1"/>
                <w:sz w:val="21"/>
              </w:rPr>
              <w:t>27,910,000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960" w:right="9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tbl>
      <w:tblPr>
        <w:tblW w:w="0" w:type="auto"/>
        <w:jc w:val="left"/>
        <w:tblInd w:w="113" w:type="dxa"/>
        <w:tblLayout w:type="fixed"/>
        <w:tblCellMar>
          <w:top w:w="0" w:type="dxa"/>
          <w:left w:w="0" w:type="dxa"/>
          <w:bottom w:w="0" w:type="dxa"/>
          <w:right w:w="0" w:type="dxa"/>
        </w:tblCellMar>
        <w:tblLook w:val="01E0"/>
      </w:tblPr>
      <w:tblGrid>
        <w:gridCol w:w="2242"/>
        <w:gridCol w:w="1743"/>
        <w:gridCol w:w="250"/>
        <w:gridCol w:w="1568"/>
        <w:gridCol w:w="252"/>
        <w:gridCol w:w="1704"/>
        <w:gridCol w:w="253"/>
        <w:gridCol w:w="1644"/>
      </w:tblGrid>
      <w:tr>
        <w:trPr>
          <w:trHeight w:val="246"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两年至五年</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237" w:lineRule="exact"/>
              <w:ind w:right="91"/>
              <w:jc w:val="right"/>
              <w:rPr>
                <w:rFonts w:ascii="Times New Roman" w:hAnsi="Times New Roman" w:cs="Times New Roman" w:eastAsia="Times New Roman" w:hint="default"/>
                <w:sz w:val="21"/>
                <w:szCs w:val="21"/>
              </w:rPr>
            </w:pPr>
            <w:r>
              <w:rPr>
                <w:rFonts w:ascii="Times New Roman"/>
                <w:spacing w:val="-1"/>
                <w:sz w:val="21"/>
              </w:rPr>
              <w:t>102,452,988</w:t>
            </w:r>
          </w:p>
        </w:tc>
        <w:tc>
          <w:tcPr>
            <w:tcW w:w="250"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Style w:val="TableParagraph"/>
              <w:spacing w:line="237" w:lineRule="exact"/>
              <w:ind w:right="90"/>
              <w:jc w:val="right"/>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37" w:lineRule="exact"/>
              <w:ind w:right="89"/>
              <w:jc w:val="right"/>
              <w:rPr>
                <w:rFonts w:ascii="Times New Roman" w:hAnsi="Times New Roman" w:cs="Times New Roman" w:eastAsia="Times New Roman" w:hint="default"/>
                <w:sz w:val="21"/>
                <w:szCs w:val="21"/>
              </w:rPr>
            </w:pPr>
            <w:r>
              <w:rPr>
                <w:rFonts w:ascii="Times New Roman"/>
                <w:spacing w:val="-1"/>
                <w:sz w:val="21"/>
              </w:rPr>
              <w:t>132,882,988</w:t>
            </w:r>
          </w:p>
        </w:tc>
        <w:tc>
          <w:tcPr>
            <w:tcW w:w="253"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w w:val="100"/>
                <w:sz w:val="21"/>
              </w:rPr>
              <w:t>-</w:t>
            </w:r>
          </w:p>
        </w:tc>
      </w:tr>
      <w:tr>
        <w:trPr>
          <w:trHeight w:val="262" w:hRule="exact"/>
        </w:trPr>
        <w:tc>
          <w:tcPr>
            <w:tcW w:w="2242" w:type="dxa"/>
            <w:tcBorders>
              <w:top w:val="nil" w:sz="6" w:space="0" w:color="auto"/>
              <w:left w:val="nil" w:sz="6" w:space="0" w:color="auto"/>
              <w:bottom w:val="nil" w:sz="6" w:space="0" w:color="auto"/>
              <w:right w:val="nil" w:sz="6" w:space="0" w:color="auto"/>
            </w:tcBorders>
          </w:tcPr>
          <w:p>
            <w:pPr/>
          </w:p>
        </w:tc>
        <w:tc>
          <w:tcPr>
            <w:tcW w:w="1743"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91"/>
              <w:jc w:val="right"/>
              <w:rPr>
                <w:rFonts w:ascii="Times New Roman" w:hAnsi="Times New Roman" w:cs="Times New Roman" w:eastAsia="Times New Roman" w:hint="default"/>
                <w:sz w:val="21"/>
                <w:szCs w:val="21"/>
              </w:rPr>
            </w:pPr>
            <w:r>
              <w:rPr>
                <w:rFonts w:ascii="Times New Roman"/>
                <w:spacing w:val="-1"/>
                <w:sz w:val="21"/>
              </w:rPr>
              <w:t>289,191,577</w:t>
            </w:r>
          </w:p>
        </w:tc>
        <w:tc>
          <w:tcPr>
            <w:tcW w:w="250"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89"/>
              <w:jc w:val="right"/>
              <w:rPr>
                <w:rFonts w:ascii="Times New Roman" w:hAnsi="Times New Roman" w:cs="Times New Roman" w:eastAsia="Times New Roman" w:hint="default"/>
                <w:sz w:val="21"/>
                <w:szCs w:val="21"/>
              </w:rPr>
            </w:pPr>
            <w:r>
              <w:rPr>
                <w:rFonts w:ascii="Times New Roman"/>
                <w:spacing w:val="-1"/>
                <w:sz w:val="21"/>
              </w:rPr>
              <w:t>2,116,900,000</w:t>
            </w:r>
          </w:p>
        </w:tc>
        <w:tc>
          <w:tcPr>
            <w:tcW w:w="252"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89"/>
              <w:jc w:val="right"/>
              <w:rPr>
                <w:rFonts w:ascii="Times New Roman" w:hAnsi="Times New Roman" w:cs="Times New Roman" w:eastAsia="Times New Roman" w:hint="default"/>
                <w:sz w:val="21"/>
                <w:szCs w:val="21"/>
              </w:rPr>
            </w:pPr>
            <w:r>
              <w:rPr>
                <w:rFonts w:ascii="Times New Roman"/>
                <w:spacing w:val="-1"/>
                <w:sz w:val="21"/>
              </w:rPr>
              <w:t>354,885,192</w:t>
            </w:r>
          </w:p>
        </w:tc>
        <w:tc>
          <w:tcPr>
            <w:tcW w:w="253"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91"/>
              <w:jc w:val="right"/>
              <w:rPr>
                <w:rFonts w:ascii="Times New Roman" w:hAnsi="Times New Roman" w:cs="Times New Roman" w:eastAsia="Times New Roman" w:hint="default"/>
                <w:sz w:val="21"/>
                <w:szCs w:val="21"/>
              </w:rPr>
            </w:pPr>
            <w:r>
              <w:rPr>
                <w:rFonts w:ascii="Times New Roman"/>
                <w:spacing w:val="-1"/>
                <w:sz w:val="21"/>
              </w:rPr>
              <w:t>3,500,000,000</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974" w:top="1080" w:bottom="1160" w:left="1060" w:right="960"/>
        </w:sectPr>
      </w:pPr>
    </w:p>
    <w:p>
      <w:pPr>
        <w:pStyle w:val="Heading5"/>
        <w:spacing w:line="240" w:lineRule="exact" w:before="0"/>
        <w:ind w:left="358" w:right="0"/>
        <w:jc w:val="left"/>
        <w:rPr>
          <w:rFonts w:ascii="宋体" w:hAnsi="宋体" w:cs="宋体" w:eastAsia="宋体" w:hint="default"/>
          <w:b w:val="0"/>
          <w:bCs w:val="0"/>
        </w:rPr>
      </w:pPr>
      <w:r>
        <w:rPr>
          <w:rFonts w:ascii="宋体"/>
          <w:w w:val="99"/>
        </w:rPr>
        <w:t> </w:t>
      </w:r>
      <w:r>
        <w:rPr>
          <w:rFonts w:ascii="宋体"/>
          <w:b w:val="0"/>
        </w:rPr>
      </w:r>
    </w:p>
    <w:p>
      <w:pPr>
        <w:pStyle w:val="BodyText"/>
        <w:spacing w:line="274" w:lineRule="exact"/>
        <w:ind w:left="358" w:right="0"/>
        <w:jc w:val="left"/>
        <w:rPr>
          <w:rFonts w:ascii="宋体" w:hAnsi="宋体" w:cs="宋体" w:eastAsia="宋体" w:hint="default"/>
        </w:rPr>
      </w:pPr>
      <w:r>
        <w:rPr>
          <w:rFonts w:ascii="宋体"/>
          <w:color w:val="808080"/>
          <w:w w:val="100"/>
        </w:rPr>
        <w:t> </w:t>
      </w:r>
      <w:r>
        <w:rPr>
          <w:rFonts w:ascii="宋体"/>
          <w:w w:val="100"/>
        </w:rPr>
      </w:r>
    </w:p>
    <w:p>
      <w:pPr>
        <w:pStyle w:val="Heading5"/>
        <w:spacing w:line="240" w:lineRule="auto"/>
        <w:ind w:left="358" w:right="0"/>
        <w:jc w:val="left"/>
        <w:rPr>
          <w:rFonts w:ascii="宋体" w:hAnsi="宋体" w:cs="宋体" w:eastAsia="宋体" w:hint="default"/>
          <w:b w:val="0"/>
          <w:bCs w:val="0"/>
        </w:rPr>
      </w:pPr>
      <w:r>
        <w:rPr/>
        <w:t>十一、</w:t>
      </w:r>
      <w:r>
        <w:rPr>
          <w:spacing w:val="99"/>
        </w:rPr>
        <w:t> </w:t>
      </w:r>
      <w:r>
        <w:rPr>
          <w:rFonts w:ascii="宋体" w:hAnsi="宋体" w:cs="宋体" w:eastAsia="宋体" w:hint="default"/>
          <w:spacing w:val="99"/>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left="358" w:right="-17"/>
        <w:jc w:val="left"/>
        <w:rPr>
          <w:b w:val="0"/>
          <w:bCs w:val="0"/>
        </w:rPr>
      </w:pPr>
      <w:r>
        <w:rPr>
          <w:rFonts w:ascii="宋体" w:hAnsi="宋体" w:cs="宋体" w:eastAsia="宋体" w:hint="default"/>
        </w:rPr>
        <w:t>1</w:t>
      </w:r>
      <w:r>
        <w:rPr/>
        <w:t>、</w:t>
      </w:r>
      <w:r>
        <w:rPr>
          <w:spacing w:val="-2"/>
        </w:rPr>
        <w:t> </w:t>
      </w:r>
      <w:r>
        <w:rPr/>
        <w:t>以公允价值计量的资产和负债的期末公允价值</w:t>
      </w:r>
      <w:r>
        <w:rPr>
          <w:b w:val="0"/>
          <w:bCs w:val="0"/>
        </w:rPr>
      </w:r>
    </w:p>
    <w:p>
      <w:pPr>
        <w:pStyle w:val="BodyText"/>
        <w:spacing w:line="240" w:lineRule="auto" w:before="56"/>
        <w:ind w:left="3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358"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060" w:right="960"/>
          <w:cols w:num="2" w:equalWidth="0">
            <w:col w:w="4999" w:space="1972"/>
            <w:col w:w="2919"/>
          </w:cols>
        </w:sectPr>
      </w:pP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2722"/>
        <w:gridCol w:w="1682"/>
        <w:gridCol w:w="1580"/>
        <w:gridCol w:w="1613"/>
        <w:gridCol w:w="1532"/>
      </w:tblGrid>
      <w:tr>
        <w:trPr>
          <w:trHeight w:val="283" w:hRule="exact"/>
        </w:trPr>
        <w:tc>
          <w:tcPr>
            <w:tcW w:w="272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4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722"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718,562,130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1,477,357,331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2,195,919,461</w:t>
            </w:r>
          </w:p>
        </w:tc>
      </w:tr>
      <w:tr>
        <w:trPr>
          <w:trHeight w:val="554"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718,562,130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1,405,149,454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2,123,711,584</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718,562,130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1,405,149,454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2,123,711,584</w:t>
            </w:r>
          </w:p>
        </w:tc>
      </w:tr>
      <w:tr>
        <w:trPr>
          <w:trHeight w:val="828"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指定以公允价值计量且其</w:t>
            </w:r>
          </w:p>
          <w:p>
            <w:pPr>
              <w:pStyle w:val="TableParagraph"/>
              <w:spacing w:line="272" w:lineRule="exact" w:before="27"/>
              <w:ind w:left="24" w:right="163"/>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72,207,877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72,207,877</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72,207,877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72,207,877</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4,382,429,400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4,382,429,400</w:t>
            </w:r>
          </w:p>
        </w:tc>
      </w:tr>
      <w:tr>
        <w:trPr>
          <w:trHeight w:val="554"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5,100,991,530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5"/>
              <w:jc w:val="right"/>
              <w:rPr>
                <w:rFonts w:ascii="宋体" w:hAnsi="宋体" w:cs="宋体" w:eastAsia="宋体" w:hint="default"/>
                <w:sz w:val="21"/>
                <w:szCs w:val="21"/>
              </w:rPr>
            </w:pPr>
            <w:r>
              <w:rPr>
                <w:rFonts w:ascii="宋体"/>
                <w:w w:val="100"/>
                <w:sz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1,477,357,331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6,578,348,861</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358" w:right="0"/>
        <w:jc w:val="left"/>
        <w:rPr>
          <w:rFonts w:ascii="宋体" w:hAnsi="宋体" w:cs="宋体" w:eastAsia="宋体" w:hint="default"/>
        </w:rPr>
      </w:pPr>
      <w:r>
        <w:rPr>
          <w:rFonts w:ascii="宋体"/>
          <w:w w:val="100"/>
        </w:rPr>
        <w:t> </w:t>
      </w:r>
    </w:p>
    <w:p>
      <w:pPr>
        <w:pStyle w:val="Heading5"/>
        <w:spacing w:line="240" w:lineRule="auto"/>
        <w:ind w:left="35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358" w:right="31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按照相同资产或负债在活跃市场上未经调整的报价。</w:t>
      </w:r>
      <w:r>
        <w:rPr>
          <w:rFonts w:ascii="宋体" w:hAnsi="宋体" w:cs="宋体" w:eastAsia="宋体" w:hint="default"/>
        </w:rPr>
        <w:t> </w:t>
      </w:r>
    </w:p>
    <w:p>
      <w:pPr>
        <w:pStyle w:val="Heading5"/>
        <w:spacing w:line="246" w:lineRule="exact" w:before="0"/>
        <w:ind w:left="358" w:right="0"/>
        <w:jc w:val="left"/>
        <w:rPr>
          <w:rFonts w:ascii="宋体" w:hAnsi="宋体" w:cs="宋体" w:eastAsia="宋体" w:hint="default"/>
          <w:b w:val="0"/>
          <w:bCs w:val="0"/>
        </w:rPr>
      </w:pPr>
      <w:r>
        <w:rPr>
          <w:rFonts w:ascii="宋体"/>
          <w:w w:val="99"/>
        </w:rPr>
        <w:t> </w:t>
      </w:r>
      <w:r>
        <w:rPr>
          <w:rFonts w:ascii="宋体"/>
          <w:b w:val="0"/>
        </w:rPr>
      </w:r>
    </w:p>
    <w:p>
      <w:pPr>
        <w:pStyle w:val="Heading5"/>
        <w:spacing w:line="240" w:lineRule="auto" w:before="58"/>
        <w:ind w:left="358" w:right="0"/>
        <w:jc w:val="left"/>
        <w:rPr>
          <w:b w:val="0"/>
          <w:bCs w:val="0"/>
        </w:rPr>
      </w:pPr>
      <w:r>
        <w:rPr>
          <w:rFonts w:ascii="宋体" w:hAnsi="宋体" w:cs="宋体" w:eastAsia="宋体" w:hint="default"/>
        </w:rPr>
        <w:t>3</w:t>
      </w:r>
      <w:r>
        <w:rPr/>
        <w:t>、</w:t>
      </w:r>
      <w:r>
        <w:rPr>
          <w:spacing w:val="-6"/>
        </w:rPr>
        <w:t> </w:t>
      </w:r>
      <w:r>
        <w:rPr/>
        <w:t>持续和非持续第二层次公允价值计量项目，采用的估值技术和重要参数的定性及定量信息</w:t>
      </w:r>
      <w:r>
        <w:rPr>
          <w:b w:val="0"/>
          <w:bCs w:val="0"/>
        </w:rPr>
      </w:r>
    </w:p>
    <w:p>
      <w:pPr>
        <w:pStyle w:val="BodyText"/>
        <w:spacing w:line="274" w:lineRule="exact" w:before="56"/>
        <w:ind w:left="3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58" w:right="0"/>
        <w:jc w:val="left"/>
        <w:rPr>
          <w:rFonts w:ascii="宋体" w:hAnsi="宋体" w:cs="宋体" w:eastAsia="宋体" w:hint="default"/>
        </w:rPr>
      </w:pPr>
      <w:r>
        <w:rPr>
          <w:rFonts w:ascii="宋体"/>
          <w:w w:val="100"/>
        </w:rPr>
        <w:t> </w:t>
      </w:r>
    </w:p>
    <w:p>
      <w:pPr>
        <w:pStyle w:val="Heading5"/>
        <w:spacing w:line="240" w:lineRule="auto"/>
        <w:ind w:left="358" w:right="0"/>
        <w:jc w:val="left"/>
        <w:rPr>
          <w:b w:val="0"/>
          <w:bCs w:val="0"/>
        </w:rPr>
      </w:pPr>
      <w:r>
        <w:rPr>
          <w:rFonts w:ascii="宋体" w:hAnsi="宋体" w:cs="宋体" w:eastAsia="宋体" w:hint="default"/>
        </w:rPr>
        <w:t>4</w:t>
      </w:r>
      <w:r>
        <w:rPr/>
        <w:t>、</w:t>
      </w:r>
      <w:r>
        <w:rPr>
          <w:spacing w:val="-6"/>
        </w:rPr>
        <w:t> </w:t>
      </w:r>
      <w:r>
        <w:rPr/>
        <w:t>持续和非持续第三层次公允价值计量项目，采用的估值技术和重要参数的定性及定量信息</w:t>
      </w:r>
      <w:r>
        <w:rPr>
          <w:b w:val="0"/>
          <w:bCs w:val="0"/>
        </w:rPr>
      </w:r>
    </w:p>
    <w:p>
      <w:pPr>
        <w:pStyle w:val="BodyText"/>
        <w:spacing w:line="240" w:lineRule="auto" w:before="58"/>
        <w:ind w:left="3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7" w:lineRule="auto" w:before="73"/>
        <w:ind w:left="358" w:right="0" w:firstLine="420"/>
        <w:jc w:val="left"/>
        <w:rPr>
          <w:rFonts w:ascii="宋体" w:hAnsi="宋体" w:cs="宋体" w:eastAsia="宋体" w:hint="default"/>
        </w:rPr>
      </w:pPr>
      <w:r>
        <w:rPr/>
        <w:t>于</w:t>
      </w:r>
      <w:r>
        <w:rPr>
          <w:spacing w:val="-54"/>
        </w:rPr>
        <w:t> </w:t>
      </w:r>
      <w:r>
        <w:rPr>
          <w:rFonts w:ascii="Arial" w:hAnsi="Arial" w:cs="Arial" w:eastAsia="Arial" w:hint="default"/>
        </w:rPr>
        <w:t>2019</w:t>
      </w:r>
      <w:r>
        <w:rPr>
          <w:rFonts w:ascii="Arial" w:hAnsi="Arial" w:cs="Arial" w:eastAsia="Arial" w:hint="default"/>
          <w:spacing w:val="-9"/>
        </w:rPr>
        <w:t> </w:t>
      </w:r>
      <w:r>
        <w:rPr/>
        <w:t>年</w:t>
      </w:r>
      <w:r>
        <w:rPr>
          <w:spacing w:val="-54"/>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日，本集团第三层次金融资产主要为银行理财产品、应收票据及权益工具</w:t>
      </w:r>
      <w:r>
        <w:rPr>
          <w:w w:val="100"/>
        </w:rPr>
        <w:t> </w:t>
      </w:r>
      <w:r>
        <w:rPr/>
        <w:t>等，其公允价值的估值技术为预期收益法及可比公司法等，其不可观察输入值为其预期收益率、</w:t>
      </w:r>
      <w:r>
        <w:rPr>
          <w:w w:val="100"/>
        </w:rPr>
        <w:t> </w:t>
      </w:r>
      <w:r>
        <w:rPr>
          <w:rFonts w:ascii="Arial" w:hAnsi="Arial" w:cs="Arial" w:eastAsia="Arial" w:hint="default"/>
          <w:spacing w:val="-1"/>
        </w:rPr>
        <w:t>EBITDA</w:t>
      </w:r>
      <w:r>
        <w:rPr>
          <w:rFonts w:ascii="Arial" w:hAnsi="Arial" w:cs="Arial" w:eastAsia="Arial" w:hint="default"/>
        </w:rPr>
        <w:t> </w:t>
      </w:r>
      <w:r>
        <w:rPr>
          <w:rFonts w:ascii="Arial" w:hAnsi="Arial" w:cs="Arial" w:eastAsia="Arial" w:hint="default"/>
          <w:spacing w:val="2"/>
        </w:rPr>
        <w:t> </w:t>
      </w:r>
      <w:r>
        <w:rPr>
          <w:spacing w:val="-2"/>
        </w:rPr>
        <w:t>乘数以及缺乏流动性折价等，管理层依据上述输入值对其公允价值进行评估。</w:t>
      </w:r>
      <w:r>
        <w:rPr>
          <w:rFonts w:ascii="宋体" w:hAnsi="宋体" w:cs="宋体" w:eastAsia="宋体" w:hint="default"/>
        </w:rPr>
        <w:t> </w:t>
      </w:r>
    </w:p>
    <w:p>
      <w:pPr>
        <w:pStyle w:val="BodyText"/>
        <w:tabs>
          <w:tab w:pos="3239" w:val="left" w:leader="none"/>
        </w:tabs>
        <w:spacing w:line="203" w:lineRule="exact"/>
        <w:ind w:left="35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03" w:lineRule="exact"/>
        <w:jc w:val="left"/>
        <w:rPr>
          <w:rFonts w:ascii="宋体" w:hAnsi="宋体" w:cs="宋体" w:eastAsia="宋体" w:hint="default"/>
        </w:rPr>
        <w:sectPr>
          <w:type w:val="continuous"/>
          <w:pgSz w:w="11910" w:h="16840"/>
          <w:pgMar w:top="1120" w:bottom="1160" w:left="1060" w:right="960"/>
        </w:sectPr>
      </w:pPr>
    </w:p>
    <w:p>
      <w:pPr>
        <w:spacing w:before="20"/>
        <w:ind w:left="6455" w:right="645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2.7pt;height:.75pt;mso-position-horizontal-relative:char;mso-position-vertical-relative:line" coordorigin="0,0" coordsize="14054,15">
            <v:group style="position:absolute;left:7;top:7;width:14040;height:2" coordorigin="7,7" coordsize="14040,2">
              <v:shape style="position:absolute;left:7;top:7;width:14040;height:2" coordorigin="7,7" coordsize="14040,0" path="m7,7l1404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9"/>
          <w:szCs w:val="29"/>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5"/>
        <w:spacing w:line="240" w:lineRule="auto"/>
        <w:ind w:left="138" w:right="0"/>
        <w:jc w:val="left"/>
        <w:rPr>
          <w:b w:val="0"/>
          <w:bCs w:val="0"/>
        </w:rPr>
      </w:pPr>
      <w:r>
        <w:rPr>
          <w:rFonts w:ascii="宋体" w:hAnsi="宋体" w:cs="宋体" w:eastAsia="宋体" w:hint="default"/>
        </w:rPr>
        <w:t>5</w:t>
      </w:r>
      <w:r>
        <w:rPr/>
        <w:t>、</w:t>
      </w:r>
      <w:r>
        <w:rPr>
          <w:spacing w:val="-8"/>
        </w:rPr>
        <w:t> </w:t>
      </w:r>
      <w:r>
        <w:rPr/>
        <w:t>持续的第三层次公允价值计量项目，期初与期末账面价值间的调节信息及不可观察参数敏感性分析</w:t>
      </w:r>
      <w:r>
        <w:rPr>
          <w:b w:val="0"/>
          <w:bCs w:val="0"/>
        </w:rPr>
      </w:r>
    </w:p>
    <w:p>
      <w:pPr>
        <w:pStyle w:val="BodyText"/>
        <w:spacing w:line="273" w:lineRule="exact" w:before="58"/>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97"/>
          <w:footerReference w:type="default" r:id="rId98"/>
          <w:pgSz w:w="16840" w:h="11910" w:orient="landscape"/>
          <w:pgMar w:header="0" w:footer="0" w:top="800" w:bottom="280" w:left="1280" w:right="1300"/>
        </w:sectPr>
      </w:pPr>
    </w:p>
    <w:p>
      <w:pPr>
        <w:spacing w:before="19"/>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tabs>
          <w:tab w:pos="2386" w:val="left" w:leader="none"/>
          <w:tab w:pos="4031" w:val="left" w:leader="none"/>
        </w:tabs>
        <w:spacing w:line="195" w:lineRule="exact" w:before="151"/>
        <w:ind w:left="968" w:right="0" w:firstLine="0"/>
        <w:jc w:val="left"/>
        <w:rPr>
          <w:rFonts w:ascii="宋体" w:hAnsi="宋体" w:cs="宋体" w:eastAsia="宋体" w:hint="default"/>
          <w:sz w:val="18"/>
          <w:szCs w:val="18"/>
        </w:rPr>
      </w:pPr>
      <w:r>
        <w:rPr/>
        <w:br w:type="column"/>
      </w:r>
      <w:bookmarkStart w:name="newtable_15.00_8.00" w:id="26"/>
      <w:bookmarkEnd w:id="26"/>
      <w:r>
        <w:rPr/>
      </w:r>
      <w:r>
        <w:rPr>
          <w:rFonts w:ascii="宋体" w:hAnsi="宋体" w:cs="宋体" w:eastAsia="宋体" w:hint="default"/>
          <w:sz w:val="18"/>
          <w:szCs w:val="18"/>
        </w:rPr>
        <w:t>购买</w:t>
      </w:r>
      <w:r>
        <w:rPr>
          <w:rFonts w:ascii="宋体" w:hAnsi="宋体" w:cs="宋体" w:eastAsia="宋体" w:hint="default"/>
          <w:sz w:val="18"/>
          <w:szCs w:val="18"/>
        </w:rPr>
        <w:tab/>
      </w:r>
      <w:r>
        <w:rPr>
          <w:rFonts w:ascii="宋体" w:hAnsi="宋体" w:cs="宋体" w:eastAsia="宋体" w:hint="default"/>
          <w:position w:val="1"/>
          <w:sz w:val="18"/>
          <w:szCs w:val="18"/>
        </w:rPr>
        <w:t>出售</w:t>
      </w:r>
      <w:r>
        <w:rPr>
          <w:rFonts w:ascii="宋体" w:hAnsi="宋体" w:cs="宋体" w:eastAsia="宋体" w:hint="default"/>
          <w:position w:val="1"/>
          <w:sz w:val="18"/>
          <w:szCs w:val="18"/>
        </w:rPr>
        <w:tab/>
      </w:r>
      <w:r>
        <w:rPr>
          <w:rFonts w:ascii="宋体" w:hAnsi="宋体" w:cs="宋体" w:eastAsia="宋体" w:hint="default"/>
          <w:position w:val="1"/>
          <w:sz w:val="18"/>
          <w:szCs w:val="18"/>
        </w:rPr>
        <w:t>结算</w:t>
      </w:r>
      <w:r>
        <w:rPr>
          <w:rFonts w:ascii="宋体" w:hAnsi="宋体" w:cs="宋体" w:eastAsia="宋体" w:hint="default"/>
          <w:position w:val="1"/>
          <w:sz w:val="18"/>
          <w:szCs w:val="18"/>
        </w:rPr>
        <w:t> </w:t>
      </w:r>
      <w:r>
        <w:rPr>
          <w:rFonts w:ascii="宋体" w:hAnsi="宋体" w:cs="宋体" w:eastAsia="宋体" w:hint="default"/>
          <w:sz w:val="18"/>
          <w:szCs w:val="18"/>
        </w:rPr>
      </w:r>
    </w:p>
    <w:p>
      <w:pPr>
        <w:tabs>
          <w:tab w:pos="2682" w:val="left" w:leader="none"/>
        </w:tabs>
        <w:spacing w:before="19"/>
        <w:ind w:left="1324"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当期利得总额计入</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6840" w:h="11910" w:orient="landscape"/>
          <w:pgMar w:top="1120" w:bottom="1160" w:left="1280" w:right="1300"/>
          <w:cols w:num="3" w:equalWidth="0">
            <w:col w:w="3694" w:space="40"/>
            <w:col w:w="4482" w:space="40"/>
            <w:col w:w="6004"/>
          </w:cols>
        </w:sectPr>
      </w:pPr>
    </w:p>
    <w:p>
      <w:pPr>
        <w:tabs>
          <w:tab w:pos="9444" w:val="left" w:leader="none"/>
          <w:tab w:pos="11108" w:val="left" w:leader="none"/>
        </w:tabs>
        <w:spacing w:line="194" w:lineRule="exact" w:before="0"/>
        <w:ind w:left="297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损益的利得</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6120" w:val="left" w:leader="none"/>
          <w:tab w:pos="7764" w:val="left" w:leader="none"/>
        </w:tabs>
        <w:spacing w:before="0"/>
        <w:ind w:left="4728" w:right="0" w:firstLine="0"/>
        <w:jc w:val="left"/>
        <w:rPr>
          <w:rFonts w:ascii="宋体" w:hAnsi="宋体" w:cs="宋体" w:eastAsia="宋体" w:hint="default"/>
          <w:sz w:val="18"/>
          <w:szCs w:val="18"/>
        </w:rPr>
      </w:pPr>
      <w:r>
        <w:rPr/>
        <w:pict>
          <v:shape style="position:absolute;margin-left:73.849998pt;margin-top:-152.820328pt;width:615.450pt;height:321.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3"/>
                    <w:gridCol w:w="1539"/>
                    <w:gridCol w:w="1477"/>
                    <w:gridCol w:w="1311"/>
                    <w:gridCol w:w="2290"/>
                    <w:gridCol w:w="1564"/>
                    <w:gridCol w:w="472"/>
                    <w:gridCol w:w="1223"/>
                  </w:tblGrid>
                  <w:tr>
                    <w:trPr>
                      <w:trHeight w:val="31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 </w:t>
                        </w:r>
                      </w:p>
                    </w:tc>
                    <w:tc>
                      <w:tcPr>
                        <w:tcW w:w="9875" w:type="dxa"/>
                        <w:gridSpan w:val="7"/>
                        <w:vMerge w:val="restart"/>
                        <w:tcBorders>
                          <w:top w:val="nil" w:sz="6" w:space="0" w:color="auto"/>
                          <w:left w:val="nil" w:sz="6" w:space="0" w:color="auto"/>
                          <w:right w:val="nil" w:sz="6" w:space="0" w:color="auto"/>
                        </w:tcBorders>
                      </w:tcPr>
                      <w:p>
                        <w:pPr/>
                      </w:p>
                    </w:tc>
                  </w:tr>
                  <w:tr>
                    <w:trPr>
                      <w:trHeight w:val="320"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9875" w:type="dxa"/>
                        <w:gridSpan w:val="7"/>
                        <w:vMerge/>
                        <w:tcBorders>
                          <w:left w:val="nil" w:sz="6" w:space="0" w:color="auto"/>
                          <w:bottom w:val="nil" w:sz="6" w:space="0" w:color="auto"/>
                          <w:right w:val="nil" w:sz="6" w:space="0" w:color="auto"/>
                        </w:tcBorders>
                      </w:tcPr>
                      <w:p>
                        <w:pPr/>
                      </w:p>
                    </w:tc>
                  </w:tr>
                  <w:tr>
                    <w:trPr>
                      <w:trHeight w:val="314"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非保本浮动收益理财产品</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871,000,000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Times New Roman" w:hAnsi="Times New Roman" w:cs="Times New Roman" w:eastAsia="Times New Roman" w:hint="default"/>
                            <w:sz w:val="18"/>
                            <w:szCs w:val="18"/>
                          </w:rPr>
                        </w:pPr>
                        <w:r>
                          <w:rPr>
                            <w:rFonts w:ascii="Times New Roman"/>
                            <w:spacing w:val="-1"/>
                            <w:sz w:val="18"/>
                          </w:rPr>
                          <w:t>1,805,000,000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6" w:right="0"/>
                          <w:jc w:val="left"/>
                          <w:rPr>
                            <w:rFonts w:ascii="Times New Roman" w:hAnsi="Times New Roman" w:cs="Times New Roman" w:eastAsia="Times New Roman" w:hint="default"/>
                            <w:sz w:val="18"/>
                            <w:szCs w:val="18"/>
                          </w:rPr>
                        </w:pPr>
                        <w:r>
                          <w:rPr>
                            <w:rFonts w:ascii="Times New Roman"/>
                            <w:sz w:val="18"/>
                          </w:rPr>
                          <w:t>-1,976,000,000</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700,000,000</w:t>
                        </w:r>
                      </w:p>
                    </w:tc>
                    <w:tc>
                      <w:tcPr>
                        <w:tcW w:w="16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775" w:right="0"/>
                          <w:jc w:val="left"/>
                          <w:rPr>
                            <w:rFonts w:ascii="Times New Roman" w:hAnsi="Times New Roman" w:cs="Times New Roman" w:eastAsia="Times New Roman" w:hint="default"/>
                            <w:sz w:val="18"/>
                            <w:szCs w:val="18"/>
                          </w:rPr>
                        </w:pPr>
                        <w:r>
                          <w:rPr>
                            <w:rFonts w:ascii="Times New Roman"/>
                            <w:sz w:val="18"/>
                          </w:rPr>
                          <w:t>35,747,912</w:t>
                        </w:r>
                      </w:p>
                    </w:tc>
                  </w:tr>
                  <w:tr>
                    <w:trPr>
                      <w:trHeight w:val="31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95" w:type="dxa"/>
                        <w:gridSpan w:val="2"/>
                        <w:tcBorders>
                          <w:top w:val="nil" w:sz="6" w:space="0" w:color="auto"/>
                          <w:left w:val="nil" w:sz="6" w:space="0" w:color="auto"/>
                          <w:bottom w:val="nil" w:sz="6" w:space="0" w:color="auto"/>
                          <w:right w:val="nil" w:sz="6" w:space="0" w:color="auto"/>
                        </w:tcBorders>
                      </w:tcPr>
                      <w:p>
                        <w:pPr/>
                      </w:p>
                    </w:tc>
                  </w:tr>
                  <w:tr>
                    <w:trPr>
                      <w:trHeight w:val="313"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670,396,485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18"/>
                            <w:szCs w:val="18"/>
                          </w:rPr>
                        </w:pPr>
                        <w:r>
                          <w:rPr>
                            <w:rFonts w:ascii="Times New Roman"/>
                            <w:spacing w:val="-1"/>
                            <w:sz w:val="18"/>
                          </w:rPr>
                          <w:t>3,128,492,446</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6" w:right="0"/>
                          <w:jc w:val="left"/>
                          <w:rPr>
                            <w:rFonts w:ascii="Times New Roman" w:hAnsi="Times New Roman" w:cs="Times New Roman" w:eastAsia="Times New Roman" w:hint="default"/>
                            <w:sz w:val="18"/>
                            <w:szCs w:val="18"/>
                          </w:rPr>
                        </w:pPr>
                        <w:r>
                          <w:rPr>
                            <w:rFonts w:ascii="Times New Roman"/>
                            <w:sz w:val="18"/>
                          </w:rPr>
                          <w:t>-2,288,723,267</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9"/>
                          <w:jc w:val="right"/>
                          <w:rPr>
                            <w:rFonts w:ascii="Times New Roman" w:hAnsi="Times New Roman" w:cs="Times New Roman" w:eastAsia="Times New Roman" w:hint="default"/>
                            <w:sz w:val="18"/>
                            <w:szCs w:val="18"/>
                          </w:rPr>
                        </w:pPr>
                        <w:r>
                          <w:rPr>
                            <w:rFonts w:ascii="Times New Roman"/>
                            <w:spacing w:val="-1"/>
                            <w:sz w:val="18"/>
                          </w:rPr>
                          <w:t>-805,016,210</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705,149,454</w:t>
                        </w:r>
                      </w:p>
                    </w:tc>
                    <w:tc>
                      <w:tcPr>
                        <w:tcW w:w="16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806" w:right="0"/>
                          <w:jc w:val="left"/>
                          <w:rPr>
                            <w:rFonts w:ascii="Times New Roman" w:hAnsi="Times New Roman" w:cs="Times New Roman" w:eastAsia="Times New Roman" w:hint="default"/>
                            <w:sz w:val="18"/>
                            <w:szCs w:val="18"/>
                          </w:rPr>
                        </w:pPr>
                        <w:r>
                          <w:rPr>
                            <w:rFonts w:ascii="Times New Roman"/>
                            <w:sz w:val="18"/>
                          </w:rPr>
                          <w:t>-4,144,864</w:t>
                        </w:r>
                      </w:p>
                    </w:tc>
                  </w:tr>
                  <w:tr>
                    <w:trPr>
                      <w:trHeight w:val="31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695" w:type="dxa"/>
                        <w:gridSpan w:val="2"/>
                        <w:tcBorders>
                          <w:top w:val="nil" w:sz="6" w:space="0" w:color="auto"/>
                          <w:left w:val="nil" w:sz="6" w:space="0" w:color="auto"/>
                          <w:bottom w:val="nil" w:sz="6" w:space="0" w:color="auto"/>
                          <w:right w:val="nil" w:sz="6" w:space="0" w:color="auto"/>
                        </w:tcBorders>
                      </w:tcPr>
                      <w:p>
                        <w:pPr/>
                      </w:p>
                    </w:tc>
                  </w:tr>
                  <w:tr>
                    <w:trPr>
                      <w:trHeight w:val="31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股权投资</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pacing w:val="-1"/>
                            <w:sz w:val="18"/>
                          </w:rPr>
                          <w:t>72,207,877</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pacing w:val="-1"/>
                            <w:sz w:val="18"/>
                          </w:rPr>
                          <w:t>72,207,877</w:t>
                        </w:r>
                      </w:p>
                    </w:tc>
                    <w:tc>
                      <w:tcPr>
                        <w:tcW w:w="16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775" w:right="0"/>
                          <w:jc w:val="left"/>
                          <w:rPr>
                            <w:rFonts w:ascii="Times New Roman" w:hAnsi="Times New Roman" w:cs="Times New Roman" w:eastAsia="Times New Roman" w:hint="default"/>
                            <w:sz w:val="18"/>
                            <w:szCs w:val="18"/>
                          </w:rPr>
                        </w:pPr>
                        <w:r>
                          <w:rPr>
                            <w:rFonts w:ascii="Times New Roman"/>
                            <w:sz w:val="18"/>
                          </w:rPr>
                          <w:t>11,272,600</w:t>
                        </w:r>
                      </w:p>
                    </w:tc>
                  </w:tr>
                  <w:tr>
                    <w:trPr>
                      <w:trHeight w:val="33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非保本浮动收益理财产品</w:t>
                        </w:r>
                        <w:r>
                          <w:rPr>
                            <w:rFonts w:ascii="宋体" w:hAnsi="宋体" w:cs="宋体" w:eastAsia="宋体" w:hint="default"/>
                            <w:sz w:val="18"/>
                            <w:szCs w:val="18"/>
                          </w:rPr>
                          <w:t> </w:t>
                        </w:r>
                      </w:p>
                    </w:tc>
                    <w:tc>
                      <w:tcPr>
                        <w:tcW w:w="1539"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61,000,000</w:t>
                        </w:r>
                      </w:p>
                    </w:tc>
                    <w:tc>
                      <w:tcPr>
                        <w:tcW w:w="1477"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1"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w w:val="95"/>
                            <w:sz w:val="18"/>
                          </w:rPr>
                          <w:t>-61,000,000</w:t>
                        </w:r>
                        <w:r>
                          <w:rPr>
                            <w:rFonts w:ascii="Times New Roman"/>
                            <w:sz w:val="18"/>
                          </w:rPr>
                        </w:r>
                      </w:p>
                    </w:tc>
                    <w:tc>
                      <w:tcPr>
                        <w:tcW w:w="2290"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4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4"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51"/>
                          <w:ind w:left="866" w:right="0"/>
                          <w:jc w:val="left"/>
                          <w:rPr>
                            <w:rFonts w:ascii="Times New Roman" w:hAnsi="Times New Roman" w:cs="Times New Roman" w:eastAsia="Times New Roman" w:hint="default"/>
                            <w:sz w:val="18"/>
                            <w:szCs w:val="18"/>
                          </w:rPr>
                        </w:pPr>
                        <w:r>
                          <w:rPr>
                            <w:rFonts w:ascii="Times New Roman"/>
                            <w:sz w:val="18"/>
                          </w:rPr>
                          <w:t>2,737,479</w:t>
                        </w:r>
                      </w:p>
                    </w:tc>
                  </w:tr>
                  <w:tr>
                    <w:trPr>
                      <w:trHeight w:val="35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39"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1,674,604,362</w:t>
                        </w:r>
                      </w:p>
                    </w:tc>
                    <w:tc>
                      <w:tcPr>
                        <w:tcW w:w="1477"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4,933,492,446</w:t>
                        </w:r>
                      </w:p>
                    </w:tc>
                    <w:tc>
                      <w:tcPr>
                        <w:tcW w:w="1311"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-4325723267</w:t>
                        </w:r>
                      </w:p>
                    </w:tc>
                    <w:tc>
                      <w:tcPr>
                        <w:tcW w:w="2290"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419"/>
                          <w:jc w:val="right"/>
                          <w:rPr>
                            <w:rFonts w:ascii="Times New Roman" w:hAnsi="Times New Roman" w:cs="Times New Roman" w:eastAsia="Times New Roman" w:hint="default"/>
                            <w:sz w:val="18"/>
                            <w:szCs w:val="18"/>
                          </w:rPr>
                        </w:pPr>
                        <w:r>
                          <w:rPr>
                            <w:rFonts w:ascii="Times New Roman"/>
                            <w:spacing w:val="-1"/>
                            <w:sz w:val="18"/>
                          </w:rPr>
                          <w:t>-805,016,210</w:t>
                        </w:r>
                      </w:p>
                    </w:tc>
                    <w:tc>
                      <w:tcPr>
                        <w:tcW w:w="1564"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1,477,357,331</w:t>
                        </w:r>
                      </w:p>
                    </w:tc>
                    <w:tc>
                      <w:tcPr>
                        <w:tcW w:w="1695" w:type="dxa"/>
                        <w:gridSpan w:val="2"/>
                        <w:tcBorders>
                          <w:top w:val="single" w:sz="8" w:space="0" w:color="000000"/>
                          <w:left w:val="nil" w:sz="6" w:space="0" w:color="auto"/>
                          <w:bottom w:val="single" w:sz="12" w:space="0" w:color="000000"/>
                          <w:right w:val="nil" w:sz="6" w:space="0" w:color="auto"/>
                        </w:tcBorders>
                      </w:tcPr>
                      <w:p>
                        <w:pPr>
                          <w:pStyle w:val="TableParagraph"/>
                          <w:spacing w:line="240" w:lineRule="auto" w:before="57"/>
                          <w:ind w:left="775" w:right="0"/>
                          <w:jc w:val="left"/>
                          <w:rPr>
                            <w:rFonts w:ascii="Times New Roman" w:hAnsi="Times New Roman" w:cs="Times New Roman" w:eastAsia="Times New Roman" w:hint="default"/>
                            <w:sz w:val="18"/>
                            <w:szCs w:val="18"/>
                          </w:rPr>
                        </w:pPr>
                        <w:r>
                          <w:rPr>
                            <w:rFonts w:ascii="Times New Roman"/>
                            <w:sz w:val="18"/>
                          </w:rPr>
                          <w:t>45,613,127</w:t>
                        </w:r>
                      </w:p>
                    </w:tc>
                  </w:tr>
                  <w:tr>
                    <w:trPr>
                      <w:trHeight w:val="615" w:hRule="exact"/>
                    </w:trPr>
                    <w:tc>
                      <w:tcPr>
                        <w:tcW w:w="12308" w:type="dxa"/>
                        <w:gridSpan w:val="8"/>
                        <w:tcBorders>
                          <w:top w:val="nil" w:sz="6" w:space="0" w:color="auto"/>
                          <w:left w:val="nil" w:sz="6" w:space="0" w:color="auto"/>
                          <w:bottom w:val="nil" w:sz="6" w:space="0" w:color="auto"/>
                          <w:right w:val="nil" w:sz="6" w:space="0" w:color="auto"/>
                        </w:tcBorders>
                      </w:tcPr>
                      <w:p>
                        <w:pPr>
                          <w:pStyle w:val="TableParagraph"/>
                          <w:tabs>
                            <w:tab w:pos="9381" w:val="left" w:leader="none"/>
                            <w:tab w:pos="10740" w:val="left" w:leader="none"/>
                          </w:tabs>
                          <w:spacing w:line="240" w:lineRule="auto" w:before="10"/>
                          <w:ind w:left="2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tab/>
                          <w:t>当期利得总额计入</w:t>
                        </w:r>
                        <w:r>
                          <w:rPr>
                            <w:rFonts w:ascii="宋体" w:hAnsi="宋体" w:cs="宋体" w:eastAsia="宋体" w:hint="default"/>
                            <w:sz w:val="18"/>
                            <w:szCs w:val="18"/>
                          </w:rPr>
                          <w:t> </w:t>
                        </w:r>
                      </w:p>
                      <w:p>
                        <w:pPr>
                          <w:pStyle w:val="TableParagraph"/>
                          <w:tabs>
                            <w:tab w:pos="9247" w:val="left" w:leader="none"/>
                            <w:tab w:pos="10911" w:val="left" w:leader="none"/>
                          </w:tabs>
                          <w:spacing w:line="240" w:lineRule="auto" w:before="58"/>
                          <w:ind w:left="28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损益的利得</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p>
                    </w:tc>
                  </w:tr>
                  <w:tr>
                    <w:trPr>
                      <w:trHeight w:val="299"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3854" w:type="dxa"/>
                        <w:gridSpan w:val="2"/>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19"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3854" w:type="dxa"/>
                        <w:gridSpan w:val="2"/>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14"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非保本浮动收益理财产品</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pacing w:val="-1"/>
                            <w:sz w:val="18"/>
                          </w:rPr>
                          <w:t>639,000,000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spacing w:val="-1"/>
                            <w:sz w:val="18"/>
                          </w:rPr>
                          <w:t>2,066,000,000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6" w:right="0"/>
                          <w:jc w:val="left"/>
                          <w:rPr>
                            <w:rFonts w:ascii="Times New Roman" w:hAnsi="Times New Roman" w:cs="Times New Roman" w:eastAsia="Times New Roman" w:hint="default"/>
                            <w:sz w:val="18"/>
                            <w:szCs w:val="18"/>
                          </w:rPr>
                        </w:pPr>
                        <w:r>
                          <w:rPr>
                            <w:rFonts w:ascii="Times New Roman"/>
                            <w:sz w:val="18"/>
                          </w:rPr>
                          <w:t>-1,834,000,000</w:t>
                        </w:r>
                      </w:p>
                    </w:tc>
                    <w:tc>
                      <w:tcPr>
                        <w:tcW w:w="3854" w:type="dxa"/>
                        <w:gridSpan w:val="2"/>
                        <w:tcBorders>
                          <w:top w:val="nil" w:sz="6" w:space="0" w:color="auto"/>
                          <w:left w:val="nil" w:sz="6" w:space="0" w:color="auto"/>
                          <w:bottom w:val="nil" w:sz="6" w:space="0" w:color="auto"/>
                          <w:right w:val="nil" w:sz="6" w:space="0" w:color="auto"/>
                        </w:tcBorders>
                      </w:tcPr>
                      <w:p>
                        <w:pPr>
                          <w:pStyle w:val="TableParagraph"/>
                          <w:tabs>
                            <w:tab w:pos="2845" w:val="left" w:leader="none"/>
                          </w:tabs>
                          <w:spacing w:line="240" w:lineRule="auto" w:before="46"/>
                          <w:ind w:left="108" w:right="0"/>
                          <w:jc w:val="left"/>
                          <w:rPr>
                            <w:rFonts w:ascii="Times New Roman" w:hAnsi="Times New Roman" w:cs="Times New Roman" w:eastAsia="Times New Roman" w:hint="default"/>
                            <w:sz w:val="18"/>
                            <w:szCs w:val="18"/>
                          </w:rPr>
                        </w:pPr>
                        <w:r>
                          <w:rPr>
                            <w:rFonts w:ascii="Times New Roman"/>
                            <w:sz w:val="18"/>
                          </w:rPr>
                          <w:t>-</w:t>
                          <w:tab/>
                          <w:t>871,000,000</w:t>
                        </w:r>
                      </w:p>
                    </w:tc>
                    <w:tc>
                      <w:tcPr>
                        <w:tcW w:w="47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pacing w:val="-1"/>
                            <w:sz w:val="18"/>
                          </w:rPr>
                          <w:t>33,948,586</w:t>
                        </w:r>
                      </w:p>
                    </w:tc>
                  </w:tr>
                  <w:tr>
                    <w:trPr>
                      <w:trHeight w:val="31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3854" w:type="dxa"/>
                        <w:gridSpan w:val="2"/>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12"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spacing w:val="-1"/>
                            <w:sz w:val="18"/>
                          </w:rPr>
                          <w:t>500,421,414</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18"/>
                            <w:szCs w:val="18"/>
                          </w:rPr>
                        </w:pPr>
                        <w:r>
                          <w:rPr>
                            <w:rFonts w:ascii="Times New Roman"/>
                            <w:spacing w:val="-1"/>
                            <w:sz w:val="18"/>
                          </w:rPr>
                          <w:t>3,628,193,775</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 w:right="0"/>
                          <w:jc w:val="left"/>
                          <w:rPr>
                            <w:rFonts w:ascii="Times New Roman" w:hAnsi="Times New Roman" w:cs="Times New Roman" w:eastAsia="Times New Roman" w:hint="default"/>
                            <w:sz w:val="18"/>
                            <w:szCs w:val="18"/>
                          </w:rPr>
                        </w:pPr>
                        <w:r>
                          <w:rPr>
                            <w:rFonts w:ascii="Times New Roman"/>
                            <w:sz w:val="18"/>
                          </w:rPr>
                          <w:t>-2,221,206,563</w:t>
                        </w:r>
                      </w:p>
                    </w:tc>
                    <w:tc>
                      <w:tcPr>
                        <w:tcW w:w="3854" w:type="dxa"/>
                        <w:gridSpan w:val="2"/>
                        <w:tcBorders>
                          <w:top w:val="nil" w:sz="6" w:space="0" w:color="auto"/>
                          <w:left w:val="nil" w:sz="6" w:space="0" w:color="auto"/>
                          <w:bottom w:val="nil" w:sz="6" w:space="0" w:color="auto"/>
                          <w:right w:val="nil" w:sz="6" w:space="0" w:color="auto"/>
                        </w:tcBorders>
                      </w:tcPr>
                      <w:p>
                        <w:pPr>
                          <w:pStyle w:val="TableParagraph"/>
                          <w:tabs>
                            <w:tab w:pos="2845" w:val="left" w:leader="none"/>
                          </w:tabs>
                          <w:spacing w:line="240" w:lineRule="auto" w:before="44"/>
                          <w:ind w:left="774" w:right="0"/>
                          <w:jc w:val="left"/>
                          <w:rPr>
                            <w:rFonts w:ascii="Times New Roman" w:hAnsi="Times New Roman" w:cs="Times New Roman" w:eastAsia="Times New Roman" w:hint="default"/>
                            <w:sz w:val="18"/>
                            <w:szCs w:val="18"/>
                          </w:rPr>
                        </w:pPr>
                        <w:r>
                          <w:rPr>
                            <w:rFonts w:ascii="Times New Roman"/>
                            <w:spacing w:val="-1"/>
                            <w:sz w:val="18"/>
                          </w:rPr>
                          <w:t>-1,237,012,141</w:t>
                          <w:tab/>
                          <w:t>670,396,485</w:t>
                        </w:r>
                      </w:p>
                    </w:tc>
                    <w:tc>
                      <w:tcPr>
                        <w:tcW w:w="4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3" w:type="dxa"/>
                        <w:tcBorders>
                          <w:top w:val="nil" w:sz="6" w:space="0" w:color="auto"/>
                          <w:left w:val="nil" w:sz="6" w:space="0" w:color="auto"/>
                          <w:bottom w:val="nil" w:sz="6" w:space="0" w:color="auto"/>
                          <w:right w:val="nil" w:sz="6" w:space="0" w:color="auto"/>
                        </w:tcBorders>
                      </w:tcPr>
                      <w:p>
                        <w:pPr/>
                      </w:p>
                    </w:tc>
                  </w:tr>
                  <w:tr>
                    <w:trPr>
                      <w:trHeight w:val="317"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3854" w:type="dxa"/>
                        <w:gridSpan w:val="2"/>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r>
                  <w:tr>
                    <w:trPr>
                      <w:trHeight w:val="318"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股权投资</w:t>
                        </w:r>
                        <w:r>
                          <w:rPr>
                            <w:rFonts w:ascii="宋体" w:hAnsi="宋体" w:cs="宋体" w:eastAsia="宋体" w:hint="default"/>
                            <w:sz w:val="18"/>
                            <w:szCs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pacing w:val="-1"/>
                            <w:sz w:val="18"/>
                          </w:rPr>
                          <w:t>72,207,877</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854" w:type="dxa"/>
                        <w:gridSpan w:val="2"/>
                        <w:tcBorders>
                          <w:top w:val="nil" w:sz="6" w:space="0" w:color="auto"/>
                          <w:left w:val="nil" w:sz="6" w:space="0" w:color="auto"/>
                          <w:bottom w:val="nil" w:sz="6" w:space="0" w:color="auto"/>
                          <w:right w:val="nil" w:sz="6" w:space="0" w:color="auto"/>
                        </w:tcBorders>
                      </w:tcPr>
                      <w:p>
                        <w:pPr>
                          <w:pStyle w:val="TableParagraph"/>
                          <w:tabs>
                            <w:tab w:pos="2934" w:val="left" w:leader="none"/>
                          </w:tabs>
                          <w:spacing w:line="240" w:lineRule="auto" w:before="46"/>
                          <w:ind w:left="108" w:right="0"/>
                          <w:jc w:val="left"/>
                          <w:rPr>
                            <w:rFonts w:ascii="Times New Roman" w:hAnsi="Times New Roman" w:cs="Times New Roman" w:eastAsia="Times New Roman" w:hint="default"/>
                            <w:sz w:val="18"/>
                            <w:szCs w:val="18"/>
                          </w:rPr>
                        </w:pPr>
                        <w:r>
                          <w:rPr>
                            <w:rFonts w:ascii="Times New Roman"/>
                            <w:sz w:val="18"/>
                          </w:rPr>
                          <w:t>-</w:t>
                          <w:tab/>
                          <w:t>72,207,877</w:t>
                        </w:r>
                      </w:p>
                    </w:tc>
                    <w:tc>
                      <w:tcPr>
                        <w:tcW w:w="47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18"/>
                            <w:szCs w:val="18"/>
                          </w:rPr>
                        </w:pPr>
                        <w:r>
                          <w:rPr>
                            <w:rFonts w:ascii="Times New Roman"/>
                            <w:spacing w:val="-1"/>
                            <w:sz w:val="18"/>
                          </w:rPr>
                          <w:t>3,698,500</w:t>
                        </w:r>
                      </w:p>
                    </w:tc>
                  </w:tr>
                  <w:tr>
                    <w:trPr>
                      <w:trHeight w:val="334"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非保本浮动收益理财产品</w:t>
                        </w:r>
                        <w:r>
                          <w:rPr>
                            <w:rFonts w:ascii="宋体" w:hAnsi="宋体" w:cs="宋体" w:eastAsia="宋体" w:hint="default"/>
                            <w:sz w:val="18"/>
                            <w:szCs w:val="18"/>
                          </w:rPr>
                          <w:t> </w:t>
                        </w:r>
                      </w:p>
                    </w:tc>
                    <w:tc>
                      <w:tcPr>
                        <w:tcW w:w="1539"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111,357,788</w:t>
                        </w:r>
                      </w:p>
                    </w:tc>
                    <w:tc>
                      <w:tcPr>
                        <w:tcW w:w="1477"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0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1"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w w:val="95"/>
                            <w:sz w:val="18"/>
                          </w:rPr>
                          <w:t>-50,357,788</w:t>
                        </w:r>
                        <w:r>
                          <w:rPr>
                            <w:rFonts w:ascii="Times New Roman"/>
                            <w:sz w:val="18"/>
                          </w:rPr>
                        </w:r>
                      </w:p>
                    </w:tc>
                    <w:tc>
                      <w:tcPr>
                        <w:tcW w:w="3854" w:type="dxa"/>
                        <w:gridSpan w:val="2"/>
                        <w:tcBorders>
                          <w:top w:val="nil" w:sz="6" w:space="0" w:color="auto"/>
                          <w:left w:val="nil" w:sz="6" w:space="0" w:color="auto"/>
                          <w:bottom w:val="single" w:sz="8" w:space="0" w:color="000000"/>
                          <w:right w:val="nil" w:sz="6" w:space="0" w:color="auto"/>
                        </w:tcBorders>
                      </w:tcPr>
                      <w:p>
                        <w:pPr>
                          <w:pStyle w:val="TableParagraph"/>
                          <w:tabs>
                            <w:tab w:pos="2934" w:val="left" w:leader="none"/>
                          </w:tabs>
                          <w:spacing w:line="240" w:lineRule="auto" w:before="50"/>
                          <w:ind w:left="108" w:right="0"/>
                          <w:jc w:val="left"/>
                          <w:rPr>
                            <w:rFonts w:ascii="Times New Roman" w:hAnsi="Times New Roman" w:cs="Times New Roman" w:eastAsia="Times New Roman" w:hint="default"/>
                            <w:sz w:val="18"/>
                            <w:szCs w:val="18"/>
                          </w:rPr>
                        </w:pPr>
                        <w:r>
                          <w:rPr>
                            <w:rFonts w:ascii="Times New Roman"/>
                            <w:sz w:val="18"/>
                          </w:rPr>
                          <w:t>-</w:t>
                          <w:tab/>
                          <w:t>61,000,000</w:t>
                        </w:r>
                      </w:p>
                    </w:tc>
                    <w:tc>
                      <w:tcPr>
                        <w:tcW w:w="472" w:type="dxa"/>
                        <w:tcBorders>
                          <w:top w:val="nil" w:sz="6" w:space="0" w:color="auto"/>
                          <w:left w:val="nil" w:sz="6" w:space="0" w:color="auto"/>
                          <w:bottom w:val="single" w:sz="8" w:space="0" w:color="000000"/>
                          <w:right w:val="nil" w:sz="6" w:space="0" w:color="auto"/>
                        </w:tcBorders>
                      </w:tcPr>
                      <w:p>
                        <w:pPr/>
                      </w:p>
                    </w:tc>
                    <w:tc>
                      <w:tcPr>
                        <w:tcW w:w="1223"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4,426,795</w:t>
                        </w:r>
                      </w:p>
                    </w:tc>
                  </w:tr>
                  <w:tr>
                    <w:trPr>
                      <w:trHeight w:val="35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39"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1,322,987,079</w:t>
                        </w:r>
                      </w:p>
                    </w:tc>
                    <w:tc>
                      <w:tcPr>
                        <w:tcW w:w="1477"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5,694,193,775</w:t>
                        </w:r>
                      </w:p>
                    </w:tc>
                    <w:tc>
                      <w:tcPr>
                        <w:tcW w:w="1311"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left="106" w:right="0"/>
                          <w:jc w:val="left"/>
                          <w:rPr>
                            <w:rFonts w:ascii="Times New Roman" w:hAnsi="Times New Roman" w:cs="Times New Roman" w:eastAsia="Times New Roman" w:hint="default"/>
                            <w:sz w:val="18"/>
                            <w:szCs w:val="18"/>
                          </w:rPr>
                        </w:pPr>
                        <w:r>
                          <w:rPr>
                            <w:rFonts w:ascii="Times New Roman"/>
                            <w:sz w:val="18"/>
                          </w:rPr>
                          <w:t>-4,105,564,351</w:t>
                        </w:r>
                      </w:p>
                    </w:tc>
                    <w:tc>
                      <w:tcPr>
                        <w:tcW w:w="3854" w:type="dxa"/>
                        <w:gridSpan w:val="2"/>
                        <w:tcBorders>
                          <w:top w:val="single" w:sz="8" w:space="0" w:color="000000"/>
                          <w:left w:val="nil" w:sz="6" w:space="0" w:color="auto"/>
                          <w:bottom w:val="single" w:sz="12" w:space="0" w:color="000000"/>
                          <w:right w:val="nil" w:sz="6" w:space="0" w:color="auto"/>
                        </w:tcBorders>
                      </w:tcPr>
                      <w:p>
                        <w:pPr>
                          <w:pStyle w:val="TableParagraph"/>
                          <w:tabs>
                            <w:tab w:pos="2710" w:val="left" w:leader="none"/>
                          </w:tabs>
                          <w:spacing w:line="240" w:lineRule="auto" w:before="57"/>
                          <w:ind w:left="774" w:right="0"/>
                          <w:jc w:val="left"/>
                          <w:rPr>
                            <w:rFonts w:ascii="Times New Roman" w:hAnsi="Times New Roman" w:cs="Times New Roman" w:eastAsia="Times New Roman" w:hint="default"/>
                            <w:sz w:val="18"/>
                            <w:szCs w:val="18"/>
                          </w:rPr>
                        </w:pPr>
                        <w:r>
                          <w:rPr>
                            <w:rFonts w:ascii="Times New Roman"/>
                            <w:spacing w:val="-1"/>
                            <w:sz w:val="18"/>
                          </w:rPr>
                          <w:t>-1,237,012,141</w:t>
                          <w:tab/>
                          <w:t>1,674,604,362</w:t>
                        </w:r>
                      </w:p>
                    </w:tc>
                    <w:tc>
                      <w:tcPr>
                        <w:tcW w:w="472" w:type="dxa"/>
                        <w:tcBorders>
                          <w:top w:val="single" w:sz="8" w:space="0" w:color="000000"/>
                          <w:left w:val="nil" w:sz="6" w:space="0" w:color="auto"/>
                          <w:bottom w:val="single" w:sz="12" w:space="0" w:color="000000"/>
                          <w:right w:val="nil" w:sz="6" w:space="0" w:color="auto"/>
                        </w:tcBorders>
                      </w:tcPr>
                      <w:p>
                        <w:pPr/>
                      </w:p>
                    </w:tc>
                    <w:tc>
                      <w:tcPr>
                        <w:tcW w:w="1223" w:type="dxa"/>
                        <w:tcBorders>
                          <w:top w:val="single" w:sz="8" w:space="0" w:color="000000"/>
                          <w:left w:val="nil" w:sz="6" w:space="0" w:color="auto"/>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42,073,881</w:t>
                        </w:r>
                      </w:p>
                    </w:tc>
                  </w:tr>
                </w:tbl>
                <w:p>
                  <w:pPr/>
                </w:p>
              </w:txbxContent>
            </v:textbox>
            <w10:wrap type="none"/>
          </v:shape>
        </w:pict>
      </w:r>
      <w:r>
        <w:rPr>
          <w:rFonts w:ascii="宋体" w:hAnsi="宋体" w:cs="宋体" w:eastAsia="宋体" w:hint="default"/>
          <w:sz w:val="18"/>
          <w:szCs w:val="18"/>
        </w:rPr>
        <w:t>购买</w:t>
      </w:r>
      <w:r>
        <w:rPr>
          <w:rFonts w:ascii="宋体" w:hAnsi="宋体" w:cs="宋体" w:eastAsia="宋体" w:hint="default"/>
          <w:sz w:val="18"/>
          <w:szCs w:val="18"/>
        </w:rPr>
        <w:tab/>
      </w:r>
      <w:r>
        <w:rPr>
          <w:rFonts w:ascii="宋体" w:hAnsi="宋体" w:cs="宋体" w:eastAsia="宋体" w:hint="default"/>
          <w:sz w:val="18"/>
          <w:szCs w:val="18"/>
        </w:rPr>
        <w:t>出售</w:t>
      </w:r>
      <w:r>
        <w:rPr>
          <w:rFonts w:ascii="宋体" w:hAnsi="宋体" w:cs="宋体" w:eastAsia="宋体" w:hint="default"/>
          <w:sz w:val="18"/>
          <w:szCs w:val="18"/>
        </w:rPr>
        <w:tab/>
      </w:r>
      <w:r>
        <w:rPr>
          <w:rFonts w:ascii="宋体" w:hAnsi="宋体" w:cs="宋体" w:eastAsia="宋体" w:hint="default"/>
          <w:sz w:val="18"/>
          <w:szCs w:val="18"/>
        </w:rPr>
        <w:t>结算</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63"/>
        <w:ind w:left="6455" w:right="6436" w:firstLine="0"/>
        <w:jc w:val="center"/>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1280" w:right="13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5"/>
          <w:szCs w:val="15"/>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6</w:t>
      </w:r>
      <w:r>
        <w:rPr/>
        <w:t>、</w:t>
      </w:r>
      <w:r>
        <w:rPr>
          <w:spacing w:val="-6"/>
        </w:rPr>
        <w:t> </w:t>
      </w:r>
      <w:r>
        <w:rPr/>
        <w:t>持续的公允价值计量项目，本期内发生各层级之间转换的，转换的原因及确定转换时点的政策</w:t>
      </w:r>
      <w:r>
        <w:rPr>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5"/>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5"/>
        <w:spacing w:line="240" w:lineRule="auto" w:before="58"/>
        <w:ind w:right="0"/>
        <w:jc w:val="left"/>
        <w:rPr>
          <w:b w:val="0"/>
          <w:bCs w:val="0"/>
        </w:rPr>
      </w:pPr>
      <w:r>
        <w:rPr>
          <w:rFonts w:ascii="宋体" w:hAnsi="宋体" w:cs="宋体" w:eastAsia="宋体" w:hint="default"/>
        </w:rPr>
        <w:t>7</w:t>
      </w:r>
      <w:r>
        <w:rPr/>
        <w:t>、</w:t>
      </w:r>
      <w:r>
        <w:rPr>
          <w:spacing w:val="-3"/>
        </w:rPr>
        <w:t> </w:t>
      </w:r>
      <w:r>
        <w:rPr/>
        <w:t>本期内发生的估值技术变更及变更原因</w:t>
      </w:r>
      <w:r>
        <w:rPr>
          <w:b w:val="0"/>
          <w:bCs w:val="0"/>
        </w:rPr>
      </w:r>
    </w:p>
    <w:p>
      <w:pPr>
        <w:pStyle w:val="BodyText"/>
        <w:spacing w:line="274"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8</w:t>
      </w:r>
      <w:r>
        <w:rPr/>
        <w:t>、</w:t>
      </w:r>
      <w:r>
        <w:rPr>
          <w:spacing w:val="-6"/>
        </w:rPr>
        <w:t> </w:t>
      </w:r>
      <w:r>
        <w:rPr/>
        <w:t>不以公允价值计量的金融资产和金融负债的公允价值情况</w:t>
      </w:r>
      <w:r>
        <w:rPr>
          <w:b w:val="0"/>
          <w:bCs w:val="0"/>
        </w:rPr>
      </w:r>
    </w:p>
    <w:p>
      <w:pPr>
        <w:pStyle w:val="BodyText"/>
        <w:spacing w:line="307" w:lineRule="auto" w:before="56"/>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本集团以摊余成本计量的金融资产和金融负债主要包括：应收票据、应收账款、其他应收款、</w:t>
      </w:r>
    </w:p>
    <w:p>
      <w:pPr>
        <w:pStyle w:val="BodyText"/>
        <w:spacing w:line="314" w:lineRule="auto" w:before="26"/>
        <w:ind w:right="0"/>
        <w:jc w:val="left"/>
      </w:pPr>
      <w:r>
        <w:rPr>
          <w:spacing w:val="-1"/>
        </w:rPr>
        <w:t>债权投资、长期应收款、短期借款、应付票据、应付账款、其他应付款、应付债券、长期借款、长</w:t>
      </w:r>
      <w:r>
        <w:rPr>
          <w:spacing w:val="-20"/>
        </w:rPr>
        <w:t> </w:t>
      </w:r>
      <w:r>
        <w:rPr>
          <w:spacing w:val="-20"/>
        </w:rPr>
      </w:r>
      <w:r>
        <w:rPr/>
        <w:t>期应付款等。</w:t>
      </w:r>
    </w:p>
    <w:p>
      <w:pPr>
        <w:pStyle w:val="BodyText"/>
        <w:spacing w:line="240" w:lineRule="auto" w:before="20"/>
        <w:ind w:left="638" w:right="0"/>
        <w:jc w:val="left"/>
      </w:pPr>
      <w:r>
        <w:rPr/>
        <w:t>上述不以公允价值计量的金融资产和金融负债的账面价值与公允价值差异很小。</w:t>
      </w:r>
    </w:p>
    <w:p>
      <w:pPr>
        <w:spacing w:after="0" w:line="240" w:lineRule="auto"/>
        <w:jc w:val="left"/>
        <w:sectPr>
          <w:footerReference w:type="default" r:id="rId99"/>
          <w:pgSz w:w="11910" w:h="16840"/>
          <w:pgMar w:footer="974" w:header="0" w:top="1080" w:bottom="1160" w:left="1200" w:right="1300"/>
          <w:pgNumType w:start="211"/>
        </w:sectPr>
      </w:pPr>
    </w:p>
    <w:p>
      <w:pPr>
        <w:pStyle w:val="BodyText"/>
        <w:spacing w:line="240" w:lineRule="auto" w:before="8"/>
        <w:ind w:right="0"/>
        <w:jc w:val="left"/>
        <w:rPr>
          <w:rFonts w:ascii="宋体" w:hAnsi="宋体" w:cs="宋体" w:eastAsia="宋体" w:hint="default"/>
        </w:rPr>
      </w:pPr>
      <w:r>
        <w:rPr>
          <w:rFonts w:ascii="宋体"/>
          <w:w w:val="100"/>
        </w:rPr>
        <w:t> </w:t>
      </w:r>
    </w:p>
    <w:p>
      <w:pPr>
        <w:pStyle w:val="Heading5"/>
        <w:spacing w:line="240" w:lineRule="auto"/>
        <w:ind w:right="0"/>
        <w:jc w:val="left"/>
        <w:rPr>
          <w:b w:val="0"/>
          <w:bCs w:val="0"/>
        </w:rPr>
      </w:pPr>
      <w:r>
        <w:rPr>
          <w:rFonts w:ascii="宋体" w:hAnsi="宋体" w:cs="宋体" w:eastAsia="宋体" w:hint="default"/>
        </w:rPr>
        <w:t>9</w:t>
      </w:r>
      <w:r>
        <w:rPr/>
        <w:t>、</w:t>
      </w:r>
      <w:r>
        <w:rPr>
          <w:spacing w:val="-3"/>
        </w:rPr>
        <w:t> </w:t>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2" w:lineRule="auto"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十二、</w:t>
      </w:r>
      <w:r>
        <w:rPr>
          <w:rFonts w:ascii="宋体" w:hAnsi="宋体" w:cs="宋体" w:eastAsia="宋体" w:hint="default"/>
          <w:b/>
          <w:bCs/>
          <w:spacing w:val="33"/>
          <w:sz w:val="20"/>
          <w:szCs w:val="20"/>
        </w:rPr>
        <w:t> </w:t>
      </w:r>
      <w:r>
        <w:rPr>
          <w:rFonts w:ascii="宋体" w:hAnsi="宋体" w:cs="宋体" w:eastAsia="宋体" w:hint="default"/>
          <w:b/>
          <w:bCs/>
          <w:spacing w:val="33"/>
          <w:sz w:val="20"/>
          <w:szCs w:val="20"/>
        </w:rPr>
      </w:r>
      <w:r>
        <w:rPr>
          <w:rFonts w:ascii="宋体" w:hAnsi="宋体" w:cs="宋体" w:eastAsia="宋体" w:hint="default"/>
          <w:b/>
          <w:bCs/>
          <w:sz w:val="20"/>
          <w:szCs w:val="20"/>
        </w:rPr>
        <w:t>关联方及关联交易</w:t>
      </w:r>
      <w:r>
        <w:rPr>
          <w:rFonts w:ascii="宋体" w:hAnsi="宋体" w:cs="宋体" w:eastAsia="宋体" w:hint="default"/>
          <w:b/>
          <w:bCs/>
          <w:w w:val="98"/>
          <w:sz w:val="20"/>
          <w:szCs w:val="20"/>
        </w:rPr>
        <w:t> </w:t>
      </w: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pacing w:val="18"/>
          <w:sz w:val="20"/>
          <w:szCs w:val="20"/>
        </w:rPr>
        <w:t> </w:t>
      </w:r>
      <w:r>
        <w:rPr>
          <w:rFonts w:ascii="宋体" w:hAnsi="宋体" w:cs="宋体" w:eastAsia="宋体" w:hint="default"/>
          <w:b/>
          <w:bCs/>
          <w:sz w:val="20"/>
          <w:szCs w:val="20"/>
        </w:rPr>
        <w:t>本企业的母公司情况</w:t>
      </w:r>
      <w:r>
        <w:rPr>
          <w:rFonts w:ascii="宋体" w:hAnsi="宋体" w:cs="宋体" w:eastAsia="宋体" w:hint="default"/>
          <w:sz w:val="20"/>
          <w:szCs w:val="20"/>
        </w:rPr>
      </w:r>
    </w:p>
    <w:p>
      <w:pPr>
        <w:pStyle w:val="BodyText"/>
        <w:spacing w:line="240" w:lineRule="auto" w:before="14"/>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tabs>
          <w:tab w:pos="1481"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160" w:left="1200" w:right="1300"/>
          <w:cols w:num="2" w:equalWidth="0">
            <w:col w:w="2765" w:space="3784"/>
            <w:col w:w="286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51"/>
        <w:gridCol w:w="1202"/>
        <w:gridCol w:w="1429"/>
        <w:gridCol w:w="1428"/>
        <w:gridCol w:w="1642"/>
        <w:gridCol w:w="1772"/>
      </w:tblGrid>
      <w:tr>
        <w:trPr>
          <w:trHeight w:val="85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184" w:right="18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144" w:right="14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的表决权比例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r>
      <w:tr>
        <w:trPr>
          <w:trHeight w:val="557"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青岛港集团</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中国青岛</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有限责任公</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33" w:right="0"/>
              <w:jc w:val="left"/>
              <w:rPr>
                <w:rFonts w:ascii="Times New Roman" w:hAnsi="Times New Roman" w:cs="Times New Roman" w:eastAsia="Times New Roman" w:hint="default"/>
                <w:sz w:val="21"/>
                <w:szCs w:val="21"/>
              </w:rPr>
            </w:pPr>
            <w:r>
              <w:rPr>
                <w:rFonts w:ascii="Times New Roman"/>
                <w:sz w:val="21"/>
              </w:rPr>
              <w:t>186,000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5" w:right="0"/>
              <w:jc w:val="left"/>
              <w:rPr>
                <w:rFonts w:ascii="Times New Roman" w:hAnsi="Times New Roman" w:cs="Times New Roman" w:eastAsia="Times New Roman" w:hint="default"/>
                <w:sz w:val="21"/>
                <w:szCs w:val="21"/>
              </w:rPr>
            </w:pPr>
            <w:r>
              <w:rPr>
                <w:rFonts w:ascii="Times New Roman"/>
                <w:sz w:val="21"/>
              </w:rPr>
              <w:t>54.47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54.47</w:t>
            </w:r>
          </w:p>
        </w:tc>
      </w:tr>
    </w:tbl>
    <w:p>
      <w:pPr>
        <w:pStyle w:val="BodyText"/>
        <w:spacing w:line="241" w:lineRule="exact"/>
        <w:ind w:right="0"/>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240" w:lineRule="auto" w:before="73"/>
        <w:ind w:left="643" w:right="0"/>
        <w:jc w:val="left"/>
        <w:rPr>
          <w:rFonts w:ascii="Times New Roman" w:hAnsi="Times New Roman" w:cs="Times New Roman" w:eastAsia="Times New Roman" w:hint="default"/>
        </w:rPr>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日，母公司对本公司的持股比例和表决权比例均为</w:t>
      </w:r>
      <w:r>
        <w:rPr>
          <w:spacing w:val="-54"/>
        </w:rPr>
        <w:t> </w:t>
      </w:r>
      <w:r>
        <w:rPr>
          <w:rFonts w:ascii="Times New Roman" w:hAnsi="Times New Roman" w:cs="Times New Roman" w:eastAsia="Times New Roman" w:hint="default"/>
        </w:rPr>
        <w:t>54.47%</w:t>
      </w:r>
    </w:p>
    <w:p>
      <w:pPr>
        <w:pStyle w:val="BodyText"/>
        <w:spacing w:line="314" w:lineRule="auto" w:before="69"/>
        <w:ind w:right="2954" w:firstLine="420"/>
        <w:jc w:val="left"/>
      </w:pPr>
      <w:r>
        <w:rPr>
          <w:spacing w:val="-2"/>
        </w:rPr>
        <w:t>本企业最终控制方是青岛市国有资产监督管理委员会</w:t>
      </w:r>
      <w:r>
        <w:rPr>
          <w:w w:val="100"/>
        </w:rPr>
        <w:t> </w:t>
      </w:r>
      <w:r>
        <w:rPr/>
        <w:t>其他说明：</w:t>
      </w:r>
    </w:p>
    <w:p>
      <w:pPr>
        <w:pStyle w:val="BodyText"/>
        <w:spacing w:line="302" w:lineRule="auto" w:before="20"/>
        <w:ind w:right="109" w:firstLine="420"/>
        <w:jc w:val="both"/>
      </w:pPr>
      <w:r>
        <w:rPr>
          <w:spacing w:val="-5"/>
        </w:rPr>
        <w:t>如本节三、公司基本情况所述，青岛市国资委拟将青岛港集团</w:t>
      </w:r>
      <w:r>
        <w:rPr>
          <w:spacing w:val="-26"/>
        </w:rPr>
        <w:t> </w:t>
      </w:r>
      <w:r>
        <w:rPr>
          <w:rFonts w:ascii="Times New Roman" w:hAnsi="Times New Roman" w:cs="Times New Roman" w:eastAsia="Times New Roman" w:hint="default"/>
        </w:rPr>
        <w:t>100%</w:t>
      </w:r>
      <w:r>
        <w:rPr/>
        <w:t>股权无偿划转给山东省港口</w:t>
      </w:r>
      <w:r>
        <w:rPr>
          <w:w w:val="100"/>
        </w:rPr>
        <w:t> </w:t>
      </w:r>
      <w:r>
        <w:rPr>
          <w:spacing w:val="-4"/>
        </w:rPr>
        <w:t>集团有限公司，但由于《无偿划转协议》能否实施存在不确定性，截至</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日，本公司</w:t>
      </w:r>
      <w:r>
        <w:rPr>
          <w:spacing w:val="-99"/>
        </w:rPr>
        <w:t> </w:t>
      </w:r>
      <w:r>
        <w:rPr>
          <w:spacing w:val="-99"/>
        </w:rPr>
      </w:r>
      <w:r>
        <w:rPr>
          <w:spacing w:val="-2"/>
        </w:rPr>
        <w:t>的最终控制方仍为青岛市国资委。股权划转完成后，本公司的最终控制方将变更为山东省人民政府</w:t>
      </w:r>
      <w:r>
        <w:rPr>
          <w:spacing w:val="-25"/>
        </w:rPr>
        <w:t> </w:t>
      </w:r>
      <w:r>
        <w:rPr>
          <w:spacing w:val="-25"/>
        </w:rPr>
      </w:r>
      <w:r>
        <w:rPr/>
        <w:t>国有资产监督管理委员会。</w:t>
      </w:r>
    </w:p>
    <w:p>
      <w:pPr>
        <w:spacing w:before="16"/>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19"/>
          <w:sz w:val="20"/>
          <w:szCs w:val="20"/>
        </w:rPr>
        <w:t> </w:t>
      </w:r>
      <w:r>
        <w:rPr>
          <w:rFonts w:ascii="宋体" w:hAnsi="宋体" w:cs="宋体" w:eastAsia="宋体" w:hint="default"/>
          <w:b/>
          <w:bCs/>
          <w:sz w:val="20"/>
          <w:szCs w:val="20"/>
        </w:rPr>
        <w:t>本企业的子公司情况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3"/>
        <w:spacing w:line="240" w:lineRule="auto" w:before="4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12"/>
        <w:ind w:left="638" w:right="0"/>
        <w:jc w:val="left"/>
        <w:rPr>
          <w:rFonts w:ascii="宋体" w:hAnsi="宋体" w:cs="宋体" w:eastAsia="宋体" w:hint="default"/>
        </w:rPr>
      </w:pPr>
      <w:r>
        <w:rPr/>
        <w:t>请参见第十一节、九、</w:t>
      </w:r>
      <w:r>
        <w:rPr>
          <w:rFonts w:ascii="宋体" w:hAnsi="宋体" w:cs="宋体" w:eastAsia="宋体" w:hint="default"/>
        </w:rPr>
        <w:t>1</w:t>
      </w:r>
      <w:r>
        <w:rPr/>
        <w:t>（</w:t>
      </w:r>
      <w:r>
        <w:rPr>
          <w:rFonts w:ascii="宋体" w:hAnsi="宋体" w:cs="宋体" w:eastAsia="宋体" w:hint="default"/>
        </w:rPr>
        <w:t>1</w:t>
      </w:r>
      <w:r>
        <w:rPr/>
        <w:t>）企业集团的构成。</w:t>
      </w:r>
      <w:r>
        <w:rPr>
          <w:rFonts w:ascii="宋体" w:hAnsi="宋体" w:cs="宋体" w:eastAsia="宋体" w:hint="default"/>
        </w:rPr>
        <w:t> </w:t>
      </w:r>
    </w:p>
    <w:p>
      <w:pPr>
        <w:pStyle w:val="Heading3"/>
        <w:spacing w:line="240" w:lineRule="auto" w:before="11"/>
        <w:ind w:right="0"/>
        <w:jc w:val="left"/>
        <w:rPr>
          <w:rFonts w:ascii="宋体" w:hAnsi="宋体" w:cs="宋体" w:eastAsia="宋体" w:hint="default"/>
        </w:rPr>
      </w:pPr>
      <w:r>
        <w:rPr>
          <w:rFonts w:ascii="宋体"/>
        </w:rPr>
        <w:t> </w:t>
      </w:r>
    </w:p>
    <w:p>
      <w:pPr>
        <w:spacing w:before="64"/>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w:t>
      </w:r>
      <w:r>
        <w:rPr>
          <w:rFonts w:ascii="宋体" w:hAnsi="宋体" w:cs="宋体" w:eastAsia="宋体" w:hint="default"/>
          <w:b/>
          <w:bCs/>
          <w:spacing w:val="18"/>
          <w:sz w:val="20"/>
          <w:szCs w:val="20"/>
        </w:rPr>
        <w:t> </w:t>
      </w:r>
      <w:r>
        <w:rPr>
          <w:rFonts w:ascii="宋体" w:hAnsi="宋体" w:cs="宋体" w:eastAsia="宋体" w:hint="default"/>
          <w:b/>
          <w:bCs/>
          <w:sz w:val="20"/>
          <w:szCs w:val="20"/>
        </w:rPr>
        <w:t>本企业合营和联营企业情况</w:t>
      </w:r>
      <w:r>
        <w:rPr>
          <w:rFonts w:ascii="宋体" w:hAnsi="宋体" w:cs="宋体" w:eastAsia="宋体" w:hint="default"/>
          <w:sz w:val="20"/>
          <w:szCs w:val="20"/>
        </w:rPr>
      </w:r>
    </w:p>
    <w:p>
      <w:pPr>
        <w:pStyle w:val="BodyText"/>
        <w:spacing w:line="333" w:lineRule="auto" w:before="55"/>
        <w:ind w:left="638" w:right="2954"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请参见第十一节、九、</w:t>
      </w:r>
      <w:r>
        <w:rPr>
          <w:rFonts w:ascii="宋体" w:hAnsi="宋体" w:cs="宋体" w:eastAsia="宋体" w:hint="default"/>
        </w:rPr>
        <w:t>3</w:t>
      </w:r>
      <w:r>
        <w:rPr/>
        <w:t>（</w:t>
      </w:r>
      <w:r>
        <w:rPr>
          <w:rFonts w:ascii="宋体" w:hAnsi="宋体" w:cs="宋体" w:eastAsia="宋体" w:hint="default"/>
        </w:rPr>
        <w:t>1</w:t>
      </w:r>
      <w:r>
        <w:rPr/>
        <w:t>）重要的合营企业或联营企业。</w:t>
      </w:r>
      <w:r>
        <w:rPr>
          <w:rFonts w:ascii="宋体" w:hAnsi="宋体" w:cs="宋体" w:eastAsia="宋体" w:hint="default"/>
        </w:rPr>
        <w:t> </w:t>
      </w:r>
    </w:p>
    <w:p>
      <w:pPr>
        <w:pStyle w:val="BodyText"/>
        <w:spacing w:line="211" w:lineRule="exact"/>
        <w:ind w:right="0"/>
        <w:jc w:val="left"/>
        <w:rPr>
          <w:rFonts w:ascii="宋体" w:hAnsi="宋体" w:cs="宋体" w:eastAsia="宋体" w:hint="default"/>
        </w:rPr>
      </w:pPr>
      <w:r>
        <w:rPr>
          <w:rFonts w:ascii="宋体"/>
          <w:w w:val="100"/>
        </w:rPr>
        <w:t> </w:t>
      </w:r>
    </w:p>
    <w:p>
      <w:pPr>
        <w:spacing w:after="0" w:line="211" w:lineRule="exact"/>
        <w:jc w:val="left"/>
        <w:rPr>
          <w:rFonts w:ascii="宋体" w:hAnsi="宋体" w:cs="宋体" w:eastAsia="宋体" w:hint="default"/>
        </w:rPr>
        <w:sectPr>
          <w:type w:val="continuous"/>
          <w:pgSz w:w="11910" w:h="16840"/>
          <w:pgMar w:top="1120" w:bottom="1160" w:left="120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72" w:lineRule="exact"/>
        <w:ind w:right="0" w:firstLine="420"/>
        <w:jc w:val="left"/>
        <w:rPr>
          <w:rFonts w:ascii="宋体" w:hAnsi="宋体" w:cs="宋体" w:eastAsia="宋体" w:hint="default"/>
        </w:rPr>
      </w:pPr>
      <w:r>
        <w:rPr>
          <w:spacing w:val="-2"/>
        </w:rPr>
        <w:t>本期与本公司发生关联方交易，或前期与本公司发生关联方交易形成余额的其他合营或联营企</w:t>
      </w:r>
      <w:r>
        <w:rPr>
          <w:w w:val="100"/>
        </w:rPr>
        <w:t> </w:t>
      </w:r>
      <w:r>
        <w:rPr/>
        <w:t>业情况如下</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922"/>
        <w:gridCol w:w="3365"/>
      </w:tblGrid>
      <w:tr>
        <w:trPr>
          <w:trHeight w:val="29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08"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西联</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青威集装箱</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长荣集装箱</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东港集装箱</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海湾液体化工</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港海物流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神州行货代</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中海船代</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联合船代</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华能青岛</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董家口万邦物流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临沂高速</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董家口中外运物流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滨州港青港国际码头</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港联荣物流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海路国际</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中石油仓储</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港华物流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港联海物流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69"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w w:val="100"/>
        </w:rPr>
        <w:t> </w:t>
      </w:r>
    </w:p>
    <w:p>
      <w:pPr>
        <w:pStyle w:val="Heading5"/>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922"/>
        <w:gridCol w:w="3365"/>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青岛港口投资建设</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有限责任公司(“港投集团”)</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青岛阜外心血管病医院有限公司(“阜外医院”)</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青岛宏宇大酒店(“宏宇大酒店”)</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青岛国际邮轮港开发建设有限公司(“国际邮轮港开发建设”)</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青岛港投地产有限公司(“港投地产”)</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青岛董家口铁路有限公司(“董家口铁路”)</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青岛港湾职业技术学院(“港湾职业学院”)</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青岛青港国际旅行社有限责任公司(“青港旅行社”)</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威海金丰货运代理有限公司(“威海金丰货代”)(i)</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青岛国际邮轮有限公司(“国际邮轮”)</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商业保理有限公司青岛分公司(“青港商业保理”)</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557"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山东港口金融控股有限公司</w:t>
            </w:r>
            <w:r>
              <w:rPr>
                <w:rFonts w:ascii="宋体" w:hAnsi="宋体" w:cs="宋体" w:eastAsia="宋体" w:hint="default"/>
                <w:sz w:val="21"/>
                <w:szCs w:val="21"/>
              </w:rPr>
              <w:t>(</w:t>
            </w:r>
            <w:r>
              <w:rPr>
                <w:rFonts w:ascii="宋体" w:hAnsi="宋体" w:cs="宋体" w:eastAsia="宋体" w:hint="default"/>
                <w:sz w:val="21"/>
                <w:szCs w:val="21"/>
              </w:rPr>
              <w:t>曾用名：青岛港金融控股有限公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司)(“青港金控”)</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青岛港小额贷款有限公司(“小额贷款”)</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青岛港引航站有限公司(“青岛港引航站”)</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青岛港资产管理有限公司(“资产管理公司”)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山东威海港股份有限公司(“威海港股份”)(i)</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0" w:footer="974" w:top="108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922"/>
        <w:gridCol w:w="3365"/>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青岛港国际融资租赁有限公司(“青港租赁公司”)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青岛港融资担保有限公司(“融资担保”)</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青岛港保险经纪有限公司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山东威海港国际物流有限公司</w:t>
            </w:r>
            <w:r>
              <w:rPr>
                <w:rFonts w:ascii="宋体" w:hAnsi="宋体" w:cs="宋体" w:eastAsia="宋体" w:hint="default"/>
                <w:sz w:val="21"/>
                <w:szCs w:val="21"/>
              </w:rPr>
              <w:t>(i)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山东港口基金管理有限公司</w:t>
            </w:r>
            <w:r>
              <w:rPr>
                <w:rFonts w:ascii="宋体" w:hAnsi="宋体" w:cs="宋体" w:eastAsia="宋体" w:hint="default"/>
                <w:sz w:val="21"/>
                <w:szCs w:val="21"/>
              </w:rPr>
              <w:t>(</w:t>
            </w:r>
            <w:r>
              <w:rPr>
                <w:rFonts w:ascii="宋体" w:hAnsi="宋体" w:cs="宋体" w:eastAsia="宋体" w:hint="default"/>
                <w:sz w:val="21"/>
                <w:szCs w:val="21"/>
              </w:rPr>
              <w:t>曾用名：青岛港基金管理有限公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威海国际物流园股份有限公司</w:t>
            </w:r>
            <w:r>
              <w:rPr>
                <w:rFonts w:ascii="宋体" w:hAnsi="宋体" w:cs="宋体" w:eastAsia="宋体" w:hint="default"/>
                <w:sz w:val="21"/>
                <w:szCs w:val="21"/>
              </w:rPr>
              <w:t>(i)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青岛前湾建设发展集团有限公司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青岛港通达实业公司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青岛港口医院投资管理有限公司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青岛崂山风景区樱珠渡假村</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同受母公司控制</w:t>
            </w:r>
            <w:r>
              <w:rPr>
                <w:rFonts w:ascii="宋体" w:hAnsi="宋体" w:cs="宋体" w:eastAsia="宋体" w:hint="default"/>
                <w:sz w:val="21"/>
                <w:szCs w:val="21"/>
              </w:rPr>
              <w:t> </w:t>
            </w:r>
          </w:p>
        </w:tc>
      </w:tr>
      <w:tr>
        <w:trPr>
          <w:trHeight w:val="55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QQCTN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QQCT</w:t>
            </w:r>
            <w:r>
              <w:rPr>
                <w:rFonts w:ascii="宋体" w:hAnsi="宋体" w:cs="宋体" w:eastAsia="宋体" w:hint="default"/>
                <w:spacing w:val="-30"/>
                <w:sz w:val="21"/>
                <w:szCs w:val="21"/>
              </w:rPr>
              <w:t> </w:t>
            </w:r>
            <w:r>
              <w:rPr>
                <w:rFonts w:ascii="宋体" w:hAnsi="宋体" w:cs="宋体" w:eastAsia="宋体" w:hint="default"/>
                <w:spacing w:val="-6"/>
                <w:sz w:val="21"/>
                <w:szCs w:val="21"/>
              </w:rPr>
              <w:t>之子公司，且与本公司存在相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同关键管理人员</w:t>
            </w:r>
            <w:r>
              <w:rPr>
                <w:rFonts w:ascii="宋体" w:hAnsi="宋体" w:cs="宋体" w:eastAsia="宋体" w:hint="default"/>
                <w:sz w:val="21"/>
                <w:szCs w:val="21"/>
              </w:rPr>
              <w:t> </w:t>
            </w:r>
          </w:p>
        </w:tc>
      </w:tr>
      <w:tr>
        <w:trPr>
          <w:trHeight w:val="555"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QQCTU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QQCTN</w:t>
            </w:r>
            <w:r>
              <w:rPr>
                <w:rFonts w:ascii="宋体" w:hAnsi="宋体" w:cs="宋体" w:eastAsia="宋体" w:hint="default"/>
                <w:spacing w:val="-3"/>
                <w:sz w:val="21"/>
                <w:szCs w:val="21"/>
              </w:rPr>
              <w:t> </w:t>
            </w:r>
            <w:r>
              <w:rPr>
                <w:rFonts w:ascii="宋体" w:hAnsi="宋体" w:cs="宋体" w:eastAsia="宋体" w:hint="default"/>
                <w:sz w:val="21"/>
                <w:szCs w:val="21"/>
              </w:rPr>
              <w:t>之合营企业，且与本公司存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在相同关键管理人员</w:t>
            </w:r>
            <w:r>
              <w:rPr>
                <w:rFonts w:ascii="宋体" w:hAnsi="宋体" w:cs="宋体" w:eastAsia="宋体" w:hint="default"/>
                <w:sz w:val="21"/>
                <w:szCs w:val="21"/>
              </w:rPr>
              <w:t> </w:t>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青岛前湾新联合集装箱码头有限责任公司(“QQCTUA”)</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QQCTU</w:t>
            </w:r>
            <w:r>
              <w:rPr>
                <w:rFonts w:ascii="宋体" w:hAnsi="宋体" w:cs="宋体" w:eastAsia="宋体" w:hint="default"/>
                <w:spacing w:val="-3"/>
                <w:sz w:val="21"/>
                <w:szCs w:val="21"/>
              </w:rPr>
              <w:t> </w:t>
            </w:r>
            <w:r>
              <w:rPr>
                <w:rFonts w:ascii="宋体" w:hAnsi="宋体" w:cs="宋体" w:eastAsia="宋体" w:hint="default"/>
                <w:sz w:val="21"/>
                <w:szCs w:val="21"/>
              </w:rPr>
              <w:t>之合营企业，且与本公司存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在相同关键管理人员</w:t>
            </w:r>
            <w:r>
              <w:rPr>
                <w:rFonts w:ascii="宋体" w:hAnsi="宋体" w:cs="宋体" w:eastAsia="宋体" w:hint="default"/>
                <w:sz w:val="21"/>
                <w:szCs w:val="21"/>
              </w:rPr>
              <w:t> </w:t>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青岛前湾智能集装箱码头有限公司(“QQCTI”)</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QQCTN</w:t>
            </w:r>
            <w:r>
              <w:rPr>
                <w:rFonts w:ascii="宋体" w:hAnsi="宋体" w:cs="宋体" w:eastAsia="宋体" w:hint="default"/>
                <w:spacing w:val="-3"/>
                <w:sz w:val="21"/>
                <w:szCs w:val="21"/>
              </w:rPr>
              <w:t> </w:t>
            </w:r>
            <w:r>
              <w:rPr>
                <w:rFonts w:ascii="宋体" w:hAnsi="宋体" w:cs="宋体" w:eastAsia="宋体" w:hint="default"/>
                <w:sz w:val="21"/>
                <w:szCs w:val="21"/>
              </w:rPr>
              <w:t>之子公司，且与本公司存在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相同关键管理人员</w:t>
            </w:r>
            <w:r>
              <w:rPr>
                <w:rFonts w:ascii="宋体" w:hAnsi="宋体" w:cs="宋体" w:eastAsia="宋体" w:hint="default"/>
                <w:sz w:val="21"/>
                <w:szCs w:val="21"/>
              </w:rPr>
              <w:t> </w:t>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青岛董家口矿石检验有限公司(“董家口矿石检验”)</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QDOT</w:t>
            </w:r>
            <w:r>
              <w:rPr>
                <w:rFonts w:ascii="宋体" w:hAnsi="宋体" w:cs="宋体" w:eastAsia="宋体" w:hint="default"/>
                <w:spacing w:val="-30"/>
                <w:sz w:val="21"/>
                <w:szCs w:val="21"/>
              </w:rPr>
              <w:t> </w:t>
            </w:r>
            <w:r>
              <w:rPr>
                <w:rFonts w:ascii="宋体" w:hAnsi="宋体" w:cs="宋体" w:eastAsia="宋体" w:hint="default"/>
                <w:spacing w:val="-6"/>
                <w:sz w:val="21"/>
                <w:szCs w:val="21"/>
              </w:rPr>
              <w:t>之合营企业，且与本公司存在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相同关键管理人员</w:t>
            </w:r>
            <w:r>
              <w:rPr>
                <w:rFonts w:ascii="宋体" w:hAnsi="宋体" w:cs="宋体" w:eastAsia="宋体" w:hint="default"/>
                <w:sz w:val="21"/>
                <w:szCs w:val="21"/>
              </w:rPr>
              <w:t> </w:t>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青岛西岸鑫通物流有限公司(“西岸鑫通”)</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西联之合营企业，且与本公司存在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相同关键管理人员</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青岛邮轮母港中免免税品有限公司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母公司之联营公司</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青岛邮轮母港开发建设有限公司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母公司之联营公司</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青岛港盛国际物流冷藏有限公司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母公司之联营公司</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中海码头</w:t>
            </w:r>
            <w:r>
              <w:rPr>
                <w:rFonts w:ascii="宋体" w:hAnsi="宋体" w:cs="宋体" w:eastAsia="宋体" w:hint="default"/>
                <w:sz w:val="21"/>
                <w:szCs w:val="21"/>
              </w:rPr>
              <w:t>(ii)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本公司之股东</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青岛远洋运输有限公司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本公司之股东</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山东省港口集团有限公司(“省港集团”)</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与本公司存在相同关键管理人员</w:t>
            </w:r>
            <w:r>
              <w:rPr>
                <w:rFonts w:ascii="宋体" w:hAnsi="宋体" w:cs="宋体" w:eastAsia="宋体" w:hint="default"/>
                <w:sz w:val="21"/>
                <w:szCs w:val="21"/>
              </w:rPr>
              <w:t> </w:t>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中国船舶燃料青岛有限公司(“中船燃青岛”)</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中国远洋海运集团有限公司</w:t>
            </w:r>
            <w:r>
              <w:rPr>
                <w:rFonts w:ascii="宋体" w:hAnsi="宋体" w:cs="宋体" w:eastAsia="宋体" w:hint="default"/>
                <w:spacing w:val="4"/>
                <w:sz w:val="21"/>
                <w:szCs w:val="21"/>
              </w:rPr>
              <w:t>(</w:t>
            </w:r>
            <w:r>
              <w:rPr>
                <w:rFonts w:ascii="宋体" w:hAnsi="宋体" w:cs="宋体" w:eastAsia="宋体" w:hint="default"/>
                <w:spacing w:val="4"/>
                <w:sz w:val="21"/>
                <w:szCs w:val="21"/>
              </w:rPr>
              <w:t>“中</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远海运集团”</w:t>
            </w:r>
            <w:r>
              <w:rPr>
                <w:rFonts w:ascii="宋体" w:hAnsi="宋体" w:cs="宋体" w:eastAsia="宋体" w:hint="default"/>
                <w:sz w:val="21"/>
                <w:szCs w:val="21"/>
              </w:rPr>
              <w:t>)</w:t>
            </w:r>
            <w:r>
              <w:rPr>
                <w:rFonts w:ascii="宋体" w:hAnsi="宋体" w:cs="宋体" w:eastAsia="宋体" w:hint="default"/>
                <w:sz w:val="21"/>
                <w:szCs w:val="21"/>
              </w:rPr>
              <w:t>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中远海运集装箱运输有限公司(“中远海运集装箱”)</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青岛中远海运集装箱运输有限公司(“青岛中远海运集装箱”)</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上海泛亚航运有限公司(“上海泛亚航运”)</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中国青岛外轮代理有限公司(“青岛外轮代理”)</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河南中远海运国际货运有限公司(“中远货运河南”)</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青岛中燃实业有限公司(“中燃实业”)</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青岛远洋大亚物流有限公司(“远洋大亚”)</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青岛中远海运物流有限公司(“中远海运物流”)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新鑫海航运有限公司(“新鑫海航运”)</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东方海外货柜航运</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有限公司(“东方海外货柜”)</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青岛鑫三利冷箱技术有限公司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连云港远洋流体装卸设备有限公司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中国连运港外轮代理有限公司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青岛远洋通信导航有限公司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中海集装箱运输青岛有限公司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青岛远洋大亚保税物流有限公司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上海中远海运港口投资有限公司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广州振华船务有限公司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974" w:top="1080" w:bottom="1160" w:left="120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5922"/>
        <w:gridCol w:w="3365"/>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青岛港湾国际物流有限公司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上海中远威治罐箱物流有限公司(“中远威治罐箱物流”)</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西安中远海运国际货运有限公司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青岛中远海运报关有限公司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中国船舶燃料大连有限公司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厦门中远海运物流有限公司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中远海运散货运输有限公司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上海浦海航运有限公司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中理检验有限公司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青岛远洋鸿池物流有限公司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新疆中远海运国际货运有限公司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青岛新东方集装箱储运有限公司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连云港中远海运国际货运有限公司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连云港远港物流有限公司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青岛中远集装箱船务代理有限公司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鑫三利集装箱服务有限公司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青岛中燃银达油品有限公司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青岛中远海运集运国际物流有限公司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青岛中远海运物流国际储运有限公司</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中远海运集团控制的企业</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4" w:lineRule="auto" w:before="73"/>
        <w:ind w:right="0" w:firstLine="42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日，青岛市国资委、青岛港集团与威海市人民政府国有资产监督管理委员</w:t>
      </w:r>
      <w:r>
        <w:rPr>
          <w:w w:val="100"/>
        </w:rPr>
        <w:t> </w:t>
      </w:r>
      <w:r>
        <w:rPr>
          <w:spacing w:val="-6"/>
        </w:rPr>
        <w:t>会(“威海市国资委”)、威海港集团有限公司(“威海港集团”)签署了《国有产权无偿划转协议》，</w:t>
      </w:r>
      <w:r>
        <w:rPr>
          <w:spacing w:val="-8"/>
        </w:rPr>
        <w:t> </w:t>
      </w:r>
      <w:r>
        <w:rPr>
          <w:spacing w:val="-8"/>
        </w:rPr>
      </w:r>
      <w:r>
        <w:rPr>
          <w:spacing w:val="-2"/>
        </w:rPr>
        <w:t>威海市国资委将其持有的威海港集团</w:t>
      </w:r>
      <w:r>
        <w:rPr/>
        <w:t> </w:t>
      </w:r>
      <w:r>
        <w:rPr>
          <w:rFonts w:ascii="宋体" w:hAnsi="宋体" w:cs="宋体" w:eastAsia="宋体" w:hint="default"/>
          <w:spacing w:val="-2"/>
        </w:rPr>
        <w:t>100%</w:t>
      </w:r>
      <w:r>
        <w:rPr>
          <w:spacing w:val="-2"/>
        </w:rPr>
        <w:t>股权无偿划转给青岛港集团；威海港集团及其子公司等成</w:t>
      </w:r>
      <w:r>
        <w:rPr>
          <w:spacing w:val="-94"/>
        </w:rPr>
        <w:t> </w:t>
      </w:r>
      <w:r>
        <w:rPr>
          <w:spacing w:val="-94"/>
        </w:rPr>
      </w:r>
      <w:r>
        <w:rPr>
          <w:spacing w:val="-4"/>
        </w:rPr>
        <w:t>为青岛港集团之子公司。自协议签署日至</w:t>
      </w:r>
      <w:r>
        <w:rPr>
          <w:spacing w:val="-42"/>
        </w:rPr>
        <w:t> </w:t>
      </w:r>
      <w:r>
        <w:rPr>
          <w:rFonts w:ascii="宋体" w:hAnsi="宋体" w:cs="宋体" w:eastAsia="宋体" w:hint="default"/>
        </w:rPr>
        <w:t>2019</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2"/>
        </w:rPr>
        <w:t> </w:t>
      </w:r>
      <w:r>
        <w:rPr/>
        <w:t>月</w:t>
      </w:r>
      <w:r>
        <w:rPr>
          <w:spacing w:val="-41"/>
        </w:rPr>
        <w:t> </w:t>
      </w:r>
      <w:r>
        <w:rPr>
          <w:rFonts w:ascii="宋体" w:hAnsi="宋体" w:cs="宋体" w:eastAsia="宋体" w:hint="default"/>
        </w:rPr>
        <w:t>31</w:t>
      </w:r>
      <w:r>
        <w:rPr>
          <w:rFonts w:ascii="宋体" w:hAnsi="宋体" w:cs="宋体" w:eastAsia="宋体" w:hint="default"/>
          <w:spacing w:val="-42"/>
        </w:rPr>
        <w:t> </w:t>
      </w:r>
      <w:r>
        <w:rPr>
          <w:spacing w:val="-4"/>
        </w:rPr>
        <w:t>日，本集团与上述公司之间的交易汇总于</w:t>
      </w:r>
      <w:r>
        <w:rPr>
          <w:spacing w:val="-101"/>
        </w:rPr>
        <w:t> </w:t>
      </w:r>
      <w:r>
        <w:rPr>
          <w:spacing w:val="-101"/>
        </w:rPr>
      </w:r>
      <w:r>
        <w:rPr/>
        <w:t>关联方交易。</w:t>
      </w:r>
      <w:r>
        <w:rPr>
          <w:rFonts w:ascii="宋体" w:hAnsi="宋体" w:cs="宋体" w:eastAsia="宋体" w:hint="default"/>
        </w:rPr>
        <w:t> </w:t>
      </w:r>
    </w:p>
    <w:p>
      <w:pPr>
        <w:pStyle w:val="BodyText"/>
        <w:spacing w:line="314" w:lineRule="auto" w:before="20"/>
        <w:ind w:right="0" w:firstLine="420"/>
        <w:jc w:val="left"/>
        <w:rPr>
          <w:rFonts w:ascii="宋体" w:hAnsi="宋体" w:cs="宋体" w:eastAsia="宋体" w:hint="default"/>
        </w:rPr>
      </w:pPr>
      <w:r>
        <w:rPr>
          <w:spacing w:val="-3"/>
        </w:rPr>
        <w:t>（</w:t>
      </w:r>
      <w:r>
        <w:rPr>
          <w:rFonts w:ascii="宋体" w:hAnsi="宋体" w:cs="宋体" w:eastAsia="宋体" w:hint="default"/>
          <w:spacing w:val="-3"/>
        </w:rPr>
        <w:t>2</w:t>
      </w:r>
      <w:r>
        <w:rPr>
          <w:spacing w:val="-3"/>
        </w:rPr>
        <w:t>）中海码头的最终控制方为中远海运集团。中远海运集团分别通过上海中海码头、青岛远洋</w:t>
      </w:r>
      <w:r>
        <w:rPr>
          <w:w w:val="100"/>
        </w:rPr>
        <w:t> </w:t>
      </w:r>
      <w:r>
        <w:rPr/>
        <w:t>及中海码头间接持有本公司</w:t>
      </w:r>
      <w:r>
        <w:rPr>
          <w:spacing w:val="-59"/>
        </w:rPr>
        <w:t> </w:t>
      </w:r>
      <w:r>
        <w:rPr>
          <w:rFonts w:ascii="宋体" w:hAnsi="宋体" w:cs="宋体" w:eastAsia="宋体" w:hint="default"/>
        </w:rPr>
        <w:t>17.12%</w:t>
      </w:r>
      <w:r>
        <w:rPr/>
        <w:t>股权。</w:t>
      </w:r>
      <w:r>
        <w:rPr>
          <w:rFonts w:ascii="宋体" w:hAnsi="宋体" w:cs="宋体" w:eastAsia="宋体" w:hint="default"/>
        </w:rPr>
        <w:t> </w:t>
      </w:r>
    </w:p>
    <w:p>
      <w:pPr>
        <w:pStyle w:val="Heading2"/>
        <w:spacing w:line="251" w:lineRule="exact"/>
        <w:ind w:left="218" w:right="0"/>
        <w:jc w:val="left"/>
        <w:rPr>
          <w:rFonts w:ascii="宋体" w:hAnsi="宋体" w:cs="宋体" w:eastAsia="宋体" w:hint="default"/>
          <w:b w:val="0"/>
          <w:bCs w:val="0"/>
        </w:rPr>
      </w:pPr>
      <w:r>
        <w:rPr>
          <w:rFonts w:ascii="宋体"/>
          <w:w w:val="99"/>
        </w:rPr>
        <w:t> </w:t>
      </w:r>
      <w:r>
        <w:rPr>
          <w:rFonts w:ascii="宋体"/>
          <w:b w:val="0"/>
        </w:rPr>
      </w:r>
    </w:p>
    <w:p>
      <w:pPr>
        <w:spacing w:line="290" w:lineRule="auto" w:before="64"/>
        <w:ind w:left="218" w:right="476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14"/>
        <w:jc w:val="righ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4"/>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2405"/>
        <w:gridCol w:w="2127"/>
        <w:gridCol w:w="2153"/>
        <w:gridCol w:w="2141"/>
      </w:tblGrid>
      <w:tr>
        <w:trPr>
          <w:trHeight w:val="305"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3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中船燃青岛</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采购燃油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166,978,490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93,702,161</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166,670,206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136,918,155</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QDOT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100,810,546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569,619,219</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采购工程材料、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接受工程劳务等服务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43,485,836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9,431,785</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31,672,954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28,059,465</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QQCTU</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23,450,659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22,571,766</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青岛中远海运集装箱</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17,553,644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11,646,682</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中远海运集装箱</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16,360,122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1,432,900</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阜外医院</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接受医疗服务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11,569,240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11,235,412</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10,195,367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2,015,402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00" w:right="11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405"/>
        <w:gridCol w:w="2127"/>
        <w:gridCol w:w="679"/>
        <w:gridCol w:w="1474"/>
        <w:gridCol w:w="2141"/>
      </w:tblGrid>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青岛外轮代理</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7" w:right="0"/>
              <w:jc w:val="left"/>
              <w:rPr>
                <w:rFonts w:ascii="Times New Roman" w:hAnsi="Times New Roman" w:cs="Times New Roman" w:eastAsia="Times New Roman" w:hint="default"/>
                <w:sz w:val="21"/>
                <w:szCs w:val="21"/>
              </w:rPr>
            </w:pPr>
            <w:r>
              <w:rPr>
                <w:rFonts w:ascii="Times New Roman"/>
                <w:sz w:val="21"/>
              </w:rPr>
              <w:t>7,437,771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3,842,483</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QQCT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7" w:right="0"/>
              <w:jc w:val="left"/>
              <w:rPr>
                <w:rFonts w:ascii="Times New Roman" w:hAnsi="Times New Roman" w:cs="Times New Roman" w:eastAsia="Times New Roman" w:hint="default"/>
                <w:sz w:val="21"/>
                <w:szCs w:val="21"/>
              </w:rPr>
            </w:pPr>
            <w:r>
              <w:rPr>
                <w:rFonts w:ascii="Times New Roman"/>
                <w:sz w:val="21"/>
              </w:rPr>
              <w:t>7,273,665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6,952,364</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宏宇大酒店</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接受餐饮服务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7" w:right="0"/>
              <w:jc w:val="left"/>
              <w:rPr>
                <w:rFonts w:ascii="Times New Roman" w:hAnsi="Times New Roman" w:cs="Times New Roman" w:eastAsia="Times New Roman" w:hint="default"/>
                <w:sz w:val="21"/>
                <w:szCs w:val="21"/>
              </w:rPr>
            </w:pPr>
            <w:r>
              <w:rPr>
                <w:rFonts w:ascii="Times New Roman"/>
                <w:sz w:val="21"/>
              </w:rPr>
              <w:t>5,999,876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11,574,317</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7" w:right="0"/>
              <w:jc w:val="left"/>
              <w:rPr>
                <w:rFonts w:ascii="Times New Roman" w:hAnsi="Times New Roman" w:cs="Times New Roman" w:eastAsia="Times New Roman" w:hint="default"/>
                <w:sz w:val="21"/>
                <w:szCs w:val="21"/>
              </w:rPr>
            </w:pPr>
            <w:r>
              <w:rPr>
                <w:rFonts w:ascii="Times New Roman"/>
                <w:sz w:val="21"/>
              </w:rPr>
              <w:t>5,238,738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1,605,573</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东方海外货柜</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7" w:right="0"/>
              <w:jc w:val="left"/>
              <w:rPr>
                <w:rFonts w:ascii="Times New Roman" w:hAnsi="Times New Roman" w:cs="Times New Roman" w:eastAsia="Times New Roman" w:hint="default"/>
                <w:sz w:val="21"/>
                <w:szCs w:val="21"/>
              </w:rPr>
            </w:pPr>
            <w:r>
              <w:rPr>
                <w:rFonts w:ascii="Times New Roman"/>
                <w:sz w:val="21"/>
              </w:rPr>
              <w:t>4,602,319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208,705</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上海泛亚航运</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7" w:right="0"/>
              <w:jc w:val="left"/>
              <w:rPr>
                <w:rFonts w:ascii="Times New Roman" w:hAnsi="Times New Roman" w:cs="Times New Roman" w:eastAsia="Times New Roman" w:hint="default"/>
                <w:sz w:val="21"/>
                <w:szCs w:val="21"/>
              </w:rPr>
            </w:pPr>
            <w:r>
              <w:rPr>
                <w:rFonts w:ascii="Times New Roman"/>
                <w:sz w:val="21"/>
              </w:rPr>
              <w:t>4,082,005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临沂高速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接受物流等服务</w:t>
            </w:r>
            <w:r>
              <w:rPr>
                <w:rFonts w:ascii="宋体" w:hAnsi="宋体" w:cs="宋体" w:eastAsia="宋体" w:hint="default"/>
                <w:sz w:val="21"/>
                <w:szCs w:val="21"/>
              </w:rPr>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7" w:right="0"/>
              <w:jc w:val="left"/>
              <w:rPr>
                <w:rFonts w:ascii="Times New Roman" w:hAnsi="Times New Roman" w:cs="Times New Roman" w:eastAsia="Times New Roman" w:hint="default"/>
                <w:sz w:val="21"/>
                <w:szCs w:val="21"/>
              </w:rPr>
            </w:pPr>
            <w:r>
              <w:rPr>
                <w:rFonts w:ascii="Times New Roman"/>
                <w:sz w:val="21"/>
              </w:rPr>
              <w:t>3,767,440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1,525,527</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中远货运河南</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7" w:right="0"/>
              <w:jc w:val="left"/>
              <w:rPr>
                <w:rFonts w:ascii="Times New Roman" w:hAnsi="Times New Roman" w:cs="Times New Roman" w:eastAsia="Times New Roman" w:hint="default"/>
                <w:sz w:val="21"/>
                <w:szCs w:val="21"/>
              </w:rPr>
            </w:pPr>
            <w:r>
              <w:rPr>
                <w:rFonts w:ascii="Times New Roman"/>
                <w:sz w:val="21"/>
              </w:rPr>
              <w:t>3,281,461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2,337,919</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滨州港青港国际码头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7" w:right="0"/>
              <w:jc w:val="left"/>
              <w:rPr>
                <w:rFonts w:ascii="Times New Roman" w:hAnsi="Times New Roman" w:cs="Times New Roman" w:eastAsia="Times New Roman" w:hint="default"/>
                <w:sz w:val="21"/>
                <w:szCs w:val="21"/>
              </w:rPr>
            </w:pPr>
            <w:r>
              <w:rPr>
                <w:rFonts w:ascii="Times New Roman"/>
                <w:sz w:val="21"/>
              </w:rPr>
              <w:t>2,057,373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7" w:right="0"/>
              <w:jc w:val="left"/>
              <w:rPr>
                <w:rFonts w:ascii="Times New Roman" w:hAnsi="Times New Roman" w:cs="Times New Roman" w:eastAsia="Times New Roman" w:hint="default"/>
                <w:sz w:val="21"/>
                <w:szCs w:val="21"/>
              </w:rPr>
            </w:pPr>
            <w:r>
              <w:rPr>
                <w:rFonts w:ascii="Times New Roman"/>
                <w:sz w:val="21"/>
              </w:rPr>
              <w:t>1,509,168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1,134,384</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7" w:right="0"/>
              <w:jc w:val="left"/>
              <w:rPr>
                <w:rFonts w:ascii="Times New Roman" w:hAnsi="Times New Roman" w:cs="Times New Roman" w:eastAsia="Times New Roman" w:hint="default"/>
                <w:sz w:val="21"/>
                <w:szCs w:val="21"/>
              </w:rPr>
            </w:pPr>
            <w:r>
              <w:rPr>
                <w:rFonts w:ascii="Times New Roman"/>
                <w:sz w:val="21"/>
              </w:rPr>
              <w:t>1,031,855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309,669</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中燃实业</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731,746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1,108,758</w:t>
            </w:r>
          </w:p>
        </w:tc>
      </w:tr>
      <w:tr>
        <w:trPr>
          <w:trHeight w:val="526"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其他青岛港集团下属公司</w:t>
            </w:r>
          </w:p>
          <w:p>
            <w:pPr>
              <w:pStyle w:val="TableParagraph"/>
              <w:spacing w:line="240" w:lineRule="auto" w:before="24"/>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77" w:right="0"/>
              <w:jc w:val="left"/>
              <w:rPr>
                <w:rFonts w:ascii="Times New Roman" w:hAnsi="Times New Roman" w:cs="Times New Roman" w:eastAsia="Times New Roman" w:hint="default"/>
                <w:sz w:val="21"/>
                <w:szCs w:val="21"/>
              </w:rPr>
            </w:pPr>
            <w:r>
              <w:rPr>
                <w:rFonts w:ascii="Times New Roman"/>
                <w:sz w:val="21"/>
              </w:rPr>
              <w:t>3,235,917</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Times New Roman" w:hAnsi="Times New Roman" w:cs="Times New Roman" w:eastAsia="Times New Roman" w:hint="default"/>
                <w:sz w:val="21"/>
                <w:szCs w:val="21"/>
              </w:rPr>
            </w:pPr>
            <w:r>
              <w:rPr>
                <w:rFonts w:ascii="Times New Roman"/>
                <w:spacing w:val="-1"/>
                <w:sz w:val="21"/>
              </w:rPr>
              <w:t>2,662,629</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其他中远海运集团下属公</w:t>
            </w:r>
          </w:p>
          <w:p>
            <w:pPr>
              <w:pStyle w:val="TableParagraph"/>
              <w:spacing w:line="28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接受装卸、物流等服务</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77" w:right="0"/>
              <w:jc w:val="left"/>
              <w:rPr>
                <w:rFonts w:ascii="Times New Roman" w:hAnsi="Times New Roman" w:cs="Times New Roman" w:eastAsia="Times New Roman" w:hint="default"/>
                <w:sz w:val="21"/>
                <w:szCs w:val="21"/>
              </w:rPr>
            </w:pPr>
            <w:r>
              <w:rPr>
                <w:rFonts w:ascii="Times New Roman"/>
                <w:sz w:val="21"/>
              </w:rPr>
              <w:t>2,407,051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3,296,909</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6"/>
                <w:sz w:val="21"/>
                <w:szCs w:val="21"/>
              </w:rPr>
              <w:t>接受装卸、物流、培训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旅游、保理等服务</w:t>
            </w:r>
          </w:p>
        </w:tc>
        <w:tc>
          <w:tcPr>
            <w:tcW w:w="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602" w:right="0"/>
              <w:jc w:val="left"/>
              <w:rPr>
                <w:rFonts w:ascii="Times New Roman" w:hAnsi="Times New Roman" w:cs="Times New Roman" w:eastAsia="Times New Roman" w:hint="default"/>
                <w:sz w:val="21"/>
                <w:szCs w:val="21"/>
              </w:rPr>
            </w:pPr>
            <w:r>
              <w:rPr>
                <w:rFonts w:ascii="Times New Roman"/>
                <w:sz w:val="21"/>
              </w:rPr>
              <w:t>3,902,461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3,509,558</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5" w:right="0"/>
              <w:jc w:val="left"/>
              <w:rPr>
                <w:rFonts w:ascii="Times New Roman" w:hAnsi="Times New Roman" w:cs="Times New Roman" w:eastAsia="Times New Roman" w:hint="default"/>
                <w:sz w:val="21"/>
                <w:szCs w:val="21"/>
              </w:rPr>
            </w:pPr>
            <w:r>
              <w:rPr>
                <w:rFonts w:ascii="Times New Roman"/>
                <w:sz w:val="21"/>
              </w:rPr>
              <w:t>645,305,910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926,701,742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200"/>
        </w:sectPr>
      </w:pPr>
    </w:p>
    <w:p>
      <w:pPr>
        <w:pStyle w:val="Heading3"/>
        <w:spacing w:line="274" w:lineRule="exact"/>
        <w:ind w:left="138" w:right="0"/>
        <w:jc w:val="left"/>
        <w:rPr>
          <w:rFonts w:ascii="宋体" w:hAnsi="宋体" w:cs="宋体" w:eastAsia="宋体" w:hint="default"/>
        </w:rPr>
      </w:pPr>
      <w:r>
        <w:rPr>
          <w:rFonts w:ascii="宋体"/>
        </w:rPr>
        <w:t> </w:t>
      </w:r>
    </w:p>
    <w:p>
      <w:pPr>
        <w:pStyle w:val="BodyText"/>
        <w:spacing w:line="271" w:lineRule="exact" w:before="1"/>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Heading3"/>
        <w:spacing w:line="310"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138"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80" w:right="1200"/>
          <w:cols w:num="2" w:equalWidth="0">
            <w:col w:w="2659" w:space="4100"/>
            <w:col w:w="267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98"/>
        <w:gridCol w:w="2105"/>
        <w:gridCol w:w="2160"/>
        <w:gridCol w:w="2163"/>
      </w:tblGrid>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177,192,905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201,161,226</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QDOT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127,165,649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86,699,202</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124,912,057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118,233,182</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青岛外轮代理</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117,021,242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132,169,333</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105,341,637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169,559,362</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QQCTU</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83,149,599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98,287,944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50,072,127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45,526,843</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远洋大亚</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45,512,622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49,106,219</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青岛中远海运集装箱</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36,052,618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10,071,485</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33,643,825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27,542,018</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28,875,066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23,478,069</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 w:right="0"/>
              <w:jc w:val="left"/>
              <w:rPr>
                <w:rFonts w:ascii="Times New Roman" w:hAnsi="Times New Roman" w:cs="Times New Roman" w:eastAsia="Times New Roman" w:hint="default"/>
                <w:sz w:val="21"/>
                <w:szCs w:val="21"/>
              </w:rPr>
            </w:pPr>
            <w:r>
              <w:rPr>
                <w:rFonts w:ascii="Times New Roman"/>
                <w:sz w:val="21"/>
              </w:rPr>
              <w:t>QQCTN</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27,555,696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26,319,626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80" w:right="12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398"/>
        <w:gridCol w:w="2105"/>
        <w:gridCol w:w="2160"/>
        <w:gridCol w:w="2163"/>
      </w:tblGrid>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24,833,009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25,348,002</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中远海运集装箱</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23,657,375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15,133,757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上海泛亚航运</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19,946,589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10,389,715</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19,699,586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13,147,811</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QQCTUA</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15,995,087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24,979,653</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14,637,291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9,277,843</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14,088,729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13,577,577</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12,996,416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14,089,286</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9,791,996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8,423,391</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港湾职业学院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9,149,458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8,157,357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中远海运物流</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7,107,398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3,396,560</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新鑫海航运</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5,634,268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3,328,163</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海路国际</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5,172,045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3,223,434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滨州港青港国际码头</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4,749,927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10,157,094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3,455,528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2,892,079</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中远威治罐箱物流</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2,418,954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533,555</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2,372,165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1,627,453</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阜外医院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1,797,628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353,642</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威海金丰货代</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1,417,518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港投地产</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1,362,850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1,020,932</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省港集团</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1,355,931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青港金控</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553,694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820,450</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小额贷款</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327,202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986,249</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青岛港引航站</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122,798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1,083,141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398"/>
        <w:gridCol w:w="2105"/>
        <w:gridCol w:w="2160"/>
        <w:gridCol w:w="2163"/>
      </w:tblGrid>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资产管理公司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122,657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802,152</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青港租赁公司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提供运维、物业、通信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80,166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705,988</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港华物流</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6,670,354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其他中远海运集团下属公</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3,107,233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2,213,171</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其他青岛港集团下属公司</w:t>
            </w:r>
          </w:p>
          <w:p>
            <w:pPr>
              <w:pStyle w:val="TableParagraph"/>
              <w:spacing w:line="240" w:lineRule="auto" w:before="24"/>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提供运输、装卸、维修</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2,599,084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3,721,005</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提供运输、装卸、运维</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1,550,268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1,937,627</w:t>
            </w:r>
          </w:p>
        </w:tc>
      </w:tr>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1,166,597,893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1,176,151,950</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QQCTN</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444,893,198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236,499,111</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143,089,172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33,971,797</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QDOT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118,877,830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120,828,528</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52,904,835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89,813,097</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30,326,838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15,387,351</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21,077,875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29,411,696</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QQCTU</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15,230,248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2,030,546</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港湾职业学院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4,756,359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3,167,872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3,554,132</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2,480,156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3,379,532</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1,123,060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567,693</w:t>
            </w:r>
          </w:p>
        </w:tc>
      </w:tr>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597,090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3,463,280</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阜外医院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386,310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2,794,979</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242,959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2,443,035</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QQCT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127,060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41,493,863</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z w:val="21"/>
              </w:rPr>
              <w:t>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2,562,717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其他中远海运集团下属公</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1,030,862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1,537,608</w:t>
            </w:r>
          </w:p>
        </w:tc>
      </w:tr>
      <w:tr>
        <w:trPr>
          <w:trHeight w:val="52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其他青岛港集团下属公司</w:t>
            </w:r>
          </w:p>
          <w:p>
            <w:pPr>
              <w:pStyle w:val="TableParagraph"/>
              <w:spacing w:line="240" w:lineRule="auto" w:before="24"/>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21"/>
                <w:szCs w:val="21"/>
              </w:rPr>
            </w:pPr>
            <w:r>
              <w:rPr>
                <w:rFonts w:ascii="Times New Roman"/>
                <w:spacing w:val="-1"/>
                <w:sz w:val="21"/>
              </w:rPr>
              <w:t>966,593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21"/>
                <w:szCs w:val="21"/>
              </w:rPr>
            </w:pPr>
            <w:r>
              <w:rPr>
                <w:rFonts w:ascii="Times New Roman"/>
                <w:spacing w:val="-1"/>
                <w:sz w:val="21"/>
              </w:rPr>
              <w:t>439,214</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提供建筑劳务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1,308,718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1,066,316</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842,587,093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591,244,495</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QDOT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137,877,415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139,081,889</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6" w:right="0"/>
              <w:jc w:val="left"/>
              <w:rPr>
                <w:rFonts w:ascii="Times New Roman" w:hAnsi="Times New Roman" w:cs="Times New Roman" w:eastAsia="Times New Roman" w:hint="default"/>
                <w:sz w:val="21"/>
                <w:szCs w:val="21"/>
              </w:rPr>
            </w:pPr>
            <w:r>
              <w:rPr>
                <w:rFonts w:ascii="Times New Roman"/>
                <w:sz w:val="21"/>
              </w:rPr>
              <w:t>QQCT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108,989,464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121,481,757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QQCTN</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37,687,645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32,799,330</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16,359,856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13,318,735</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 w:right="0"/>
              <w:jc w:val="left"/>
              <w:rPr>
                <w:rFonts w:ascii="Times New Roman" w:hAnsi="Times New Roman" w:cs="Times New Roman" w:eastAsia="Times New Roman" w:hint="default"/>
                <w:sz w:val="21"/>
                <w:szCs w:val="21"/>
              </w:rPr>
            </w:pPr>
            <w:r>
              <w:rPr>
                <w:rFonts w:ascii="Times New Roman"/>
                <w:sz w:val="21"/>
              </w:rPr>
              <w:t>QQCTUA</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13,492,118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12,970,859</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8,858,261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9,188,734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398"/>
        <w:gridCol w:w="2105"/>
        <w:gridCol w:w="2160"/>
        <w:gridCol w:w="2163"/>
      </w:tblGrid>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QQCTU</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8,664,711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8,516,617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5,173,051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4,886,159</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4,244,705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4,433,854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国际邮轮</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2,979,764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3,684,658</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2,763,275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2,207,986</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2,512,440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1,474,727</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2,172,738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2,249,454</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1,559,571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1,392,047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1,553,746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1,469,981</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1,326,876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1,047,777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878,559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1,339,955</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其他青岛港集团下属公司</w:t>
            </w:r>
          </w:p>
          <w:p>
            <w:pPr>
              <w:pStyle w:val="TableParagraph"/>
              <w:spacing w:line="240" w:lineRule="auto" w:before="26"/>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1,913,764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2,724,001</w:t>
            </w:r>
          </w:p>
        </w:tc>
      </w:tr>
      <w:tr>
        <w:trPr>
          <w:trHeight w:val="55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其他中远海运集团下属公</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238,780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247,303</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销售水、电、蒸汽、油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836,813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1,199,901</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360,083,552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365,715,724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QQCTN</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295,508,723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29,204,647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QDOT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188,800,100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37,291,217</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青港租赁公司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31,941,474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董家口铁路</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31,926,249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31,345,093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126,915,690</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QQCT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23,507,334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121,875,584</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3,512,701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7,651,150</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其他青岛港集团下属公司</w:t>
            </w:r>
          </w:p>
          <w:p>
            <w:pPr>
              <w:pStyle w:val="TableParagraph"/>
              <w:spacing w:line="240" w:lineRule="auto" w:before="26"/>
              <w:ind w:left="26" w:right="0"/>
              <w:jc w:val="left"/>
              <w:rPr>
                <w:rFonts w:ascii="Times New Roman" w:hAnsi="Times New Roman" w:cs="Times New Roman" w:eastAsia="Times New Roman" w:hint="default"/>
                <w:sz w:val="21"/>
                <w:szCs w:val="21"/>
              </w:rPr>
            </w:pPr>
            <w:r>
              <w:rPr>
                <w:rFonts w:ascii="Times New Roman"/>
                <w:w w:val="100"/>
                <w:sz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6,605,100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其他中远海运集团下属公</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司</w:t>
            </w:r>
            <w:r>
              <w:rPr>
                <w:rFonts w:ascii="Times New Roman" w:hAnsi="Times New Roman" w:cs="Times New Roman" w:eastAsia="Times New Roman" w:hint="default"/>
                <w:sz w:val="21"/>
                <w:szCs w:val="21"/>
              </w:rPr>
              <w:t>**</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232,688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398"/>
        <w:gridCol w:w="2105"/>
        <w:gridCol w:w="2160"/>
        <w:gridCol w:w="2163"/>
      </w:tblGrid>
      <w:tr>
        <w:trPr>
          <w:trHeight w:val="28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销售港口机械及其他</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1,025,362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6,759,143</w:t>
            </w:r>
          </w:p>
        </w:tc>
      </w:tr>
      <w:tr>
        <w:trPr>
          <w:trHeight w:val="28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614,172,136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329,930,119</w:t>
            </w:r>
          </w:p>
        </w:tc>
      </w:tr>
      <w:tr>
        <w:trPr>
          <w:trHeight w:val="28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0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2,983,440,674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2,463,042,288</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69"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Heading3"/>
        <w:spacing w:line="309"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81"/>
        <w:ind w:left="138" w:right="0" w:firstLine="480"/>
        <w:jc w:val="left"/>
      </w:pPr>
      <w:r>
        <w:rPr>
          <w:spacing w:val="-2"/>
        </w:rPr>
        <w:t>本公司之子公司通泽商贸为本集团关联方提供代理采购服务，上述披露的交易金额系收取的代</w:t>
      </w:r>
      <w:r>
        <w:rPr>
          <w:w w:val="100"/>
        </w:rPr>
        <w:t> </w:t>
      </w:r>
      <w:r>
        <w:rPr/>
        <w:t>理服务费。</w:t>
      </w:r>
    </w:p>
    <w:p>
      <w:pPr>
        <w:pStyle w:val="BodyText"/>
        <w:spacing w:line="297" w:lineRule="auto" w:before="20"/>
        <w:ind w:left="138" w:right="145" w:firstLine="420"/>
        <w:jc w:val="left"/>
      </w:pPr>
      <w:r>
        <w:rPr>
          <w:rFonts w:ascii="Times New Roman" w:hAnsi="Times New Roman" w:cs="Times New Roman" w:eastAsia="Times New Roman" w:hint="default"/>
        </w:rPr>
        <w:t>* </w:t>
      </w:r>
      <w:r>
        <w:rPr/>
        <w:t>该等交易为已符合香港联合交易所证券上市规则第 </w:t>
      </w:r>
      <w:r>
        <w:rPr>
          <w:rFonts w:ascii="Times New Roman" w:hAnsi="Times New Roman" w:cs="Times New Roman" w:eastAsia="Times New Roman" w:hint="default"/>
        </w:rPr>
        <w:t>14A</w:t>
      </w:r>
      <w:r>
        <w:rPr>
          <w:rFonts w:ascii="Times New Roman" w:hAnsi="Times New Roman" w:cs="Times New Roman" w:eastAsia="Times New Roman" w:hint="default"/>
          <w:spacing w:val="-14"/>
        </w:rPr>
        <w:t> </w:t>
      </w:r>
      <w:r>
        <w:rPr/>
        <w:t>章的披露规定之持续关连交易，系本</w:t>
      </w:r>
      <w:r>
        <w:rPr>
          <w:w w:val="100"/>
        </w:rPr>
        <w:t> </w:t>
      </w:r>
      <w:r>
        <w:rPr/>
        <w:t>集团向青岛港集团提供产品和服务。</w:t>
      </w:r>
    </w:p>
    <w:p>
      <w:pPr>
        <w:pStyle w:val="BodyText"/>
        <w:spacing w:line="297" w:lineRule="auto" w:before="35"/>
        <w:ind w:left="138" w:right="144" w:firstLine="420"/>
        <w:jc w:val="left"/>
      </w:pPr>
      <w:r>
        <w:rPr>
          <w:rFonts w:ascii="Times New Roman" w:hAnsi="Times New Roman" w:cs="Times New Roman" w:eastAsia="Times New Roman" w:hint="default"/>
        </w:rPr>
        <w:t>**</w:t>
      </w:r>
      <w:r>
        <w:rPr/>
        <w:t>该等交易为已符合香港联合交易所证券上市规则第</w:t>
      </w:r>
      <w:r>
        <w:rPr>
          <w:spacing w:val="-58"/>
        </w:rPr>
        <w:t> </w:t>
      </w:r>
      <w:r>
        <w:rPr>
          <w:rFonts w:ascii="Times New Roman" w:hAnsi="Times New Roman" w:cs="Times New Roman" w:eastAsia="Times New Roman" w:hint="default"/>
        </w:rPr>
        <w:t>14A</w:t>
      </w:r>
      <w:r>
        <w:rPr>
          <w:rFonts w:ascii="Times New Roman" w:hAnsi="Times New Roman" w:cs="Times New Roman" w:eastAsia="Times New Roman" w:hint="default"/>
          <w:spacing w:val="-7"/>
        </w:rPr>
        <w:t> </w:t>
      </w:r>
      <w:r>
        <w:rPr/>
        <w:t>章的披露规定之持续关连交易，系本</w:t>
      </w:r>
      <w:r>
        <w:rPr>
          <w:w w:val="100"/>
        </w:rPr>
        <w:t> </w:t>
      </w:r>
      <w:r>
        <w:rPr/>
        <w:t>集团为中远海运集团提供产品及服务。</w:t>
      </w:r>
    </w:p>
    <w:p>
      <w:pPr>
        <w:pStyle w:val="Heading3"/>
        <w:spacing w:line="266" w:lineRule="exact"/>
        <w:ind w:left="138" w:right="0"/>
        <w:jc w:val="left"/>
        <w:rPr>
          <w:rFonts w:ascii="宋体" w:hAnsi="宋体" w:cs="宋体" w:eastAsia="宋体" w:hint="default"/>
        </w:rPr>
      </w:pPr>
      <w:r>
        <w:rPr>
          <w:rFonts w:ascii="宋体"/>
        </w:rPr>
        <w:t> </w:t>
      </w:r>
    </w:p>
    <w:p>
      <w:pPr>
        <w:spacing w:line="290" w:lineRule="auto" w:before="61"/>
        <w:ind w:left="138" w:right="348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Heading3"/>
        <w:spacing w:line="259"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BodyText"/>
        <w:spacing w:line="270" w:lineRule="exact" w:before="4"/>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Heading3"/>
        <w:spacing w:line="308"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BodyText"/>
        <w:spacing w:line="270" w:lineRule="exact" w:before="4"/>
        <w:ind w:left="138" w:right="0"/>
        <w:jc w:val="left"/>
        <w:rPr>
          <w:rFonts w:ascii="宋体" w:hAnsi="宋体" w:cs="宋体" w:eastAsia="宋体" w:hint="default"/>
        </w:rPr>
      </w:pP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Heading3"/>
        <w:spacing w:line="308"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BodyText"/>
        <w:spacing w:line="270" w:lineRule="exact" w:before="4"/>
        <w:ind w:left="138" w:right="0"/>
        <w:jc w:val="left"/>
        <w:rPr>
          <w:rFonts w:ascii="宋体" w:hAnsi="宋体" w:cs="宋体" w:eastAsia="宋体" w:hint="default"/>
        </w:rPr>
      </w:pPr>
      <w:r>
        <w:rPr/>
        <w:t>关联管理</w:t>
      </w:r>
      <w:r>
        <w:rPr>
          <w:rFonts w:ascii="宋体" w:hAnsi="宋体" w:cs="宋体" w:eastAsia="宋体" w:hint="default"/>
        </w:rPr>
        <w:t>/</w:t>
      </w:r>
      <w:r>
        <w:rPr/>
        <w:t>出包情况说明</w:t>
      </w:r>
      <w:r>
        <w:rPr>
          <w:rFonts w:ascii="宋体" w:hAnsi="宋体" w:cs="宋体" w:eastAsia="宋体" w:hint="default"/>
        </w:rPr>
        <w:t> </w:t>
      </w:r>
    </w:p>
    <w:p>
      <w:pPr>
        <w:pStyle w:val="Heading3"/>
        <w:spacing w:line="308"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spacing w:line="290" w:lineRule="auto" w:before="61"/>
        <w:ind w:left="138" w:right="627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5"/>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Heading3"/>
        <w:spacing w:line="260"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51" w:val="left" w:leader="none"/>
        </w:tabs>
        <w:spacing w:line="240" w:lineRule="auto" w:before="4"/>
        <w:ind w:left="0" w:right="15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24"/>
        <w:gridCol w:w="2744"/>
        <w:gridCol w:w="2410"/>
        <w:gridCol w:w="2156"/>
      </w:tblGrid>
      <w:tr>
        <w:trPr>
          <w:trHeight w:val="34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1"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7"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6" w:right="0"/>
              <w:jc w:val="left"/>
              <w:rPr>
                <w:rFonts w:ascii="Times New Roman" w:hAnsi="Times New Roman" w:cs="Times New Roman" w:eastAsia="Times New Roman" w:hint="default"/>
                <w:sz w:val="21"/>
                <w:szCs w:val="21"/>
              </w:rPr>
            </w:pPr>
            <w:r>
              <w:rPr>
                <w:rFonts w:ascii="Times New Roman"/>
                <w:sz w:val="21"/>
              </w:rPr>
              <w:t>QQCT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房屋建筑物、库场设施、港务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设施、车辆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225,958,852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228,295,922</w:t>
            </w:r>
          </w:p>
        </w:tc>
      </w:tr>
      <w:tr>
        <w:trPr>
          <w:trHeight w:val="55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房屋建筑物、库场设施、机器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151,441,482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440,461,312</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QDOT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库场设施、车辆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11,795,786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11,969,963</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9,984,431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9,483,485</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QQCTU</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5"/>
                <w:sz w:val="21"/>
                <w:szCs w:val="21"/>
              </w:rPr>
              <w:t>房屋建筑物、港务设施、车辆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9,783,217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10,071,313</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9,684,478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195,549</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9,139,856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3,651,558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2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824"/>
        <w:gridCol w:w="2744"/>
        <w:gridCol w:w="2410"/>
        <w:gridCol w:w="2156"/>
      </w:tblGrid>
      <w:tr>
        <w:trPr>
          <w:trHeight w:val="40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东港集装箱</w:t>
            </w:r>
            <w:r>
              <w:rPr>
                <w:rFonts w:ascii="Times New Roman" w:hAnsi="Times New Roman" w:cs="Times New Roman" w:eastAsia="Times New Roman" w:hint="default"/>
                <w:sz w:val="21"/>
                <w:szCs w:val="21"/>
              </w:rPr>
              <w: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7,611,048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7,230,476</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6" w:right="0"/>
              <w:jc w:val="left"/>
              <w:rPr>
                <w:rFonts w:ascii="Times New Roman" w:hAnsi="Times New Roman" w:cs="Times New Roman" w:eastAsia="Times New Roman" w:hint="default"/>
                <w:sz w:val="21"/>
                <w:szCs w:val="21"/>
              </w:rPr>
            </w:pPr>
            <w:r>
              <w:rPr>
                <w:rFonts w:ascii="Times New Roman"/>
                <w:sz w:val="21"/>
              </w:rPr>
              <w:t>QQCTN</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港务设施、车辆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6,365,995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3,813,445</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港联海物流</w:t>
            </w:r>
            <w:r>
              <w:rPr>
                <w:rFonts w:ascii="Times New Roman" w:hAnsi="Times New Roman" w:cs="Times New Roman" w:eastAsia="Times New Roman" w:hint="default"/>
                <w:sz w:val="21"/>
                <w:szCs w:val="21"/>
              </w:rPr>
              <w: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6,311,809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5,697,726</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5,320,310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4,482,264</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神州行货代</w:t>
            </w:r>
            <w:r>
              <w:rPr>
                <w:rFonts w:ascii="Times New Roman" w:hAnsi="Times New Roman" w:cs="Times New Roman" w:eastAsia="Times New Roman" w:hint="default"/>
                <w:sz w:val="21"/>
                <w:szCs w:val="21"/>
              </w:rPr>
              <w: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3,681,291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1,527,892</w:t>
            </w:r>
          </w:p>
        </w:tc>
      </w:tr>
      <w:tr>
        <w:trPr>
          <w:trHeight w:val="55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滨州港青港国际码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头</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1,821,903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4,360,157</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21"/>
                <w:szCs w:val="21"/>
              </w:rPr>
            </w:pPr>
            <w:r>
              <w:rPr>
                <w:rFonts w:ascii="Times New Roman"/>
                <w:sz w:val="21"/>
              </w:rPr>
              <w:t>QQCTUA</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1,566,476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21"/>
                <w:szCs w:val="21"/>
              </w:rPr>
            </w:pPr>
            <w:r>
              <w:rPr>
                <w:rFonts w:ascii="Times New Roman"/>
                <w:spacing w:val="-1"/>
                <w:sz w:val="21"/>
              </w:rPr>
              <w:t>1,742,857</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青岛港引航站</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1,446,018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21"/>
                <w:szCs w:val="21"/>
              </w:rPr>
            </w:pPr>
            <w:r>
              <w:rPr>
                <w:rFonts w:ascii="Times New Roman"/>
                <w:spacing w:val="-1"/>
                <w:sz w:val="21"/>
              </w:rPr>
              <w:t>789,123</w:t>
            </w:r>
          </w:p>
        </w:tc>
      </w:tr>
      <w:tr>
        <w:trPr>
          <w:trHeight w:val="555"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其他中远海运集团</w:t>
            </w:r>
          </w:p>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下属公司</w:t>
            </w:r>
            <w:r>
              <w:rPr>
                <w:rFonts w:ascii="Times New Roman" w:hAnsi="Times New Roman" w:cs="Times New Roman" w:eastAsia="Times New Roman" w:hint="default"/>
                <w:sz w:val="21"/>
                <w:szCs w:val="21"/>
              </w:rPr>
              <w: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库场设施、机器设备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77,543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27,323</w:t>
            </w:r>
          </w:p>
        </w:tc>
      </w:tr>
      <w:tr>
        <w:trPr>
          <w:trHeight w:val="554"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房屋建筑物、库场设施、机器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1,306,527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1,299,174</w:t>
            </w:r>
          </w:p>
        </w:tc>
      </w:tr>
      <w:tr>
        <w:trPr>
          <w:trHeight w:val="283"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4"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463,297,022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735,099,539</w:t>
            </w:r>
          </w:p>
        </w:tc>
      </w:tr>
    </w:tbl>
    <w:p>
      <w:pPr>
        <w:spacing w:line="240" w:lineRule="auto" w:before="3"/>
        <w:rPr>
          <w:rFonts w:ascii="宋体" w:hAnsi="宋体" w:cs="宋体" w:eastAsia="宋体" w:hint="default"/>
          <w:sz w:val="21"/>
          <w:szCs w:val="21"/>
        </w:rPr>
      </w:pPr>
    </w:p>
    <w:p>
      <w:pPr>
        <w:pStyle w:val="BodyText"/>
        <w:spacing w:line="240" w:lineRule="auto" w:before="36"/>
        <w:ind w:left="558" w:right="0"/>
        <w:jc w:val="left"/>
      </w:pPr>
      <w:r>
        <w:rPr>
          <w:rFonts w:ascii="Arial" w:hAnsi="Arial" w:cs="Arial" w:eastAsia="Arial" w:hint="default"/>
          <w:spacing w:val="-1"/>
          <w:w w:val="100"/>
        </w:rPr>
        <w:t>*</w:t>
      </w:r>
      <w:r>
        <w:rPr>
          <w:w w:val="100"/>
        </w:rPr>
        <w:t>该等</w:t>
      </w:r>
      <w:r>
        <w:rPr>
          <w:spacing w:val="-3"/>
          <w:w w:val="100"/>
        </w:rPr>
        <w:t>交</w:t>
      </w:r>
      <w:r>
        <w:rPr>
          <w:w w:val="100"/>
        </w:rPr>
        <w:t>易</w:t>
      </w:r>
      <w:r>
        <w:rPr>
          <w:spacing w:val="-3"/>
          <w:w w:val="100"/>
        </w:rPr>
        <w:t>为</w:t>
      </w:r>
      <w:r>
        <w:rPr>
          <w:w w:val="100"/>
        </w:rPr>
        <w:t>已</w:t>
      </w:r>
      <w:r>
        <w:rPr>
          <w:spacing w:val="-3"/>
          <w:w w:val="100"/>
        </w:rPr>
        <w:t>符</w:t>
      </w:r>
      <w:r>
        <w:rPr>
          <w:w w:val="100"/>
        </w:rPr>
        <w:t>合</w:t>
      </w:r>
      <w:r>
        <w:rPr>
          <w:spacing w:val="-3"/>
          <w:w w:val="100"/>
        </w:rPr>
        <w:t>香</w:t>
      </w:r>
      <w:r>
        <w:rPr>
          <w:w w:val="100"/>
        </w:rPr>
        <w:t>港</w:t>
      </w:r>
      <w:r>
        <w:rPr>
          <w:spacing w:val="-3"/>
          <w:w w:val="100"/>
        </w:rPr>
        <w:t>联</w:t>
      </w:r>
      <w:r>
        <w:rPr>
          <w:w w:val="100"/>
        </w:rPr>
        <w:t>合交</w:t>
      </w:r>
      <w:r>
        <w:rPr>
          <w:spacing w:val="-3"/>
          <w:w w:val="100"/>
        </w:rPr>
        <w:t>易</w:t>
      </w:r>
      <w:r>
        <w:rPr>
          <w:w w:val="100"/>
        </w:rPr>
        <w:t>所</w:t>
      </w:r>
      <w:r>
        <w:rPr>
          <w:spacing w:val="-3"/>
          <w:w w:val="100"/>
        </w:rPr>
        <w:t>证</w:t>
      </w:r>
      <w:r>
        <w:rPr>
          <w:w w:val="100"/>
        </w:rPr>
        <w:t>券</w:t>
      </w:r>
      <w:r>
        <w:rPr>
          <w:spacing w:val="-3"/>
          <w:w w:val="100"/>
        </w:rPr>
        <w:t>上</w:t>
      </w:r>
      <w:r>
        <w:rPr>
          <w:w w:val="100"/>
        </w:rPr>
        <w:t>市</w:t>
      </w:r>
      <w:r>
        <w:rPr>
          <w:spacing w:val="-3"/>
          <w:w w:val="100"/>
        </w:rPr>
        <w:t>规则</w:t>
      </w:r>
      <w:r>
        <w:rPr>
          <w:w w:val="100"/>
        </w:rPr>
        <w:t>第</w:t>
      </w:r>
      <w:r>
        <w:rPr>
          <w:spacing w:val="-55"/>
        </w:rPr>
        <w:t> </w:t>
      </w:r>
      <w:r>
        <w:rPr>
          <w:rFonts w:ascii="Arial" w:hAnsi="Arial" w:cs="Arial" w:eastAsia="Arial" w:hint="default"/>
          <w:w w:val="100"/>
        </w:rPr>
        <w:t>14A</w:t>
      </w:r>
      <w:r>
        <w:rPr>
          <w:rFonts w:ascii="Arial" w:hAnsi="Arial" w:cs="Arial" w:eastAsia="Arial" w:hint="default"/>
          <w:spacing w:val="-8"/>
        </w:rPr>
        <w:t> </w:t>
      </w:r>
      <w:r>
        <w:rPr>
          <w:w w:val="100"/>
        </w:rPr>
        <w:t>章</w:t>
      </w:r>
      <w:r>
        <w:rPr>
          <w:spacing w:val="-3"/>
          <w:w w:val="100"/>
        </w:rPr>
        <w:t>的</w:t>
      </w:r>
      <w:r>
        <w:rPr>
          <w:w w:val="100"/>
        </w:rPr>
        <w:t>披</w:t>
      </w:r>
      <w:r>
        <w:rPr>
          <w:spacing w:val="-3"/>
          <w:w w:val="100"/>
        </w:rPr>
        <w:t>露</w:t>
      </w:r>
      <w:r>
        <w:rPr>
          <w:w w:val="100"/>
        </w:rPr>
        <w:t>规</w:t>
      </w:r>
      <w:r>
        <w:rPr>
          <w:spacing w:val="-3"/>
          <w:w w:val="100"/>
        </w:rPr>
        <w:t>定</w:t>
      </w:r>
      <w:r>
        <w:rPr>
          <w:w w:val="100"/>
        </w:rPr>
        <w:t>之</w:t>
      </w:r>
      <w:r>
        <w:rPr>
          <w:spacing w:val="-3"/>
          <w:w w:val="100"/>
        </w:rPr>
        <w:t>持续</w:t>
      </w:r>
      <w:r>
        <w:rPr>
          <w:w w:val="100"/>
        </w:rPr>
        <w:t>关连</w:t>
      </w:r>
      <w:r>
        <w:rPr>
          <w:spacing w:val="-3"/>
          <w:w w:val="100"/>
        </w:rPr>
        <w:t>交</w:t>
      </w:r>
      <w:r>
        <w:rPr>
          <w:w w:val="100"/>
        </w:rPr>
        <w:t>易</w:t>
      </w:r>
      <w:r>
        <w:rPr>
          <w:spacing w:val="-104"/>
          <w:w w:val="100"/>
        </w:rPr>
        <w:t>，</w:t>
      </w:r>
      <w:r>
        <w:rPr>
          <w:w w:val="100"/>
        </w:rPr>
        <w:t>系</w:t>
      </w:r>
      <w:r>
        <w:rPr>
          <w:spacing w:val="-3"/>
          <w:w w:val="100"/>
        </w:rPr>
        <w:t>本</w:t>
      </w:r>
      <w:r>
        <w:rPr>
          <w:w w:val="100"/>
        </w:rPr>
        <w:t>集</w:t>
      </w:r>
    </w:p>
    <w:p>
      <w:pPr>
        <w:spacing w:after="0" w:line="240" w:lineRule="auto"/>
        <w:jc w:val="left"/>
        <w:sectPr>
          <w:footerReference w:type="default" r:id="rId100"/>
          <w:pgSz w:w="11910" w:h="16840"/>
          <w:pgMar w:footer="974" w:header="0" w:top="1080" w:bottom="1160" w:left="1280" w:right="1260"/>
        </w:sectPr>
      </w:pPr>
    </w:p>
    <w:p>
      <w:pPr>
        <w:pStyle w:val="BodyText"/>
        <w:spacing w:line="240" w:lineRule="auto" w:before="70"/>
        <w:ind w:left="138" w:right="0"/>
        <w:jc w:val="left"/>
        <w:rPr>
          <w:rFonts w:ascii="宋体" w:hAnsi="宋体" w:cs="宋体" w:eastAsia="宋体" w:hint="default"/>
        </w:rPr>
      </w:pPr>
      <w:r>
        <w:rPr/>
        <w:t>团向中远海运集团出租特定资产。</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作</w:t>
      </w:r>
      <w:r>
        <w:rPr>
          <w:spacing w:val="-3"/>
          <w:w w:val="100"/>
        </w:rPr>
        <w:t>为</w:t>
      </w:r>
      <w:r>
        <w:rPr>
          <w:w w:val="100"/>
        </w:rPr>
        <w:t>承</w:t>
      </w:r>
      <w:r>
        <w:rPr>
          <w:spacing w:val="-3"/>
          <w:w w:val="100"/>
        </w:rPr>
        <w:t>租</w:t>
      </w:r>
      <w:r>
        <w:rPr>
          <w:w w:val="100"/>
        </w:rPr>
        <w:t>方</w:t>
      </w:r>
      <w:r>
        <w:rPr>
          <w:spacing w:val="-3"/>
          <w:w w:val="100"/>
        </w:rPr>
        <w:t>：</w:t>
      </w:r>
      <w:r>
        <w:rPr>
          <w:rFonts w:ascii="宋体" w:hAnsi="宋体" w:cs="宋体" w:eastAsia="宋体" w:hint="default"/>
          <w:w w:val="100"/>
        </w:rPr>
        <w:t> </w:t>
      </w:r>
    </w:p>
    <w:p>
      <w:pPr>
        <w:pStyle w:val="Heading3"/>
        <w:spacing w:line="304"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90" w:val="left" w:leader="none"/>
        </w:tabs>
        <w:spacing w:line="240" w:lineRule="auto" w:before="163"/>
        <w:ind w:left="138" w:right="0"/>
        <w:jc w:val="left"/>
      </w:pPr>
      <w:r>
        <w:rPr>
          <w:spacing w:val="-1"/>
        </w:rPr>
        <w:t>单位：元</w:t>
        <w:tab/>
        <w:t>币种：人民币</w:t>
      </w:r>
    </w:p>
    <w:p>
      <w:pPr>
        <w:spacing w:after="0" w:line="240" w:lineRule="auto"/>
        <w:jc w:val="left"/>
        <w:sectPr>
          <w:type w:val="continuous"/>
          <w:pgSz w:w="11910" w:h="16840"/>
          <w:pgMar w:top="1120" w:bottom="1160" w:left="1280" w:right="1260"/>
          <w:cols w:num="2" w:equalWidth="0">
            <w:col w:w="3397" w:space="3363"/>
            <w:col w:w="261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14"/>
        <w:gridCol w:w="2753"/>
        <w:gridCol w:w="2412"/>
        <w:gridCol w:w="2153"/>
      </w:tblGrid>
      <w:tr>
        <w:trPr>
          <w:trHeight w:val="320"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6"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9"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0"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0"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青岛港集团</w:t>
            </w:r>
            <w:r>
              <w:rPr>
                <w:rFonts w:ascii="Times New Roman" w:hAnsi="Times New Roman" w:cs="Times New Roman" w:eastAsia="Times New Roman" w:hint="default"/>
                <w:sz w:val="21"/>
                <w:szCs w:val="21"/>
              </w:rPr>
              <w:t>*</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74,248,448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80,091,498</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QQCTU</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20,005,465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3,322,636</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港投集团</w:t>
            </w:r>
            <w:r>
              <w:rPr>
                <w:rFonts w:ascii="Times New Roman" w:hAnsi="Times New Roman" w:cs="Times New Roman" w:eastAsia="Times New Roman" w:hint="default"/>
                <w:sz w:val="21"/>
                <w:szCs w:val="21"/>
              </w:rPr>
              <w:t>*</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18,847,617</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8,705,811</w:t>
            </w:r>
          </w:p>
        </w:tc>
      </w:tr>
      <w:tr>
        <w:trPr>
          <w:trHeight w:val="28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QQCTN</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8,389,295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14,557,335</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房屋建筑物、库场设施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8,180,998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9,707,470</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QQCT</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1,956,863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1,225,517</w:t>
            </w:r>
          </w:p>
        </w:tc>
      </w:tr>
      <w:tr>
        <w:trPr>
          <w:trHeight w:val="55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其他青岛港集团下</w:t>
            </w:r>
          </w:p>
          <w:p>
            <w:pPr>
              <w:pStyle w:val="TableParagraph"/>
              <w:spacing w:line="28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属公司</w:t>
            </w:r>
            <w:r>
              <w:rPr>
                <w:rFonts w:ascii="Times New Roman" w:hAnsi="Times New Roman" w:cs="Times New Roman" w:eastAsia="Times New Roman" w:hint="default"/>
                <w:sz w:val="21"/>
                <w:szCs w:val="21"/>
              </w:rPr>
              <w:t>*</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1,229,012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753,143</w:t>
            </w:r>
          </w:p>
        </w:tc>
      </w:tr>
      <w:tr>
        <w:trPr>
          <w:trHeight w:val="55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房屋建筑物、库场设施、机器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1,516,545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1,784,370</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53"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134,374,243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120,147,780</w:t>
            </w:r>
          </w:p>
        </w:tc>
      </w:tr>
      <w:tr>
        <w:trPr>
          <w:trHeight w:val="1100"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3"/>
                <w:sz w:val="21"/>
                <w:szCs w:val="21"/>
              </w:rPr>
              <w:t>青港租赁公司</w:t>
            </w:r>
            <w:r>
              <w:rPr>
                <w:rFonts w:ascii="宋体" w:hAnsi="宋体" w:cs="宋体" w:eastAsia="宋体" w:hint="default"/>
                <w:sz w:val="21"/>
                <w:szCs w:val="21"/>
              </w:rPr>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本集团作为承租方当期租入</w:t>
            </w:r>
          </w:p>
          <w:p>
            <w:pPr>
              <w:pStyle w:val="TableParagraph"/>
              <w:spacing w:line="230" w:lineRule="auto"/>
              <w:ind w:left="23" w:right="-15"/>
              <w:jc w:val="both"/>
              <w:rPr>
                <w:rFonts w:ascii="宋体" w:hAnsi="宋体" w:cs="宋体" w:eastAsia="宋体" w:hint="default"/>
                <w:sz w:val="21"/>
                <w:szCs w:val="21"/>
              </w:rPr>
            </w:pPr>
            <w:r>
              <w:rPr>
                <w:rFonts w:ascii="宋体" w:hAnsi="宋体" w:cs="宋体" w:eastAsia="宋体" w:hint="default"/>
                <w:spacing w:val="5"/>
                <w:sz w:val="21"/>
                <w:szCs w:val="21"/>
              </w:rPr>
              <w:t>的使用权资产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港务设施、机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器设备、房屋建筑物、船舶、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装卸搬运设备、库场设施</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1"/>
              <w:jc w:val="right"/>
              <w:rPr>
                <w:rFonts w:ascii="Times New Roman" w:hAnsi="Times New Roman" w:cs="Times New Roman" w:eastAsia="Times New Roman" w:hint="default"/>
                <w:sz w:val="21"/>
                <w:szCs w:val="21"/>
              </w:rPr>
            </w:pPr>
            <w:r>
              <w:rPr>
                <w:rFonts w:ascii="Times New Roman"/>
                <w:spacing w:val="-1"/>
                <w:sz w:val="21"/>
              </w:rPr>
              <w:t>8,530,293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2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55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pacing w:val="3"/>
                <w:sz w:val="21"/>
                <w:szCs w:val="21"/>
              </w:rPr>
              <w:t>青港租赁公司</w:t>
            </w:r>
            <w:r>
              <w:rPr>
                <w:rFonts w:ascii="宋体" w:hAnsi="宋体" w:cs="宋体" w:eastAsia="宋体" w:hint="default"/>
                <w:sz w:val="21"/>
                <w:szCs w:val="21"/>
              </w:rPr>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2"/>
                <w:sz w:val="21"/>
                <w:szCs w:val="21"/>
              </w:rPr>
              <w:t>本公司作为承租方当期承担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的租赁负债利息支出</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30,776,489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283"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53"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170,841,013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120,147,780</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69"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Heading3"/>
        <w:spacing w:line="310"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10" w:h="16840"/>
          <w:pgMar w:top="1120" w:bottom="1160" w:left="1280" w:right="12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328" w:lineRule="auto" w:before="36"/>
        <w:ind w:right="276" w:firstLine="480"/>
        <w:jc w:val="left"/>
        <w:rPr>
          <w:rFonts w:ascii="宋体" w:hAnsi="宋体" w:cs="宋体" w:eastAsia="宋体" w:hint="default"/>
          <w:sz w:val="24"/>
          <w:szCs w:val="24"/>
        </w:rPr>
      </w:pPr>
      <w:r>
        <w:rPr>
          <w:rFonts w:ascii="Arial" w:hAnsi="Arial" w:cs="Arial" w:eastAsia="Arial" w:hint="default"/>
        </w:rPr>
        <w:t>*</w:t>
      </w:r>
      <w:r>
        <w:rPr/>
        <w:t>该等交易为已符合香港联合交易所证券上市规则第</w:t>
      </w:r>
      <w:r>
        <w:rPr>
          <w:spacing w:val="-57"/>
        </w:rPr>
        <w:t> </w:t>
      </w:r>
      <w:r>
        <w:rPr>
          <w:rFonts w:ascii="Arial" w:hAnsi="Arial" w:cs="Arial" w:eastAsia="Arial" w:hint="default"/>
        </w:rPr>
        <w:t>14A</w:t>
      </w:r>
      <w:r>
        <w:rPr>
          <w:rFonts w:ascii="Arial" w:hAnsi="Arial" w:cs="Arial" w:eastAsia="Arial" w:hint="default"/>
          <w:spacing w:val="-10"/>
        </w:rPr>
        <w:t> </w:t>
      </w:r>
      <w:r>
        <w:rPr/>
        <w:t>章的披露规定之持续关连交易，系本</w:t>
      </w:r>
      <w:r>
        <w:rPr>
          <w:w w:val="100"/>
        </w:rPr>
        <w:t> </w:t>
      </w:r>
      <w:r>
        <w:rPr/>
        <w:t>集团自青岛港集团租赁土地、楼宇及设备。</w:t>
      </w:r>
      <w:r>
        <w:rPr>
          <w:rFonts w:ascii="宋体" w:hAnsi="宋体" w:cs="宋体" w:eastAsia="宋体" w:hint="default"/>
          <w:sz w:val="24"/>
          <w:szCs w:val="24"/>
        </w:rPr>
        <w:t> </w:t>
      </w:r>
    </w:p>
    <w:p>
      <w:pPr>
        <w:spacing w:line="290" w:lineRule="auto" w:before="0"/>
        <w:ind w:left="218" w:right="646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5"/>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73" w:lineRule="exact"/>
        <w:ind w:right="0"/>
        <w:jc w:val="left"/>
        <w:rPr>
          <w:rFonts w:ascii="宋体" w:hAnsi="宋体" w:cs="宋体" w:eastAsia="宋体" w:hint="default"/>
        </w:rPr>
      </w:pPr>
      <w:r>
        <w:rPr/>
        <w:t>本公司作为被担保方</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70" w:lineRule="exact"/>
        <w:ind w:right="0"/>
        <w:jc w:val="left"/>
        <w:rPr>
          <w:rFonts w:ascii="宋体" w:hAnsi="宋体" w:cs="宋体" w:eastAsia="宋体" w:hint="default"/>
        </w:rPr>
      </w:pPr>
      <w:r>
        <w:rPr/>
        <w:t>关联担保情况说明</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01"/>
          <w:pgSz w:w="11910" w:h="16840"/>
          <w:pgMar w:footer="974" w:header="0" w:top="1080" w:bottom="1160" w:left="1200" w:right="1180"/>
          <w:pgNumType w:start="221"/>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6"/>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160" w:left="1200" w:right="1180"/>
          <w:cols w:num="2" w:equalWidth="0">
            <w:col w:w="2286" w:space="4474"/>
            <w:col w:w="2770"/>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42"/>
        <w:gridCol w:w="2048"/>
        <w:gridCol w:w="1743"/>
        <w:gridCol w:w="1766"/>
        <w:gridCol w:w="1688"/>
      </w:tblGrid>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92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2019/1/30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2019/2/14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2019/2/18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2019/3/20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2019/3/26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2019/7/25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2019/8/9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2019/8/16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2019/9/26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2019/11/19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2019/11/19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12,075,000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2020/3/22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12,040,000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2019/10/10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2020/1/8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48,520,000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2019/10/22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2019/12/26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2019/11/26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青港商业保理</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2020/1/19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438,335,000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281" w:hRule="exact"/>
        </w:trPr>
        <w:tc>
          <w:tcPr>
            <w:tcW w:w="92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2020/4/15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2020/5/15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2020/6/13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2020/6/27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2020/9/24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2019/10/30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2020/10/29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2020/11/24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QDOT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2020/12/4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2019/5/28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2020/5/27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20,323,360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2019/7/31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2024/7/30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39,948,100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2024/9/9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46,682,541</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2019/9/10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2024/9/9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2019/11/1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2024/10/31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9,418,100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2019/11/29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2020/11/28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042"/>
        <w:gridCol w:w="2048"/>
        <w:gridCol w:w="1743"/>
        <w:gridCol w:w="1766"/>
        <w:gridCol w:w="1688"/>
      </w:tblGrid>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4,234,700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2020/12/11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12,112,260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2022/12/26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QQCTN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19,166,309</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2019/12/27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2022/12/26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2019/3/28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2022/3/27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2022/5/15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2019/6/14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2022/6/13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2019/7/16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2022/7/15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2019/8/15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2022/8/14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2019/9/12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2022/9/11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2019/10/15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2022/10/14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2019/11/15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2022/11/14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QQCTUA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2019/12/16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2022/12/15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西联</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2019/5/30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2020/5/29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西联</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2019/5/30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2020/5/29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西联</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2019/9/25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2020/9/24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1,315,885,370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auto" w:before="42"/>
        <w:ind w:left="638" w:right="0"/>
        <w:jc w:val="left"/>
      </w:pPr>
      <w:r>
        <w:rPr/>
        <w:t>上述借款到期日为合同约定的最终到期日。</w:t>
      </w:r>
    </w:p>
    <w:p>
      <w:pPr>
        <w:spacing w:line="240" w:lineRule="auto" w:before="13"/>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3219"/>
        <w:gridCol w:w="372"/>
        <w:gridCol w:w="2847"/>
        <w:gridCol w:w="1109"/>
        <w:gridCol w:w="1741"/>
      </w:tblGrid>
      <w:tr>
        <w:trPr>
          <w:trHeight w:val="675"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40" w:lineRule="auto" w:before="58"/>
              <w:ind w:left="107"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5696" w:type="dxa"/>
            <w:gridSpan w:val="3"/>
            <w:vMerge w:val="restart"/>
            <w:tcBorders>
              <w:top w:val="nil" w:sz="6" w:space="0" w:color="auto"/>
              <w:left w:val="nil" w:sz="6" w:space="0" w:color="auto"/>
              <w:right w:val="nil" w:sz="6" w:space="0" w:color="auto"/>
            </w:tcBorders>
          </w:tcPr>
          <w:p>
            <w:pPr/>
          </w:p>
        </w:tc>
      </w:tr>
      <w:tr>
        <w:trPr>
          <w:trHeight w:val="302"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c>
          <w:tcPr>
            <w:tcW w:w="5696" w:type="dxa"/>
            <w:gridSpan w:val="3"/>
            <w:vMerge/>
            <w:tcBorders>
              <w:left w:val="nil" w:sz="6" w:space="0" w:color="auto"/>
              <w:right w:val="nil" w:sz="6" w:space="0" w:color="auto"/>
            </w:tcBorders>
          </w:tcPr>
          <w:p>
            <w:pPr/>
          </w:p>
        </w:tc>
      </w:tr>
      <w:tr>
        <w:trPr>
          <w:trHeight w:val="332"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45"/>
                <w:sz w:val="21"/>
                <w:szCs w:val="21"/>
              </w:rPr>
              <w:t> </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96" w:type="dxa"/>
            <w:gridSpan w:val="3"/>
            <w:vMerge/>
            <w:tcBorders>
              <w:left w:val="nil" w:sz="6" w:space="0" w:color="auto"/>
              <w:right w:val="nil" w:sz="6" w:space="0" w:color="auto"/>
            </w:tcBorders>
          </w:tcPr>
          <w:p>
            <w:pPr/>
          </w:p>
        </w:tc>
      </w:tr>
      <w:tr>
        <w:trPr>
          <w:trHeight w:val="304"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5696" w:type="dxa"/>
            <w:gridSpan w:val="3"/>
            <w:vMerge/>
            <w:tcBorders>
              <w:left w:val="nil" w:sz="6" w:space="0" w:color="auto"/>
              <w:bottom w:val="nil" w:sz="6" w:space="0" w:color="auto"/>
              <w:right w:val="nil" w:sz="6" w:space="0" w:color="auto"/>
            </w:tcBorders>
          </w:tcPr>
          <w:p>
            <w:pPr/>
          </w:p>
        </w:tc>
      </w:tr>
      <w:tr>
        <w:trPr>
          <w:trHeight w:val="314" w:hRule="exact"/>
        </w:trPr>
        <w:tc>
          <w:tcPr>
            <w:tcW w:w="3591" w:type="dxa"/>
            <w:gridSpan w:val="2"/>
            <w:tcBorders>
              <w:top w:val="nil" w:sz="6" w:space="0" w:color="auto"/>
              <w:left w:val="nil" w:sz="6" w:space="0" w:color="auto"/>
              <w:bottom w:val="single" w:sz="4" w:space="0" w:color="000000"/>
              <w:right w:val="nil" w:sz="6" w:space="0" w:color="auto"/>
            </w:tcBorders>
          </w:tcPr>
          <w:p>
            <w:pPr/>
          </w:p>
        </w:tc>
        <w:tc>
          <w:tcPr>
            <w:tcW w:w="3956" w:type="dxa"/>
            <w:gridSpan w:val="2"/>
            <w:tcBorders>
              <w:top w:val="nil" w:sz="6" w:space="0" w:color="auto"/>
              <w:left w:val="nil" w:sz="6" w:space="0" w:color="auto"/>
              <w:bottom w:val="single" w:sz="4" w:space="0" w:color="000000"/>
              <w:right w:val="nil" w:sz="6" w:space="0" w:color="auto"/>
            </w:tcBorders>
          </w:tcPr>
          <w:p>
            <w:pPr>
              <w:pStyle w:val="TableParagraph"/>
              <w:spacing w:line="273" w:lineRule="exact"/>
              <w:ind w:right="47"/>
              <w:jc w:val="right"/>
              <w:rPr>
                <w:rFonts w:ascii="宋体" w:hAnsi="宋体" w:cs="宋体" w:eastAsia="宋体" w:hint="default"/>
                <w:sz w:val="24"/>
                <w:szCs w:val="24"/>
              </w:rPr>
            </w:pPr>
            <w:r>
              <w:rPr>
                <w:rFonts w:ascii="宋体" w:hAnsi="宋体" w:cs="宋体" w:eastAsia="宋体" w:hint="default"/>
                <w:sz w:val="24"/>
                <w:szCs w:val="24"/>
              </w:rPr>
              <w:t>单位：元</w:t>
            </w:r>
          </w:p>
        </w:tc>
        <w:tc>
          <w:tcPr>
            <w:tcW w:w="1741" w:type="dxa"/>
            <w:tcBorders>
              <w:top w:val="nil" w:sz="6" w:space="0" w:color="auto"/>
              <w:left w:val="nil" w:sz="6" w:space="0" w:color="auto"/>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4"/>
                <w:szCs w:val="24"/>
              </w:rPr>
            </w:pPr>
            <w:r>
              <w:rPr>
                <w:rFonts w:ascii="宋体" w:hAnsi="宋体" w:cs="宋体" w:eastAsia="宋体" w:hint="default"/>
                <w:sz w:val="24"/>
                <w:szCs w:val="24"/>
              </w:rPr>
              <w:t>币种：人民币</w:t>
            </w: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72" w:type="dxa"/>
            <w:tcBorders>
              <w:top w:val="single" w:sz="4" w:space="0" w:color="000000"/>
              <w:left w:val="single" w:sz="4" w:space="0" w:color="000000"/>
              <w:bottom w:val="single" w:sz="4" w:space="0" w:color="000000"/>
              <w:right w:val="nil" w:sz="6" w:space="0" w:color="auto"/>
            </w:tcBorders>
          </w:tcPr>
          <w:p>
            <w:pPr/>
          </w:p>
        </w:tc>
        <w:tc>
          <w:tcPr>
            <w:tcW w:w="284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8"/>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r>
              <w:rPr>
                <w:rFonts w:ascii="宋体" w:hAnsi="宋体" w:cs="宋体" w:eastAsia="宋体" w:hint="default"/>
                <w:sz w:val="21"/>
                <w:szCs w:val="21"/>
              </w:rPr>
              <w:t> </w:t>
            </w:r>
          </w:p>
        </w:tc>
        <w:tc>
          <w:tcPr>
            <w:tcW w:w="372" w:type="dxa"/>
            <w:tcBorders>
              <w:top w:val="single" w:sz="4" w:space="0" w:color="000000"/>
              <w:left w:val="single" w:sz="4" w:space="0" w:color="000000"/>
              <w:bottom w:val="single" w:sz="4" w:space="0" w:color="000000"/>
              <w:right w:val="nil" w:sz="6" w:space="0" w:color="auto"/>
            </w:tcBorders>
          </w:tcPr>
          <w:p>
            <w:pPr/>
          </w:p>
        </w:tc>
        <w:tc>
          <w:tcPr>
            <w:tcW w:w="284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9,483,727</w:t>
            </w:r>
          </w:p>
        </w:tc>
        <w:tc>
          <w:tcPr>
            <w:tcW w:w="1109" w:type="dxa"/>
            <w:tcBorders>
              <w:top w:val="single" w:sz="4" w:space="0" w:color="000000"/>
              <w:left w:val="single" w:sz="4" w:space="0" w:color="000000"/>
              <w:bottom w:val="single" w:sz="4" w:space="0" w:color="000000"/>
              <w:right w:val="nil" w:sz="6" w:space="0" w:color="auto"/>
            </w:tcBorders>
          </w:tcPr>
          <w:p>
            <w:pPr/>
          </w:p>
        </w:tc>
        <w:tc>
          <w:tcPr>
            <w:tcW w:w="174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8,354,532</w:t>
            </w:r>
          </w:p>
        </w:tc>
      </w:tr>
      <w:tr>
        <w:trPr>
          <w:trHeight w:val="341" w:hRule="exact"/>
        </w:trPr>
        <w:tc>
          <w:tcPr>
            <w:tcW w:w="3591" w:type="dxa"/>
            <w:gridSpan w:val="2"/>
            <w:tcBorders>
              <w:top w:val="single" w:sz="4" w:space="0" w:color="000000"/>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4"/>
                <w:szCs w:val="24"/>
              </w:rPr>
            </w:pPr>
            <w:r>
              <w:rPr>
                <w:rFonts w:ascii="宋体"/>
                <w:sz w:val="24"/>
              </w:rPr>
              <w:t> </w:t>
            </w:r>
          </w:p>
        </w:tc>
        <w:tc>
          <w:tcPr>
            <w:tcW w:w="3956" w:type="dxa"/>
            <w:gridSpan w:val="2"/>
            <w:tcBorders>
              <w:top w:val="single" w:sz="4" w:space="0" w:color="000000"/>
              <w:left w:val="nil" w:sz="6" w:space="0" w:color="auto"/>
              <w:bottom w:val="nil" w:sz="6" w:space="0" w:color="auto"/>
              <w:right w:val="nil" w:sz="6" w:space="0" w:color="auto"/>
            </w:tcBorders>
          </w:tcPr>
          <w:p>
            <w:pPr/>
          </w:p>
        </w:tc>
        <w:tc>
          <w:tcPr>
            <w:tcW w:w="1741" w:type="dxa"/>
            <w:tcBorders>
              <w:top w:val="single" w:sz="4" w:space="0" w:color="000000"/>
              <w:left w:val="nil" w:sz="6" w:space="0" w:color="auto"/>
              <w:bottom w:val="nil" w:sz="6" w:space="0" w:color="auto"/>
              <w:right w:val="nil" w:sz="6" w:space="0" w:color="auto"/>
            </w:tcBorders>
          </w:tcPr>
          <w:p>
            <w:pPr/>
          </w:p>
        </w:tc>
      </w:tr>
      <w:tr>
        <w:trPr>
          <w:trHeight w:val="337"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46"/>
                <w:sz w:val="21"/>
                <w:szCs w:val="21"/>
              </w:rPr>
              <w:t> </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56" w:type="dxa"/>
            <w:gridSpan w:val="2"/>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336"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303" w:lineRule="exact"/>
              <w:ind w:left="107" w:right="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tc>
        <w:tc>
          <w:tcPr>
            <w:tcW w:w="3956" w:type="dxa"/>
            <w:gridSpan w:val="2"/>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282" w:hRule="exact"/>
        </w:trPr>
        <w:tc>
          <w:tcPr>
            <w:tcW w:w="3591" w:type="dxa"/>
            <w:gridSpan w:val="2"/>
            <w:tcBorders>
              <w:top w:val="nil" w:sz="6" w:space="0" w:color="auto"/>
              <w:left w:val="nil" w:sz="6" w:space="0" w:color="auto"/>
              <w:bottom w:val="nil" w:sz="6" w:space="0" w:color="auto"/>
              <w:right w:val="nil" w:sz="6" w:space="0" w:color="auto"/>
            </w:tcBorders>
          </w:tcPr>
          <w:p>
            <w:pPr/>
          </w:p>
        </w:tc>
        <w:tc>
          <w:tcPr>
            <w:tcW w:w="3956" w:type="dxa"/>
            <w:gridSpan w:val="2"/>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4" w:lineRule="exact"/>
              <w:ind w:left="71" w:right="0"/>
              <w:jc w:val="left"/>
              <w:rPr>
                <w:rFonts w:ascii="宋体" w:hAnsi="宋体" w:cs="宋体" w:eastAsia="宋体" w:hint="default"/>
                <w:sz w:val="21"/>
                <w:szCs w:val="21"/>
              </w:rPr>
            </w:pPr>
            <w:r>
              <w:rPr>
                <w:rFonts w:ascii="宋体" w:hAnsi="宋体" w:cs="宋体" w:eastAsia="宋体" w:hint="default"/>
                <w:sz w:val="21"/>
                <w:szCs w:val="21"/>
              </w:rPr>
              <w:t>单位：元</w:t>
            </w:r>
          </w:p>
        </w:tc>
      </w:tr>
      <w:tr>
        <w:trPr>
          <w:trHeight w:val="431"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65" w:lineRule="exact"/>
              <w:ind w:left="2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w:t>
            </w:r>
            <w:r>
              <w:rPr>
                <w:rFonts w:ascii="宋体" w:hAnsi="宋体" w:cs="宋体" w:eastAsia="宋体" w:hint="default"/>
                <w:sz w:val="21"/>
                <w:szCs w:val="21"/>
              </w:rPr>
              <w:t>）借款及融资租赁业务利息收入</w:t>
            </w:r>
            <w:r>
              <w:rPr>
                <w:rFonts w:ascii="Times New Roman" w:hAnsi="Times New Roman" w:cs="Times New Roman" w:eastAsia="Times New Roman" w:hint="default"/>
                <w:sz w:val="21"/>
                <w:szCs w:val="21"/>
              </w:rPr>
              <w:t>-</w:t>
            </w:r>
          </w:p>
        </w:tc>
        <w:tc>
          <w:tcPr>
            <w:tcW w:w="3956" w:type="dxa"/>
            <w:gridSpan w:val="2"/>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
        </w:tc>
      </w:tr>
      <w:tr>
        <w:trPr>
          <w:trHeight w:val="566" w:hRule="exact"/>
        </w:trPr>
        <w:tc>
          <w:tcPr>
            <w:tcW w:w="3591" w:type="dxa"/>
            <w:gridSpan w:val="2"/>
            <w:tcBorders>
              <w:top w:val="nil" w:sz="6" w:space="0" w:color="auto"/>
              <w:left w:val="nil" w:sz="6" w:space="0" w:color="auto"/>
              <w:bottom w:val="nil" w:sz="6" w:space="0" w:color="auto"/>
              <w:right w:val="nil" w:sz="6" w:space="0" w:color="auto"/>
            </w:tcBorders>
          </w:tcPr>
          <w:p>
            <w:pP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2582" w:right="0"/>
              <w:jc w:val="left"/>
              <w:rPr>
                <w:rFonts w:ascii="宋体" w:hAnsi="宋体" w:cs="宋体" w:eastAsia="宋体" w:hint="default"/>
                <w:sz w:val="21"/>
                <w:szCs w:val="21"/>
              </w:rPr>
            </w:pPr>
            <w:bookmarkStart w:name="RANGE!C323" w:id="27"/>
            <w:bookmarkEnd w:id="27"/>
            <w:r>
              <w:rPr/>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27"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201"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2"/>
              <w:ind w:left="2529" w:right="0"/>
              <w:jc w:val="left"/>
              <w:rPr>
                <w:rFonts w:ascii="Times New Roman" w:hAnsi="Times New Roman" w:cs="Times New Roman" w:eastAsia="Times New Roman" w:hint="default"/>
                <w:sz w:val="21"/>
                <w:szCs w:val="21"/>
              </w:rPr>
            </w:pPr>
            <w:r>
              <w:rPr>
                <w:rFonts w:ascii="Times New Roman"/>
                <w:sz w:val="21"/>
              </w:rPr>
              <w:t>53,015,911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53" w:right="0"/>
              <w:jc w:val="left"/>
              <w:rPr>
                <w:rFonts w:ascii="Times New Roman" w:hAnsi="Times New Roman" w:cs="Times New Roman" w:eastAsia="Times New Roman" w:hint="default"/>
                <w:sz w:val="21"/>
                <w:szCs w:val="21"/>
              </w:rPr>
            </w:pPr>
            <w:r>
              <w:rPr>
                <w:rFonts w:ascii="Times New Roman"/>
                <w:sz w:val="21"/>
              </w:rPr>
              <w:t>42,982,134</w:t>
            </w:r>
          </w:p>
        </w:tc>
      </w:tr>
      <w:tr>
        <w:trPr>
          <w:trHeight w:val="286"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01" w:right="0"/>
              <w:jc w:val="left"/>
              <w:rPr>
                <w:rFonts w:ascii="Times New Roman" w:hAnsi="Times New Roman" w:cs="Times New Roman" w:eastAsia="Times New Roman" w:hint="default"/>
                <w:sz w:val="21"/>
                <w:szCs w:val="21"/>
              </w:rPr>
            </w:pPr>
            <w:r>
              <w:rPr>
                <w:rFonts w:ascii="Times New Roman"/>
                <w:sz w:val="21"/>
              </w:rPr>
              <w:t>QQCTN</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529" w:right="0"/>
              <w:jc w:val="left"/>
              <w:rPr>
                <w:rFonts w:ascii="Times New Roman" w:hAnsi="Times New Roman" w:cs="Times New Roman" w:eastAsia="Times New Roman" w:hint="default"/>
                <w:sz w:val="21"/>
                <w:szCs w:val="21"/>
              </w:rPr>
            </w:pPr>
            <w:r>
              <w:rPr>
                <w:rFonts w:ascii="Times New Roman"/>
                <w:sz w:val="21"/>
              </w:rPr>
              <w:t>31,182,783</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left"/>
              <w:rPr>
                <w:rFonts w:ascii="Times New Roman" w:hAnsi="Times New Roman" w:cs="Times New Roman" w:eastAsia="Times New Roman" w:hint="default"/>
                <w:sz w:val="21"/>
                <w:szCs w:val="21"/>
              </w:rPr>
            </w:pPr>
            <w:r>
              <w:rPr>
                <w:rFonts w:ascii="Times New Roman"/>
                <w:sz w:val="21"/>
              </w:rPr>
              <w:t>65,279,595</w:t>
            </w:r>
          </w:p>
        </w:tc>
      </w:tr>
      <w:tr>
        <w:trPr>
          <w:trHeight w:val="284"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01" w:right="0"/>
              <w:jc w:val="left"/>
              <w:rPr>
                <w:rFonts w:ascii="Times New Roman" w:hAnsi="Times New Roman" w:cs="Times New Roman" w:eastAsia="Times New Roman" w:hint="default"/>
                <w:sz w:val="21"/>
                <w:szCs w:val="21"/>
              </w:rPr>
            </w:pPr>
            <w:r>
              <w:rPr>
                <w:rFonts w:ascii="Times New Roman"/>
                <w:sz w:val="21"/>
              </w:rPr>
              <w:t>QQCTU</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529" w:right="0"/>
              <w:jc w:val="left"/>
              <w:rPr>
                <w:rFonts w:ascii="Times New Roman" w:hAnsi="Times New Roman" w:cs="Times New Roman" w:eastAsia="Times New Roman" w:hint="default"/>
                <w:sz w:val="21"/>
                <w:szCs w:val="21"/>
              </w:rPr>
            </w:pPr>
            <w:r>
              <w:rPr>
                <w:rFonts w:ascii="Times New Roman"/>
                <w:sz w:val="21"/>
              </w:rPr>
              <w:t>11,893,821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left"/>
              <w:rPr>
                <w:rFonts w:ascii="Times New Roman" w:hAnsi="Times New Roman" w:cs="Times New Roman" w:eastAsia="Times New Roman" w:hint="default"/>
                <w:sz w:val="21"/>
                <w:szCs w:val="21"/>
              </w:rPr>
            </w:pPr>
            <w:r>
              <w:rPr>
                <w:rFonts w:ascii="Times New Roman"/>
                <w:sz w:val="21"/>
              </w:rPr>
              <w:t>28,982,429</w:t>
            </w:r>
          </w:p>
        </w:tc>
      </w:tr>
      <w:tr>
        <w:trPr>
          <w:trHeight w:val="284"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01" w:right="0"/>
              <w:jc w:val="left"/>
              <w:rPr>
                <w:rFonts w:ascii="Times New Roman" w:hAnsi="Times New Roman" w:cs="Times New Roman" w:eastAsia="Times New Roman" w:hint="default"/>
                <w:sz w:val="21"/>
                <w:szCs w:val="21"/>
              </w:rPr>
            </w:pPr>
            <w:r>
              <w:rPr>
                <w:rFonts w:ascii="Times New Roman"/>
                <w:sz w:val="21"/>
              </w:rPr>
              <w:t>QQCT</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2529" w:right="0"/>
              <w:jc w:val="left"/>
              <w:rPr>
                <w:rFonts w:ascii="Times New Roman" w:hAnsi="Times New Roman" w:cs="Times New Roman" w:eastAsia="Times New Roman" w:hint="default"/>
                <w:sz w:val="21"/>
                <w:szCs w:val="21"/>
              </w:rPr>
            </w:pPr>
            <w:r>
              <w:rPr>
                <w:rFonts w:ascii="Times New Roman"/>
                <w:sz w:val="21"/>
              </w:rPr>
              <w:t>10,086,281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3" w:right="0"/>
              <w:jc w:val="left"/>
              <w:rPr>
                <w:rFonts w:ascii="Times New Roman" w:hAnsi="Times New Roman" w:cs="Times New Roman" w:eastAsia="Times New Roman" w:hint="default"/>
                <w:sz w:val="21"/>
                <w:szCs w:val="21"/>
              </w:rPr>
            </w:pPr>
            <w:r>
              <w:rPr>
                <w:rFonts w:ascii="Times New Roman"/>
                <w:sz w:val="21"/>
              </w:rPr>
              <w:t>17,350,694</w:t>
            </w:r>
          </w:p>
        </w:tc>
      </w:tr>
      <w:tr>
        <w:trPr>
          <w:trHeight w:val="282"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01" w:right="0"/>
              <w:jc w:val="left"/>
              <w:rPr>
                <w:rFonts w:ascii="Times New Roman" w:hAnsi="Times New Roman" w:cs="Times New Roman" w:eastAsia="Times New Roman" w:hint="default"/>
                <w:sz w:val="21"/>
                <w:szCs w:val="21"/>
              </w:rPr>
            </w:pPr>
            <w:r>
              <w:rPr>
                <w:rFonts w:ascii="Times New Roman"/>
                <w:sz w:val="21"/>
              </w:rPr>
              <w:t>QDOT</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635" w:right="0"/>
              <w:jc w:val="left"/>
              <w:rPr>
                <w:rFonts w:ascii="Times New Roman" w:hAnsi="Times New Roman" w:cs="Times New Roman" w:eastAsia="Times New Roman" w:hint="default"/>
                <w:sz w:val="21"/>
                <w:szCs w:val="21"/>
              </w:rPr>
            </w:pPr>
            <w:r>
              <w:rPr>
                <w:rFonts w:ascii="Times New Roman"/>
                <w:sz w:val="21"/>
              </w:rPr>
              <w:t>4,392,178</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left"/>
              <w:rPr>
                <w:rFonts w:ascii="Times New Roman" w:hAnsi="Times New Roman" w:cs="Times New Roman" w:eastAsia="Times New Roman" w:hint="default"/>
                <w:sz w:val="21"/>
                <w:szCs w:val="21"/>
              </w:rPr>
            </w:pPr>
            <w:r>
              <w:rPr>
                <w:rFonts w:ascii="Times New Roman"/>
                <w:sz w:val="21"/>
              </w:rPr>
              <w:t>23,638,081</w:t>
            </w:r>
          </w:p>
        </w:tc>
      </w:tr>
      <w:tr>
        <w:trPr>
          <w:trHeight w:val="286"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1"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2635" w:right="0"/>
              <w:jc w:val="left"/>
              <w:rPr>
                <w:rFonts w:ascii="Times New Roman" w:hAnsi="Times New Roman" w:cs="Times New Roman" w:eastAsia="Times New Roman" w:hint="default"/>
                <w:sz w:val="21"/>
                <w:szCs w:val="21"/>
              </w:rPr>
            </w:pPr>
            <w:r>
              <w:rPr>
                <w:rFonts w:ascii="Times New Roman"/>
                <w:sz w:val="21"/>
              </w:rPr>
              <w:t>4,221,687</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9" w:right="0"/>
              <w:jc w:val="left"/>
              <w:rPr>
                <w:rFonts w:ascii="Times New Roman" w:hAnsi="Times New Roman" w:cs="Times New Roman" w:eastAsia="Times New Roman" w:hint="default"/>
                <w:sz w:val="21"/>
                <w:szCs w:val="21"/>
              </w:rPr>
            </w:pPr>
            <w:r>
              <w:rPr>
                <w:rFonts w:ascii="Times New Roman"/>
                <w:sz w:val="21"/>
              </w:rPr>
              <w:t>8,742,307</w:t>
            </w:r>
          </w:p>
        </w:tc>
      </w:tr>
      <w:tr>
        <w:trPr>
          <w:trHeight w:val="289"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201"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3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right="477"/>
              <w:jc w:val="right"/>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9" w:right="0"/>
              <w:jc w:val="left"/>
              <w:rPr>
                <w:rFonts w:ascii="Times New Roman" w:hAnsi="Times New Roman" w:cs="Times New Roman" w:eastAsia="Times New Roman" w:hint="default"/>
                <w:sz w:val="21"/>
                <w:szCs w:val="21"/>
              </w:rPr>
            </w:pPr>
            <w:r>
              <w:rPr>
                <w:rFonts w:ascii="Times New Roman"/>
                <w:sz w:val="21"/>
              </w:rPr>
              <w:t>4,269,071</w:t>
            </w:r>
          </w:p>
        </w:tc>
      </w:tr>
      <w:tr>
        <w:trPr>
          <w:trHeight w:val="303"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left="201"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395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5"/>
              <w:ind w:left="2635" w:right="0"/>
              <w:jc w:val="left"/>
              <w:rPr>
                <w:rFonts w:ascii="Times New Roman" w:hAnsi="Times New Roman" w:cs="Times New Roman" w:eastAsia="Times New Roman" w:hint="default"/>
                <w:sz w:val="21"/>
                <w:szCs w:val="21"/>
              </w:rPr>
            </w:pPr>
            <w:r>
              <w:rPr>
                <w:rFonts w:ascii="Times New Roman"/>
                <w:sz w:val="21"/>
              </w:rPr>
              <w:t>3,943,116</w:t>
            </w:r>
          </w:p>
        </w:tc>
        <w:tc>
          <w:tcPr>
            <w:tcW w:w="1741"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left="259" w:right="0"/>
              <w:jc w:val="left"/>
              <w:rPr>
                <w:rFonts w:ascii="Times New Roman" w:hAnsi="Times New Roman" w:cs="Times New Roman" w:eastAsia="Times New Roman" w:hint="default"/>
                <w:sz w:val="21"/>
                <w:szCs w:val="21"/>
              </w:rPr>
            </w:pPr>
            <w:r>
              <w:rPr>
                <w:rFonts w:ascii="Times New Roman"/>
                <w:sz w:val="21"/>
              </w:rPr>
              <w:t>3,963,539</w:t>
            </w:r>
          </w:p>
        </w:tc>
      </w:tr>
      <w:tr>
        <w:trPr>
          <w:trHeight w:val="326" w:hRule="exact"/>
        </w:trPr>
        <w:tc>
          <w:tcPr>
            <w:tcW w:w="3591" w:type="dxa"/>
            <w:gridSpan w:val="2"/>
            <w:tcBorders>
              <w:top w:val="nil" w:sz="6" w:space="0" w:color="auto"/>
              <w:left w:val="nil" w:sz="6" w:space="0" w:color="auto"/>
              <w:bottom w:val="nil" w:sz="6" w:space="0" w:color="auto"/>
              <w:right w:val="nil" w:sz="6" w:space="0" w:color="auto"/>
            </w:tcBorders>
          </w:tcPr>
          <w:p>
            <w:pPr/>
          </w:p>
        </w:tc>
        <w:tc>
          <w:tcPr>
            <w:tcW w:w="3956" w:type="dxa"/>
            <w:gridSpan w:val="2"/>
            <w:tcBorders>
              <w:top w:val="single" w:sz="8" w:space="0" w:color="000000"/>
              <w:left w:val="nil" w:sz="6" w:space="0" w:color="auto"/>
              <w:bottom w:val="single" w:sz="12" w:space="0" w:color="000000"/>
              <w:right w:val="nil" w:sz="6" w:space="0" w:color="auto"/>
            </w:tcBorders>
          </w:tcPr>
          <w:p>
            <w:pPr>
              <w:pStyle w:val="TableParagraph"/>
              <w:spacing w:line="240" w:lineRule="auto" w:before="24"/>
              <w:ind w:left="2424" w:right="0"/>
              <w:jc w:val="left"/>
              <w:rPr>
                <w:rFonts w:ascii="Times New Roman" w:hAnsi="Times New Roman" w:cs="Times New Roman" w:eastAsia="Times New Roman" w:hint="default"/>
                <w:sz w:val="21"/>
                <w:szCs w:val="21"/>
              </w:rPr>
            </w:pPr>
            <w:r>
              <w:rPr>
                <w:rFonts w:ascii="Times New Roman"/>
                <w:sz w:val="21"/>
              </w:rPr>
              <w:t>118,735,777</w:t>
            </w:r>
          </w:p>
        </w:tc>
        <w:tc>
          <w:tcPr>
            <w:tcW w:w="1741" w:type="dxa"/>
            <w:tcBorders>
              <w:top w:val="single" w:sz="8" w:space="0" w:color="000000"/>
              <w:left w:val="nil" w:sz="6" w:space="0" w:color="auto"/>
              <w:bottom w:val="single" w:sz="12" w:space="0" w:color="000000"/>
              <w:right w:val="nil" w:sz="6" w:space="0" w:color="auto"/>
            </w:tcBorders>
          </w:tcPr>
          <w:p>
            <w:pPr>
              <w:pStyle w:val="TableParagraph"/>
              <w:spacing w:line="240" w:lineRule="auto" w:before="24"/>
              <w:ind w:left="47" w:right="0"/>
              <w:jc w:val="left"/>
              <w:rPr>
                <w:rFonts w:ascii="Times New Roman" w:hAnsi="Times New Roman" w:cs="Times New Roman" w:eastAsia="Times New Roman" w:hint="default"/>
                <w:sz w:val="21"/>
                <w:szCs w:val="21"/>
              </w:rPr>
            </w:pPr>
            <w:r>
              <w:rPr>
                <w:rFonts w:ascii="Times New Roman"/>
                <w:sz w:val="21"/>
              </w:rPr>
              <w:t>195,207,850</w:t>
            </w:r>
          </w:p>
        </w:tc>
      </w:tr>
      <w:tr>
        <w:trPr>
          <w:trHeight w:val="667" w:hRule="exact"/>
        </w:trPr>
        <w:tc>
          <w:tcPr>
            <w:tcW w:w="35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21"/>
                <w:szCs w:val="21"/>
              </w:rPr>
            </w:pPr>
            <w:bookmarkStart w:name="RANGE!C335" w:id="28"/>
            <w:bookmarkEnd w:id="28"/>
            <w:r>
              <w:rPr/>
            </w: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）吸收存款及借入资金利息支出</w:t>
            </w:r>
            <w:r>
              <w:rPr>
                <w:rFonts w:ascii="Times New Roman" w:hAnsi="Times New Roman" w:cs="Times New Roman" w:eastAsia="Times New Roman" w:hint="default"/>
                <w:sz w:val="21"/>
                <w:szCs w:val="21"/>
              </w:rPr>
              <w:t>-</w:t>
            </w:r>
          </w:p>
        </w:tc>
        <w:tc>
          <w:tcPr>
            <w:tcW w:w="3956" w:type="dxa"/>
            <w:gridSpan w:val="2"/>
            <w:tcBorders>
              <w:top w:val="single" w:sz="12" w:space="0" w:color="000000"/>
              <w:left w:val="nil" w:sz="6" w:space="0" w:color="auto"/>
              <w:bottom w:val="nil" w:sz="6" w:space="0" w:color="auto"/>
              <w:right w:val="nil" w:sz="6" w:space="0" w:color="auto"/>
            </w:tcBorders>
          </w:tcPr>
          <w:p>
            <w:pPr/>
          </w:p>
        </w:tc>
        <w:tc>
          <w:tcPr>
            <w:tcW w:w="1741"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0" w:footer="974" w:top="1080" w:bottom="1160" w:left="1200" w:right="11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532"/>
        <w:gridCol w:w="3851"/>
        <w:gridCol w:w="1370"/>
      </w:tblGrid>
      <w:tr>
        <w:trPr>
          <w:trHeight w:val="390" w:hRule="exact"/>
        </w:trPr>
        <w:tc>
          <w:tcPr>
            <w:tcW w:w="3532" w:type="dxa"/>
            <w:tcBorders>
              <w:top w:val="nil" w:sz="6" w:space="0" w:color="auto"/>
              <w:left w:val="nil" w:sz="6" w:space="0" w:color="auto"/>
              <w:bottom w:val="nil" w:sz="6" w:space="0" w:color="auto"/>
              <w:right w:val="nil" w:sz="6" w:space="0" w:color="auto"/>
            </w:tcBorders>
          </w:tcPr>
          <w:p>
            <w:pPr/>
          </w:p>
        </w:tc>
        <w:tc>
          <w:tcPr>
            <w:tcW w:w="3851" w:type="dxa"/>
            <w:tcBorders>
              <w:top w:val="nil" w:sz="6" w:space="0" w:color="auto"/>
              <w:left w:val="nil" w:sz="6" w:space="0" w:color="auto"/>
              <w:bottom w:val="nil" w:sz="6" w:space="0" w:color="auto"/>
              <w:right w:val="nil" w:sz="6" w:space="0" w:color="auto"/>
            </w:tcBorders>
          </w:tcPr>
          <w:p>
            <w:pPr>
              <w:pStyle w:val="TableParagraph"/>
              <w:spacing w:line="227" w:lineRule="exact"/>
              <w:ind w:right="313"/>
              <w:jc w:val="right"/>
              <w:rPr>
                <w:rFonts w:ascii="宋体" w:hAnsi="宋体" w:cs="宋体" w:eastAsia="宋体" w:hint="default"/>
                <w:sz w:val="21"/>
                <w:szCs w:val="21"/>
              </w:rPr>
            </w:pPr>
            <w:bookmarkStart w:name="RANGE!C337" w:id="29"/>
            <w:bookmarkEnd w:id="29"/>
            <w:r>
              <w:rPr/>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370" w:type="dxa"/>
            <w:tcBorders>
              <w:top w:val="nil" w:sz="6" w:space="0" w:color="auto"/>
              <w:left w:val="nil" w:sz="6" w:space="0" w:color="auto"/>
              <w:bottom w:val="nil" w:sz="6" w:space="0" w:color="auto"/>
              <w:right w:val="nil" w:sz="6" w:space="0" w:color="auto"/>
            </w:tcBorders>
          </w:tcPr>
          <w:p>
            <w:pPr>
              <w:pStyle w:val="TableParagraph"/>
              <w:spacing w:line="227"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20"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13"/>
              <w:jc w:val="right"/>
              <w:rPr>
                <w:rFonts w:ascii="Times New Roman" w:hAnsi="Times New Roman" w:cs="Times New Roman" w:eastAsia="Times New Roman" w:hint="default"/>
                <w:sz w:val="21"/>
                <w:szCs w:val="21"/>
              </w:rPr>
            </w:pPr>
            <w:r>
              <w:rPr>
                <w:rFonts w:ascii="Times New Roman"/>
                <w:spacing w:val="-1"/>
                <w:sz w:val="21"/>
              </w:rPr>
              <w:t>12,006,661</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
                <w:sz w:val="21"/>
              </w:rPr>
              <w:t>29,184,036</w:t>
            </w:r>
          </w:p>
        </w:tc>
      </w:tr>
      <w:tr>
        <w:trPr>
          <w:trHeight w:val="28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Times New Roman" w:hAnsi="Times New Roman" w:cs="Times New Roman" w:eastAsia="Times New Roman" w:hint="default"/>
                <w:sz w:val="21"/>
                <w:szCs w:val="21"/>
              </w:rPr>
            </w:pPr>
            <w:r>
              <w:rPr>
                <w:rFonts w:ascii="Times New Roman"/>
                <w:sz w:val="21"/>
              </w:rPr>
              <w:t>QQCT</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3"/>
              <w:jc w:val="right"/>
              <w:rPr>
                <w:rFonts w:ascii="Times New Roman" w:hAnsi="Times New Roman" w:cs="Times New Roman" w:eastAsia="Times New Roman" w:hint="default"/>
                <w:sz w:val="21"/>
                <w:szCs w:val="21"/>
              </w:rPr>
            </w:pPr>
            <w:r>
              <w:rPr>
                <w:rFonts w:ascii="Times New Roman"/>
                <w:spacing w:val="-1"/>
                <w:sz w:val="21"/>
              </w:rPr>
              <w:t>10,152,733</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Times New Roman" w:hAnsi="Times New Roman" w:cs="Times New Roman" w:eastAsia="Times New Roman" w:hint="default"/>
                <w:sz w:val="21"/>
                <w:szCs w:val="21"/>
              </w:rPr>
            </w:pPr>
            <w:r>
              <w:rPr>
                <w:rFonts w:ascii="Times New Roman"/>
                <w:spacing w:val="-1"/>
                <w:sz w:val="21"/>
              </w:rPr>
              <w:t>20,026,922</w:t>
            </w:r>
          </w:p>
        </w:tc>
      </w:tr>
      <w:tr>
        <w:trPr>
          <w:trHeight w:val="28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3"/>
              <w:jc w:val="right"/>
              <w:rPr>
                <w:rFonts w:ascii="Times New Roman" w:hAnsi="Times New Roman" w:cs="Times New Roman" w:eastAsia="Times New Roman" w:hint="default"/>
                <w:sz w:val="21"/>
                <w:szCs w:val="21"/>
              </w:rPr>
            </w:pPr>
            <w:r>
              <w:rPr>
                <w:rFonts w:ascii="Times New Roman"/>
                <w:spacing w:val="-1"/>
                <w:sz w:val="21"/>
              </w:rPr>
              <w:t>8,737,149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4,494,218</w:t>
            </w:r>
          </w:p>
        </w:tc>
      </w:tr>
      <w:tr>
        <w:trPr>
          <w:trHeight w:val="288"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青港金控</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3"/>
              <w:jc w:val="right"/>
              <w:rPr>
                <w:rFonts w:ascii="Times New Roman" w:hAnsi="Times New Roman" w:cs="Times New Roman" w:eastAsia="Times New Roman" w:hint="default"/>
                <w:sz w:val="21"/>
                <w:szCs w:val="21"/>
              </w:rPr>
            </w:pPr>
            <w:r>
              <w:rPr>
                <w:rFonts w:ascii="Times New Roman"/>
                <w:spacing w:val="-1"/>
                <w:sz w:val="21"/>
              </w:rPr>
              <w:t>5,569,097</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3,975,511</w:t>
            </w:r>
          </w:p>
        </w:tc>
      </w:tr>
      <w:tr>
        <w:trPr>
          <w:trHeight w:val="28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Times New Roman" w:hAnsi="Times New Roman" w:cs="Times New Roman" w:eastAsia="Times New Roman" w:hint="default"/>
                <w:sz w:val="21"/>
                <w:szCs w:val="21"/>
              </w:rPr>
            </w:pPr>
            <w:r>
              <w:rPr>
                <w:rFonts w:ascii="Times New Roman"/>
                <w:sz w:val="21"/>
              </w:rPr>
              <w:t>QQCTN</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3"/>
              <w:jc w:val="right"/>
              <w:rPr>
                <w:rFonts w:ascii="Times New Roman" w:hAnsi="Times New Roman" w:cs="Times New Roman" w:eastAsia="Times New Roman" w:hint="default"/>
                <w:sz w:val="21"/>
                <w:szCs w:val="21"/>
              </w:rPr>
            </w:pPr>
            <w:r>
              <w:rPr>
                <w:rFonts w:ascii="Times New Roman"/>
                <w:spacing w:val="-1"/>
                <w:sz w:val="21"/>
              </w:rPr>
              <w:t>5,275,110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2,046,446</w:t>
            </w:r>
          </w:p>
        </w:tc>
      </w:tr>
      <w:tr>
        <w:trPr>
          <w:trHeight w:val="288"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青港商业保理</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3"/>
              <w:jc w:val="right"/>
              <w:rPr>
                <w:rFonts w:ascii="Times New Roman" w:hAnsi="Times New Roman" w:cs="Times New Roman" w:eastAsia="Times New Roman" w:hint="default"/>
                <w:sz w:val="21"/>
                <w:szCs w:val="21"/>
              </w:rPr>
            </w:pPr>
            <w:r>
              <w:rPr>
                <w:rFonts w:ascii="Times New Roman"/>
                <w:spacing w:val="-1"/>
                <w:sz w:val="21"/>
              </w:rPr>
              <w:t>3,286,249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1,538,068</w:t>
            </w:r>
          </w:p>
        </w:tc>
      </w:tr>
      <w:tr>
        <w:trPr>
          <w:trHeight w:val="28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Times New Roman" w:hAnsi="Times New Roman" w:cs="Times New Roman" w:eastAsia="Times New Roman" w:hint="default"/>
                <w:sz w:val="21"/>
                <w:szCs w:val="21"/>
              </w:rPr>
            </w:pPr>
            <w:r>
              <w:rPr>
                <w:rFonts w:ascii="Times New Roman"/>
                <w:sz w:val="21"/>
              </w:rPr>
              <w:t>QQCTI</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3"/>
              <w:jc w:val="right"/>
              <w:rPr>
                <w:rFonts w:ascii="Times New Roman" w:hAnsi="Times New Roman" w:cs="Times New Roman" w:eastAsia="Times New Roman" w:hint="default"/>
                <w:sz w:val="21"/>
                <w:szCs w:val="21"/>
              </w:rPr>
            </w:pPr>
            <w:r>
              <w:rPr>
                <w:rFonts w:ascii="Times New Roman"/>
                <w:spacing w:val="-1"/>
                <w:sz w:val="21"/>
              </w:rPr>
              <w:t>2,747,516</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2,362,920</w:t>
            </w:r>
          </w:p>
        </w:tc>
      </w:tr>
      <w:tr>
        <w:trPr>
          <w:trHeight w:val="286"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3"/>
              <w:jc w:val="right"/>
              <w:rPr>
                <w:rFonts w:ascii="Times New Roman" w:hAnsi="Times New Roman" w:cs="Times New Roman" w:eastAsia="Times New Roman" w:hint="default"/>
                <w:sz w:val="21"/>
                <w:szCs w:val="21"/>
              </w:rPr>
            </w:pPr>
            <w:r>
              <w:rPr>
                <w:rFonts w:ascii="Times New Roman"/>
                <w:spacing w:val="-1"/>
                <w:sz w:val="21"/>
              </w:rPr>
              <w:t>1,618,234</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478,468</w:t>
            </w:r>
          </w:p>
        </w:tc>
      </w:tr>
      <w:tr>
        <w:trPr>
          <w:trHeight w:val="28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3"/>
              <w:jc w:val="right"/>
              <w:rPr>
                <w:rFonts w:ascii="Times New Roman" w:hAnsi="Times New Roman" w:cs="Times New Roman" w:eastAsia="Times New Roman" w:hint="default"/>
                <w:sz w:val="21"/>
                <w:szCs w:val="21"/>
              </w:rPr>
            </w:pPr>
            <w:r>
              <w:rPr>
                <w:rFonts w:ascii="Times New Roman"/>
                <w:spacing w:val="-1"/>
                <w:sz w:val="21"/>
              </w:rPr>
              <w:t>964,894</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z w:val="21"/>
              </w:rPr>
              <w:t>63,545</w:t>
            </w:r>
          </w:p>
        </w:tc>
      </w:tr>
      <w:tr>
        <w:trPr>
          <w:trHeight w:val="286"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3"/>
              <w:jc w:val="right"/>
              <w:rPr>
                <w:rFonts w:ascii="Times New Roman" w:hAnsi="Times New Roman" w:cs="Times New Roman" w:eastAsia="Times New Roman" w:hint="default"/>
                <w:sz w:val="21"/>
                <w:szCs w:val="21"/>
              </w:rPr>
            </w:pPr>
            <w:r>
              <w:rPr>
                <w:rFonts w:ascii="Times New Roman"/>
                <w:spacing w:val="-1"/>
                <w:sz w:val="21"/>
              </w:rPr>
              <w:t>736,848</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280,206</w:t>
            </w:r>
          </w:p>
        </w:tc>
      </w:tr>
      <w:tr>
        <w:trPr>
          <w:trHeight w:val="285"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融资担保</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3"/>
              <w:jc w:val="right"/>
              <w:rPr>
                <w:rFonts w:ascii="Times New Roman" w:hAnsi="Times New Roman" w:cs="Times New Roman" w:eastAsia="Times New Roman" w:hint="default"/>
                <w:sz w:val="21"/>
                <w:szCs w:val="21"/>
              </w:rPr>
            </w:pPr>
            <w:r>
              <w:rPr>
                <w:rFonts w:ascii="Times New Roman"/>
                <w:spacing w:val="-1"/>
                <w:sz w:val="21"/>
              </w:rPr>
              <w:t>686,499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国际邮轮港开发建设</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3"/>
              <w:jc w:val="right"/>
              <w:rPr>
                <w:rFonts w:ascii="Times New Roman" w:hAnsi="Times New Roman" w:cs="Times New Roman" w:eastAsia="Times New Roman" w:hint="default"/>
                <w:sz w:val="21"/>
                <w:szCs w:val="21"/>
              </w:rPr>
            </w:pPr>
            <w:r>
              <w:rPr>
                <w:rFonts w:ascii="Times New Roman"/>
                <w:spacing w:val="-1"/>
                <w:sz w:val="21"/>
              </w:rPr>
              <w:t>640,331</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942,773</w:t>
            </w:r>
          </w:p>
        </w:tc>
      </w:tr>
      <w:tr>
        <w:trPr>
          <w:trHeight w:val="28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3"/>
              <w:jc w:val="right"/>
              <w:rPr>
                <w:rFonts w:ascii="Times New Roman" w:hAnsi="Times New Roman" w:cs="Times New Roman" w:eastAsia="Times New Roman" w:hint="default"/>
                <w:sz w:val="21"/>
                <w:szCs w:val="21"/>
              </w:rPr>
            </w:pPr>
            <w:r>
              <w:rPr>
                <w:rFonts w:ascii="Times New Roman"/>
                <w:spacing w:val="-1"/>
                <w:sz w:val="21"/>
              </w:rPr>
              <w:t>522,770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1,040,814</w:t>
            </w:r>
          </w:p>
        </w:tc>
      </w:tr>
      <w:tr>
        <w:trPr>
          <w:trHeight w:val="288"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3"/>
              <w:jc w:val="right"/>
              <w:rPr>
                <w:rFonts w:ascii="Times New Roman" w:hAnsi="Times New Roman" w:cs="Times New Roman" w:eastAsia="Times New Roman" w:hint="default"/>
                <w:sz w:val="21"/>
                <w:szCs w:val="21"/>
              </w:rPr>
            </w:pPr>
            <w:r>
              <w:rPr>
                <w:rFonts w:ascii="Times New Roman"/>
                <w:spacing w:val="-1"/>
                <w:sz w:val="21"/>
              </w:rPr>
              <w:t>378,596</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28,270,530</w:t>
            </w:r>
          </w:p>
        </w:tc>
      </w:tr>
      <w:tr>
        <w:trPr>
          <w:trHeight w:val="286"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Times New Roman" w:hAnsi="Times New Roman" w:cs="Times New Roman" w:eastAsia="Times New Roman" w:hint="default"/>
                <w:sz w:val="21"/>
                <w:szCs w:val="21"/>
              </w:rPr>
            </w:pPr>
            <w:r>
              <w:rPr>
                <w:rFonts w:ascii="Times New Roman"/>
                <w:sz w:val="21"/>
              </w:rPr>
              <w:t>QQCTU</w:t>
            </w:r>
          </w:p>
        </w:tc>
        <w:tc>
          <w:tcPr>
            <w:tcW w:w="3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3"/>
              <w:jc w:val="right"/>
              <w:rPr>
                <w:rFonts w:ascii="Times New Roman" w:hAnsi="Times New Roman" w:cs="Times New Roman" w:eastAsia="Times New Roman" w:hint="default"/>
                <w:sz w:val="21"/>
                <w:szCs w:val="21"/>
              </w:rPr>
            </w:pPr>
            <w:r>
              <w:rPr>
                <w:rFonts w:ascii="Times New Roman"/>
                <w:spacing w:val="-1"/>
                <w:sz w:val="21"/>
              </w:rPr>
              <w:t>372,169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1,245,237</w:t>
            </w:r>
          </w:p>
        </w:tc>
      </w:tr>
      <w:tr>
        <w:trPr>
          <w:trHeight w:val="30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3851"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313"/>
              <w:jc w:val="right"/>
              <w:rPr>
                <w:rFonts w:ascii="Times New Roman" w:hAnsi="Times New Roman" w:cs="Times New Roman" w:eastAsia="Times New Roman" w:hint="default"/>
                <w:sz w:val="21"/>
                <w:szCs w:val="21"/>
              </w:rPr>
            </w:pPr>
            <w:r>
              <w:rPr>
                <w:rFonts w:ascii="Times New Roman"/>
                <w:spacing w:val="-1"/>
                <w:sz w:val="21"/>
              </w:rPr>
              <w:t>3,741,085</w:t>
            </w:r>
          </w:p>
        </w:tc>
        <w:tc>
          <w:tcPr>
            <w:tcW w:w="1370"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3,961,220</w:t>
            </w:r>
          </w:p>
        </w:tc>
      </w:tr>
      <w:tr>
        <w:trPr>
          <w:trHeight w:val="326" w:hRule="exact"/>
        </w:trPr>
        <w:tc>
          <w:tcPr>
            <w:tcW w:w="3532" w:type="dxa"/>
            <w:tcBorders>
              <w:top w:val="nil" w:sz="6" w:space="0" w:color="auto"/>
              <w:left w:val="nil" w:sz="6" w:space="0" w:color="auto"/>
              <w:bottom w:val="nil" w:sz="6" w:space="0" w:color="auto"/>
              <w:right w:val="nil" w:sz="6" w:space="0" w:color="auto"/>
            </w:tcBorders>
          </w:tcPr>
          <w:p>
            <w:pPr/>
          </w:p>
        </w:tc>
        <w:tc>
          <w:tcPr>
            <w:tcW w:w="3851" w:type="dxa"/>
            <w:tcBorders>
              <w:top w:val="single" w:sz="8" w:space="0" w:color="000000"/>
              <w:left w:val="nil" w:sz="6" w:space="0" w:color="auto"/>
              <w:bottom w:val="single" w:sz="12" w:space="0" w:color="000000"/>
              <w:right w:val="nil" w:sz="6" w:space="0" w:color="auto"/>
            </w:tcBorders>
          </w:tcPr>
          <w:p>
            <w:pPr>
              <w:pStyle w:val="TableParagraph"/>
              <w:spacing w:line="240" w:lineRule="auto" w:before="24"/>
              <w:ind w:right="313"/>
              <w:jc w:val="right"/>
              <w:rPr>
                <w:rFonts w:ascii="Times New Roman" w:hAnsi="Times New Roman" w:cs="Times New Roman" w:eastAsia="Times New Roman" w:hint="default"/>
                <w:sz w:val="21"/>
                <w:szCs w:val="21"/>
              </w:rPr>
            </w:pPr>
            <w:r>
              <w:rPr>
                <w:rFonts w:ascii="Times New Roman"/>
                <w:spacing w:val="-1"/>
                <w:sz w:val="21"/>
              </w:rPr>
              <w:t>57,435,941</w:t>
            </w:r>
          </w:p>
        </w:tc>
        <w:tc>
          <w:tcPr>
            <w:tcW w:w="1370" w:type="dxa"/>
            <w:tcBorders>
              <w:top w:val="single" w:sz="8" w:space="0" w:color="000000"/>
              <w:left w:val="nil" w:sz="6" w:space="0" w:color="auto"/>
              <w:bottom w:val="single" w:sz="12" w:space="0" w:color="000000"/>
              <w:right w:val="nil" w:sz="6" w:space="0" w:color="auto"/>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99,910,914</w:t>
            </w:r>
          </w:p>
        </w:tc>
      </w:tr>
    </w:tbl>
    <w:p>
      <w:pPr>
        <w:spacing w:line="240" w:lineRule="auto" w:before="9"/>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532"/>
        <w:gridCol w:w="3798"/>
        <w:gridCol w:w="1422"/>
      </w:tblGrid>
      <w:tr>
        <w:trPr>
          <w:trHeight w:val="401" w:hRule="exact"/>
        </w:trPr>
        <w:tc>
          <w:tcPr>
            <w:tcW w:w="8753"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）关联方委托收取及支付港建费、货物港务费和港口设施保安费等</w:t>
            </w:r>
          </w:p>
        </w:tc>
      </w:tr>
      <w:tr>
        <w:trPr>
          <w:trHeight w:val="605" w:hRule="exact"/>
        </w:trPr>
        <w:tc>
          <w:tcPr>
            <w:tcW w:w="3532" w:type="dxa"/>
            <w:tcBorders>
              <w:top w:val="nil" w:sz="6" w:space="0" w:color="auto"/>
              <w:left w:val="nil" w:sz="6" w:space="0" w:color="auto"/>
              <w:bottom w:val="nil" w:sz="6" w:space="0" w:color="auto"/>
              <w:right w:val="nil" w:sz="6" w:space="0" w:color="auto"/>
            </w:tcBorders>
          </w:tcPr>
          <w:p>
            <w:pP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60"/>
              <w:jc w:val="right"/>
              <w:rPr>
                <w:rFonts w:ascii="宋体" w:hAnsi="宋体" w:cs="宋体" w:eastAsia="宋体" w:hint="default"/>
                <w:sz w:val="21"/>
                <w:szCs w:val="21"/>
              </w:rPr>
            </w:pPr>
            <w:bookmarkStart w:name="RANGE!C362" w:id="30"/>
            <w:bookmarkEnd w:id="30"/>
            <w:r>
              <w:rPr/>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75"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受关联方委托收取资金</w:t>
            </w:r>
            <w:r>
              <w:rPr>
                <w:rFonts w:ascii="Times New Roman" w:hAnsi="Times New Roman" w:cs="Times New Roman" w:eastAsia="Times New Roman" w:hint="default"/>
                <w:sz w:val="21"/>
                <w:szCs w:val="21"/>
              </w:rPr>
              <w:t>—</w:t>
            </w:r>
          </w:p>
        </w:tc>
        <w:tc>
          <w:tcPr>
            <w:tcW w:w="379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r>
      <w:tr>
        <w:trPr>
          <w:trHeight w:val="311"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0" w:right="0"/>
              <w:jc w:val="left"/>
              <w:rPr>
                <w:rFonts w:ascii="Times New Roman" w:hAnsi="Times New Roman" w:cs="Times New Roman" w:eastAsia="Times New Roman" w:hint="default"/>
                <w:sz w:val="21"/>
                <w:szCs w:val="21"/>
              </w:rPr>
            </w:pPr>
            <w:r>
              <w:rPr>
                <w:rFonts w:ascii="Times New Roman"/>
                <w:sz w:val="21"/>
              </w:rPr>
              <w:t>QQCT</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0"/>
              <w:jc w:val="right"/>
              <w:rPr>
                <w:rFonts w:ascii="Times New Roman" w:hAnsi="Times New Roman" w:cs="Times New Roman" w:eastAsia="Times New Roman" w:hint="default"/>
                <w:sz w:val="21"/>
                <w:szCs w:val="21"/>
              </w:rPr>
            </w:pPr>
            <w:r>
              <w:rPr>
                <w:rFonts w:ascii="Times New Roman"/>
                <w:spacing w:val="-1"/>
                <w:sz w:val="21"/>
              </w:rPr>
              <w:t>572,866,024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21"/>
                <w:szCs w:val="21"/>
              </w:rPr>
            </w:pPr>
            <w:r>
              <w:rPr>
                <w:rFonts w:ascii="Times New Roman"/>
                <w:spacing w:val="-1"/>
                <w:sz w:val="21"/>
              </w:rPr>
              <w:t>564,069,246</w:t>
            </w:r>
          </w:p>
        </w:tc>
      </w:tr>
      <w:tr>
        <w:trPr>
          <w:trHeight w:val="316"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QQCTU</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266,741,948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260,731,975</w:t>
            </w:r>
          </w:p>
        </w:tc>
      </w:tr>
      <w:tr>
        <w:trPr>
          <w:trHeight w:val="319"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Times New Roman" w:hAnsi="Times New Roman" w:cs="Times New Roman" w:eastAsia="Times New Roman" w:hint="default"/>
                <w:sz w:val="21"/>
                <w:szCs w:val="21"/>
              </w:rPr>
            </w:pPr>
            <w:r>
              <w:rPr>
                <w:rFonts w:ascii="Times New Roman"/>
                <w:sz w:val="21"/>
              </w:rPr>
              <w:t>QQCTUA</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0"/>
              <w:jc w:val="right"/>
              <w:rPr>
                <w:rFonts w:ascii="Times New Roman" w:hAnsi="Times New Roman" w:cs="Times New Roman" w:eastAsia="Times New Roman" w:hint="default"/>
                <w:sz w:val="21"/>
                <w:szCs w:val="21"/>
              </w:rPr>
            </w:pPr>
            <w:r>
              <w:rPr>
                <w:rFonts w:ascii="Times New Roman"/>
                <w:spacing w:val="-1"/>
                <w:sz w:val="21"/>
              </w:rPr>
              <w:t>46,851,939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Times New Roman" w:hAnsi="Times New Roman" w:cs="Times New Roman" w:eastAsia="Times New Roman" w:hint="default"/>
                <w:sz w:val="21"/>
                <w:szCs w:val="21"/>
              </w:rPr>
            </w:pPr>
            <w:r>
              <w:rPr>
                <w:rFonts w:ascii="Times New Roman"/>
                <w:spacing w:val="-1"/>
                <w:sz w:val="21"/>
              </w:rPr>
              <w:t>34,772,677</w:t>
            </w:r>
          </w:p>
        </w:tc>
      </w:tr>
      <w:tr>
        <w:trPr>
          <w:trHeight w:val="331"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0" w:right="0"/>
              <w:jc w:val="left"/>
              <w:rPr>
                <w:rFonts w:ascii="Times New Roman" w:hAnsi="Times New Roman" w:cs="Times New Roman" w:eastAsia="Times New Roman" w:hint="default"/>
                <w:sz w:val="21"/>
                <w:szCs w:val="21"/>
              </w:rPr>
            </w:pPr>
            <w:r>
              <w:rPr>
                <w:rFonts w:ascii="Times New Roman"/>
                <w:sz w:val="21"/>
              </w:rPr>
              <w:t>QQCTN</w:t>
            </w:r>
          </w:p>
        </w:tc>
        <w:tc>
          <w:tcPr>
            <w:tcW w:w="3798"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260"/>
              <w:jc w:val="right"/>
              <w:rPr>
                <w:rFonts w:ascii="Times New Roman" w:hAnsi="Times New Roman" w:cs="Times New Roman" w:eastAsia="Times New Roman" w:hint="default"/>
                <w:sz w:val="21"/>
                <w:szCs w:val="21"/>
              </w:rPr>
            </w:pPr>
            <w:r>
              <w:rPr>
                <w:rFonts w:ascii="Times New Roman"/>
                <w:spacing w:val="-1"/>
                <w:sz w:val="21"/>
              </w:rPr>
              <w:t>41,272,956</w:t>
            </w: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45,334,009</w:t>
            </w:r>
          </w:p>
        </w:tc>
      </w:tr>
      <w:tr>
        <w:trPr>
          <w:trHeight w:val="355" w:hRule="exact"/>
        </w:trPr>
        <w:tc>
          <w:tcPr>
            <w:tcW w:w="3532" w:type="dxa"/>
            <w:tcBorders>
              <w:top w:val="nil" w:sz="6" w:space="0" w:color="auto"/>
              <w:left w:val="nil" w:sz="6" w:space="0" w:color="auto"/>
              <w:bottom w:val="nil" w:sz="6" w:space="0" w:color="auto"/>
              <w:right w:val="nil" w:sz="6" w:space="0" w:color="auto"/>
            </w:tcBorders>
          </w:tcPr>
          <w:p>
            <w:pPr/>
          </w:p>
        </w:tc>
        <w:tc>
          <w:tcPr>
            <w:tcW w:w="3798"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260"/>
              <w:jc w:val="right"/>
              <w:rPr>
                <w:rFonts w:ascii="Times New Roman" w:hAnsi="Times New Roman" w:cs="Times New Roman" w:eastAsia="Times New Roman" w:hint="default"/>
                <w:sz w:val="21"/>
                <w:szCs w:val="21"/>
              </w:rPr>
            </w:pPr>
            <w:r>
              <w:rPr>
                <w:rFonts w:ascii="Times New Roman"/>
                <w:spacing w:val="-1"/>
                <w:sz w:val="21"/>
              </w:rPr>
              <w:t>927,732,867</w:t>
            </w:r>
          </w:p>
        </w:tc>
        <w:tc>
          <w:tcPr>
            <w:tcW w:w="1422"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904,907,907</w:t>
            </w:r>
          </w:p>
        </w:tc>
      </w:tr>
      <w:tr>
        <w:trPr>
          <w:trHeight w:val="669"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向关联方支付资金</w:t>
            </w:r>
            <w:r>
              <w:rPr>
                <w:rFonts w:ascii="Times New Roman" w:hAnsi="Times New Roman" w:cs="Times New Roman" w:eastAsia="Times New Roman" w:hint="default"/>
                <w:sz w:val="21"/>
                <w:szCs w:val="21"/>
              </w:rPr>
              <w:t>—</w:t>
            </w:r>
          </w:p>
        </w:tc>
        <w:tc>
          <w:tcPr>
            <w:tcW w:w="3798" w:type="dxa"/>
            <w:tcBorders>
              <w:top w:val="single" w:sz="12" w:space="0" w:color="000000"/>
              <w:left w:val="nil" w:sz="6" w:space="0" w:color="auto"/>
              <w:bottom w:val="nil" w:sz="6" w:space="0" w:color="auto"/>
              <w:right w:val="nil" w:sz="6" w:space="0" w:color="auto"/>
            </w:tcBorders>
          </w:tcPr>
          <w:p>
            <w:pPr/>
          </w:p>
        </w:tc>
        <w:tc>
          <w:tcPr>
            <w:tcW w:w="1422" w:type="dxa"/>
            <w:tcBorders>
              <w:top w:val="single" w:sz="12" w:space="0" w:color="000000"/>
              <w:left w:val="nil" w:sz="6" w:space="0" w:color="auto"/>
              <w:bottom w:val="nil" w:sz="6" w:space="0" w:color="auto"/>
              <w:right w:val="nil" w:sz="6" w:space="0" w:color="auto"/>
            </w:tcBorders>
          </w:tcPr>
          <w:p>
            <w:pPr/>
          </w:p>
        </w:tc>
      </w:tr>
      <w:tr>
        <w:trPr>
          <w:trHeight w:val="31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0" w:right="0"/>
              <w:jc w:val="left"/>
              <w:rPr>
                <w:rFonts w:ascii="Times New Roman" w:hAnsi="Times New Roman" w:cs="Times New Roman" w:eastAsia="Times New Roman" w:hint="default"/>
                <w:sz w:val="21"/>
                <w:szCs w:val="21"/>
              </w:rPr>
            </w:pPr>
            <w:r>
              <w:rPr>
                <w:rFonts w:ascii="Times New Roman"/>
                <w:sz w:val="21"/>
              </w:rPr>
              <w:t>QQCT</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0"/>
              <w:jc w:val="right"/>
              <w:rPr>
                <w:rFonts w:ascii="Times New Roman" w:hAnsi="Times New Roman" w:cs="Times New Roman" w:eastAsia="Times New Roman" w:hint="default"/>
                <w:sz w:val="21"/>
                <w:szCs w:val="21"/>
              </w:rPr>
            </w:pPr>
            <w:r>
              <w:rPr>
                <w:rFonts w:ascii="Times New Roman"/>
                <w:spacing w:val="-1"/>
                <w:sz w:val="21"/>
              </w:rPr>
              <w:t>580,168,150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Times New Roman" w:hAnsi="Times New Roman" w:cs="Times New Roman" w:eastAsia="Times New Roman" w:hint="default"/>
                <w:sz w:val="21"/>
                <w:szCs w:val="21"/>
              </w:rPr>
            </w:pPr>
            <w:r>
              <w:rPr>
                <w:rFonts w:ascii="Times New Roman"/>
                <w:spacing w:val="-1"/>
                <w:sz w:val="21"/>
              </w:rPr>
              <w:t>564,994,530</w:t>
            </w:r>
          </w:p>
        </w:tc>
      </w:tr>
      <w:tr>
        <w:trPr>
          <w:trHeight w:val="31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QQCTU</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273,986,339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249,016,317</w:t>
            </w:r>
          </w:p>
        </w:tc>
      </w:tr>
      <w:tr>
        <w:trPr>
          <w:trHeight w:val="318"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QQCTUA</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46,363,999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34,499,930</w:t>
            </w:r>
          </w:p>
        </w:tc>
      </w:tr>
      <w:tr>
        <w:trPr>
          <w:trHeight w:val="331"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0" w:right="0"/>
              <w:jc w:val="left"/>
              <w:rPr>
                <w:rFonts w:ascii="Times New Roman" w:hAnsi="Times New Roman" w:cs="Times New Roman" w:eastAsia="Times New Roman" w:hint="default"/>
                <w:sz w:val="21"/>
                <w:szCs w:val="21"/>
              </w:rPr>
            </w:pPr>
            <w:r>
              <w:rPr>
                <w:rFonts w:ascii="Times New Roman"/>
                <w:sz w:val="21"/>
              </w:rPr>
              <w:t>QQCTN</w:t>
            </w:r>
          </w:p>
        </w:tc>
        <w:tc>
          <w:tcPr>
            <w:tcW w:w="3798"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260"/>
              <w:jc w:val="right"/>
              <w:rPr>
                <w:rFonts w:ascii="Times New Roman" w:hAnsi="Times New Roman" w:cs="Times New Roman" w:eastAsia="Times New Roman" w:hint="default"/>
                <w:sz w:val="21"/>
                <w:szCs w:val="21"/>
              </w:rPr>
            </w:pPr>
            <w:r>
              <w:rPr>
                <w:rFonts w:ascii="Times New Roman"/>
                <w:spacing w:val="-1"/>
                <w:sz w:val="21"/>
              </w:rPr>
              <w:t>41,018,098</w:t>
            </w: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45,267,272</w:t>
            </w:r>
          </w:p>
        </w:tc>
      </w:tr>
      <w:tr>
        <w:trPr>
          <w:trHeight w:val="358" w:hRule="exact"/>
        </w:trPr>
        <w:tc>
          <w:tcPr>
            <w:tcW w:w="3532" w:type="dxa"/>
            <w:tcBorders>
              <w:top w:val="nil" w:sz="6" w:space="0" w:color="auto"/>
              <w:left w:val="nil" w:sz="6" w:space="0" w:color="auto"/>
              <w:bottom w:val="nil" w:sz="6" w:space="0" w:color="auto"/>
              <w:right w:val="nil" w:sz="6" w:space="0" w:color="auto"/>
            </w:tcBorders>
          </w:tcPr>
          <w:p>
            <w:pPr/>
          </w:p>
        </w:tc>
        <w:tc>
          <w:tcPr>
            <w:tcW w:w="3798"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260"/>
              <w:jc w:val="right"/>
              <w:rPr>
                <w:rFonts w:ascii="Times New Roman" w:hAnsi="Times New Roman" w:cs="Times New Roman" w:eastAsia="Times New Roman" w:hint="default"/>
                <w:sz w:val="21"/>
                <w:szCs w:val="21"/>
              </w:rPr>
            </w:pPr>
            <w:r>
              <w:rPr>
                <w:rFonts w:ascii="Times New Roman"/>
                <w:spacing w:val="-1"/>
                <w:sz w:val="21"/>
              </w:rPr>
              <w:t>941,536,586</w:t>
            </w:r>
          </w:p>
        </w:tc>
        <w:tc>
          <w:tcPr>
            <w:tcW w:w="1422"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893,778,049</w:t>
            </w:r>
          </w:p>
        </w:tc>
      </w:tr>
    </w:tbl>
    <w:p>
      <w:pPr>
        <w:pStyle w:val="BodyText"/>
        <w:spacing w:line="297" w:lineRule="auto" w:before="42"/>
        <w:ind w:right="0" w:firstLine="420"/>
        <w:jc w:val="left"/>
      </w:pPr>
      <w:r>
        <w:rPr/>
        <w:t>本公司之子公司青港物流为关联方</w:t>
      </w:r>
      <w:r>
        <w:rPr>
          <w:spacing w:val="-57"/>
        </w:rPr>
        <w:t> </w:t>
      </w:r>
      <w:r>
        <w:rPr>
          <w:rFonts w:ascii="Times New Roman" w:hAnsi="Times New Roman" w:cs="Times New Roman" w:eastAsia="Times New Roman" w:hint="default"/>
        </w:rPr>
        <w:t>QQCT</w:t>
      </w:r>
      <w:r>
        <w:rPr/>
        <w:t>、</w:t>
      </w:r>
      <w:r>
        <w:rPr>
          <w:rFonts w:ascii="Times New Roman" w:hAnsi="Times New Roman" w:cs="Times New Roman" w:eastAsia="Times New Roman" w:hint="default"/>
        </w:rPr>
        <w:t>QQCTU</w:t>
      </w:r>
      <w:r>
        <w:rPr/>
        <w:t>、</w:t>
      </w:r>
      <w:r>
        <w:rPr>
          <w:rFonts w:ascii="Times New Roman" w:hAnsi="Times New Roman" w:cs="Times New Roman" w:eastAsia="Times New Roman" w:hint="default"/>
        </w:rPr>
        <w:t>QQCTUA</w:t>
      </w:r>
      <w:r>
        <w:rPr>
          <w:rFonts w:ascii="Times New Roman" w:hAnsi="Times New Roman" w:cs="Times New Roman" w:eastAsia="Times New Roman" w:hint="default"/>
          <w:spacing w:val="-3"/>
        </w:rPr>
        <w:t> </w:t>
      </w:r>
      <w:r>
        <w:rPr/>
        <w:t>及</w:t>
      </w:r>
      <w:r>
        <w:rPr>
          <w:spacing w:val="-55"/>
        </w:rPr>
        <w:t> </w:t>
      </w:r>
      <w:r>
        <w:rPr>
          <w:rFonts w:ascii="Times New Roman" w:hAnsi="Times New Roman" w:cs="Times New Roman" w:eastAsia="Times New Roman" w:hint="default"/>
        </w:rPr>
        <w:t>QQCTN</w:t>
      </w:r>
      <w:r>
        <w:rPr>
          <w:rFonts w:ascii="Times New Roman" w:hAnsi="Times New Roman" w:cs="Times New Roman" w:eastAsia="Times New Roman" w:hint="default"/>
          <w:spacing w:val="-3"/>
        </w:rPr>
        <w:t> </w:t>
      </w:r>
      <w:r>
        <w:rPr/>
        <w:t>向其客户代为收取</w:t>
      </w:r>
      <w:r>
        <w:rPr>
          <w:w w:val="100"/>
        </w:rPr>
        <w:t> </w:t>
      </w:r>
      <w:r>
        <w:rPr/>
        <w:t>港建费、港务费和港口设施保安费并支付给上述关联方</w:t>
      </w: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528"/>
        <w:gridCol w:w="3802"/>
        <w:gridCol w:w="1517"/>
      </w:tblGrid>
      <w:tr>
        <w:trPr>
          <w:trHeight w:val="399" w:hRule="exact"/>
        </w:trPr>
        <w:tc>
          <w:tcPr>
            <w:tcW w:w="8847"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d</w:t>
            </w:r>
            <w:r>
              <w:rPr>
                <w:rFonts w:ascii="宋体" w:hAnsi="宋体" w:cs="宋体" w:eastAsia="宋体" w:hint="default"/>
                <w:sz w:val="21"/>
                <w:szCs w:val="21"/>
              </w:rPr>
              <w:t>）关联方代本集团收取的货物港务费、停泊费、保安费</w:t>
            </w:r>
          </w:p>
        </w:tc>
      </w:tr>
      <w:tr>
        <w:trPr>
          <w:trHeight w:val="604" w:hRule="exact"/>
        </w:trPr>
        <w:tc>
          <w:tcPr>
            <w:tcW w:w="3528" w:type="dxa"/>
            <w:tcBorders>
              <w:top w:val="nil" w:sz="6" w:space="0" w:color="auto"/>
              <w:left w:val="nil" w:sz="6" w:space="0" w:color="auto"/>
              <w:bottom w:val="nil" w:sz="6" w:space="0" w:color="auto"/>
              <w:right w:val="nil" w:sz="6" w:space="0" w:color="auto"/>
            </w:tcBorders>
          </w:tcPr>
          <w:p>
            <w:pPr/>
          </w:p>
        </w:tc>
        <w:tc>
          <w:tcPr>
            <w:tcW w:w="38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60"/>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71"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38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0"/>
              <w:jc w:val="right"/>
              <w:rPr>
                <w:rFonts w:ascii="Times New Roman" w:hAnsi="Times New Roman" w:cs="Times New Roman" w:eastAsia="Times New Roman" w:hint="default"/>
                <w:sz w:val="21"/>
                <w:szCs w:val="21"/>
              </w:rPr>
            </w:pPr>
            <w:r>
              <w:rPr>
                <w:rFonts w:ascii="Times New Roman"/>
                <w:spacing w:val="-1"/>
                <w:sz w:val="21"/>
              </w:rPr>
              <w:t>124,827,006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8"/>
              <w:jc w:val="right"/>
              <w:rPr>
                <w:rFonts w:ascii="Times New Roman" w:hAnsi="Times New Roman" w:cs="Times New Roman" w:eastAsia="Times New Roman" w:hint="default"/>
                <w:sz w:val="21"/>
                <w:szCs w:val="21"/>
              </w:rPr>
            </w:pPr>
            <w:r>
              <w:rPr>
                <w:rFonts w:ascii="Times New Roman"/>
                <w:spacing w:val="-1"/>
                <w:sz w:val="21"/>
              </w:rPr>
              <w:t>132,729,396</w:t>
            </w:r>
          </w:p>
        </w:tc>
      </w:tr>
      <w:tr>
        <w:trPr>
          <w:trHeight w:val="263"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QQCT</w:t>
            </w:r>
          </w:p>
        </w:tc>
        <w:tc>
          <w:tcPr>
            <w:tcW w:w="380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73,450,515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Times New Roman" w:hAnsi="Times New Roman" w:cs="Times New Roman" w:eastAsia="Times New Roman" w:hint="default"/>
                <w:sz w:val="21"/>
                <w:szCs w:val="21"/>
              </w:rPr>
            </w:pPr>
            <w:r>
              <w:rPr>
                <w:rFonts w:ascii="Times New Roman"/>
                <w:spacing w:val="-1"/>
                <w:sz w:val="21"/>
              </w:rPr>
              <w:t>80,586,724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3532"/>
        <w:gridCol w:w="3798"/>
        <w:gridCol w:w="1422"/>
      </w:tblGrid>
      <w:tr>
        <w:trPr>
          <w:trHeight w:val="263"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QQCTU</w:t>
            </w:r>
          </w:p>
        </w:tc>
        <w:tc>
          <w:tcPr>
            <w:tcW w:w="3798" w:type="dxa"/>
            <w:tcBorders>
              <w:top w:val="nil" w:sz="6" w:space="0" w:color="auto"/>
              <w:left w:val="nil" w:sz="6" w:space="0" w:color="auto"/>
              <w:bottom w:val="nil" w:sz="6" w:space="0" w:color="auto"/>
              <w:right w:val="nil" w:sz="6" w:space="0" w:color="auto"/>
            </w:tcBorders>
          </w:tcPr>
          <w:p>
            <w:pPr>
              <w:pStyle w:val="TableParagraph"/>
              <w:spacing w:line="215" w:lineRule="exact"/>
              <w:ind w:right="260"/>
              <w:jc w:val="right"/>
              <w:rPr>
                <w:rFonts w:ascii="Times New Roman" w:hAnsi="Times New Roman" w:cs="Times New Roman" w:eastAsia="Times New Roman" w:hint="default"/>
                <w:sz w:val="21"/>
                <w:szCs w:val="21"/>
              </w:rPr>
            </w:pPr>
            <w:r>
              <w:rPr>
                <w:rFonts w:ascii="Times New Roman"/>
                <w:spacing w:val="-1"/>
                <w:sz w:val="21"/>
              </w:rPr>
              <w:t>25,711,912</w:t>
            </w:r>
          </w:p>
        </w:tc>
        <w:tc>
          <w:tcPr>
            <w:tcW w:w="1422"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Times New Roman" w:hAnsi="Times New Roman" w:cs="Times New Roman" w:eastAsia="Times New Roman" w:hint="default"/>
                <w:sz w:val="21"/>
                <w:szCs w:val="21"/>
              </w:rPr>
            </w:pPr>
            <w:r>
              <w:rPr>
                <w:rFonts w:ascii="Times New Roman"/>
                <w:spacing w:val="-1"/>
                <w:sz w:val="21"/>
              </w:rPr>
              <w:t>27,219,648</w:t>
            </w:r>
          </w:p>
        </w:tc>
      </w:tr>
      <w:tr>
        <w:trPr>
          <w:trHeight w:val="31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QQCTN</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10,490,272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12,453,055</w:t>
            </w:r>
          </w:p>
        </w:tc>
      </w:tr>
      <w:tr>
        <w:trPr>
          <w:trHeight w:val="318"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7,227,225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6,887,154</w:t>
            </w:r>
          </w:p>
        </w:tc>
      </w:tr>
      <w:tr>
        <w:trPr>
          <w:trHeight w:val="319"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Times New Roman" w:hAnsi="Times New Roman" w:cs="Times New Roman" w:eastAsia="Times New Roman" w:hint="default"/>
                <w:sz w:val="21"/>
                <w:szCs w:val="21"/>
              </w:rPr>
            </w:pPr>
            <w:r>
              <w:rPr>
                <w:rFonts w:ascii="Times New Roman"/>
                <w:sz w:val="21"/>
              </w:rPr>
              <w:t>QQCTUA</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0"/>
              <w:jc w:val="right"/>
              <w:rPr>
                <w:rFonts w:ascii="Times New Roman" w:hAnsi="Times New Roman" w:cs="Times New Roman" w:eastAsia="Times New Roman" w:hint="default"/>
                <w:sz w:val="21"/>
                <w:szCs w:val="21"/>
              </w:rPr>
            </w:pPr>
            <w:r>
              <w:rPr>
                <w:rFonts w:ascii="Times New Roman"/>
                <w:spacing w:val="-1"/>
                <w:sz w:val="21"/>
              </w:rPr>
              <w:t>6,303,202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Times New Roman" w:hAnsi="Times New Roman" w:cs="Times New Roman" w:eastAsia="Times New Roman" w:hint="default"/>
                <w:sz w:val="21"/>
                <w:szCs w:val="21"/>
              </w:rPr>
            </w:pPr>
            <w:r>
              <w:rPr>
                <w:rFonts w:ascii="Times New Roman"/>
                <w:spacing w:val="-1"/>
                <w:sz w:val="21"/>
              </w:rPr>
              <w:t>5,151,106</w:t>
            </w:r>
          </w:p>
        </w:tc>
      </w:tr>
      <w:tr>
        <w:trPr>
          <w:trHeight w:val="331"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0" w:right="0"/>
              <w:jc w:val="left"/>
              <w:rPr>
                <w:rFonts w:ascii="Times New Roman" w:hAnsi="Times New Roman" w:cs="Times New Roman" w:eastAsia="Times New Roman" w:hint="default"/>
                <w:sz w:val="21"/>
                <w:szCs w:val="21"/>
              </w:rPr>
            </w:pPr>
            <w:r>
              <w:rPr>
                <w:rFonts w:ascii="Times New Roman"/>
                <w:sz w:val="21"/>
              </w:rPr>
              <w:t>QDOT</w:t>
            </w:r>
          </w:p>
        </w:tc>
        <w:tc>
          <w:tcPr>
            <w:tcW w:w="3798"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260"/>
              <w:jc w:val="right"/>
              <w:rPr>
                <w:rFonts w:ascii="Times New Roman" w:hAnsi="Times New Roman" w:cs="Times New Roman" w:eastAsia="Times New Roman" w:hint="default"/>
                <w:sz w:val="21"/>
                <w:szCs w:val="21"/>
              </w:rPr>
            </w:pPr>
            <w:r>
              <w:rPr>
                <w:rFonts w:ascii="Times New Roman"/>
                <w:spacing w:val="-1"/>
                <w:sz w:val="21"/>
              </w:rPr>
              <w:t>2,153,576</w:t>
            </w: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7,253,277</w:t>
            </w:r>
          </w:p>
        </w:tc>
      </w:tr>
      <w:tr>
        <w:trPr>
          <w:trHeight w:val="355" w:hRule="exact"/>
        </w:trPr>
        <w:tc>
          <w:tcPr>
            <w:tcW w:w="3532" w:type="dxa"/>
            <w:tcBorders>
              <w:top w:val="nil" w:sz="6" w:space="0" w:color="auto"/>
              <w:left w:val="nil" w:sz="6" w:space="0" w:color="auto"/>
              <w:bottom w:val="nil" w:sz="6" w:space="0" w:color="auto"/>
              <w:right w:val="nil" w:sz="6" w:space="0" w:color="auto"/>
            </w:tcBorders>
          </w:tcPr>
          <w:p>
            <w:pPr/>
          </w:p>
        </w:tc>
        <w:tc>
          <w:tcPr>
            <w:tcW w:w="3798"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260"/>
              <w:jc w:val="right"/>
              <w:rPr>
                <w:rFonts w:ascii="Times New Roman" w:hAnsi="Times New Roman" w:cs="Times New Roman" w:eastAsia="Times New Roman" w:hint="default"/>
                <w:sz w:val="21"/>
                <w:szCs w:val="21"/>
              </w:rPr>
            </w:pPr>
            <w:r>
              <w:rPr>
                <w:rFonts w:ascii="Times New Roman"/>
                <w:spacing w:val="-1"/>
                <w:sz w:val="21"/>
              </w:rPr>
              <w:t>250,163,708</w:t>
            </w:r>
          </w:p>
        </w:tc>
        <w:tc>
          <w:tcPr>
            <w:tcW w:w="1422"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272,280,360</w:t>
            </w:r>
          </w:p>
        </w:tc>
      </w:tr>
    </w:tbl>
    <w:p>
      <w:pPr>
        <w:pStyle w:val="BodyText"/>
        <w:spacing w:line="297" w:lineRule="auto" w:before="42"/>
        <w:ind w:right="134" w:firstLine="420"/>
        <w:jc w:val="left"/>
      </w:pPr>
      <w:r>
        <w:rPr/>
        <w:t>关联方青岛实华、</w:t>
      </w:r>
      <w:r>
        <w:rPr>
          <w:rFonts w:ascii="Times New Roman" w:hAnsi="Times New Roman" w:cs="Times New Roman" w:eastAsia="Times New Roman" w:hint="default"/>
        </w:rPr>
        <w:t>QQCT </w:t>
      </w:r>
      <w:r>
        <w:rPr/>
        <w:t>等公司向客户收取货物港务费、停泊费、保安费，并按照约定</w:t>
      </w:r>
      <w:r>
        <w:rPr>
          <w:spacing w:val="-60"/>
        </w:rPr>
        <w:t> </w:t>
      </w:r>
      <w:r>
        <w:rPr>
          <w:rFonts w:ascii="Times New Roman" w:hAnsi="Times New Roman" w:cs="Times New Roman" w:eastAsia="Times New Roman" w:hint="default"/>
        </w:rPr>
        <w:t>50%</w:t>
      </w:r>
      <w:r>
        <w:rPr/>
        <w:t>的</w:t>
      </w:r>
      <w:r>
        <w:rPr>
          <w:w w:val="100"/>
        </w:rPr>
        <w:t> </w:t>
      </w:r>
      <w:r>
        <w:rPr/>
        <w:t>比例上交本公司。</w:t>
      </w:r>
    </w:p>
    <w:p>
      <w:pPr>
        <w:spacing w:line="240" w:lineRule="auto" w:before="4"/>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532"/>
        <w:gridCol w:w="3798"/>
        <w:gridCol w:w="1422"/>
      </w:tblGrid>
      <w:tr>
        <w:trPr>
          <w:trHeight w:val="42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e</w:t>
            </w:r>
            <w:r>
              <w:rPr>
                <w:rFonts w:ascii="宋体" w:hAnsi="宋体" w:cs="宋体" w:eastAsia="宋体" w:hint="default"/>
                <w:sz w:val="21"/>
                <w:szCs w:val="21"/>
              </w:rPr>
              <w:t>）接受关联方委托支付采购款</w:t>
            </w:r>
          </w:p>
        </w:tc>
        <w:tc>
          <w:tcPr>
            <w:tcW w:w="379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r>
      <w:tr>
        <w:trPr>
          <w:trHeight w:val="629" w:hRule="exact"/>
        </w:trPr>
        <w:tc>
          <w:tcPr>
            <w:tcW w:w="3532" w:type="dxa"/>
            <w:tcBorders>
              <w:top w:val="nil" w:sz="6" w:space="0" w:color="auto"/>
              <w:left w:val="nil" w:sz="6" w:space="0" w:color="auto"/>
              <w:bottom w:val="nil" w:sz="6" w:space="0" w:color="auto"/>
              <w:right w:val="nil" w:sz="6" w:space="0" w:color="auto"/>
            </w:tcBorders>
          </w:tcPr>
          <w:p>
            <w:pP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60"/>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469"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QQCT</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60"/>
              <w:jc w:val="right"/>
              <w:rPr>
                <w:rFonts w:ascii="Times New Roman" w:hAnsi="Times New Roman" w:cs="Times New Roman" w:eastAsia="Times New Roman" w:hint="default"/>
                <w:sz w:val="21"/>
                <w:szCs w:val="21"/>
              </w:rPr>
            </w:pPr>
            <w:r>
              <w:rPr>
                <w:rFonts w:ascii="Times New Roman"/>
                <w:spacing w:val="-1"/>
                <w:sz w:val="21"/>
              </w:rPr>
              <w:t>86,525,265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76,844,626</w:t>
            </w:r>
          </w:p>
        </w:tc>
      </w:tr>
      <w:tr>
        <w:trPr>
          <w:trHeight w:val="31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QDOT</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69,397,717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54,030,916</w:t>
            </w:r>
          </w:p>
        </w:tc>
      </w:tr>
      <w:tr>
        <w:trPr>
          <w:trHeight w:val="319"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Times New Roman" w:hAnsi="Times New Roman" w:cs="Times New Roman" w:eastAsia="Times New Roman" w:hint="default"/>
                <w:sz w:val="21"/>
                <w:szCs w:val="21"/>
              </w:rPr>
            </w:pPr>
            <w:r>
              <w:rPr>
                <w:rFonts w:ascii="Times New Roman"/>
                <w:spacing w:val="-1"/>
                <w:sz w:val="21"/>
              </w:rPr>
              <w:t>36,849,320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2,708,449</w:t>
            </w:r>
          </w:p>
        </w:tc>
      </w:tr>
      <w:tr>
        <w:trPr>
          <w:trHeight w:val="312"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Times New Roman" w:hAnsi="Times New Roman" w:cs="Times New Roman" w:eastAsia="Times New Roman" w:hint="default"/>
                <w:sz w:val="21"/>
                <w:szCs w:val="21"/>
              </w:rPr>
            </w:pPr>
            <w:r>
              <w:rPr>
                <w:rFonts w:ascii="Times New Roman"/>
                <w:sz w:val="21"/>
              </w:rPr>
              <w:t>QQCTU</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0"/>
              <w:jc w:val="right"/>
              <w:rPr>
                <w:rFonts w:ascii="Times New Roman" w:hAnsi="Times New Roman" w:cs="Times New Roman" w:eastAsia="Times New Roman" w:hint="default"/>
                <w:sz w:val="21"/>
                <w:szCs w:val="21"/>
              </w:rPr>
            </w:pPr>
            <w:r>
              <w:rPr>
                <w:rFonts w:ascii="Times New Roman"/>
                <w:spacing w:val="-1"/>
                <w:sz w:val="21"/>
              </w:rPr>
              <w:t>29,506,321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35,486,107</w:t>
            </w:r>
          </w:p>
        </w:tc>
      </w:tr>
      <w:tr>
        <w:trPr>
          <w:trHeight w:val="31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28,051,833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1"/>
                <w:szCs w:val="21"/>
              </w:rPr>
            </w:pPr>
            <w:r>
              <w:rPr>
                <w:rFonts w:ascii="Times New Roman"/>
                <w:spacing w:val="-1"/>
                <w:sz w:val="21"/>
              </w:rPr>
              <w:t>19,208,213</w:t>
            </w:r>
          </w:p>
        </w:tc>
      </w:tr>
      <w:tr>
        <w:trPr>
          <w:trHeight w:val="318"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20,899,770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1"/>
                <w:szCs w:val="21"/>
              </w:rPr>
            </w:pPr>
            <w:r>
              <w:rPr>
                <w:rFonts w:ascii="Times New Roman"/>
                <w:spacing w:val="-1"/>
                <w:sz w:val="21"/>
              </w:rPr>
              <w:t>20,634,766</w:t>
            </w:r>
          </w:p>
        </w:tc>
      </w:tr>
      <w:tr>
        <w:trPr>
          <w:trHeight w:val="313"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Times New Roman" w:hAnsi="Times New Roman" w:cs="Times New Roman" w:eastAsia="Times New Roman" w:hint="default"/>
                <w:sz w:val="21"/>
                <w:szCs w:val="21"/>
              </w:rPr>
            </w:pPr>
            <w:r>
              <w:rPr>
                <w:rFonts w:ascii="Times New Roman"/>
                <w:sz w:val="21"/>
              </w:rPr>
              <w:t>QQCTN</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0"/>
              <w:jc w:val="right"/>
              <w:rPr>
                <w:rFonts w:ascii="Times New Roman" w:hAnsi="Times New Roman" w:cs="Times New Roman" w:eastAsia="Times New Roman" w:hint="default"/>
                <w:sz w:val="21"/>
                <w:szCs w:val="21"/>
              </w:rPr>
            </w:pPr>
            <w:r>
              <w:rPr>
                <w:rFonts w:ascii="Times New Roman"/>
                <w:spacing w:val="-1"/>
                <w:sz w:val="21"/>
              </w:rPr>
              <w:t>14,258,920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Times New Roman" w:hAnsi="Times New Roman" w:cs="Times New Roman" w:eastAsia="Times New Roman" w:hint="default"/>
                <w:sz w:val="21"/>
                <w:szCs w:val="21"/>
              </w:rPr>
            </w:pPr>
            <w:r>
              <w:rPr>
                <w:rFonts w:ascii="Times New Roman"/>
                <w:spacing w:val="-1"/>
                <w:sz w:val="21"/>
              </w:rPr>
              <w:t>15,828,675</w:t>
            </w:r>
          </w:p>
        </w:tc>
      </w:tr>
      <w:tr>
        <w:trPr>
          <w:trHeight w:val="31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7,515,073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8,169,199</w:t>
            </w:r>
          </w:p>
        </w:tc>
      </w:tr>
      <w:tr>
        <w:trPr>
          <w:trHeight w:val="315"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5,278,790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5,266,740</w:t>
            </w:r>
          </w:p>
        </w:tc>
      </w:tr>
      <w:tr>
        <w:trPr>
          <w:trHeight w:val="315"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0"/>
              <w:jc w:val="right"/>
              <w:rPr>
                <w:rFonts w:ascii="Times New Roman" w:hAnsi="Times New Roman" w:cs="Times New Roman" w:eastAsia="Times New Roman" w:hint="default"/>
                <w:sz w:val="21"/>
                <w:szCs w:val="21"/>
              </w:rPr>
            </w:pPr>
            <w:r>
              <w:rPr>
                <w:rFonts w:ascii="Times New Roman"/>
                <w:spacing w:val="-1"/>
                <w:sz w:val="21"/>
              </w:rPr>
              <w:t>4,483,280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Times New Roman" w:hAnsi="Times New Roman" w:cs="Times New Roman" w:eastAsia="Times New Roman" w:hint="default"/>
                <w:sz w:val="21"/>
                <w:szCs w:val="21"/>
              </w:rPr>
            </w:pPr>
            <w:r>
              <w:rPr>
                <w:rFonts w:ascii="Times New Roman"/>
                <w:spacing w:val="-1"/>
                <w:sz w:val="21"/>
              </w:rPr>
              <w:t>4,464,289</w:t>
            </w:r>
          </w:p>
        </w:tc>
      </w:tr>
      <w:tr>
        <w:trPr>
          <w:trHeight w:val="317"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Times New Roman" w:hAnsi="Times New Roman" w:cs="Times New Roman" w:eastAsia="Times New Roman" w:hint="default"/>
                <w:sz w:val="21"/>
                <w:szCs w:val="21"/>
              </w:rPr>
            </w:pPr>
            <w:r>
              <w:rPr>
                <w:rFonts w:ascii="Times New Roman"/>
                <w:spacing w:val="-1"/>
                <w:sz w:val="21"/>
              </w:rPr>
              <w:t>3,536,136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3,942,573</w:t>
            </w:r>
          </w:p>
        </w:tc>
      </w:tr>
      <w:tr>
        <w:trPr>
          <w:trHeight w:val="31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2,779,033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2,589,742</w:t>
            </w:r>
          </w:p>
        </w:tc>
      </w:tr>
      <w:tr>
        <w:trPr>
          <w:trHeight w:val="31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2,327,902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2,169,926</w:t>
            </w:r>
          </w:p>
        </w:tc>
      </w:tr>
      <w:tr>
        <w:trPr>
          <w:trHeight w:val="31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0"/>
              <w:jc w:val="right"/>
              <w:rPr>
                <w:rFonts w:ascii="Times New Roman" w:hAnsi="Times New Roman" w:cs="Times New Roman" w:eastAsia="Times New Roman" w:hint="default"/>
                <w:sz w:val="21"/>
                <w:szCs w:val="21"/>
              </w:rPr>
            </w:pPr>
            <w:r>
              <w:rPr>
                <w:rFonts w:ascii="Times New Roman"/>
                <w:spacing w:val="-1"/>
                <w:sz w:val="21"/>
              </w:rPr>
              <w:t>1,839,343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1,631,607</w:t>
            </w:r>
          </w:p>
        </w:tc>
      </w:tr>
      <w:tr>
        <w:trPr>
          <w:trHeight w:val="320"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0" w:lineRule="exact"/>
              <w:ind w:left="200"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0"/>
              <w:jc w:val="right"/>
              <w:rPr>
                <w:rFonts w:ascii="Times New Roman" w:hAnsi="Times New Roman" w:cs="Times New Roman" w:eastAsia="Times New Roman" w:hint="default"/>
                <w:sz w:val="21"/>
                <w:szCs w:val="21"/>
              </w:rPr>
            </w:pPr>
            <w:r>
              <w:rPr>
                <w:rFonts w:ascii="Times New Roman"/>
                <w:spacing w:val="-1"/>
                <w:sz w:val="21"/>
              </w:rPr>
              <w:t>1,366,497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1,188,814</w:t>
            </w:r>
          </w:p>
        </w:tc>
      </w:tr>
      <w:tr>
        <w:trPr>
          <w:trHeight w:val="333"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3798"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right="260"/>
              <w:jc w:val="right"/>
              <w:rPr>
                <w:rFonts w:ascii="Times New Roman" w:hAnsi="Times New Roman" w:cs="Times New Roman" w:eastAsia="Times New Roman" w:hint="default"/>
                <w:sz w:val="21"/>
                <w:szCs w:val="21"/>
              </w:rPr>
            </w:pPr>
            <w:r>
              <w:rPr>
                <w:rFonts w:ascii="Times New Roman"/>
                <w:spacing w:val="-1"/>
                <w:sz w:val="21"/>
              </w:rPr>
              <w:t>7,732,762</w:t>
            </w: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8,616,610</w:t>
            </w:r>
          </w:p>
        </w:tc>
      </w:tr>
      <w:tr>
        <w:trPr>
          <w:trHeight w:val="355" w:hRule="exact"/>
        </w:trPr>
        <w:tc>
          <w:tcPr>
            <w:tcW w:w="3532" w:type="dxa"/>
            <w:tcBorders>
              <w:top w:val="nil" w:sz="6" w:space="0" w:color="auto"/>
              <w:left w:val="nil" w:sz="6" w:space="0" w:color="auto"/>
              <w:bottom w:val="nil" w:sz="6" w:space="0" w:color="auto"/>
              <w:right w:val="nil" w:sz="6" w:space="0" w:color="auto"/>
            </w:tcBorders>
          </w:tcPr>
          <w:p>
            <w:pPr/>
          </w:p>
        </w:tc>
        <w:tc>
          <w:tcPr>
            <w:tcW w:w="3798"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260"/>
              <w:jc w:val="right"/>
              <w:rPr>
                <w:rFonts w:ascii="Times New Roman" w:hAnsi="Times New Roman" w:cs="Times New Roman" w:eastAsia="Times New Roman" w:hint="default"/>
                <w:sz w:val="21"/>
                <w:szCs w:val="21"/>
              </w:rPr>
            </w:pPr>
            <w:r>
              <w:rPr>
                <w:rFonts w:ascii="Times New Roman"/>
                <w:spacing w:val="-1"/>
                <w:sz w:val="21"/>
              </w:rPr>
              <w:t>322,347,962</w:t>
            </w:r>
          </w:p>
        </w:tc>
        <w:tc>
          <w:tcPr>
            <w:tcW w:w="1422" w:type="dxa"/>
            <w:tcBorders>
              <w:top w:val="single" w:sz="8" w:space="0" w:color="000000"/>
              <w:left w:val="nil" w:sz="6" w:space="0" w:color="auto"/>
              <w:bottom w:val="single" w:sz="12" w:space="0" w:color="000000"/>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21"/>
                <w:szCs w:val="21"/>
              </w:rPr>
            </w:pPr>
            <w:r>
              <w:rPr>
                <w:rFonts w:ascii="Times New Roman"/>
                <w:spacing w:val="-1"/>
                <w:sz w:val="21"/>
              </w:rPr>
              <w:t>262,781,252</w:t>
            </w:r>
          </w:p>
        </w:tc>
      </w:tr>
    </w:tbl>
    <w:p>
      <w:pPr>
        <w:spacing w:line="240" w:lineRule="auto" w:before="4"/>
        <w:rPr>
          <w:rFonts w:ascii="宋体" w:hAnsi="宋体" w:cs="宋体" w:eastAsia="宋体" w:hint="default"/>
          <w:sz w:val="24"/>
          <w:szCs w:val="24"/>
        </w:rPr>
      </w:pPr>
    </w:p>
    <w:p>
      <w:pPr>
        <w:pStyle w:val="BodyText"/>
        <w:spacing w:line="314" w:lineRule="auto" w:before="36"/>
        <w:ind w:left="638" w:right="0"/>
        <w:jc w:val="left"/>
      </w:pPr>
      <w:r>
        <w:rPr/>
        <w:t>（</w:t>
      </w:r>
      <w:r>
        <w:rPr>
          <w:rFonts w:ascii="宋体" w:hAnsi="宋体" w:cs="宋体" w:eastAsia="宋体" w:hint="default"/>
        </w:rPr>
        <w:t>f</w:t>
      </w:r>
      <w:r>
        <w:rPr/>
        <w:t>）为关联方代付内退及统筹外福利</w:t>
      </w:r>
      <w:r>
        <w:rPr>
          <w:rFonts w:ascii="宋体" w:hAnsi="宋体" w:cs="宋体" w:eastAsia="宋体" w:hint="default"/>
          <w:w w:val="100"/>
        </w:rPr>
        <w:t> </w:t>
      </w:r>
      <w:r>
        <w:rPr>
          <w:spacing w:val="-1"/>
        </w:rPr>
        <w:t>青岛港集团于以前年度将已计提的员工内退及统筹外福利负债划转至本集团，以抵减本集团对</w:t>
      </w:r>
    </w:p>
    <w:p>
      <w:pPr>
        <w:pStyle w:val="BodyText"/>
        <w:spacing w:line="314" w:lineRule="auto" w:before="20"/>
        <w:ind w:left="638" w:right="0" w:hanging="420"/>
        <w:jc w:val="left"/>
      </w:pPr>
      <w:r>
        <w:rPr/>
        <w:t>青岛港集团的欠款，并由本集团在未来期间代为支付。</w:t>
      </w:r>
      <w:r>
        <w:rPr>
          <w:w w:val="100"/>
        </w:rPr>
        <w:t> </w:t>
      </w:r>
      <w:r>
        <w:rPr>
          <w:spacing w:val="6"/>
        </w:rPr>
        <w:t>于</w:t>
      </w:r>
      <w:r>
        <w:rPr>
          <w:rFonts w:ascii="Arial" w:hAnsi="Arial" w:cs="Arial" w:eastAsia="Arial" w:hint="default"/>
          <w:spacing w:val="6"/>
        </w:rPr>
        <w:t>2019</w:t>
      </w:r>
      <w:r>
        <w:rPr>
          <w:spacing w:val="6"/>
        </w:rPr>
        <w:t>年度，本集团代青岛港集团向内退及离退休员工支付费用</w:t>
      </w:r>
      <w:r>
        <w:rPr>
          <w:rFonts w:ascii="Arial" w:hAnsi="Arial" w:cs="Arial" w:eastAsia="Arial" w:hint="default"/>
          <w:spacing w:val="6"/>
        </w:rPr>
        <w:t>1,975,365</w:t>
      </w:r>
      <w:r>
        <w:rPr>
          <w:spacing w:val="6"/>
        </w:rPr>
        <w:t>元</w:t>
      </w:r>
      <w:r>
        <w:rPr>
          <w:rFonts w:ascii="Arial" w:hAnsi="Arial" w:cs="Arial" w:eastAsia="Arial" w:hint="default"/>
          <w:spacing w:val="6"/>
        </w:rPr>
        <w:t>(2018</w:t>
      </w:r>
      <w:r>
        <w:rPr>
          <w:spacing w:val="6"/>
        </w:rPr>
        <w:t>年度：</w:t>
      </w:r>
    </w:p>
    <w:p>
      <w:pPr>
        <w:pStyle w:val="BodyText"/>
        <w:spacing w:line="287" w:lineRule="exact"/>
        <w:ind w:right="0"/>
        <w:jc w:val="left"/>
      </w:pPr>
      <w:r>
        <w:rPr>
          <w:rFonts w:ascii="Arial" w:hAnsi="Arial" w:cs="Arial" w:eastAsia="Arial" w:hint="default"/>
        </w:rPr>
        <w:t>2,174,255</w:t>
      </w:r>
      <w:r>
        <w:rPr/>
        <w:t>元</w:t>
      </w:r>
      <w:r>
        <w:rPr>
          <w:rFonts w:ascii="Arial" w:hAnsi="Arial" w:cs="Arial" w:eastAsia="Arial" w:hint="default"/>
        </w:rPr>
        <w:t>)</w:t>
      </w:r>
      <w:r>
        <w:rPr/>
        <w:t>。截至</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日，累计已支付</w:t>
      </w:r>
      <w:r>
        <w:rPr>
          <w:rFonts w:ascii="Arial" w:hAnsi="Arial" w:cs="Arial" w:eastAsia="Arial" w:hint="default"/>
        </w:rPr>
        <w:t>16,147,889</w:t>
      </w:r>
      <w:r>
        <w:rPr/>
        <w:t>元。</w:t>
      </w:r>
    </w:p>
    <w:p>
      <w:pPr>
        <w:pStyle w:val="BodyText"/>
        <w:spacing w:line="240" w:lineRule="auto" w:before="70"/>
        <w:ind w:left="638" w:right="0"/>
        <w:jc w:val="left"/>
        <w:rPr>
          <w:rFonts w:ascii="宋体" w:hAnsi="宋体" w:cs="宋体" w:eastAsia="宋体" w:hint="default"/>
        </w:rPr>
      </w:pPr>
      <w:r>
        <w:rPr>
          <w:rFonts w:ascii="宋体"/>
          <w:w w:val="100"/>
        </w:rPr>
        <w:t> </w:t>
      </w:r>
    </w:p>
    <w:p>
      <w:pPr>
        <w:pStyle w:val="BodyText"/>
        <w:spacing w:line="297" w:lineRule="auto" w:before="85"/>
        <w:ind w:right="109" w:firstLine="420"/>
        <w:jc w:val="both"/>
        <w:rPr>
          <w:rFonts w:ascii="宋体" w:hAnsi="宋体" w:cs="宋体" w:eastAsia="宋体" w:hint="default"/>
        </w:rPr>
      </w:pPr>
      <w:r>
        <w:rPr/>
        <w:t>（</w:t>
      </w:r>
      <w:r>
        <w:rPr>
          <w:rFonts w:ascii="宋体" w:hAnsi="宋体" w:cs="宋体" w:eastAsia="宋体" w:hint="default"/>
        </w:rPr>
        <w:t>g</w:t>
      </w:r>
      <w:r>
        <w:rPr/>
        <w:t>）于</w:t>
      </w:r>
      <w:r>
        <w:rPr>
          <w:spacing w:val="-61"/>
        </w:rPr>
        <w:t> </w:t>
      </w:r>
      <w:r>
        <w:rPr>
          <w:rFonts w:ascii="Arial" w:hAnsi="Arial" w:cs="Arial" w:eastAsia="Arial" w:hint="default"/>
        </w:rPr>
        <w:t>2019</w:t>
      </w:r>
      <w:r>
        <w:rPr>
          <w:rFonts w:ascii="Arial" w:hAnsi="Arial" w:cs="Arial" w:eastAsia="Arial" w:hint="default"/>
          <w:spacing w:val="-13"/>
        </w:rPr>
        <w:t> </w:t>
      </w:r>
      <w:r>
        <w:rPr/>
        <w:t>年度，本公司之子公司国贸物流代理采购业务中的供应商以其应收国贸物流的款</w:t>
      </w:r>
      <w:r>
        <w:rPr>
          <w:w w:val="100"/>
        </w:rPr>
        <w:t> </w:t>
      </w:r>
      <w:r>
        <w:rPr>
          <w:spacing w:val="-2"/>
          <w:w w:val="100"/>
        </w:rPr>
        <w:t>项向本公司之关联方青港商业保理申请附追索权的保理融资款</w:t>
      </w:r>
      <w:r>
        <w:rPr>
          <w:spacing w:val="-59"/>
          <w:w w:val="100"/>
        </w:rPr>
        <w:t> </w:t>
      </w:r>
      <w:r>
        <w:rPr>
          <w:rFonts w:ascii="Arial" w:hAnsi="Arial" w:cs="Arial" w:eastAsia="Arial" w:hint="default"/>
          <w:spacing w:val="-1"/>
          <w:w w:val="100"/>
        </w:rPr>
        <w:t>14,616,000</w:t>
      </w:r>
      <w:r>
        <w:rPr>
          <w:rFonts w:ascii="Arial" w:hAnsi="Arial" w:cs="Arial" w:eastAsia="Arial" w:hint="default"/>
          <w:spacing w:val="-14"/>
          <w:w w:val="100"/>
        </w:rPr>
        <w:t> </w:t>
      </w:r>
      <w:r>
        <w:rPr>
          <w:spacing w:val="-1"/>
          <w:w w:val="100"/>
        </w:rPr>
        <w:t>元</w:t>
      </w:r>
      <w:r>
        <w:rPr>
          <w:rFonts w:ascii="Arial" w:hAnsi="Arial" w:cs="Arial" w:eastAsia="Arial" w:hint="default"/>
          <w:spacing w:val="-1"/>
          <w:w w:val="100"/>
        </w:rPr>
        <w:t>(2018</w:t>
      </w:r>
      <w:r>
        <w:rPr>
          <w:rFonts w:ascii="Arial" w:hAnsi="Arial" w:cs="Arial" w:eastAsia="Arial" w:hint="default"/>
          <w:spacing w:val="-12"/>
          <w:w w:val="100"/>
        </w:rPr>
        <w:t> </w:t>
      </w:r>
      <w:r>
        <w:rPr>
          <w:spacing w:val="-9"/>
          <w:w w:val="100"/>
        </w:rPr>
        <w:t>年：</w:t>
      </w:r>
      <w:r>
        <w:rPr>
          <w:rFonts w:ascii="Arial" w:hAnsi="Arial" w:cs="Arial" w:eastAsia="Arial" w:hint="default"/>
          <w:spacing w:val="-9"/>
          <w:w w:val="100"/>
        </w:rPr>
        <w:t>257,432,000</w:t>
      </w:r>
      <w:r>
        <w:rPr>
          <w:rFonts w:ascii="Arial" w:hAnsi="Arial" w:cs="Arial" w:eastAsia="Arial" w:hint="default"/>
          <w:spacing w:val="-56"/>
          <w:w w:val="100"/>
        </w:rPr>
        <w:t> </w:t>
      </w:r>
      <w:r>
        <w:rPr>
          <w:rFonts w:ascii="Arial" w:hAnsi="Arial" w:cs="Arial" w:eastAsia="Arial" w:hint="default"/>
          <w:spacing w:val="-56"/>
          <w:w w:val="100"/>
        </w:rPr>
      </w:r>
      <w:r>
        <w:rPr>
          <w:spacing w:val="-3"/>
        </w:rPr>
        <w:t>元</w:t>
      </w:r>
      <w:r>
        <w:rPr>
          <w:rFonts w:ascii="Arial" w:hAnsi="Arial" w:cs="Arial" w:eastAsia="Arial" w:hint="default"/>
          <w:spacing w:val="-3"/>
        </w:rPr>
        <w:t>)</w:t>
      </w:r>
      <w:r>
        <w:rPr>
          <w:spacing w:val="-3"/>
        </w:rPr>
        <w:t>，根据相应业务安排，保理融资业务到期后，由国贸物流直接向青港商业保理支付上述保理融资</w:t>
      </w:r>
      <w:r>
        <w:rPr>
          <w:spacing w:val="-15"/>
        </w:rPr>
        <w:t> </w:t>
      </w:r>
      <w:r>
        <w:rPr>
          <w:spacing w:val="-15"/>
        </w:rPr>
      </w:r>
      <w:r>
        <w:rPr/>
        <w:t>本金及相关利息。截至</w:t>
      </w:r>
      <w:r>
        <w:rPr>
          <w:spacing w:val="-55"/>
        </w:rPr>
        <w:t> </w:t>
      </w:r>
      <w:r>
        <w:rPr>
          <w:rFonts w:ascii="Arial" w:hAnsi="Arial" w:cs="Arial" w:eastAsia="Arial" w:hint="default"/>
        </w:rPr>
        <w:t>2019</w:t>
      </w:r>
      <w:r>
        <w:rPr>
          <w:rFonts w:ascii="Arial" w:hAnsi="Arial" w:cs="Arial" w:eastAsia="Arial" w:hint="default"/>
          <w:spacing w:val="-7"/>
        </w:rPr>
        <w:t> </w:t>
      </w:r>
      <w:r>
        <w:rPr/>
        <w:t>年</w:t>
      </w:r>
      <w:r>
        <w:rPr>
          <w:spacing w:val="-57"/>
        </w:rPr>
        <w:t> </w:t>
      </w:r>
      <w:r>
        <w:rPr>
          <w:rFonts w:ascii="Arial" w:hAnsi="Arial" w:cs="Arial" w:eastAsia="Arial" w:hint="default"/>
        </w:rPr>
        <w:t>12</w:t>
      </w:r>
      <w:r>
        <w:rPr>
          <w:rFonts w:ascii="Arial" w:hAnsi="Arial" w:cs="Arial" w:eastAsia="Arial" w:hint="default"/>
          <w:spacing w:val="-10"/>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日，上述保理融资本金及相关利息均已到期支付。</w:t>
      </w:r>
      <w:r>
        <w:rPr>
          <w:rFonts w:ascii="宋体" w:hAnsi="宋体" w:cs="宋体" w:eastAsia="宋体" w:hint="default"/>
        </w:rPr>
        <w:t> </w:t>
      </w:r>
    </w:p>
    <w:p>
      <w:pPr>
        <w:spacing w:after="0" w:line="297" w:lineRule="auto"/>
        <w:jc w:val="both"/>
        <w:rPr>
          <w:rFonts w:ascii="宋体" w:hAnsi="宋体" w:cs="宋体" w:eastAsia="宋体" w:hint="default"/>
        </w:rPr>
        <w:sectPr>
          <w:pgSz w:w="11910" w:h="16840"/>
          <w:pgMar w:header="0" w:footer="974" w:top="1080" w:bottom="1160" w:left="1200" w:right="13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36"/>
        <w:ind w:left="558" w:right="0"/>
        <w:jc w:val="left"/>
        <w:rPr>
          <w:rFonts w:ascii="宋体" w:hAnsi="宋体" w:cs="宋体" w:eastAsia="宋体" w:hint="default"/>
        </w:rPr>
      </w:pPr>
      <w:r>
        <w:rPr>
          <w:rFonts w:ascii="宋体"/>
          <w:w w:val="100"/>
        </w:rPr>
        <w:t> </w:t>
      </w:r>
    </w:p>
    <w:p>
      <w:pPr>
        <w:pStyle w:val="BodyText"/>
        <w:spacing w:line="240" w:lineRule="auto" w:before="85"/>
        <w:ind w:left="558" w:right="0"/>
        <w:jc w:val="left"/>
        <w:rPr>
          <w:rFonts w:ascii="宋体" w:hAnsi="宋体" w:cs="宋体" w:eastAsia="宋体" w:hint="default"/>
          <w:sz w:val="24"/>
          <w:szCs w:val="24"/>
        </w:rPr>
      </w:pPr>
      <w:r>
        <w:rPr/>
        <w:t>（</w:t>
      </w:r>
      <w:r>
        <w:rPr>
          <w:rFonts w:ascii="宋体" w:hAnsi="宋体" w:cs="宋体" w:eastAsia="宋体" w:hint="default"/>
        </w:rPr>
        <w:t>h</w:t>
      </w:r>
      <w:r>
        <w:rPr/>
        <w:t>）本公司之子公司青港财务公司代关联方开具票据。</w:t>
      </w:r>
      <w:r>
        <w:rPr>
          <w:rFonts w:ascii="宋体" w:hAnsi="宋体" w:cs="宋体" w:eastAsia="宋体" w:hint="default"/>
          <w:sz w:val="24"/>
          <w:szCs w:val="24"/>
        </w:rPr>
        <w:t> </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4" w:top="1080" w:bottom="1160" w:left="1280" w:right="1180"/>
        </w:sectPr>
      </w:pPr>
    </w:p>
    <w:p>
      <w:pPr>
        <w:pStyle w:val="Heading5"/>
        <w:spacing w:line="290" w:lineRule="auto" w:before="36"/>
        <w:ind w:left="13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7"/>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280" w:right="1180"/>
          <w:cols w:num="2" w:equalWidth="0">
            <w:col w:w="2568" w:space="4402"/>
            <w:col w:w="248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74"/>
        <w:gridCol w:w="1702"/>
        <w:gridCol w:w="1418"/>
        <w:gridCol w:w="1419"/>
        <w:gridCol w:w="1419"/>
        <w:gridCol w:w="1301"/>
      </w:tblGrid>
      <w:tr>
        <w:trPr>
          <w:trHeight w:val="283" w:hRule="exact"/>
        </w:trPr>
        <w:tc>
          <w:tcPr>
            <w:tcW w:w="1874" w:type="dxa"/>
            <w:vMerge w:val="restart"/>
            <w:tcBorders>
              <w:top w:val="single" w:sz="4" w:space="0" w:color="000000"/>
              <w:left w:val="single" w:sz="4" w:space="0" w:color="000000"/>
              <w:right w:val="single" w:sz="4" w:space="0" w:color="000000"/>
            </w:tcBorders>
          </w:tcPr>
          <w:p>
            <w:pPr>
              <w:pStyle w:val="TableParagraph"/>
              <w:spacing w:line="240" w:lineRule="auto" w:before="107"/>
              <w:ind w:left="5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7"/>
              <w:ind w:left="52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7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36,566,268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-1,828,313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9,618,590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-480,929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26,251,993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-1,312,600</w:t>
            </w:r>
          </w:p>
        </w:tc>
      </w:tr>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9,301,058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
                <w:sz w:val="21"/>
              </w:rPr>
              <w:t>-465,053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11,999,764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
                <w:sz w:val="21"/>
              </w:rPr>
              <w:t>-599,988</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5,016,400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-250,820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1,336,910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-66,845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61,839,226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-3,091,960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38,251,757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-1,912,588</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588,293,283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-29,456,590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194,041,166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-9,846,333</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294,119,761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-17,608,651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164,538,301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-9,728,304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130,880,131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-6,591,531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80,015,369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-5,599,547</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126,028,386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-6,301,419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128,132,282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-6,406,614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68,616,852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-3,437,735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56,100,976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-3,332,894</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32,745,054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-1,638,303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44,809,938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-2,522,010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26,201,055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-1,350,609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24,183,824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-1,221,226</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董家口铁路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21,243,469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-1,062,173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2,239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-112</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19,106,877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-1,860,490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19,154,533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-1,095,109</w:t>
            </w:r>
          </w:p>
        </w:tc>
      </w:tr>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西岸鑫通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14,498,035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-724,902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5,771,116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-288,556</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-720,000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14,394,187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-719,709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21,344,658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-1,067,233</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11,588,257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-1,158,350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9,764,093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-488,205</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11,560,618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-1,147,188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11,649,156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-1,151,615</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10,372,550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-518,627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2,333,493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-116,675</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9,897,525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-503,343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17,085,788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-862,250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9,667,136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-483,357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8,522,263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-426,113</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9,322,198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-466,110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11,303,837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-565,192</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7,942,281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-399,086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4,375,690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-218,785</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7,074,425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-353,721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8,159,341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-407,967</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4,296,225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-214,811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5,080,433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-254,022</w:t>
            </w:r>
          </w:p>
        </w:tc>
      </w:tr>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上海泛亚航运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3,584,455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
                <w:sz w:val="21"/>
              </w:rPr>
              <w:t>-179,223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Times New Roman" w:hAnsi="Times New Roman" w:cs="Times New Roman" w:eastAsia="Times New Roman" w:hint="default"/>
                <w:sz w:val="21"/>
                <w:szCs w:val="21"/>
              </w:rPr>
            </w:pPr>
            <w:r>
              <w:rPr>
                <w:rFonts w:ascii="Times New Roman"/>
                <w:spacing w:val="-1"/>
                <w:sz w:val="21"/>
              </w:rPr>
              <w:t>1,799,584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Times New Roman" w:hAnsi="Times New Roman" w:cs="Times New Roman" w:eastAsia="Times New Roman" w:hint="default"/>
                <w:sz w:val="21"/>
                <w:szCs w:val="21"/>
              </w:rPr>
            </w:pPr>
            <w:r>
              <w:rPr>
                <w:rFonts w:ascii="Times New Roman"/>
                <w:spacing w:val="-1"/>
                <w:sz w:val="21"/>
              </w:rPr>
              <w:t>-89,979</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海路国际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3,222,412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-161,121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3,222,412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-161,121</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2,836,777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-141,839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6,245,287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-312,264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中远海运集装箱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2,743,458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-137,173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708,485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-35,424</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2,271,709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-113,585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5,587,260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-279,363</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新鑫海航运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2,244,211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-112,211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78,414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-3,921</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威海金丰货代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1,856,640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-92,832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省港集团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1,294,464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-64,723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7,164,745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-358,238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5,611,773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-326,200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1,459,467,176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-78,077,650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839,621,711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-46,807,034</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62,131,701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-3,853,462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47,260,547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-3,232,944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8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874"/>
        <w:gridCol w:w="1702"/>
        <w:gridCol w:w="1418"/>
        <w:gridCol w:w="1419"/>
        <w:gridCol w:w="1419"/>
        <w:gridCol w:w="1301"/>
      </w:tblGrid>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54,437,883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-3,104,490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76,183,269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-5,080,545</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25,420,255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-1,979,119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75,256,103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-4,390,814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24,841,373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-1,242,069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47,442,081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-2,422,611</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7,742,173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-426,754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3,613,718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-180,686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2,459,807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-171,139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550,866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-27,543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2,786,136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-140,880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港湾职业学院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95,333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-9,533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14,226,307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-1,308,527</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3,455,601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-264,286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2,920,183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-261,047</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184,748,710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-11,259,081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266,074,626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-16,837,368</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6,580,550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3,835,256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青岛中远海运集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618,675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1,418,723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上海泛亚航运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124,896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4,988,618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2,696,054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1,418,839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1,340,539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12,578,216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12,443,934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2" w:lineRule="exact" w:before="19"/>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292,388,117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-5,119,580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4" w:lineRule="exact" w:before="16"/>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101,652,800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-1,311,830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89,046,726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-539,147</w:t>
            </w:r>
          </w:p>
        </w:tc>
      </w:tr>
      <w:tr>
        <w:trPr>
          <w:trHeight w:val="82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2" w:lineRule="exact" w:before="19"/>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49,065,129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-713,458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2" w:lineRule="exact" w:before="19"/>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569,751,852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-11,437,166</w:t>
            </w:r>
          </w:p>
        </w:tc>
      </w:tr>
      <w:tr>
        <w:trPr>
          <w:trHeight w:val="82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4" w:lineRule="exact" w:before="16"/>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322,208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-16,110</w:t>
            </w:r>
          </w:p>
        </w:tc>
      </w:tr>
      <w:tr>
        <w:trPr>
          <w:trHeight w:val="828"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2" w:lineRule="exact" w:before="19"/>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187,018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-9,351</w:t>
            </w:r>
          </w:p>
        </w:tc>
      </w:tr>
      <w:tr>
        <w:trPr>
          <w:trHeight w:val="82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提供贷</w:t>
            </w:r>
          </w:p>
          <w:p>
            <w:pPr>
              <w:pStyle w:val="TableParagraph"/>
              <w:spacing w:line="274" w:lineRule="exact" w:before="16"/>
              <w:ind w:left="26" w:right="153"/>
              <w:jc w:val="left"/>
              <w:rPr>
                <w:rFonts w:ascii="宋体" w:hAnsi="宋体" w:cs="宋体" w:eastAsia="宋体" w:hint="default"/>
                <w:sz w:val="21"/>
                <w:szCs w:val="21"/>
              </w:rPr>
            </w:pPr>
            <w:r>
              <w:rPr>
                <w:rFonts w:ascii="宋体" w:hAnsi="宋体" w:cs="宋体" w:eastAsia="宋体" w:hint="default"/>
                <w:sz w:val="21"/>
                <w:szCs w:val="21"/>
              </w:rPr>
              <w:t>款本金及利息年末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443,106,046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-7,144,868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659,307,804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-12,001,774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QDOT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34,661,842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-1,733,092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11,706,813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-585,341</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8,317,868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-421,783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5,829,406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-299,787</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4,360,929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-218,046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7,097,554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-354,878</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3,476,325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-214,084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2,655,775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-143,431</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2,113,362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-105,668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2,968,372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-151,539</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1,432,246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-71,612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1,294,275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-64,714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1,193,845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-59,692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654,702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-32,735</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青岛外轮代理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942,700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-47,135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997,086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-49,854</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746,650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-37,333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323,313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-16,166</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590,000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-29,500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2,469,359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-123,468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2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874"/>
        <w:gridCol w:w="1702"/>
        <w:gridCol w:w="1418"/>
        <w:gridCol w:w="1419"/>
        <w:gridCol w:w="1419"/>
        <w:gridCol w:w="1301"/>
      </w:tblGrid>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373,138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-18,657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4,614,704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-230,735</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9,976,400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-498,820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3,293,808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-164,690</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国际邮轮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3,218,118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-160,906</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2,928,037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-146,403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3,720,385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-191,070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61,136,942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-3,103,005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60,820,070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-3,068,134</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QQCTN</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788,379,448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-20,022,856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640,600,000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-15,839,643</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389,439,426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-9,631,108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1,049,653,884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-26,745,495</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QQCTU</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338,590,715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-8,600,557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222,322,208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-5,865,889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222,000,000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-5,865,889</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威海港股份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169,746,010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-4,311,725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77,612,482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-1,971,437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123,400,000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-8,730,622</w:t>
            </w:r>
          </w:p>
        </w:tc>
      </w:tr>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QQCTUA</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39,707,548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-1,008,613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2,025,797,837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-51,412,185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2,035,653,884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-57,181,649</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4,248,674,153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-141,644,815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3,899,729,852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-137,808,547</w:t>
            </w:r>
          </w:p>
        </w:tc>
      </w:tr>
    </w:tbl>
    <w:p>
      <w:pPr>
        <w:spacing w:line="240" w:lineRule="auto" w:before="3"/>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header="0" w:footer="974" w:top="1080" w:bottom="1160" w:left="1280" w:right="1180"/>
        </w:sectPr>
      </w:pPr>
    </w:p>
    <w:p>
      <w:pPr>
        <w:spacing w:before="37"/>
        <w:ind w:left="13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22"/>
          <w:sz w:val="20"/>
          <w:szCs w:val="20"/>
        </w:rPr>
        <w:t> </w:t>
      </w:r>
      <w:r>
        <w:rPr>
          <w:rFonts w:ascii="宋体" w:hAnsi="宋体" w:cs="宋体" w:eastAsia="宋体" w:hint="default"/>
          <w:b/>
          <w:bCs/>
          <w:sz w:val="20"/>
          <w:szCs w:val="20"/>
        </w:rPr>
        <w:t>应付项目</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3"/>
        <w:spacing w:line="240" w:lineRule="auto" w:before="4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6"/>
          <w:szCs w:val="26"/>
        </w:rPr>
      </w:pPr>
    </w:p>
    <w:p>
      <w:pPr>
        <w:pStyle w:val="BodyText"/>
        <w:spacing w:line="240" w:lineRule="auto"/>
        <w:ind w:left="138"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280" w:right="1180"/>
          <w:cols w:num="2" w:equalWidth="0">
            <w:col w:w="2299" w:space="4671"/>
            <w:col w:w="248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5"/>
        <w:gridCol w:w="2410"/>
        <w:gridCol w:w="2124"/>
        <w:gridCol w:w="2014"/>
      </w:tblGrid>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青港商业保理</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6,991,684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23,778,780</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13,937,879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8,230,555</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QQCTU</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6,054,857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18,283,446</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5,136,664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505,492</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QDOT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5,037,408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112,069,541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1,803,665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7,137,918</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QQCT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1,749,915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78,015</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1,734,709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5,082,862</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青岛外轮代理</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1,168,251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537,351</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1,134,936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714,488</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776,094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1,259,987</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180,805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1,921,328</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青岛中远海运集装箱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114,398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1,001,701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16,978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1,538,482</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华能青岛</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2,930,896</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4,917,586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4,118,303</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43,764,145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165,410,365</w:t>
            </w:r>
          </w:p>
        </w:tc>
      </w:tr>
      <w:tr>
        <w:trPr>
          <w:trHeight w:val="28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21"/>
                <w:szCs w:val="21"/>
              </w:rPr>
            </w:pPr>
            <w:r>
              <w:rPr>
                <w:rFonts w:ascii="Times New Roman"/>
                <w:sz w:val="21"/>
              </w:rPr>
              <w:t>QQCT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610,195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197,421,375</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QQCTN</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2,518,940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623,841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1,210,360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1,234,036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201,150,675</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QQCT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80,623,049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1,500,000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2,103,167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2,376,579</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1,340,708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737,781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青岛外轮代理</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853,806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567,140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2,867,161</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1,136,300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582,706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80" w:right="11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585"/>
        <w:gridCol w:w="2410"/>
        <w:gridCol w:w="2124"/>
        <w:gridCol w:w="2014"/>
      </w:tblGrid>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神州行货代</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442,605</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501,095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882,429</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85,421,825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11,092,701</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青港金控</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1,036,478,976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211,777,414</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821,019,457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273,967,925</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21"/>
                <w:szCs w:val="21"/>
              </w:rPr>
            </w:pPr>
            <w:r>
              <w:rPr>
                <w:rFonts w:ascii="Times New Roman"/>
                <w:sz w:val="21"/>
              </w:rPr>
              <w:t>QQCTI</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694,414,004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176,154,579</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642,310,860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68,376,352</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融资担保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300,689,314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4" w:right="0"/>
              <w:jc w:val="left"/>
              <w:rPr>
                <w:rFonts w:ascii="Times New Roman" w:hAnsi="Times New Roman" w:cs="Times New Roman" w:eastAsia="Times New Roman" w:hint="default"/>
                <w:sz w:val="21"/>
                <w:szCs w:val="21"/>
              </w:rPr>
            </w:pPr>
            <w:r>
              <w:rPr>
                <w:rFonts w:ascii="Times New Roman"/>
                <w:sz w:val="21"/>
              </w:rPr>
              <w:t>QQCT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223,383,392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424,090,520</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董家口万邦物流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182,043,341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87,598,655</w:t>
            </w:r>
          </w:p>
        </w:tc>
      </w:tr>
      <w:tr>
        <w:trPr>
          <w:trHeight w:val="557"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青岛港集团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131,791,929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1,369,157,957</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港海物流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85,973,801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81,402,226</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21"/>
                <w:szCs w:val="21"/>
              </w:rPr>
            </w:pPr>
            <w:r>
              <w:rPr>
                <w:rFonts w:ascii="Times New Roman"/>
                <w:sz w:val="21"/>
              </w:rPr>
              <w:t>QQCTU</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79,875,009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81,814,033</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79,677,114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38,495,088</w:t>
            </w:r>
          </w:p>
        </w:tc>
      </w:tr>
      <w:tr>
        <w:trPr>
          <w:trHeight w:val="55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4" w:right="0"/>
              <w:jc w:val="left"/>
              <w:rPr>
                <w:rFonts w:ascii="Times New Roman" w:hAnsi="Times New Roman" w:cs="Times New Roman" w:eastAsia="Times New Roman" w:hint="default"/>
                <w:sz w:val="21"/>
                <w:szCs w:val="21"/>
              </w:rPr>
            </w:pPr>
            <w:r>
              <w:rPr>
                <w:rFonts w:ascii="Times New Roman"/>
                <w:sz w:val="21"/>
              </w:rPr>
              <w:t>QQCTN</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78,515,453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367,198,840</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阜外医院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63,764,090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41,978,108</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21"/>
                <w:szCs w:val="21"/>
              </w:rPr>
            </w:pPr>
            <w:r>
              <w:rPr>
                <w:rFonts w:ascii="Times New Roman"/>
                <w:sz w:val="21"/>
              </w:rPr>
              <w:t>QQCTUA</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50,607,266</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10,409,784</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青港商业保理</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34,435,745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257,654,883</w:t>
            </w:r>
          </w:p>
        </w:tc>
      </w:tr>
      <w:tr>
        <w:trPr>
          <w:trHeight w:val="557"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国际邮轮港开发建设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31,115,228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67,452,242</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董家口中外运物流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26,566,044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25,700,143</w:t>
            </w:r>
          </w:p>
        </w:tc>
      </w:tr>
      <w:tr>
        <w:trPr>
          <w:trHeight w:val="55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港联海物流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25,955,010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21,485,146</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21"/>
                <w:szCs w:val="21"/>
              </w:rPr>
            </w:pPr>
            <w:r>
              <w:rPr>
                <w:rFonts w:ascii="Times New Roman"/>
                <w:sz w:val="21"/>
              </w:rPr>
              <w:t>QDOT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23,183,985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20,833,080</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20,791,597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15,004,136</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资产管理公司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20,064,643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10,094,096</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海湾液体化工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18,911,561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15,344,328</w:t>
            </w:r>
          </w:p>
        </w:tc>
      </w:tr>
      <w:tr>
        <w:trPr>
          <w:trHeight w:val="557"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青港旅行社</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17,678,268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2,078,985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4" w:top="1080" w:bottom="1160" w:left="1280" w:right="12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585"/>
        <w:gridCol w:w="2410"/>
        <w:gridCol w:w="2124"/>
        <w:gridCol w:w="2014"/>
      </w:tblGrid>
      <w:tr>
        <w:trPr>
          <w:trHeight w:val="555"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国际邮轮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17,561,089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5,852,783</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17,417,001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19,371,642</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东港集装箱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17,157,233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17,460,359</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港联荣物流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11,731,501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14,230,191</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董家口矿石检验</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4,948,179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4,467,994</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港投地产</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4,282,894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6,755,302</w:t>
            </w:r>
          </w:p>
        </w:tc>
      </w:tr>
      <w:tr>
        <w:trPr>
          <w:trHeight w:val="557"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宏宇大酒店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1,285,265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6,526,762</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董家口铁路</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166,008,287</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港华物流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15,143,577</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10,753,022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10,990,532</w:t>
            </w:r>
          </w:p>
        </w:tc>
      </w:tr>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吸收存款本金</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及利息年末余额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4,774,382,271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3,934,875,949</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港投集团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17,547,450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19,790,200</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QQCT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15,891,033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23,219,808</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QQCTU</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7,926,312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5,350,158</w:t>
            </w:r>
          </w:p>
        </w:tc>
      </w:tr>
      <w:tr>
        <w:trPr>
          <w:trHeight w:val="28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QDOT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3,310,161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远洋大亚</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1,547,868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269,673</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QQCTN</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1,358,353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1,014,222</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QQCTUA</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1,355,292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844,486</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4,428,211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4,164,200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53,364,680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54,652,747</w:t>
            </w:r>
          </w:p>
        </w:tc>
      </w:tr>
      <w:tr>
        <w:trPr>
          <w:trHeight w:val="252" w:hRule="exact"/>
        </w:trPr>
        <w:tc>
          <w:tcPr>
            <w:tcW w:w="258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555,130,898</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QQCT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2,815,772,185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2,815,772,185</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21"/>
                <w:szCs w:val="21"/>
              </w:rPr>
            </w:pPr>
            <w:r>
              <w:rPr>
                <w:rFonts w:ascii="Times New Roman"/>
                <w:sz w:val="21"/>
              </w:rPr>
              <w:t>QQCTN</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50,378,800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50,378,800</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21"/>
                <w:szCs w:val="21"/>
              </w:rPr>
            </w:pPr>
            <w:r>
              <w:rPr>
                <w:rFonts w:ascii="Times New Roman"/>
                <w:sz w:val="21"/>
              </w:rPr>
              <w:t>QQCTU</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14,927,773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14,927,773</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2,881,078,758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2,881,078,758</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青港租赁公司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438,267,872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8,284,505,271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Times New Roman" w:hAnsi="Times New Roman" w:cs="Times New Roman" w:eastAsia="Times New Roman" w:hint="default"/>
                <w:sz w:val="21"/>
                <w:szCs w:val="21"/>
              </w:rPr>
            </w:pPr>
            <w:r>
              <w:rPr>
                <w:rFonts w:ascii="Times New Roman"/>
                <w:spacing w:val="-1"/>
                <w:sz w:val="21"/>
              </w:rPr>
              <w:t>7,827,170,873</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pStyle w:val="Heading5"/>
        <w:spacing w:line="240" w:lineRule="auto" w:before="36"/>
        <w:ind w:left="138" w:right="0"/>
        <w:jc w:val="left"/>
        <w:rPr>
          <w:rFonts w:ascii="宋体" w:hAnsi="宋体" w:cs="宋体" w:eastAsia="宋体" w:hint="default"/>
          <w:b w:val="0"/>
          <w:bCs w:val="0"/>
        </w:rPr>
      </w:pPr>
      <w:r>
        <w:rPr>
          <w:rFonts w:ascii="宋体" w:hAnsi="宋体" w:cs="宋体" w:eastAsia="宋体" w:hint="default"/>
        </w:rPr>
        <w:t>7</w:t>
      </w:r>
      <w:r>
        <w:rPr/>
        <w:t>、</w:t>
      </w:r>
      <w:r>
        <w:rPr>
          <w:spacing w:val="1"/>
        </w:rPr>
        <w:t> </w:t>
      </w:r>
      <w:r>
        <w:rPr/>
        <w:t>关联方承诺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5"/>
        <w:rPr>
          <w:rFonts w:ascii="宋体" w:hAnsi="宋体" w:cs="宋体" w:eastAsia="宋体" w:hint="default"/>
          <w:sz w:val="26"/>
          <w:szCs w:val="26"/>
        </w:rPr>
      </w:pPr>
    </w:p>
    <w:p>
      <w:pPr>
        <w:pStyle w:val="Heading5"/>
        <w:spacing w:line="240" w:lineRule="auto" w:before="0"/>
        <w:ind w:left="138" w:right="0"/>
        <w:jc w:val="left"/>
        <w:rPr>
          <w:rFonts w:ascii="宋体" w:hAnsi="宋体" w:cs="宋体" w:eastAsia="宋体" w:hint="default"/>
          <w:b w:val="0"/>
          <w:bCs w:val="0"/>
        </w:rPr>
      </w:pPr>
      <w:r>
        <w:rPr>
          <w:rFonts w:ascii="宋体" w:hAnsi="宋体" w:cs="宋体" w:eastAsia="宋体" w:hint="default"/>
        </w:rPr>
        <w:t>8</w:t>
      </w:r>
      <w:r>
        <w:rPr/>
        <w:t>、</w:t>
      </w:r>
      <w:r>
        <w:rPr>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080" w:bottom="1160" w:left="1280" w:right="12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316" w:lineRule="auto" w:before="36"/>
        <w:ind w:right="244" w:firstLine="482"/>
        <w:jc w:val="left"/>
      </w:pPr>
      <w:r>
        <w:rPr/>
        <w:t>根据已签订的不可撤销的经营性租赁合同，除本节七、合并财务报表项目注释</w:t>
      </w:r>
      <w:r>
        <w:rPr>
          <w:spacing w:val="-54"/>
        </w:rPr>
        <w:t> </w:t>
      </w:r>
      <w:r>
        <w:rPr>
          <w:rFonts w:ascii="Calibri" w:hAnsi="Calibri" w:cs="Calibri" w:eastAsia="Calibri" w:hint="default"/>
        </w:rPr>
        <w:t>52</w:t>
      </w:r>
      <w:r>
        <w:rPr>
          <w:rFonts w:ascii="Calibri" w:hAnsi="Calibri" w:cs="Calibri" w:eastAsia="Calibri" w:hint="default"/>
          <w:spacing w:val="1"/>
        </w:rPr>
        <w:t> </w:t>
      </w:r>
      <w:r>
        <w:rPr/>
        <w:t>所述经营租</w:t>
      </w:r>
      <w:r>
        <w:rPr>
          <w:w w:val="100"/>
        </w:rPr>
        <w:t> </w:t>
      </w:r>
      <w:r>
        <w:rPr/>
        <w:t>出承诺事项外，本集团未来应收取关联方租金汇总如下：</w:t>
      </w:r>
    </w:p>
    <w:p>
      <w:pPr>
        <w:spacing w:line="240" w:lineRule="auto" w:before="3"/>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093"/>
        <w:gridCol w:w="3366"/>
        <w:gridCol w:w="2579"/>
      </w:tblGrid>
      <w:tr>
        <w:trPr>
          <w:trHeight w:val="413" w:hRule="exact"/>
        </w:trPr>
        <w:tc>
          <w:tcPr>
            <w:tcW w:w="3093" w:type="dxa"/>
            <w:tcBorders>
              <w:top w:val="nil" w:sz="6" w:space="0" w:color="auto"/>
              <w:left w:val="nil" w:sz="6" w:space="0" w:color="auto"/>
              <w:bottom w:val="nil" w:sz="6" w:space="0" w:color="auto"/>
              <w:right w:val="nil" w:sz="6" w:space="0" w:color="auto"/>
            </w:tcBorders>
          </w:tcPr>
          <w:p>
            <w:pPr/>
          </w:p>
        </w:tc>
        <w:tc>
          <w:tcPr>
            <w:tcW w:w="3366" w:type="dxa"/>
            <w:tcBorders>
              <w:top w:val="nil" w:sz="6" w:space="0" w:color="auto"/>
              <w:left w:val="nil" w:sz="6" w:space="0" w:color="auto"/>
              <w:bottom w:val="nil" w:sz="6" w:space="0" w:color="auto"/>
              <w:right w:val="nil" w:sz="6" w:space="0" w:color="auto"/>
            </w:tcBorders>
          </w:tcPr>
          <w:p>
            <w:pPr>
              <w:pStyle w:val="TableParagraph"/>
              <w:spacing w:line="226" w:lineRule="exact"/>
              <w:ind w:right="642"/>
              <w:jc w:val="righ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579" w:type="dxa"/>
            <w:tcBorders>
              <w:top w:val="nil" w:sz="6" w:space="0" w:color="auto"/>
              <w:left w:val="nil" w:sz="6" w:space="0" w:color="auto"/>
              <w:bottom w:val="nil" w:sz="6" w:space="0" w:color="auto"/>
              <w:right w:val="nil" w:sz="6" w:space="0" w:color="auto"/>
            </w:tcBorders>
          </w:tcPr>
          <w:p>
            <w:pPr>
              <w:pStyle w:val="TableParagraph"/>
              <w:spacing w:line="226" w:lineRule="exact"/>
              <w:ind w:right="103"/>
              <w:jc w:val="righ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47"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Times New Roman" w:hAnsi="Times New Roman" w:cs="Times New Roman" w:eastAsia="Times New Roman" w:hint="default"/>
                <w:sz w:val="21"/>
                <w:szCs w:val="21"/>
              </w:rPr>
            </w:pPr>
            <w:r>
              <w:rPr>
                <w:rFonts w:ascii="Times New Roman"/>
                <w:sz w:val="21"/>
              </w:rPr>
              <w:t>QQCT</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642"/>
              <w:jc w:val="right"/>
              <w:rPr>
                <w:rFonts w:ascii="Times New Roman" w:hAnsi="Times New Roman" w:cs="Times New Roman" w:eastAsia="Times New Roman" w:hint="default"/>
                <w:sz w:val="21"/>
                <w:szCs w:val="21"/>
              </w:rPr>
            </w:pPr>
            <w:r>
              <w:rPr>
                <w:rFonts w:ascii="Times New Roman"/>
                <w:spacing w:val="-1"/>
                <w:sz w:val="21"/>
              </w:rPr>
              <w:t>329,456,000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3"/>
              <w:jc w:val="right"/>
              <w:rPr>
                <w:rFonts w:ascii="Times New Roman" w:hAnsi="Times New Roman" w:cs="Times New Roman" w:eastAsia="Times New Roman" w:hint="default"/>
                <w:sz w:val="21"/>
                <w:szCs w:val="21"/>
              </w:rPr>
            </w:pPr>
            <w:r>
              <w:rPr>
                <w:rFonts w:ascii="Times New Roman"/>
                <w:spacing w:val="-1"/>
                <w:sz w:val="21"/>
              </w:rPr>
              <w:t>356,950,000</w:t>
            </w:r>
          </w:p>
        </w:tc>
      </w:tr>
      <w:tr>
        <w:trPr>
          <w:trHeight w:val="298"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0" w:right="0"/>
              <w:jc w:val="left"/>
              <w:rPr>
                <w:rFonts w:ascii="Times New Roman" w:hAnsi="Times New Roman" w:cs="Times New Roman" w:eastAsia="Times New Roman" w:hint="default"/>
                <w:sz w:val="21"/>
                <w:szCs w:val="21"/>
              </w:rPr>
            </w:pPr>
            <w:r>
              <w:rPr>
                <w:rFonts w:ascii="Times New Roman"/>
                <w:sz w:val="21"/>
              </w:rPr>
              <w:t>QQCTU</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2"/>
              <w:jc w:val="right"/>
              <w:rPr>
                <w:rFonts w:ascii="Times New Roman" w:hAnsi="Times New Roman" w:cs="Times New Roman" w:eastAsia="Times New Roman" w:hint="default"/>
                <w:sz w:val="21"/>
                <w:szCs w:val="21"/>
              </w:rPr>
            </w:pPr>
            <w:r>
              <w:rPr>
                <w:rFonts w:ascii="Times New Roman"/>
                <w:spacing w:val="-1"/>
                <w:sz w:val="21"/>
              </w:rPr>
              <w:t>110,640,000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120,028,000</w:t>
            </w:r>
          </w:p>
        </w:tc>
      </w:tr>
      <w:tr>
        <w:trPr>
          <w:trHeight w:val="302"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1"/>
                <w:szCs w:val="21"/>
              </w:rPr>
            </w:pPr>
            <w:r>
              <w:rPr>
                <w:rFonts w:ascii="宋体" w:hAnsi="宋体" w:cs="宋体" w:eastAsia="宋体" w:hint="default"/>
                <w:sz w:val="21"/>
                <w:szCs w:val="21"/>
              </w:rPr>
              <w:t>滨州港青港国际码头</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2"/>
              <w:jc w:val="right"/>
              <w:rPr>
                <w:rFonts w:ascii="Times New Roman" w:hAnsi="Times New Roman" w:cs="Times New Roman" w:eastAsia="Times New Roman" w:hint="default"/>
                <w:sz w:val="21"/>
                <w:szCs w:val="21"/>
              </w:rPr>
            </w:pPr>
            <w:r>
              <w:rPr>
                <w:rFonts w:ascii="Times New Roman"/>
                <w:spacing w:val="-1"/>
                <w:sz w:val="21"/>
              </w:rPr>
              <w:t>40,608,000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45,897,000</w:t>
            </w:r>
          </w:p>
        </w:tc>
      </w:tr>
      <w:tr>
        <w:trPr>
          <w:trHeight w:val="3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0" w:right="0"/>
              <w:jc w:val="left"/>
              <w:rPr>
                <w:rFonts w:ascii="Times New Roman" w:hAnsi="Times New Roman" w:cs="Times New Roman" w:eastAsia="Times New Roman" w:hint="default"/>
                <w:sz w:val="21"/>
                <w:szCs w:val="21"/>
              </w:rPr>
            </w:pPr>
            <w:r>
              <w:rPr>
                <w:rFonts w:ascii="Times New Roman"/>
                <w:sz w:val="21"/>
              </w:rPr>
              <w:t>QQCTUA</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2"/>
              <w:jc w:val="right"/>
              <w:rPr>
                <w:rFonts w:ascii="Times New Roman" w:hAnsi="Times New Roman" w:cs="Times New Roman" w:eastAsia="Times New Roman" w:hint="default"/>
                <w:sz w:val="21"/>
                <w:szCs w:val="21"/>
              </w:rPr>
            </w:pPr>
            <w:r>
              <w:rPr>
                <w:rFonts w:ascii="Times New Roman"/>
                <w:spacing w:val="-1"/>
                <w:sz w:val="21"/>
              </w:rPr>
              <w:t>21,960,000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23,790,000</w:t>
            </w:r>
          </w:p>
        </w:tc>
      </w:tr>
      <w:tr>
        <w:trPr>
          <w:trHeight w:val="298"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0" w:right="0"/>
              <w:jc w:val="left"/>
              <w:rPr>
                <w:rFonts w:ascii="Times New Roman" w:hAnsi="Times New Roman" w:cs="Times New Roman" w:eastAsia="Times New Roman" w:hint="default"/>
                <w:sz w:val="21"/>
                <w:szCs w:val="21"/>
              </w:rPr>
            </w:pPr>
            <w:r>
              <w:rPr>
                <w:rFonts w:ascii="Times New Roman"/>
                <w:sz w:val="21"/>
              </w:rPr>
              <w:t>QQCTN</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2"/>
              <w:jc w:val="right"/>
              <w:rPr>
                <w:rFonts w:ascii="Times New Roman" w:hAnsi="Times New Roman" w:cs="Times New Roman" w:eastAsia="Times New Roman" w:hint="default"/>
                <w:sz w:val="21"/>
                <w:szCs w:val="21"/>
              </w:rPr>
            </w:pPr>
            <w:r>
              <w:rPr>
                <w:rFonts w:ascii="Times New Roman"/>
                <w:spacing w:val="-1"/>
                <w:sz w:val="21"/>
              </w:rPr>
              <w:t>14,760,000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1"/>
                <w:sz w:val="21"/>
              </w:rPr>
              <w:t>15,990,000</w:t>
            </w:r>
          </w:p>
        </w:tc>
      </w:tr>
      <w:tr>
        <w:trPr>
          <w:trHeight w:val="3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1"/>
                <w:szCs w:val="21"/>
              </w:rPr>
            </w:pPr>
            <w:r>
              <w:rPr>
                <w:rFonts w:ascii="宋体" w:hAnsi="宋体" w:cs="宋体" w:eastAsia="宋体" w:hint="default"/>
                <w:sz w:val="21"/>
                <w:szCs w:val="21"/>
              </w:rPr>
              <w:t>长荣集装箱</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2"/>
              <w:jc w:val="right"/>
              <w:rPr>
                <w:rFonts w:ascii="Times New Roman" w:hAnsi="Times New Roman" w:cs="Times New Roman" w:eastAsia="Times New Roman" w:hint="default"/>
                <w:sz w:val="21"/>
                <w:szCs w:val="21"/>
              </w:rPr>
            </w:pPr>
            <w:r>
              <w:rPr>
                <w:rFonts w:ascii="Times New Roman"/>
                <w:spacing w:val="-1"/>
                <w:sz w:val="21"/>
              </w:rPr>
              <w:t>5,687,500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6,337,500</w:t>
            </w:r>
          </w:p>
        </w:tc>
      </w:tr>
      <w:tr>
        <w:trPr>
          <w:trHeight w:val="3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1"/>
                <w:szCs w:val="21"/>
              </w:rPr>
            </w:pPr>
            <w:r>
              <w:rPr>
                <w:rFonts w:ascii="宋体" w:hAnsi="宋体" w:cs="宋体" w:eastAsia="宋体" w:hint="default"/>
                <w:sz w:val="21"/>
                <w:szCs w:val="21"/>
              </w:rPr>
              <w:t>小额贷款</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2"/>
              <w:jc w:val="right"/>
              <w:rPr>
                <w:rFonts w:ascii="Times New Roman" w:hAnsi="Times New Roman" w:cs="Times New Roman" w:eastAsia="Times New Roman" w:hint="default"/>
                <w:sz w:val="21"/>
                <w:szCs w:val="21"/>
              </w:rPr>
            </w:pPr>
            <w:r>
              <w:rPr>
                <w:rFonts w:ascii="Times New Roman"/>
                <w:spacing w:val="-1"/>
                <w:sz w:val="21"/>
              </w:rPr>
              <w:t>182,250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263,250</w:t>
            </w:r>
          </w:p>
        </w:tc>
      </w:tr>
      <w:tr>
        <w:trPr>
          <w:trHeight w:val="300"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1"/>
                <w:szCs w:val="21"/>
              </w:rPr>
            </w:pPr>
            <w:r>
              <w:rPr>
                <w:rFonts w:ascii="宋体" w:hAnsi="宋体" w:cs="宋体" w:eastAsia="宋体" w:hint="default"/>
                <w:sz w:val="21"/>
                <w:szCs w:val="21"/>
              </w:rPr>
              <w:t>西联</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2"/>
              <w:jc w:val="right"/>
              <w:rPr>
                <w:rFonts w:ascii="Times New Roman" w:hAnsi="Times New Roman" w:cs="Times New Roman" w:eastAsia="Times New Roman" w:hint="default"/>
                <w:sz w:val="21"/>
                <w:szCs w:val="21"/>
              </w:rPr>
            </w:pPr>
            <w:r>
              <w:rPr>
                <w:rFonts w:ascii="Times New Roman"/>
                <w:spacing w:val="-1"/>
                <w:sz w:val="21"/>
              </w:rPr>
              <w:t>115,500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516,000</w:t>
            </w:r>
          </w:p>
        </w:tc>
      </w:tr>
      <w:tr>
        <w:trPr>
          <w:trHeight w:val="304"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1"/>
                <w:szCs w:val="21"/>
              </w:rPr>
            </w:pPr>
            <w:r>
              <w:rPr>
                <w:rFonts w:ascii="宋体" w:hAnsi="宋体" w:cs="宋体" w:eastAsia="宋体" w:hint="default"/>
                <w:sz w:val="21"/>
                <w:szCs w:val="21"/>
              </w:rPr>
              <w:t>青岛实华</w:t>
            </w:r>
          </w:p>
        </w:tc>
        <w:tc>
          <w:tcPr>
            <w:tcW w:w="33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2"/>
              <w:jc w:val="right"/>
              <w:rPr>
                <w:rFonts w:ascii="Times New Roman" w:hAnsi="Times New Roman" w:cs="Times New Roman" w:eastAsia="Times New Roman" w:hint="default"/>
                <w:sz w:val="21"/>
                <w:szCs w:val="21"/>
              </w:rPr>
            </w:pPr>
            <w:r>
              <w:rPr>
                <w:rFonts w:ascii="Times New Roman"/>
                <w:sz w:val="21"/>
              </w:rPr>
              <w:t>22,500</w:t>
            </w:r>
          </w:p>
        </w:tc>
        <w:tc>
          <w:tcPr>
            <w:tcW w:w="25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19" w:hRule="exact"/>
        </w:trPr>
        <w:tc>
          <w:tcPr>
            <w:tcW w:w="3093"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1"/>
                <w:szCs w:val="21"/>
              </w:rPr>
            </w:pPr>
            <w:r>
              <w:rPr>
                <w:rFonts w:ascii="宋体" w:hAnsi="宋体" w:cs="宋体" w:eastAsia="宋体" w:hint="default"/>
                <w:sz w:val="21"/>
                <w:szCs w:val="21"/>
              </w:rPr>
              <w:t>青港金控</w:t>
            </w:r>
          </w:p>
        </w:tc>
        <w:tc>
          <w:tcPr>
            <w:tcW w:w="3366"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644"/>
              <w:jc w:val="right"/>
              <w:rPr>
                <w:rFonts w:ascii="Times New Roman" w:hAnsi="Times New Roman" w:cs="Times New Roman" w:eastAsia="Times New Roman" w:hint="default"/>
                <w:sz w:val="21"/>
                <w:szCs w:val="21"/>
              </w:rPr>
            </w:pPr>
            <w:r>
              <w:rPr>
                <w:rFonts w:ascii="Times New Roman"/>
                <w:w w:val="100"/>
                <w:sz w:val="21"/>
              </w:rPr>
              <w:t>-</w:t>
            </w:r>
          </w:p>
        </w:tc>
        <w:tc>
          <w:tcPr>
            <w:tcW w:w="2579"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101,000</w:t>
            </w:r>
          </w:p>
        </w:tc>
      </w:tr>
      <w:tr>
        <w:trPr>
          <w:trHeight w:val="341" w:hRule="exact"/>
        </w:trPr>
        <w:tc>
          <w:tcPr>
            <w:tcW w:w="3093" w:type="dxa"/>
            <w:tcBorders>
              <w:top w:val="nil" w:sz="6" w:space="0" w:color="auto"/>
              <w:left w:val="nil" w:sz="6" w:space="0" w:color="auto"/>
              <w:bottom w:val="nil" w:sz="6" w:space="0" w:color="auto"/>
              <w:right w:val="nil" w:sz="6" w:space="0" w:color="auto"/>
            </w:tcBorders>
          </w:tcPr>
          <w:p>
            <w:pPr/>
          </w:p>
        </w:tc>
        <w:tc>
          <w:tcPr>
            <w:tcW w:w="3366" w:type="dxa"/>
            <w:tcBorders>
              <w:top w:val="single" w:sz="8" w:space="0" w:color="000000"/>
              <w:left w:val="nil" w:sz="6" w:space="0" w:color="auto"/>
              <w:bottom w:val="single" w:sz="12" w:space="0" w:color="000000"/>
              <w:right w:val="nil" w:sz="6" w:space="0" w:color="auto"/>
            </w:tcBorders>
          </w:tcPr>
          <w:p>
            <w:pPr>
              <w:pStyle w:val="TableParagraph"/>
              <w:spacing w:line="240" w:lineRule="auto" w:before="32"/>
              <w:ind w:right="642"/>
              <w:jc w:val="right"/>
              <w:rPr>
                <w:rFonts w:ascii="Times New Roman" w:hAnsi="Times New Roman" w:cs="Times New Roman" w:eastAsia="Times New Roman" w:hint="default"/>
                <w:sz w:val="21"/>
                <w:szCs w:val="21"/>
              </w:rPr>
            </w:pPr>
            <w:r>
              <w:rPr>
                <w:rFonts w:ascii="Times New Roman"/>
                <w:spacing w:val="-1"/>
                <w:sz w:val="21"/>
              </w:rPr>
              <w:t>523,431,750</w:t>
            </w:r>
          </w:p>
        </w:tc>
        <w:tc>
          <w:tcPr>
            <w:tcW w:w="2579" w:type="dxa"/>
            <w:tcBorders>
              <w:top w:val="single" w:sz="8"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569,872,750</w:t>
            </w:r>
          </w:p>
        </w:tc>
      </w:tr>
    </w:tbl>
    <w:p>
      <w:pPr>
        <w:spacing w:line="240" w:lineRule="auto" w:before="11"/>
        <w:rPr>
          <w:rFonts w:ascii="宋体" w:hAnsi="宋体" w:cs="宋体" w:eastAsia="宋体" w:hint="default"/>
          <w:sz w:val="29"/>
          <w:szCs w:val="29"/>
        </w:rPr>
      </w:pPr>
    </w:p>
    <w:p>
      <w:pPr>
        <w:pStyle w:val="Heading5"/>
        <w:spacing w:line="240" w:lineRule="auto" w:before="36"/>
        <w:ind w:right="0"/>
        <w:jc w:val="left"/>
        <w:rPr>
          <w:rFonts w:ascii="宋体" w:hAnsi="宋体" w:cs="宋体" w:eastAsia="宋体" w:hint="default"/>
          <w:b w:val="0"/>
          <w:bCs w:val="0"/>
        </w:rPr>
      </w:pPr>
      <w:r>
        <w:rPr/>
        <w:t>十三、</w:t>
      </w:r>
      <w:r>
        <w:rPr>
          <w:spacing w:val="98"/>
        </w:rPr>
        <w:t> </w:t>
      </w:r>
      <w:r>
        <w:rPr>
          <w:rFonts w:ascii="宋体" w:hAnsi="宋体" w:cs="宋体" w:eastAsia="宋体" w:hint="default"/>
          <w:spacing w:val="98"/>
        </w:rPr>
      </w:r>
      <w:r>
        <w:rPr/>
        <w:t>股份支付</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t>股份支付总体情况</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2</w:t>
      </w:r>
      <w:r>
        <w:rPr/>
        <w:t>、 以权益结算的股份支付情况</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3</w:t>
      </w:r>
      <w:r>
        <w:rPr/>
        <w:t>、 以现金结算的股份支付情况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t>、 股份支付的修改、终止情况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458"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5</w:t>
      </w:r>
      <w:r>
        <w:rPr/>
        <w:t>、</w:t>
      </w:r>
      <w:r>
        <w:rPr>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90" w:lineRule="auto" w:before="64"/>
        <w:ind w:right="6638"/>
        <w:jc w:val="left"/>
        <w:rPr>
          <w:rFonts w:ascii="宋体" w:hAnsi="宋体" w:cs="宋体" w:eastAsia="宋体" w:hint="default"/>
          <w:b w:val="0"/>
          <w:bCs w:val="0"/>
        </w:rPr>
      </w:pPr>
      <w:r>
        <w:rPr/>
        <w:t>十四、</w:t>
      </w:r>
      <w:r>
        <w:rPr>
          <w:spacing w:val="99"/>
        </w:rPr>
        <w:t> </w:t>
      </w:r>
      <w:r>
        <w:rPr>
          <w:rFonts w:ascii="宋体" w:hAnsi="宋体" w:cs="宋体" w:eastAsia="宋体" w:hint="default"/>
          <w:spacing w:val="99"/>
        </w:rPr>
      </w:r>
      <w:r>
        <w:rPr/>
        <w:t>承诺及或有事项</w:t>
      </w:r>
      <w:r>
        <w:rPr>
          <w:rFonts w:ascii="宋体" w:hAnsi="宋体" w:cs="宋体" w:eastAsia="宋体" w:hint="default"/>
          <w:w w:val="99"/>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332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资产负债表日存在的对外重要承诺、性质、金额</w:t>
      </w:r>
    </w:p>
    <w:p>
      <w:pPr>
        <w:pStyle w:val="BodyText"/>
        <w:spacing w:line="297" w:lineRule="auto" w:before="73"/>
        <w:ind w:left="857" w:right="0" w:hanging="214"/>
        <w:jc w:val="left"/>
      </w:pPr>
      <w:r>
        <w:rPr/>
        <w:t>（</w:t>
      </w:r>
      <w:r>
        <w:rPr>
          <w:rFonts w:ascii="Times New Roman" w:hAnsi="Times New Roman" w:cs="Times New Roman" w:eastAsia="Times New Roman" w:hint="default"/>
        </w:rPr>
        <w:t>1</w:t>
      </w:r>
      <w:r>
        <w:rPr/>
        <w:t>）资本性支出承诺事项</w:t>
      </w:r>
      <w:r>
        <w:rPr>
          <w:w w:val="100"/>
        </w:rPr>
        <w:t> </w:t>
      </w:r>
      <w:r>
        <w:rPr>
          <w:spacing w:val="-2"/>
        </w:rPr>
        <w:t>以下为本集团于资产负债表日，已签约而尚不必在资产负债表上列示的资本性支出承诺：</w:t>
      </w:r>
    </w:p>
    <w:p>
      <w:pPr>
        <w:spacing w:line="240" w:lineRule="auto" w:before="2"/>
        <w:rPr>
          <w:rFonts w:ascii="宋体" w:hAnsi="宋体" w:cs="宋体" w:eastAsia="宋体" w:hint="default"/>
          <w:sz w:val="20"/>
          <w:szCs w:val="20"/>
        </w:rPr>
      </w:pPr>
    </w:p>
    <w:tbl>
      <w:tblPr>
        <w:tblW w:w="0" w:type="auto"/>
        <w:jc w:val="left"/>
        <w:tblInd w:w="657" w:type="dxa"/>
        <w:tblLayout w:type="fixed"/>
        <w:tblCellMar>
          <w:top w:w="0" w:type="dxa"/>
          <w:left w:w="0" w:type="dxa"/>
          <w:bottom w:w="0" w:type="dxa"/>
          <w:right w:w="0" w:type="dxa"/>
        </w:tblCellMar>
        <w:tblLook w:val="01E0"/>
      </w:tblPr>
      <w:tblGrid>
        <w:gridCol w:w="3594"/>
        <w:gridCol w:w="2283"/>
        <w:gridCol w:w="487"/>
        <w:gridCol w:w="2326"/>
      </w:tblGrid>
      <w:tr>
        <w:trPr>
          <w:trHeight w:val="368" w:hRule="exact"/>
        </w:trPr>
        <w:tc>
          <w:tcPr>
            <w:tcW w:w="3594" w:type="dxa"/>
            <w:tcBorders>
              <w:top w:val="nil" w:sz="6" w:space="0" w:color="auto"/>
              <w:left w:val="nil" w:sz="6" w:space="0" w:color="auto"/>
              <w:bottom w:val="nil" w:sz="6" w:space="0" w:color="auto"/>
              <w:right w:val="nil" w:sz="6" w:space="0" w:color="auto"/>
            </w:tcBorders>
          </w:tcPr>
          <w:p>
            <w:pPr/>
          </w:p>
        </w:tc>
        <w:tc>
          <w:tcPr>
            <w:tcW w:w="2283" w:type="dxa"/>
            <w:tcBorders>
              <w:top w:val="nil" w:sz="6" w:space="0" w:color="auto"/>
              <w:left w:val="nil" w:sz="6" w:space="0" w:color="auto"/>
              <w:bottom w:val="nil" w:sz="6" w:space="0" w:color="auto"/>
              <w:right w:val="nil" w:sz="6" w:space="0" w:color="auto"/>
            </w:tcBorders>
          </w:tcPr>
          <w:p>
            <w:pPr>
              <w:pStyle w:val="TableParagraph"/>
              <w:spacing w:line="227" w:lineRule="exact"/>
              <w:ind w:right="161"/>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27" w:lineRule="exact"/>
              <w:ind w:right="162"/>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4"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1"/>
                <w:szCs w:val="21"/>
              </w:rPr>
            </w:pPr>
            <w:r>
              <w:rPr>
                <w:rFonts w:ascii="宋体" w:hAnsi="宋体" w:cs="宋体" w:eastAsia="宋体" w:hint="default"/>
                <w:sz w:val="21"/>
                <w:szCs w:val="21"/>
              </w:rPr>
              <w:t>港务设施等</w:t>
            </w:r>
          </w:p>
        </w:tc>
        <w:tc>
          <w:tcPr>
            <w:tcW w:w="2283" w:type="dxa"/>
            <w:tcBorders>
              <w:top w:val="nil" w:sz="6" w:space="0" w:color="auto"/>
              <w:left w:val="nil" w:sz="6" w:space="0" w:color="auto"/>
              <w:bottom w:val="single" w:sz="12" w:space="0" w:color="000000"/>
              <w:right w:val="nil" w:sz="6" w:space="0" w:color="auto"/>
            </w:tcBorders>
          </w:tcPr>
          <w:p>
            <w:pPr>
              <w:pStyle w:val="TableParagraph"/>
              <w:spacing w:line="240" w:lineRule="auto" w:before="140"/>
              <w:ind w:right="161"/>
              <w:jc w:val="right"/>
              <w:rPr>
                <w:rFonts w:ascii="Times New Roman" w:hAnsi="Times New Roman" w:cs="Times New Roman" w:eastAsia="Times New Roman" w:hint="default"/>
                <w:sz w:val="21"/>
                <w:szCs w:val="21"/>
              </w:rPr>
            </w:pPr>
            <w:r>
              <w:rPr>
                <w:rFonts w:ascii="Times New Roman"/>
                <w:spacing w:val="-1"/>
                <w:sz w:val="21"/>
              </w:rPr>
              <w:t>554,444,933</w:t>
            </w:r>
          </w:p>
        </w:tc>
        <w:tc>
          <w:tcPr>
            <w:tcW w:w="487"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12" w:space="0" w:color="000000"/>
              <w:right w:val="nil" w:sz="6" w:space="0" w:color="auto"/>
            </w:tcBorders>
          </w:tcPr>
          <w:p>
            <w:pPr>
              <w:pStyle w:val="TableParagraph"/>
              <w:spacing w:line="240" w:lineRule="auto" w:before="140"/>
              <w:ind w:right="160"/>
              <w:jc w:val="right"/>
              <w:rPr>
                <w:rFonts w:ascii="Times New Roman" w:hAnsi="Times New Roman" w:cs="Times New Roman" w:eastAsia="Times New Roman" w:hint="default"/>
                <w:sz w:val="21"/>
                <w:szCs w:val="21"/>
              </w:rPr>
            </w:pPr>
            <w:r>
              <w:rPr>
                <w:rFonts w:ascii="Times New Roman"/>
                <w:spacing w:val="-1"/>
                <w:sz w:val="21"/>
              </w:rPr>
              <w:t>1,422,360,661</w:t>
            </w:r>
          </w:p>
        </w:tc>
      </w:tr>
    </w:tbl>
    <w:p>
      <w:pPr>
        <w:spacing w:after="0" w:line="240" w:lineRule="auto"/>
        <w:jc w:val="right"/>
        <w:rPr>
          <w:rFonts w:ascii="Times New Roman" w:hAnsi="Times New Roman" w:cs="Times New Roman" w:eastAsia="Times New Roman" w:hint="default"/>
          <w:sz w:val="21"/>
          <w:szCs w:val="21"/>
        </w:rPr>
        <w:sectPr>
          <w:footerReference w:type="default" r:id="rId102"/>
          <w:pgSz w:w="11910" w:h="16840"/>
          <w:pgMar w:footer="974" w:header="0" w:top="1080" w:bottom="1160" w:left="1200" w:right="12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36"/>
        <w:ind w:left="558" w:right="0"/>
        <w:jc w:val="left"/>
      </w:pPr>
      <w:r>
        <w:rPr/>
        <w:t>（</w:t>
      </w:r>
      <w:r>
        <w:rPr>
          <w:rFonts w:ascii="Times New Roman" w:hAnsi="Times New Roman" w:cs="Times New Roman" w:eastAsia="Times New Roman" w:hint="default"/>
        </w:rPr>
        <w:t>2</w:t>
      </w:r>
      <w:r>
        <w:rPr/>
        <w:t>）对外投资承诺事项</w:t>
      </w:r>
    </w:p>
    <w:p>
      <w:pPr>
        <w:pStyle w:val="BodyText"/>
        <w:spacing w:line="240" w:lineRule="auto" w:before="69"/>
        <w:ind w:left="558" w:right="0"/>
        <w:jc w:val="left"/>
      </w:pPr>
      <w:r>
        <w:rPr/>
        <w:t>根据与滨州港务集团有限公司于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月签订的协议，本公司承诺以</w:t>
      </w:r>
      <w:r>
        <w:rPr>
          <w:spacing w:val="-55"/>
        </w:rPr>
        <w:t> </w:t>
      </w:r>
      <w:r>
        <w:rPr>
          <w:rFonts w:ascii="Times New Roman" w:hAnsi="Times New Roman" w:cs="Times New Roman" w:eastAsia="Times New Roman" w:hint="default"/>
        </w:rPr>
        <w:t>25,000,000</w:t>
      </w:r>
      <w:r>
        <w:rPr>
          <w:rFonts w:ascii="Times New Roman" w:hAnsi="Times New Roman" w:cs="Times New Roman" w:eastAsia="Times New Roman" w:hint="default"/>
          <w:spacing w:val="-2"/>
        </w:rPr>
        <w:t> </w:t>
      </w:r>
      <w:r>
        <w:rPr/>
        <w:t>元向滨州</w:t>
      </w:r>
    </w:p>
    <w:p>
      <w:pPr>
        <w:pStyle w:val="BodyText"/>
        <w:spacing w:line="240" w:lineRule="auto" w:before="69"/>
        <w:ind w:left="138" w:right="0"/>
        <w:jc w:val="left"/>
      </w:pPr>
      <w:r>
        <w:rPr/>
        <w:t>港青港国际码头出资。截至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日，本公司已出资</w:t>
      </w:r>
      <w:r>
        <w:rPr>
          <w:spacing w:val="-54"/>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1"/>
        </w:rPr>
        <w:t> </w:t>
      </w:r>
      <w:r>
        <w:rPr/>
        <w:t>元，尚未支付的金额为</w:t>
      </w:r>
    </w:p>
    <w:p>
      <w:pPr>
        <w:pStyle w:val="BodyText"/>
        <w:spacing w:line="240" w:lineRule="auto" w:before="69"/>
        <w:ind w:left="138" w:right="0"/>
        <w:jc w:val="left"/>
      </w:pPr>
      <w:r>
        <w:rPr>
          <w:rFonts w:ascii="Times New Roman" w:hAnsi="Times New Roman" w:cs="Times New Roman" w:eastAsia="Times New Roman" w:hint="default"/>
        </w:rPr>
        <w:t>21,000,000</w:t>
      </w:r>
      <w:r>
        <w:rPr>
          <w:rFonts w:ascii="Times New Roman" w:hAnsi="Times New Roman" w:cs="Times New Roman" w:eastAsia="Times New Roman" w:hint="default"/>
          <w:spacing w:val="1"/>
        </w:rPr>
        <w:t> </w:t>
      </w:r>
      <w:r>
        <w:rPr/>
        <w:t>元。</w:t>
      </w:r>
    </w:p>
    <w:p>
      <w:pPr>
        <w:pStyle w:val="BodyText"/>
        <w:spacing w:line="297" w:lineRule="auto" w:before="69"/>
        <w:ind w:left="138" w:right="309" w:firstLine="420"/>
        <w:jc w:val="both"/>
      </w:pPr>
      <w:r>
        <w:rPr>
          <w:spacing w:val="-3"/>
        </w:rPr>
        <w:t>根据与马士基码头有限公司</w:t>
      </w:r>
      <w:r>
        <w:rPr>
          <w:rFonts w:ascii="Times New Roman" w:hAnsi="Times New Roman" w:cs="Times New Roman" w:eastAsia="Times New Roman" w:hint="default"/>
          <w:spacing w:val="-3"/>
        </w:rPr>
        <w:t>(“</w:t>
      </w:r>
      <w:r>
        <w:rPr>
          <w:spacing w:val="-3"/>
        </w:rPr>
        <w:t>马士基码头</w:t>
      </w:r>
      <w:r>
        <w:rPr>
          <w:rFonts w:ascii="Times New Roman" w:hAnsi="Times New Roman" w:cs="Times New Roman" w:eastAsia="Times New Roman" w:hint="default"/>
          <w:spacing w:val="-3"/>
        </w:rPr>
        <w:t>”)</w:t>
      </w:r>
      <w:r>
        <w:rPr>
          <w:spacing w:val="-3"/>
        </w:rPr>
        <w:t>、瓦多投资公司于</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5"/>
        </w:rPr>
        <w:t>月签订的协议，本公司</w:t>
      </w:r>
      <w:r>
        <w:rPr>
          <w:w w:val="100"/>
        </w:rPr>
        <w:t> </w:t>
      </w:r>
      <w:r>
        <w:rPr/>
        <w:t>之子公司国际发展承诺以</w:t>
      </w:r>
      <w:r>
        <w:rPr>
          <w:spacing w:val="-52"/>
        </w:rPr>
        <w:t> </w:t>
      </w:r>
      <w:r>
        <w:rPr>
          <w:rFonts w:ascii="Times New Roman" w:hAnsi="Times New Roman" w:cs="Times New Roman" w:eastAsia="Times New Roman" w:hint="default"/>
        </w:rPr>
        <w:t>1,745,370</w:t>
      </w:r>
      <w:r>
        <w:rPr>
          <w:rFonts w:ascii="Times New Roman" w:hAnsi="Times New Roman" w:cs="Times New Roman" w:eastAsia="Times New Roman" w:hint="default"/>
          <w:spacing w:val="1"/>
        </w:rPr>
        <w:t> </w:t>
      </w:r>
      <w:r>
        <w:rPr/>
        <w:t>欧元购买马士基码头持有的瓦多投资公司</w:t>
      </w:r>
      <w:r>
        <w:rPr>
          <w:spacing w:val="-52"/>
        </w:rPr>
        <w:t> </w:t>
      </w:r>
      <w:r>
        <w:rPr>
          <w:rFonts w:ascii="Times New Roman" w:hAnsi="Times New Roman" w:cs="Times New Roman" w:eastAsia="Times New Roman" w:hint="default"/>
          <w:spacing w:val="-4"/>
        </w:rPr>
        <w:t>16.5%</w:t>
      </w:r>
      <w:r>
        <w:rPr>
          <w:spacing w:val="-4"/>
        </w:rPr>
        <w:t>股权，以及按该</w:t>
      </w:r>
      <w:r>
        <w:rPr>
          <w:w w:val="100"/>
        </w:rPr>
        <w:t> </w:t>
      </w:r>
      <w:r>
        <w:rPr/>
        <w:t>持股比例向瓦多投资公司增资</w:t>
      </w:r>
      <w:r>
        <w:rPr>
          <w:spacing w:val="-53"/>
        </w:rPr>
        <w:t> </w:t>
      </w:r>
      <w:r>
        <w:rPr>
          <w:rFonts w:ascii="Times New Roman" w:hAnsi="Times New Roman" w:cs="Times New Roman" w:eastAsia="Times New Roman" w:hint="default"/>
        </w:rPr>
        <w:t>14,077,800</w:t>
      </w:r>
      <w:r>
        <w:rPr>
          <w:rFonts w:ascii="Times New Roman" w:hAnsi="Times New Roman" w:cs="Times New Roman" w:eastAsia="Times New Roman" w:hint="default"/>
          <w:spacing w:val="-3"/>
        </w:rPr>
        <w:t> </w:t>
      </w:r>
      <w:r>
        <w:rPr/>
        <w:t>欧元，合计承诺支付</w:t>
      </w:r>
      <w:r>
        <w:rPr>
          <w:spacing w:val="-53"/>
        </w:rPr>
        <w:t> </w:t>
      </w:r>
      <w:r>
        <w:rPr>
          <w:rFonts w:ascii="Times New Roman" w:hAnsi="Times New Roman" w:cs="Times New Roman" w:eastAsia="Times New Roman" w:hint="default"/>
        </w:rPr>
        <w:t>15,823,170 </w:t>
      </w:r>
      <w:r>
        <w:rPr/>
        <w:t>欧元。截至</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BodyText"/>
        <w:spacing w:line="240" w:lineRule="auto" w:before="13"/>
        <w:ind w:left="138"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日，尚未支付的投资款金额为</w:t>
      </w:r>
      <w:r>
        <w:rPr>
          <w:spacing w:val="-55"/>
        </w:rPr>
        <w:t> </w:t>
      </w:r>
      <w:r>
        <w:rPr>
          <w:rFonts w:ascii="Times New Roman" w:hAnsi="Times New Roman" w:cs="Times New Roman" w:eastAsia="Times New Roman" w:hint="default"/>
        </w:rPr>
        <w:t>5,692,870</w:t>
      </w:r>
      <w:r>
        <w:rPr>
          <w:rFonts w:ascii="Times New Roman" w:hAnsi="Times New Roman" w:cs="Times New Roman" w:eastAsia="Times New Roman" w:hint="default"/>
          <w:spacing w:val="-2"/>
        </w:rPr>
        <w:t> </w:t>
      </w:r>
      <w:r>
        <w:rPr/>
        <w:t>欧元。</w:t>
      </w:r>
    </w:p>
    <w:p>
      <w:pPr>
        <w:pStyle w:val="BodyText"/>
        <w:spacing w:line="240" w:lineRule="auto" w:before="69"/>
        <w:ind w:left="558" w:right="0"/>
        <w:jc w:val="left"/>
      </w:pPr>
      <w:r>
        <w:rPr/>
        <w:t>根据与中远海运港口、中远海运港口</w:t>
      </w:r>
      <w:r>
        <w:rPr>
          <w:rFonts w:ascii="Times New Roman" w:hAnsi="Times New Roman" w:cs="Times New Roman" w:eastAsia="Times New Roman" w:hint="default"/>
        </w:rPr>
        <w:t>(</w:t>
      </w:r>
      <w:r>
        <w:rPr/>
        <w:t>阿布扎比</w:t>
      </w:r>
      <w:r>
        <w:rPr>
          <w:rFonts w:ascii="Times New Roman" w:hAnsi="Times New Roman" w:cs="Times New Roman" w:eastAsia="Times New Roman" w:hint="default"/>
        </w:rPr>
        <w:t>)</w:t>
      </w:r>
      <w:r>
        <w:rPr/>
        <w:t>有限公司于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日签订的协议，国</w:t>
      </w:r>
    </w:p>
    <w:p>
      <w:pPr>
        <w:pStyle w:val="BodyText"/>
        <w:spacing w:line="240" w:lineRule="auto" w:before="69"/>
        <w:ind w:left="138" w:right="0"/>
        <w:jc w:val="left"/>
      </w:pPr>
      <w:r>
        <w:rPr/>
        <w:t>际发展承诺以</w:t>
      </w:r>
      <w:r>
        <w:rPr>
          <w:spacing w:val="-65"/>
        </w:rPr>
        <w:t> </w:t>
      </w:r>
      <w:r>
        <w:rPr>
          <w:rFonts w:ascii="Times New Roman" w:hAnsi="Times New Roman" w:cs="Times New Roman" w:eastAsia="Times New Roman" w:hint="default"/>
        </w:rPr>
        <w:t>59,276,030</w:t>
      </w:r>
      <w:r>
        <w:rPr>
          <w:rFonts w:ascii="Times New Roman" w:hAnsi="Times New Roman" w:cs="Times New Roman" w:eastAsia="Times New Roman" w:hint="default"/>
          <w:spacing w:val="-15"/>
        </w:rPr>
        <w:t> </w:t>
      </w:r>
      <w:r>
        <w:rPr/>
        <w:t>美元购买中远海运港口持有的中远海运港口</w:t>
      </w:r>
      <w:r>
        <w:rPr>
          <w:rFonts w:ascii="Times New Roman" w:hAnsi="Times New Roman" w:cs="Times New Roman" w:eastAsia="Times New Roman" w:hint="default"/>
        </w:rPr>
        <w:t>(</w:t>
      </w:r>
      <w:r>
        <w:rPr/>
        <w:t>阿布扎比</w:t>
      </w:r>
      <w:r>
        <w:rPr>
          <w:rFonts w:ascii="Times New Roman" w:hAnsi="Times New Roman" w:cs="Times New Roman" w:eastAsia="Times New Roman" w:hint="default"/>
        </w:rPr>
        <w:t>)</w:t>
      </w:r>
      <w:r>
        <w:rPr/>
        <w:t>有限公司</w:t>
      </w:r>
      <w:r>
        <w:rPr>
          <w:spacing w:val="-67"/>
        </w:rPr>
        <w:t> </w:t>
      </w:r>
      <w:r>
        <w:rPr>
          <w:rFonts w:ascii="Times New Roman" w:hAnsi="Times New Roman" w:cs="Times New Roman" w:eastAsia="Times New Roman" w:hint="default"/>
        </w:rPr>
        <w:t>6,667</w:t>
      </w:r>
      <w:r>
        <w:rPr>
          <w:rFonts w:ascii="Times New Roman" w:hAnsi="Times New Roman" w:cs="Times New Roman" w:eastAsia="Times New Roman" w:hint="default"/>
          <w:spacing w:val="-12"/>
        </w:rPr>
        <w:t> </w:t>
      </w:r>
      <w:r>
        <w:rPr>
          <w:spacing w:val="-3"/>
        </w:rPr>
        <w:t>股份，</w:t>
      </w:r>
      <w:r>
        <w:rPr/>
      </w:r>
    </w:p>
    <w:p>
      <w:pPr>
        <w:pStyle w:val="BodyText"/>
        <w:spacing w:line="240" w:lineRule="auto" w:before="70"/>
        <w:ind w:left="138" w:right="0"/>
        <w:jc w:val="left"/>
      </w:pPr>
      <w:r>
        <w:rPr/>
        <w:t>代表其</w:t>
      </w:r>
      <w:r>
        <w:rPr>
          <w:spacing w:val="-54"/>
        </w:rPr>
        <w:t> </w:t>
      </w:r>
      <w:r>
        <w:rPr>
          <w:rFonts w:ascii="Times New Roman" w:hAnsi="Times New Roman" w:cs="Times New Roman" w:eastAsia="Times New Roman" w:hint="default"/>
        </w:rPr>
        <w:t>33.335%</w:t>
      </w:r>
      <w:r>
        <w:rPr/>
        <w:t>的股权。截至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日，国际发展尚未支付上述款项。</w:t>
      </w:r>
    </w:p>
    <w:p>
      <w:pPr>
        <w:pStyle w:val="BodyText"/>
        <w:spacing w:line="240" w:lineRule="auto" w:before="69"/>
        <w:ind w:left="558" w:right="0"/>
        <w:jc w:val="left"/>
      </w:pPr>
      <w:r>
        <w:rPr/>
        <w:t>本公司之子公司科技公司与青岛无车承运服务中心有限公司于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0"/>
        </w:rPr>
        <w:t>日签订协议，承诺</w:t>
      </w:r>
    </w:p>
    <w:p>
      <w:pPr>
        <w:pStyle w:val="BodyText"/>
        <w:spacing w:line="240" w:lineRule="auto" w:before="69"/>
        <w:ind w:left="138" w:right="0"/>
        <w:jc w:val="left"/>
        <w:rPr>
          <w:rFonts w:ascii="Times New Roman" w:hAnsi="Times New Roman" w:cs="Times New Roman" w:eastAsia="Times New Roman" w:hint="default"/>
        </w:rPr>
      </w:pPr>
      <w:r>
        <w:rPr/>
        <w:t>以技术评估作价</w:t>
      </w:r>
      <w:r>
        <w:rPr>
          <w:spacing w:val="-54"/>
        </w:rPr>
        <w:t> </w:t>
      </w:r>
      <w:r>
        <w:rPr>
          <w:rFonts w:ascii="Times New Roman" w:hAnsi="Times New Roman" w:cs="Times New Roman" w:eastAsia="Times New Roman" w:hint="default"/>
        </w:rPr>
        <w:t>2,140</w:t>
      </w:r>
      <w:r>
        <w:rPr>
          <w:rFonts w:ascii="Times New Roman" w:hAnsi="Times New Roman" w:cs="Times New Roman" w:eastAsia="Times New Roman" w:hint="default"/>
          <w:spacing w:val="-1"/>
        </w:rPr>
        <w:t> </w:t>
      </w:r>
      <w:r>
        <w:rPr/>
        <w:t>万元与对方共同成立合资公司，科技公司占注册资本</w:t>
      </w:r>
      <w:r>
        <w:rPr>
          <w:spacing w:val="-56"/>
        </w:rPr>
        <w:t> </w:t>
      </w:r>
      <w:r>
        <w:rPr>
          <w:rFonts w:ascii="Times New Roman" w:hAnsi="Times New Roman" w:cs="Times New Roman" w:eastAsia="Times New Roman" w:hint="default"/>
        </w:rPr>
        <w:t>30%</w:t>
      </w: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p>
    <w:p>
      <w:pPr>
        <w:pStyle w:val="BodyText"/>
        <w:spacing w:line="240" w:lineRule="auto" w:before="69"/>
        <w:ind w:left="138" w:right="0"/>
        <w:jc w:val="left"/>
      </w:pP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日，合资公司青岛天马供应链科技有限公司已注册成立，但科技公司尚未出资。</w:t>
      </w:r>
    </w:p>
    <w:p>
      <w:pPr>
        <w:pStyle w:val="BodyText"/>
        <w:spacing w:line="297" w:lineRule="auto" w:before="69"/>
        <w:ind w:left="558" w:right="0"/>
        <w:jc w:val="left"/>
      </w:pPr>
      <w:r>
        <w:rPr/>
        <w:t>（</w:t>
      </w:r>
      <w:r>
        <w:rPr>
          <w:rFonts w:ascii="Times New Roman" w:hAnsi="Times New Roman" w:cs="Times New Roman" w:eastAsia="Times New Roman" w:hint="default"/>
        </w:rPr>
        <w:t>3</w:t>
      </w:r>
      <w:r>
        <w:rPr/>
        <w:t>）其他承诺</w:t>
      </w:r>
      <w:r>
        <w:rPr>
          <w:w w:val="100"/>
        </w:rPr>
        <w:t> </w:t>
      </w:r>
      <w:r>
        <w:rPr>
          <w:spacing w:val="-2"/>
        </w:rPr>
        <w:t>青岛港集团及其子公司、其他关联方为从第三方购买原材料及设备而从本公司之子公司青港财</w:t>
      </w:r>
    </w:p>
    <w:p>
      <w:pPr>
        <w:pStyle w:val="BodyText"/>
        <w:spacing w:line="240" w:lineRule="auto" w:before="34"/>
        <w:ind w:left="138" w:right="0"/>
        <w:jc w:val="left"/>
      </w:pPr>
      <w:r>
        <w:rPr/>
        <w:t>务公司开具承兑汇票，截至</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日的余额为</w:t>
      </w:r>
      <w:r>
        <w:rPr>
          <w:spacing w:val="1"/>
        </w:rPr>
        <w:t> </w:t>
      </w:r>
      <w:r>
        <w:rPr>
          <w:rFonts w:ascii="Times New Roman" w:hAnsi="Times New Roman" w:cs="Times New Roman" w:eastAsia="Times New Roman" w:hint="default"/>
        </w:rPr>
        <w:t>195,136,417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pStyle w:val="BodyText"/>
        <w:spacing w:line="297" w:lineRule="auto" w:before="69"/>
        <w:ind w:left="138" w:right="0"/>
        <w:jc w:val="left"/>
      </w:pPr>
      <w:r>
        <w:rPr>
          <w:rFonts w:ascii="Times New Roman" w:hAnsi="Times New Roman" w:cs="Times New Roman" w:eastAsia="Times New Roman" w:hint="default"/>
        </w:rPr>
        <w:t>113,447,934 </w:t>
      </w:r>
      <w:r>
        <w:rPr>
          <w:spacing w:val="-4"/>
        </w:rPr>
        <w:t>元</w:t>
      </w:r>
      <w:r>
        <w:rPr>
          <w:rFonts w:ascii="Times New Roman" w:hAnsi="Times New Roman" w:cs="Times New Roman" w:eastAsia="Times New Roman" w:hint="default"/>
          <w:spacing w:val="-4"/>
        </w:rPr>
        <w:t>)</w:t>
      </w:r>
      <w:r>
        <w:rPr>
          <w:spacing w:val="-4"/>
        </w:rPr>
        <w:t>。青港财务公司向开具票据申请人收取一定金额的保证金，并将在汇票到期后直接向</w:t>
      </w:r>
      <w:r>
        <w:rPr>
          <w:spacing w:val="-96"/>
        </w:rPr>
        <w:t> </w:t>
      </w:r>
      <w:r>
        <w:rPr>
          <w:spacing w:val="-96"/>
        </w:rPr>
      </w:r>
      <w:r>
        <w:rPr/>
        <w:t>第三方供货商支付货款。</w:t>
      </w:r>
    </w:p>
    <w:p>
      <w:pPr>
        <w:pStyle w:val="BodyText"/>
        <w:spacing w:line="314" w:lineRule="auto" w:before="34"/>
        <w:ind w:left="138" w:right="309" w:firstLine="420"/>
        <w:jc w:val="both"/>
      </w:pPr>
      <w:r>
        <w:rPr>
          <w:spacing w:val="-1"/>
        </w:rPr>
        <w:t>本集团与客户签订合同，部分客户要求本集团向其开具保函以保证合同约定业务符合质量要求</w:t>
      </w:r>
      <w:r>
        <w:rPr>
          <w:w w:val="100"/>
        </w:rPr>
        <w:t> </w:t>
      </w:r>
      <w:r>
        <w:rPr>
          <w:spacing w:val="-4"/>
        </w:rPr>
        <w:t>或按合同约定如期完成。截至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3"/>
        </w:rPr>
        <w:t>日，青港财务公司因前述目的开具保函余额约为人民</w:t>
      </w:r>
    </w:p>
    <w:p>
      <w:pPr>
        <w:pStyle w:val="BodyText"/>
        <w:spacing w:line="288" w:lineRule="exact"/>
        <w:ind w:left="138" w:right="0"/>
        <w:jc w:val="left"/>
      </w:pPr>
      <w:r>
        <w:rPr/>
        <w:t>币</w:t>
      </w:r>
      <w:r>
        <w:rPr>
          <w:spacing w:val="-54"/>
        </w:rPr>
        <w:t> </w:t>
      </w:r>
      <w:r>
        <w:rPr>
          <w:rFonts w:ascii="Times New Roman" w:hAnsi="Times New Roman" w:cs="Times New Roman" w:eastAsia="Times New Roman" w:hint="default"/>
        </w:rPr>
        <w:t>51,514,350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50,707,950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p>
    <w:p>
      <w:pPr>
        <w:pStyle w:val="BodyText"/>
        <w:spacing w:line="240" w:lineRule="auto" w:before="69"/>
        <w:ind w:left="558" w:right="0"/>
        <w:jc w:val="left"/>
      </w:pPr>
      <w:r>
        <w:rPr>
          <w:spacing w:val="-4"/>
        </w:rPr>
        <w:t>鉴于本公司之子公司青港物流向上海期货交易所申请国产天然橡胶、纸浆及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号标胶期货指定</w:t>
      </w:r>
    </w:p>
    <w:p>
      <w:pPr>
        <w:pStyle w:val="BodyText"/>
        <w:spacing w:line="240" w:lineRule="auto" w:before="69"/>
        <w:ind w:left="138" w:right="0"/>
        <w:jc w:val="left"/>
      </w:pPr>
      <w:r>
        <w:rPr>
          <w:w w:val="100"/>
        </w:rPr>
        <w:t>交割</w:t>
      </w:r>
      <w:r>
        <w:rPr>
          <w:spacing w:val="-3"/>
          <w:w w:val="100"/>
        </w:rPr>
        <w:t>仓</w:t>
      </w:r>
      <w:r>
        <w:rPr>
          <w:w w:val="100"/>
        </w:rPr>
        <w:t>库</w:t>
      </w:r>
      <w:r>
        <w:rPr>
          <w:spacing w:val="-3"/>
          <w:w w:val="100"/>
        </w:rPr>
        <w:t>资质</w:t>
      </w:r>
      <w:r>
        <w:rPr>
          <w:spacing w:val="-85"/>
          <w:w w:val="100"/>
        </w:rPr>
        <w:t>，</w:t>
      </w:r>
      <w:r>
        <w:rPr>
          <w:spacing w:val="-3"/>
          <w:w w:val="100"/>
        </w:rPr>
        <w:t>开</w:t>
      </w:r>
      <w:r>
        <w:rPr>
          <w:w w:val="100"/>
        </w:rPr>
        <w:t>展</w:t>
      </w:r>
      <w:r>
        <w:rPr>
          <w:spacing w:val="-3"/>
          <w:w w:val="100"/>
        </w:rPr>
        <w:t>国</w:t>
      </w:r>
      <w:r>
        <w:rPr>
          <w:w w:val="100"/>
        </w:rPr>
        <w:t>产</w:t>
      </w:r>
      <w:r>
        <w:rPr>
          <w:spacing w:val="-3"/>
          <w:w w:val="100"/>
        </w:rPr>
        <w:t>天</w:t>
      </w:r>
      <w:r>
        <w:rPr>
          <w:w w:val="100"/>
        </w:rPr>
        <w:t>然橡</w:t>
      </w:r>
      <w:r>
        <w:rPr>
          <w:spacing w:val="-3"/>
          <w:w w:val="100"/>
        </w:rPr>
        <w:t>胶</w:t>
      </w:r>
      <w:r>
        <w:rPr>
          <w:w w:val="100"/>
        </w:rPr>
        <w:t>现</w:t>
      </w:r>
      <w:r>
        <w:rPr>
          <w:spacing w:val="-3"/>
          <w:w w:val="100"/>
        </w:rPr>
        <w:t>期货</w:t>
      </w:r>
      <w:r>
        <w:rPr>
          <w:spacing w:val="-85"/>
          <w:w w:val="100"/>
        </w:rPr>
        <w:t>、</w:t>
      </w:r>
      <w:r>
        <w:rPr>
          <w:spacing w:val="-3"/>
          <w:w w:val="100"/>
        </w:rPr>
        <w:t>纸</w:t>
      </w:r>
      <w:r>
        <w:rPr>
          <w:w w:val="100"/>
        </w:rPr>
        <w:t>浆</w:t>
      </w:r>
      <w:r>
        <w:rPr>
          <w:spacing w:val="-3"/>
          <w:w w:val="100"/>
        </w:rPr>
        <w:t>现</w:t>
      </w:r>
      <w:r>
        <w:rPr>
          <w:w w:val="100"/>
        </w:rPr>
        <w:t>期</w:t>
      </w:r>
      <w:r>
        <w:rPr>
          <w:spacing w:val="-3"/>
          <w:w w:val="100"/>
        </w:rPr>
        <w:t>货</w:t>
      </w:r>
      <w:r>
        <w:rPr>
          <w:w w:val="100"/>
        </w:rPr>
        <w:t>及</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rPr>
        <w:t> </w:t>
      </w:r>
      <w:r>
        <w:rPr>
          <w:w w:val="100"/>
        </w:rPr>
        <w:t>号</w:t>
      </w:r>
      <w:r>
        <w:rPr>
          <w:spacing w:val="-3"/>
          <w:w w:val="100"/>
        </w:rPr>
        <w:t>标</w:t>
      </w:r>
      <w:r>
        <w:rPr>
          <w:w w:val="100"/>
        </w:rPr>
        <w:t>胶</w:t>
      </w:r>
      <w:r>
        <w:rPr>
          <w:spacing w:val="-3"/>
          <w:w w:val="100"/>
        </w:rPr>
        <w:t>现</w:t>
      </w:r>
      <w:r>
        <w:rPr>
          <w:w w:val="100"/>
        </w:rPr>
        <w:t>期</w:t>
      </w:r>
      <w:r>
        <w:rPr>
          <w:spacing w:val="-3"/>
          <w:w w:val="100"/>
        </w:rPr>
        <w:t>货</w:t>
      </w:r>
      <w:r>
        <w:rPr>
          <w:w w:val="100"/>
        </w:rPr>
        <w:t>仓</w:t>
      </w:r>
      <w:r>
        <w:rPr>
          <w:spacing w:val="-3"/>
          <w:w w:val="100"/>
        </w:rPr>
        <w:t>储及</w:t>
      </w:r>
      <w:r>
        <w:rPr>
          <w:w w:val="100"/>
        </w:rPr>
        <w:t>相关</w:t>
      </w:r>
      <w:r>
        <w:rPr>
          <w:spacing w:val="-3"/>
          <w:w w:val="100"/>
        </w:rPr>
        <w:t>延</w:t>
      </w:r>
      <w:r>
        <w:rPr>
          <w:w w:val="100"/>
        </w:rPr>
        <w:t>伸</w:t>
      </w:r>
      <w:r>
        <w:rPr>
          <w:spacing w:val="-3"/>
          <w:w w:val="100"/>
        </w:rPr>
        <w:t>物</w:t>
      </w:r>
      <w:r>
        <w:rPr>
          <w:w w:val="100"/>
        </w:rPr>
        <w:t>流</w:t>
      </w:r>
      <w:r>
        <w:rPr>
          <w:spacing w:val="-3"/>
          <w:w w:val="100"/>
        </w:rPr>
        <w:t>业</w:t>
      </w:r>
      <w:r>
        <w:rPr>
          <w:w w:val="100"/>
        </w:rPr>
        <w:t>务，</w:t>
      </w:r>
    </w:p>
    <w:p>
      <w:pPr>
        <w:pStyle w:val="BodyText"/>
        <w:spacing w:line="240" w:lineRule="auto" w:before="69"/>
        <w:ind w:left="138" w:right="0"/>
        <w:jc w:val="left"/>
      </w:pPr>
      <w:r>
        <w:rPr>
          <w:spacing w:val="-4"/>
        </w:rPr>
        <w:t>董事会同意根据上海期货交易所相关规定，由本公司分别自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年起陆续为青港物流上述国产天然</w:t>
      </w:r>
    </w:p>
    <w:p>
      <w:pPr>
        <w:pStyle w:val="BodyText"/>
        <w:spacing w:line="240" w:lineRule="auto" w:before="69"/>
        <w:ind w:left="138" w:right="0"/>
        <w:jc w:val="left"/>
      </w:pPr>
      <w:r>
        <w:rPr>
          <w:spacing w:val="-6"/>
        </w:rPr>
        <w:t>橡胶、纸浆期货及 </w:t>
      </w:r>
      <w:r>
        <w:rPr>
          <w:rFonts w:ascii="Times New Roman" w:hAnsi="Times New Roman" w:cs="Times New Roman" w:eastAsia="Times New Roman" w:hint="default"/>
        </w:rPr>
        <w:t>20</w:t>
      </w:r>
      <w:r>
        <w:rPr>
          <w:rFonts w:ascii="Times New Roman" w:hAnsi="Times New Roman" w:cs="Times New Roman" w:eastAsia="Times New Roman" w:hint="default"/>
          <w:spacing w:val="30"/>
        </w:rPr>
        <w:t> </w:t>
      </w:r>
      <w:r>
        <w:rPr>
          <w:spacing w:val="-3"/>
        </w:rPr>
        <w:t>号标胶期货指定交割仓库资质申请和业务开展出具担保函，期限为自担保函出</w:t>
      </w:r>
    </w:p>
    <w:p>
      <w:pPr>
        <w:pStyle w:val="BodyText"/>
        <w:spacing w:line="240" w:lineRule="auto" w:before="69"/>
        <w:ind w:left="138" w:right="0"/>
        <w:jc w:val="left"/>
      </w:pPr>
      <w:r>
        <w:rPr/>
        <w:t>具之日起至指定交割仓库协议届满之日</w:t>
      </w:r>
      <w:r>
        <w:rPr>
          <w:rFonts w:ascii="Times New Roman" w:hAnsi="Times New Roman" w:cs="Times New Roman" w:eastAsia="Times New Roman" w:hint="default"/>
        </w:rPr>
        <w:t>(</w:t>
      </w:r>
      <w:r>
        <w:rPr/>
        <w:t>协议到期日分别为</w:t>
      </w:r>
      <w:r>
        <w:rPr>
          <w:spacing w:val="-50"/>
        </w:rPr>
        <w:t> </w:t>
      </w:r>
      <w:r>
        <w:rPr>
          <w:rFonts w:ascii="Times New Roman" w:hAnsi="Times New Roman" w:cs="Times New Roman" w:eastAsia="Times New Roman" w:hint="default"/>
        </w:rPr>
        <w:t>2021 </w:t>
      </w:r>
      <w:r>
        <w:rPr/>
        <w:t>年</w:t>
      </w:r>
      <w:r>
        <w:rPr>
          <w:spacing w:val="-50"/>
        </w:rPr>
        <w:t> </w:t>
      </w:r>
      <w:r>
        <w:rPr>
          <w:rFonts w:ascii="Times New Roman" w:hAnsi="Times New Roman" w:cs="Times New Roman" w:eastAsia="Times New Roman" w:hint="default"/>
        </w:rPr>
        <w:t>6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2022 </w:t>
      </w:r>
      <w:r>
        <w:rPr/>
        <w:t>年</w:t>
      </w:r>
      <w:r>
        <w:rPr>
          <w:spacing w:val="-50"/>
        </w:rPr>
        <w:t> </w:t>
      </w:r>
      <w:r>
        <w:rPr>
          <w:rFonts w:ascii="Times New Roman" w:hAnsi="Times New Roman" w:cs="Times New Roman" w:eastAsia="Times New Roman" w:hint="default"/>
        </w:rPr>
        <w:t>11 </w:t>
      </w:r>
      <w:r>
        <w:rPr/>
        <w:t>月</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3"/>
        </w:rPr>
        <w:t>日、</w:t>
      </w:r>
      <w:r>
        <w:rPr/>
      </w:r>
    </w:p>
    <w:p>
      <w:pPr>
        <w:pStyle w:val="BodyText"/>
        <w:spacing w:line="240" w:lineRule="auto" w:before="69"/>
        <w:ind w:left="138" w:right="0"/>
        <w:jc w:val="left"/>
        <w:rPr>
          <w:rFonts w:ascii="Times New Roman" w:hAnsi="Times New Roman" w:cs="Times New Roman" w:eastAsia="Times New Roman" w:hint="default"/>
        </w:rPr>
      </w:pPr>
      <w:r>
        <w:rPr>
          <w:rFonts w:ascii="Times New Roman" w:hAnsi="Times New Roman" w:cs="Times New Roman" w:eastAsia="Times New Roman" w:hint="default"/>
        </w:rPr>
        <w:t>2022</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w:t>
      </w:r>
      <w:r>
        <w:rPr/>
        <w:t>起两年。本公司对青港物流的期货交割库业务的最高担保金额为</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spacing w:val="-5"/>
        </w:rPr>
        <w:t>亿元。于</w:t>
      </w:r>
      <w:r>
        <w:rPr>
          <w:spacing w:val="-55"/>
        </w:rPr>
        <w:t> </w:t>
      </w:r>
      <w:r>
        <w:rPr>
          <w:rFonts w:ascii="Times New Roman" w:hAnsi="Times New Roman" w:cs="Times New Roman" w:eastAsia="Times New Roman" w:hint="default"/>
        </w:rPr>
        <w:t>2019</w:t>
      </w:r>
    </w:p>
    <w:p>
      <w:pPr>
        <w:pStyle w:val="BodyText"/>
        <w:spacing w:line="240" w:lineRule="auto" w:before="69"/>
        <w:ind w:left="138" w:right="0"/>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日，橡胶、纸浆及</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号标胶期货的库存货值为</w:t>
      </w:r>
      <w:r>
        <w:rPr>
          <w:spacing w:val="-54"/>
        </w:rPr>
        <w:t> </w:t>
      </w:r>
      <w:r>
        <w:rPr>
          <w:rFonts w:ascii="Times New Roman" w:hAnsi="Times New Roman" w:cs="Times New Roman" w:eastAsia="Times New Roman" w:hint="default"/>
        </w:rPr>
        <w:t>4.02</w:t>
      </w:r>
      <w:r>
        <w:rPr>
          <w:rFonts w:ascii="Times New Roman" w:hAnsi="Times New Roman" w:cs="Times New Roman" w:eastAsia="Times New Roman" w:hint="default"/>
          <w:spacing w:val="-1"/>
        </w:rPr>
        <w:t> </w:t>
      </w:r>
      <w:r>
        <w:rPr/>
        <w:t>亿元。</w:t>
      </w:r>
    </w:p>
    <w:p>
      <w:pPr>
        <w:pStyle w:val="BodyText"/>
        <w:spacing w:line="304" w:lineRule="auto" w:before="70"/>
        <w:ind w:left="138" w:right="309" w:firstLine="420"/>
        <w:jc w:val="both"/>
      </w:pPr>
      <w:r>
        <w:rPr/>
        <w:t>本公司之合营公司青岛实华已于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日与上海国际能源交易中心股份有限公司签订</w:t>
      </w:r>
      <w:r>
        <w:rPr>
          <w:w w:val="100"/>
        </w:rPr>
        <w:t> </w:t>
      </w:r>
      <w:r>
        <w:rPr>
          <w:spacing w:val="-2"/>
        </w:rPr>
        <w:t>协议，成为上海国际能源交易中心指定交割仓库，本公司对其开展期货商品入库、保管、出库、交</w:t>
      </w:r>
      <w:r>
        <w:rPr>
          <w:spacing w:val="-25"/>
        </w:rPr>
        <w:t> </w:t>
      </w:r>
      <w:r>
        <w:rPr>
          <w:spacing w:val="-25"/>
        </w:rPr>
      </w:r>
      <w:r>
        <w:rPr>
          <w:spacing w:val="-2"/>
        </w:rPr>
        <w:t>割等全部业务所应承担的一切责任承担不可撤销的连带保证担保责任，担保期限为青岛实华应承担</w:t>
      </w:r>
      <w:r>
        <w:rPr>
          <w:spacing w:val="-25"/>
        </w:rPr>
        <w:t> </w:t>
      </w:r>
      <w:r>
        <w:rPr>
          <w:spacing w:val="-25"/>
        </w:rPr>
      </w:r>
      <w:r>
        <w:rPr>
          <w:spacing w:val="-4"/>
        </w:rPr>
        <w:t>相关责任之日起两年。截至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日，青岛实华尚未发生相关业务交易且原油期货交割库</w:t>
      </w:r>
      <w:r>
        <w:rPr>
          <w:spacing w:val="-102"/>
        </w:rPr>
        <w:t> </w:t>
      </w:r>
      <w:r>
        <w:rPr>
          <w:spacing w:val="-102"/>
        </w:rPr>
      </w:r>
      <w:r>
        <w:rPr/>
        <w:t>相关业务合同已到期终止。</w:t>
      </w:r>
    </w:p>
    <w:p>
      <w:pPr>
        <w:pStyle w:val="BodyText"/>
        <w:spacing w:line="226" w:lineRule="exact"/>
        <w:ind w:left="138" w:right="0"/>
        <w:jc w:val="left"/>
        <w:rPr>
          <w:rFonts w:ascii="宋体" w:hAnsi="宋体" w:cs="宋体" w:eastAsia="宋体" w:hint="default"/>
        </w:rPr>
      </w:pPr>
      <w:r>
        <w:rPr>
          <w:rFonts w:ascii="宋体"/>
          <w:w w:val="100"/>
        </w:rPr>
        <w:t> </w:t>
      </w:r>
    </w:p>
    <w:p>
      <w:pPr>
        <w:pStyle w:val="Heading5"/>
        <w:spacing w:line="290" w:lineRule="auto"/>
        <w:ind w:left="138" w:right="4766"/>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或有事项</w:t>
      </w:r>
      <w:r>
        <w:rPr>
          <w:rFonts w:ascii="宋体" w:hAnsi="宋体" w:cs="宋体" w:eastAsia="宋体" w:hint="default"/>
          <w:w w:val="99"/>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103"/>
          <w:pgSz w:w="11910" w:h="16840"/>
          <w:pgMar w:footer="974" w:header="0" w:top="1080" w:bottom="1160" w:left="1280" w:right="1100"/>
          <w:pgNumType w:start="23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5"/>
        <w:spacing w:line="240" w:lineRule="auto" w:before="0"/>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4" w:top="1080" w:bottom="1160" w:left="1200" w:right="1180"/>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rFonts w:ascii="宋体"/>
        </w:rPr>
        <w:t> </w:t>
      </w:r>
    </w:p>
    <w:p>
      <w:pPr>
        <w:pStyle w:val="Heading5"/>
        <w:spacing w:line="290" w:lineRule="auto" w:before="61"/>
        <w:ind w:right="0"/>
        <w:jc w:val="left"/>
        <w:rPr>
          <w:rFonts w:ascii="宋体" w:hAnsi="宋体" w:cs="宋体" w:eastAsia="宋体" w:hint="default"/>
          <w:b w:val="0"/>
          <w:bCs w:val="0"/>
        </w:rPr>
      </w:pPr>
      <w:r>
        <w:rPr/>
        <w:t>十五、</w:t>
      </w:r>
      <w:r>
        <w:rPr>
          <w:spacing w:val="100"/>
        </w:rPr>
        <w:t> </w:t>
      </w:r>
      <w:r>
        <w:rPr>
          <w:rFonts w:ascii="宋体" w:hAnsi="宋体" w:cs="宋体" w:eastAsia="宋体" w:hint="default"/>
          <w:spacing w:val="100"/>
        </w:rPr>
      </w:r>
      <w:r>
        <w:rPr/>
        <w:t>资产负债表日后事项</w:t>
      </w:r>
      <w:r>
        <w:rPr>
          <w:rFonts w:ascii="宋体" w:hAnsi="宋体" w:cs="宋体" w:eastAsia="宋体" w:hint="default"/>
          <w:w w:val="99"/>
        </w:rPr>
        <w:t> </w:t>
      </w:r>
      <w:r>
        <w:rPr>
          <w:rFonts w:ascii="宋体" w:hAnsi="宋体" w:cs="宋体" w:eastAsia="宋体" w:hint="default"/>
        </w:rPr>
        <w:t>1</w:t>
      </w:r>
      <w:r>
        <w:rPr/>
        <w:t>、</w:t>
      </w:r>
      <w:r>
        <w:rPr>
          <w:spacing w:val="2"/>
        </w:rPr>
        <w:t> </w:t>
      </w:r>
      <w:r>
        <w:rPr/>
        <w:t>重要的非调整事项</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97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利润分配情况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pStyle w:val="BodyText"/>
        <w:spacing w:line="240" w:lineRule="auto"/>
        <w:ind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160" w:left="1200" w:right="1180"/>
          <w:cols w:num="2" w:equalWidth="0">
            <w:col w:w="3064" w:space="3695"/>
            <w:col w:w="2771"/>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821"/>
        <w:gridCol w:w="5466"/>
      </w:tblGrid>
      <w:tr>
        <w:trPr>
          <w:trHeight w:val="283" w:hRule="exact"/>
        </w:trPr>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4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1,300,167,330</w:t>
            </w:r>
          </w:p>
        </w:tc>
      </w:tr>
      <w:tr>
        <w:trPr>
          <w:trHeight w:val="283" w:hRule="exact"/>
        </w:trPr>
        <w:tc>
          <w:tcPr>
            <w:tcW w:w="3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4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1,300,167,330</w:t>
            </w:r>
          </w:p>
        </w:tc>
      </w:tr>
    </w:tbl>
    <w:p>
      <w:pPr>
        <w:pStyle w:val="BodyText"/>
        <w:spacing w:line="240" w:lineRule="auto" w:before="42"/>
        <w:ind w:left="638" w:right="0"/>
        <w:jc w:val="left"/>
      </w:pPr>
      <w:r>
        <w:rPr/>
        <w:t>根据</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日董事会决议，董事会提议本公司向全体股东派发</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年现金股利，每</w:t>
      </w:r>
    </w:p>
    <w:p>
      <w:pPr>
        <w:pStyle w:val="BodyText"/>
        <w:spacing w:line="240" w:lineRule="auto" w:before="69"/>
        <w:ind w:right="0"/>
        <w:jc w:val="both"/>
        <w:rPr>
          <w:rFonts w:ascii="Times New Roman" w:hAnsi="Times New Roman" w:cs="Times New Roman" w:eastAsia="Times New Roman" w:hint="default"/>
        </w:rPr>
      </w:pP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股人民币</w:t>
      </w:r>
      <w:r>
        <w:rPr>
          <w:spacing w:val="-4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spacing w:val="-8"/>
        </w:rPr>
        <w:t>元</w:t>
      </w:r>
      <w:r>
        <w:rPr>
          <w:rFonts w:ascii="Times New Roman" w:hAnsi="Times New Roman" w:cs="Times New Roman" w:eastAsia="Times New Roman" w:hint="default"/>
          <w:spacing w:val="-8"/>
        </w:rPr>
        <w:t>(</w:t>
      </w:r>
      <w:r>
        <w:rPr>
          <w:spacing w:val="-8"/>
        </w:rPr>
        <w:t>含税</w:t>
      </w:r>
      <w:r>
        <w:rPr>
          <w:rFonts w:ascii="Times New Roman" w:hAnsi="Times New Roman" w:cs="Times New Roman" w:eastAsia="Times New Roman" w:hint="default"/>
          <w:spacing w:val="-8"/>
        </w:rPr>
        <w:t>)</w:t>
      </w:r>
      <w:r>
        <w:rPr>
          <w:spacing w:val="-8"/>
        </w:rPr>
        <w:t>，按已发行股份</w:t>
      </w:r>
      <w:r>
        <w:rPr>
          <w:spacing w:val="-49"/>
        </w:rPr>
        <w:t> </w:t>
      </w:r>
      <w:r>
        <w:rPr>
          <w:rFonts w:ascii="Times New Roman" w:hAnsi="Times New Roman" w:cs="Times New Roman" w:eastAsia="Times New Roman" w:hint="default"/>
        </w:rPr>
        <w:t>6,491,100,000</w:t>
      </w:r>
      <w:r>
        <w:rPr>
          <w:rFonts w:ascii="Times New Roman" w:hAnsi="Times New Roman" w:cs="Times New Roman" w:eastAsia="Times New Roman" w:hint="default"/>
          <w:spacing w:val="6"/>
        </w:rPr>
        <w:t> </w:t>
      </w:r>
      <w:r>
        <w:rPr>
          <w:spacing w:val="-8"/>
        </w:rPr>
        <w:t>股计算，拟派发现金股利共计</w:t>
      </w:r>
      <w:r>
        <w:rPr>
          <w:spacing w:val="-46"/>
        </w:rPr>
        <w:t> </w:t>
      </w:r>
      <w:r>
        <w:rPr>
          <w:rFonts w:ascii="Times New Roman" w:hAnsi="Times New Roman" w:cs="Times New Roman" w:eastAsia="Times New Roman" w:hint="default"/>
        </w:rPr>
        <w:t>1,300,167,330</w:t>
      </w:r>
    </w:p>
    <w:p>
      <w:pPr>
        <w:pStyle w:val="BodyText"/>
        <w:spacing w:line="240" w:lineRule="auto" w:before="69"/>
        <w:ind w:right="0"/>
        <w:jc w:val="both"/>
        <w:rPr>
          <w:rFonts w:ascii="Times New Roman" w:hAnsi="Times New Roman" w:cs="Times New Roman" w:eastAsia="Times New Roman" w:hint="default"/>
        </w:rPr>
      </w:pPr>
      <w:r>
        <w:rPr>
          <w:spacing w:val="-5"/>
        </w:rPr>
        <w:t>元，上述提议尚待股东大会批准，未在本财务报表中确认为负债</w:t>
      </w:r>
      <w:r>
        <w:rPr>
          <w:rFonts w:ascii="Times New Roman" w:hAnsi="Times New Roman" w:cs="Times New Roman" w:eastAsia="Times New Roman" w:hint="default"/>
          <w:spacing w:val="-5"/>
        </w:rPr>
        <w:t>(</w:t>
      </w:r>
      <w:r>
        <w:rPr>
          <w:spacing w:val="-5"/>
        </w:rPr>
        <w:t>本节七、合并财务报表项目注释</w:t>
      </w:r>
      <w:r>
        <w:rPr/>
        <w:t> </w:t>
      </w:r>
      <w:r>
        <w:rPr>
          <w:rFonts w:ascii="Times New Roman" w:hAnsi="Times New Roman" w:cs="Times New Roman" w:eastAsia="Times New Roman" w:hint="default"/>
        </w:rPr>
        <w:t>60)</w:t>
      </w:r>
    </w:p>
    <w:p>
      <w:pPr>
        <w:pStyle w:val="Heading5"/>
        <w:spacing w:line="240" w:lineRule="auto" w:before="52"/>
        <w:ind w:right="0"/>
        <w:jc w:val="both"/>
        <w:rPr>
          <w:rFonts w:ascii="宋体" w:hAnsi="宋体" w:cs="宋体" w:eastAsia="宋体" w:hint="default"/>
          <w:b w:val="0"/>
          <w:bCs w:val="0"/>
        </w:rPr>
      </w:pPr>
      <w:r>
        <w:rPr>
          <w:rFonts w:ascii="宋体" w:hAnsi="宋体" w:cs="宋体" w:eastAsia="宋体" w:hint="default"/>
        </w:rPr>
        <w:t>3</w:t>
      </w:r>
      <w:r>
        <w:rPr/>
        <w:t>、 销售退回</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5"/>
        <w:spacing w:line="240" w:lineRule="auto" w:before="61"/>
        <w:ind w:right="0"/>
        <w:jc w:val="both"/>
        <w:rPr>
          <w:rFonts w:ascii="宋体" w:hAnsi="宋体" w:cs="宋体" w:eastAsia="宋体" w:hint="default"/>
          <w:b w:val="0"/>
          <w:bCs w:val="0"/>
        </w:rPr>
      </w:pPr>
      <w:r>
        <w:rPr>
          <w:rFonts w:ascii="宋体" w:hAnsi="宋体" w:cs="宋体" w:eastAsia="宋体" w:hint="default"/>
        </w:rPr>
        <w:t>4</w:t>
      </w:r>
      <w:r>
        <w:rPr/>
        <w:t>、</w:t>
      </w:r>
      <w:r>
        <w:rPr>
          <w:spacing w:val="1"/>
        </w:rPr>
        <w:t> </w:t>
      </w:r>
      <w:r>
        <w:rPr/>
        <w:t>其他资产负债表日后事项说明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9" w:lineRule="auto" w:before="85"/>
        <w:ind w:right="229" w:firstLine="420"/>
        <w:jc w:val="both"/>
        <w:rPr>
          <w:rFonts w:ascii="宋体" w:hAnsi="宋体" w:cs="宋体" w:eastAsia="宋体" w:hint="default"/>
        </w:rPr>
      </w:pPr>
      <w:r>
        <w:rPr/>
        <w:t>新型冠状病毒肺炎疫情于 </w:t>
      </w:r>
      <w:r>
        <w:rPr>
          <w:rFonts w:ascii="Times New Roman" w:hAnsi="Times New Roman" w:cs="Times New Roman" w:eastAsia="Times New Roman" w:hint="default"/>
        </w:rPr>
        <w:t>2020</w:t>
      </w:r>
      <w:r>
        <w:rPr>
          <w:rFonts w:ascii="Times New Roman" w:hAnsi="Times New Roman" w:cs="Times New Roman" w:eastAsia="Times New Roman" w:hint="default"/>
          <w:spacing w:val="-20"/>
        </w:rPr>
        <w:t> </w:t>
      </w:r>
      <w:r>
        <w:rPr>
          <w:spacing w:val="-4"/>
        </w:rPr>
        <w:t>年年初在全国爆发，相关防控工作在全国范围内持续进行。本集</w:t>
      </w:r>
      <w:r>
        <w:rPr>
          <w:w w:val="100"/>
        </w:rPr>
        <w:t> </w:t>
      </w:r>
      <w:r>
        <w:rPr>
          <w:spacing w:val="-2"/>
        </w:rPr>
        <w:t>团密切关注此次疫情发展情况，采取多种措施对疫情进行防控并尽力降低其对本集团业务产生的影</w:t>
      </w:r>
      <w:r>
        <w:rPr>
          <w:spacing w:val="-25"/>
        </w:rPr>
        <w:t> </w:t>
      </w:r>
      <w:r>
        <w:rPr>
          <w:spacing w:val="-25"/>
        </w:rPr>
      </w:r>
      <w:r>
        <w:rPr>
          <w:spacing w:val="-2"/>
        </w:rPr>
        <w:t>响。本集团评估了此次疫情对本集团财务状况、经营成果等方面的影响，截至本财务报表批准报出</w:t>
      </w:r>
      <w:r>
        <w:rPr>
          <w:spacing w:val="-25"/>
        </w:rPr>
        <w:t> </w:t>
      </w:r>
      <w:r>
        <w:rPr>
          <w:spacing w:val="-25"/>
        </w:rPr>
      </w:r>
      <w:r>
        <w:rPr/>
        <w:t>日，尚未发现重大不利影响。</w:t>
      </w:r>
      <w:r>
        <w:rPr>
          <w:rFonts w:ascii="宋体" w:hAnsi="宋体" w:cs="宋体" w:eastAsia="宋体" w:hint="default"/>
        </w:rPr>
        <w:t> </w:t>
      </w:r>
    </w:p>
    <w:p>
      <w:pPr>
        <w:pStyle w:val="BodyText"/>
        <w:spacing w:line="210" w:lineRule="exact"/>
        <w:ind w:right="0"/>
        <w:jc w:val="both"/>
        <w:rPr>
          <w:rFonts w:ascii="宋体" w:hAnsi="宋体" w:cs="宋体" w:eastAsia="宋体" w:hint="default"/>
        </w:rPr>
      </w:pPr>
      <w:r>
        <w:rPr>
          <w:rFonts w:ascii="宋体"/>
          <w:w w:val="100"/>
        </w:rPr>
        <w:t> </w:t>
      </w:r>
    </w:p>
    <w:p>
      <w:pPr>
        <w:pStyle w:val="Heading5"/>
        <w:spacing w:line="290" w:lineRule="auto" w:before="58"/>
        <w:ind w:right="7088"/>
        <w:jc w:val="both"/>
        <w:rPr>
          <w:rFonts w:ascii="宋体" w:hAnsi="宋体" w:cs="宋体" w:eastAsia="宋体" w:hint="default"/>
          <w:b w:val="0"/>
          <w:bCs w:val="0"/>
        </w:rPr>
      </w:pPr>
      <w:r>
        <w:rPr/>
        <w:t>十六、</w:t>
      </w:r>
      <w:r>
        <w:rPr>
          <w:spacing w:val="99"/>
        </w:rPr>
        <w:t> </w:t>
      </w:r>
      <w:r>
        <w:rPr>
          <w:rFonts w:ascii="宋体" w:hAnsi="宋体" w:cs="宋体" w:eastAsia="宋体" w:hint="default"/>
          <w:spacing w:val="99"/>
        </w:rPr>
      </w:r>
      <w:r>
        <w:rPr/>
        <w:t>其他重要事项</w:t>
      </w:r>
      <w:r>
        <w:rPr>
          <w:rFonts w:ascii="宋体" w:hAnsi="宋体" w:cs="宋体" w:eastAsia="宋体" w:hint="default"/>
          <w:w w:val="99"/>
        </w:rPr>
        <w:t> </w:t>
      </w:r>
      <w:r>
        <w:rPr>
          <w:rFonts w:ascii="宋体" w:hAnsi="宋体" w:cs="宋体" w:eastAsia="宋体" w:hint="default"/>
        </w:rPr>
        <w:t>1</w:t>
      </w:r>
      <w:r>
        <w:rPr/>
        <w:t>、</w:t>
      </w:r>
      <w:r>
        <w:rPr>
          <w:spacing w:val="2"/>
        </w:rPr>
        <w:t> </w:t>
      </w:r>
      <w:r>
        <w:rPr/>
        <w:t>前期会计差错更正</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6"/>
        </w:rPr>
        <w:t> </w:t>
      </w:r>
      <w:r>
        <w:rPr/>
        <w:t>追溯重述法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92" w:lineRule="auto" w:before="4"/>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未来适用</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0"/>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5"/>
        <w:spacing w:line="240" w:lineRule="auto" w:before="58"/>
        <w:ind w:right="0"/>
        <w:jc w:val="both"/>
        <w:rPr>
          <w:rFonts w:ascii="宋体" w:hAnsi="宋体" w:cs="宋体" w:eastAsia="宋体" w:hint="default"/>
          <w:b w:val="0"/>
          <w:bCs w:val="0"/>
        </w:rPr>
      </w:pPr>
      <w:r>
        <w:rPr>
          <w:rFonts w:ascii="宋体" w:hAnsi="宋体" w:cs="宋体" w:eastAsia="宋体" w:hint="default"/>
        </w:rPr>
        <w:t>2</w:t>
      </w:r>
      <w:r>
        <w:rPr/>
        <w:t>、 债务重组</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5"/>
        <w:spacing w:line="240" w:lineRule="auto" w:before="64"/>
        <w:ind w:right="0"/>
        <w:jc w:val="both"/>
        <w:rPr>
          <w:rFonts w:ascii="宋体" w:hAnsi="宋体" w:cs="宋体" w:eastAsia="宋体" w:hint="default"/>
          <w:b w:val="0"/>
          <w:bCs w:val="0"/>
        </w:rPr>
      </w:pPr>
      <w:r>
        <w:rPr>
          <w:rFonts w:ascii="宋体" w:hAnsi="宋体" w:cs="宋体" w:eastAsia="宋体" w:hint="default"/>
        </w:rPr>
        <w:t>3</w:t>
      </w:r>
      <w:r>
        <w:rPr/>
        <w:t>、 资产置换</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5"/>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00"/>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pStyle w:val="Heading3"/>
        <w:spacing w:line="240" w:lineRule="auto" w:before="205"/>
        <w:ind w:left="138" w:right="0"/>
        <w:jc w:val="left"/>
        <w:rPr>
          <w:rFonts w:ascii="宋体" w:hAnsi="宋体" w:cs="宋体" w:eastAsia="宋体" w:hint="default"/>
        </w:rPr>
      </w:pPr>
      <w:r>
        <w:rPr>
          <w:rFonts w:ascii="宋体"/>
        </w:rPr>
        <w:t> </w:t>
      </w:r>
    </w:p>
    <w:p>
      <w:pPr>
        <w:pStyle w:val="Heading5"/>
        <w:spacing w:line="240" w:lineRule="auto" w:before="61"/>
        <w:ind w:left="138" w:right="192"/>
        <w:jc w:val="left"/>
        <w:rPr>
          <w:rFonts w:ascii="宋体" w:hAnsi="宋体" w:cs="宋体" w:eastAsia="宋体" w:hint="default"/>
          <w:b w:val="0"/>
          <w:bCs w:val="0"/>
        </w:rPr>
      </w:pPr>
      <w:r>
        <w:rPr>
          <w:rFonts w:ascii="宋体" w:hAnsi="宋体" w:cs="宋体" w:eastAsia="宋体" w:hint="default"/>
        </w:rPr>
        <w:t>(2).</w:t>
      </w:r>
      <w:r>
        <w:rPr/>
        <w:t>其他资产置换</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5"/>
        <w:spacing w:line="240" w:lineRule="auto"/>
        <w:ind w:left="138" w:right="192"/>
        <w:jc w:val="left"/>
        <w:rPr>
          <w:rFonts w:ascii="宋体" w:hAnsi="宋体" w:cs="宋体" w:eastAsia="宋体" w:hint="default"/>
          <w:b w:val="0"/>
          <w:bCs w:val="0"/>
        </w:rPr>
      </w:pPr>
      <w:r>
        <w:rPr>
          <w:rFonts w:ascii="宋体" w:hAnsi="宋体" w:cs="宋体" w:eastAsia="宋体" w:hint="default"/>
        </w:rPr>
        <w:t>4</w:t>
      </w:r>
      <w:r>
        <w:rPr/>
        <w:t>、 年金计划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618" w:right="0"/>
        <w:jc w:val="left"/>
      </w:pPr>
      <w:r>
        <w:rPr/>
        <w:t>根据《企业年金办法》，公司于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年修订了《青岛港国际股份有限公司企业年金方案》，</w:t>
      </w:r>
    </w:p>
    <w:p>
      <w:pPr>
        <w:pStyle w:val="BodyText"/>
        <w:spacing w:line="297" w:lineRule="auto" w:before="69"/>
        <w:ind w:left="138" w:right="0"/>
        <w:jc w:val="left"/>
      </w:pPr>
      <w:r>
        <w:rPr>
          <w:spacing w:val="-3"/>
        </w:rPr>
        <w:t>并获得青岛市人力资源社会保障部门的批复。自</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日起，公司开始执行修订后的年金计</w:t>
      </w:r>
      <w:r>
        <w:rPr>
          <w:spacing w:val="-102"/>
        </w:rPr>
        <w:t> </w:t>
      </w:r>
      <w:r>
        <w:rPr>
          <w:spacing w:val="-102"/>
        </w:rPr>
      </w:r>
      <w:r>
        <w:rPr/>
        <w:t>划，按照工资总额的</w:t>
      </w:r>
      <w:r>
        <w:rPr>
          <w:spacing w:val="-54"/>
        </w:rPr>
        <w:t> </w:t>
      </w:r>
      <w:r>
        <w:rPr>
          <w:rFonts w:ascii="Times New Roman" w:hAnsi="Times New Roman" w:cs="Times New Roman" w:eastAsia="Times New Roman" w:hint="default"/>
        </w:rPr>
        <w:t>8%</w:t>
      </w:r>
      <w:r>
        <w:rPr/>
        <w:t>缴纳年金。</w:t>
      </w:r>
    </w:p>
    <w:p>
      <w:pPr>
        <w:pStyle w:val="Heading3"/>
        <w:spacing w:line="245" w:lineRule="exact"/>
        <w:ind w:left="138" w:right="0"/>
        <w:jc w:val="left"/>
        <w:rPr>
          <w:rFonts w:ascii="宋体" w:hAnsi="宋体" w:cs="宋体" w:eastAsia="宋体" w:hint="default"/>
        </w:rPr>
      </w:pPr>
      <w:r>
        <w:rPr>
          <w:rFonts w:ascii="宋体"/>
        </w:rPr>
        <w:t> </w:t>
      </w:r>
    </w:p>
    <w:p>
      <w:pPr>
        <w:spacing w:before="66"/>
        <w:ind w:left="138" w:right="192"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z w:val="20"/>
          <w:szCs w:val="20"/>
        </w:rPr>
        <w:t>、</w:t>
      </w:r>
      <w:r>
        <w:rPr>
          <w:rFonts w:ascii="宋体" w:hAnsi="宋体" w:cs="宋体" w:eastAsia="宋体" w:hint="default"/>
          <w:b/>
          <w:bCs/>
          <w:spacing w:val="19"/>
          <w:sz w:val="20"/>
          <w:szCs w:val="20"/>
        </w:rPr>
        <w:t> </w:t>
      </w:r>
      <w:r>
        <w:rPr>
          <w:rFonts w:ascii="宋体" w:hAnsi="宋体" w:cs="宋体" w:eastAsia="宋体" w:hint="default"/>
          <w:b/>
          <w:bCs/>
          <w:sz w:val="20"/>
          <w:szCs w:val="20"/>
        </w:rPr>
        <w:t>终止经营</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0" w:lineRule="exact" w:before="56"/>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09" w:lineRule="exact"/>
        <w:ind w:left="138" w:right="0"/>
        <w:jc w:val="left"/>
        <w:rPr>
          <w:rFonts w:ascii="宋体" w:hAnsi="宋体" w:cs="宋体" w:eastAsia="宋体" w:hint="default"/>
        </w:rPr>
      </w:pPr>
      <w:r>
        <w:rPr>
          <w:rFonts w:ascii="宋体"/>
        </w:rPr>
        <w:t> </w:t>
      </w:r>
    </w:p>
    <w:p>
      <w:pPr>
        <w:pStyle w:val="Heading5"/>
        <w:spacing w:line="240" w:lineRule="auto" w:before="64"/>
        <w:ind w:left="138" w:right="192"/>
        <w:jc w:val="left"/>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left="138" w:right="19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4" w:lineRule="auto" w:before="81"/>
        <w:ind w:left="138" w:right="109" w:firstLine="480"/>
        <w:jc w:val="both"/>
        <w:rPr>
          <w:rFonts w:ascii="宋体" w:hAnsi="宋体" w:cs="宋体" w:eastAsia="宋体" w:hint="default"/>
        </w:rPr>
      </w:pPr>
      <w:r>
        <w:rPr>
          <w:spacing w:val="-2"/>
        </w:rPr>
        <w:t>本集团以内部组织结构、管理要求、内部报告制度为依据确定经营分部，以经营分部为基础确</w:t>
      </w:r>
      <w:r>
        <w:rPr>
          <w:w w:val="100"/>
        </w:rPr>
        <w:t> </w:t>
      </w:r>
      <w:r>
        <w:rPr/>
        <w:t>定报告分部并披露分部信息。</w:t>
      </w:r>
      <w:r>
        <w:rPr>
          <w:rFonts w:ascii="宋体" w:hAnsi="宋体" w:cs="宋体" w:eastAsia="宋体" w:hint="default"/>
        </w:rPr>
        <w:t> </w:t>
      </w:r>
    </w:p>
    <w:p>
      <w:pPr>
        <w:pStyle w:val="BodyText"/>
        <w:spacing w:line="314" w:lineRule="auto" w:before="20"/>
        <w:ind w:left="138" w:right="109" w:firstLine="420"/>
        <w:jc w:val="both"/>
      </w:pPr>
      <w:r>
        <w:rPr>
          <w:spacing w:val="-3"/>
        </w:rPr>
        <w:t>经营分部是指本集团内同时满足下列条件的组成部分：</w:t>
      </w:r>
      <w:r>
        <w:rPr>
          <w:rFonts w:ascii="宋体" w:hAnsi="宋体" w:cs="宋体" w:eastAsia="宋体" w:hint="default"/>
          <w:spacing w:val="-3"/>
        </w:rPr>
        <w:t>(1)</w:t>
      </w:r>
      <w:r>
        <w:rPr>
          <w:spacing w:val="-3"/>
        </w:rPr>
        <w:t>该组成部分能够在日常活动中产生收</w:t>
      </w:r>
      <w:r>
        <w:rPr>
          <w:w w:val="100"/>
        </w:rPr>
        <w:t> </w:t>
      </w:r>
      <w:r>
        <w:rPr>
          <w:spacing w:val="-3"/>
        </w:rPr>
        <w:t>入、发生费用；</w:t>
      </w:r>
      <w:r>
        <w:rPr>
          <w:rFonts w:ascii="宋体" w:hAnsi="宋体" w:cs="宋体" w:eastAsia="宋体" w:hint="default"/>
          <w:spacing w:val="-3"/>
        </w:rPr>
        <w:t>(2)</w:t>
      </w:r>
      <w:r>
        <w:rPr>
          <w:spacing w:val="-3"/>
        </w:rPr>
        <w:t>本集团管理层能够定期评价该组成部分的经营成果，以决定向其配置资源、评价</w:t>
      </w:r>
      <w:r>
        <w:rPr>
          <w:spacing w:val="-44"/>
        </w:rPr>
        <w:t> </w:t>
      </w:r>
      <w:r>
        <w:rPr>
          <w:spacing w:val="-44"/>
        </w:rPr>
      </w:r>
      <w:r>
        <w:rPr>
          <w:spacing w:val="-3"/>
        </w:rPr>
        <w:t>其业绩；</w:t>
      </w:r>
      <w:r>
        <w:rPr>
          <w:rFonts w:ascii="宋体" w:hAnsi="宋体" w:cs="宋体" w:eastAsia="宋体" w:hint="default"/>
          <w:spacing w:val="-3"/>
        </w:rPr>
        <w:t>(3)</w:t>
      </w:r>
      <w:r>
        <w:rPr>
          <w:spacing w:val="-3"/>
        </w:rPr>
        <w:t>本集团能够取得该组成部分的财务状况、经营成果和现金流量等有关会计信息。两个或</w:t>
      </w:r>
      <w:r>
        <w:rPr>
          <w:spacing w:val="-45"/>
        </w:rPr>
        <w:t> </w:t>
      </w:r>
      <w:r>
        <w:rPr>
          <w:spacing w:val="-45"/>
        </w:rPr>
      </w:r>
      <w:r>
        <w:rPr/>
        <w:t>多个经营分部具有相似的经济特征，并且满足一定条件的，则可合并为一个经营分部。</w:t>
      </w:r>
    </w:p>
    <w:p>
      <w:pPr>
        <w:spacing w:after="0" w:line="314" w:lineRule="auto"/>
        <w:jc w:val="both"/>
        <w:sectPr>
          <w:pgSz w:w="11910" w:h="16840"/>
          <w:pgMar w:header="0" w:footer="974" w:top="1080" w:bottom="1160" w:left="1280" w:right="1300"/>
        </w:sectPr>
      </w:pPr>
    </w:p>
    <w:p>
      <w:pPr>
        <w:spacing w:before="20"/>
        <w:ind w:left="6890" w:right="6560"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22" w:right="0" w:firstLine="0"/>
        <w:rPr>
          <w:rFonts w:ascii="宋体" w:hAnsi="宋体" w:cs="宋体" w:eastAsia="宋体" w:hint="default"/>
          <w:sz w:val="2"/>
          <w:szCs w:val="2"/>
        </w:rPr>
      </w:pPr>
      <w:r>
        <w:rPr>
          <w:rFonts w:ascii="宋体" w:hAnsi="宋体" w:cs="宋体" w:eastAsia="宋体" w:hint="default"/>
          <w:sz w:val="2"/>
          <w:szCs w:val="2"/>
        </w:rPr>
        <w:pict>
          <v:group style="width:694.3pt;height:.75pt;mso-position-horizontal-relative:char;mso-position-vertical-relative:line" coordorigin="0,0" coordsize="13886,15">
            <v:group style="position:absolute;left:7;top:7;width:13872;height:2" coordorigin="7,7" coordsize="13872,2">
              <v:shape style="position:absolute;left:7;top:7;width:13872;height:2" coordorigin="7,7" coordsize="13872,0" path="m7,7l13879,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04"/>
          <w:footerReference w:type="default" r:id="rId105"/>
          <w:pgSz w:w="16840" w:h="11910" w:orient="landscape"/>
          <w:pgMar w:header="0" w:footer="0" w:top="800" w:bottom="280" w:left="760" w:right="1280"/>
        </w:sectPr>
      </w:pPr>
    </w:p>
    <w:p>
      <w:pPr>
        <w:pStyle w:val="Heading5"/>
        <w:spacing w:line="240" w:lineRule="auto" w:before="36"/>
        <w:ind w:left="658" w:right="0"/>
        <w:jc w:val="left"/>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spacing w:before="58"/>
        <w:ind w:left="65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□不适用</w:t>
      </w:r>
      <w:r>
        <w:rPr>
          <w:rFonts w:ascii="宋体" w:hAnsi="宋体" w:cs="宋体" w:eastAsia="宋体" w:hint="default"/>
          <w:spacing w:val="1"/>
          <w:sz w:val="20"/>
          <w:szCs w:val="20"/>
        </w:rPr>
        <w:t> </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8"/>
          <w:szCs w:val="28"/>
        </w:rPr>
      </w:pPr>
    </w:p>
    <w:p>
      <w:pPr>
        <w:spacing w:before="0"/>
        <w:ind w:left="658"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6840" w:h="11910" w:orient="landscape"/>
          <w:pgMar w:top="1120" w:bottom="1160" w:left="760" w:right="1280"/>
          <w:cols w:num="2" w:equalWidth="0">
            <w:col w:w="3088" w:space="8544"/>
            <w:col w:w="3168"/>
          </w:cols>
        </w:sectPr>
      </w:pP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17"/>
        <w:gridCol w:w="1274"/>
        <w:gridCol w:w="1561"/>
        <w:gridCol w:w="1418"/>
        <w:gridCol w:w="1416"/>
        <w:gridCol w:w="1419"/>
        <w:gridCol w:w="1416"/>
        <w:gridCol w:w="1419"/>
        <w:gridCol w:w="1418"/>
        <w:gridCol w:w="1406"/>
      </w:tblGrid>
      <w:tr>
        <w:trPr>
          <w:trHeight w:val="710"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0" w:right="182"/>
              <w:jc w:val="left"/>
              <w:rPr>
                <w:rFonts w:ascii="宋体" w:hAnsi="宋体" w:cs="宋体" w:eastAsia="宋体" w:hint="default"/>
                <w:sz w:val="18"/>
                <w:szCs w:val="18"/>
              </w:rPr>
            </w:pPr>
            <w:r>
              <w:rPr>
                <w:rFonts w:ascii="宋体" w:hAnsi="宋体" w:cs="宋体" w:eastAsia="宋体" w:hint="default"/>
                <w:sz w:val="18"/>
                <w:szCs w:val="18"/>
              </w:rPr>
              <w:t>集装箱处理 及配套服务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z w:val="18"/>
                <w:szCs w:val="18"/>
              </w:rPr>
              <w:t>金属矿石、煤炭</w:t>
            </w:r>
          </w:p>
          <w:p>
            <w:pPr>
              <w:pStyle w:val="TableParagraph"/>
              <w:spacing w:line="232" w:lineRule="exact" w:before="23"/>
              <w:ind w:left="235" w:right="146" w:hanging="92"/>
              <w:jc w:val="left"/>
              <w:rPr>
                <w:rFonts w:ascii="宋体" w:hAnsi="宋体" w:cs="宋体" w:eastAsia="宋体" w:hint="default"/>
                <w:sz w:val="18"/>
                <w:szCs w:val="18"/>
              </w:rPr>
            </w:pPr>
            <w:r>
              <w:rPr>
                <w:rFonts w:ascii="宋体" w:hAnsi="宋体" w:cs="宋体" w:eastAsia="宋体" w:hint="default"/>
                <w:sz w:val="18"/>
                <w:szCs w:val="18"/>
              </w:rPr>
              <w:t>及其他货物处理 以及配套服务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4" w:right="163" w:hanging="92"/>
              <w:jc w:val="left"/>
              <w:rPr>
                <w:rFonts w:ascii="宋体" w:hAnsi="宋体" w:cs="宋体" w:eastAsia="宋体" w:hint="default"/>
                <w:sz w:val="18"/>
                <w:szCs w:val="18"/>
              </w:rPr>
            </w:pPr>
            <w:r>
              <w:rPr>
                <w:rFonts w:ascii="宋体" w:hAnsi="宋体" w:cs="宋体" w:eastAsia="宋体" w:hint="default"/>
                <w:sz w:val="18"/>
                <w:szCs w:val="18"/>
              </w:rPr>
              <w:t>液体散货处理 及配套服务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3" w:right="252" w:hanging="92"/>
              <w:jc w:val="left"/>
              <w:rPr>
                <w:rFonts w:ascii="宋体" w:hAnsi="宋体" w:cs="宋体" w:eastAsia="宋体" w:hint="default"/>
                <w:sz w:val="18"/>
                <w:szCs w:val="18"/>
              </w:rPr>
            </w:pPr>
            <w:r>
              <w:rPr>
                <w:rFonts w:ascii="宋体" w:hAnsi="宋体" w:cs="宋体" w:eastAsia="宋体" w:hint="default"/>
                <w:sz w:val="18"/>
                <w:szCs w:val="18"/>
              </w:rPr>
              <w:t>物流及港口 增值服务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港口配套服务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未分配金额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217,999,652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2,711,414,131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1,427,221,862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4,916,328,209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2,883,027,292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252,873,105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12,408,864,251</w:t>
            </w:r>
          </w:p>
        </w:tc>
      </w:tr>
      <w:tr>
        <w:trPr>
          <w:trHeight w:val="242"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36,353,202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19,553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237,419,295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720,251,409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107,269,947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1,101,313,406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-68,571,775</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-2,105,441,050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-386,720,190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-3,437,511,733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-2,179,433,830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-58,217,150</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-8,235,895,728</w:t>
            </w:r>
          </w:p>
        </w:tc>
      </w:tr>
      <w:tr>
        <w:trPr>
          <w:trHeight w:val="24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25,920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2,739,167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13,264,723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13,571,982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3,022,878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172,969,537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93,004,585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41,219,148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257,379,644</w:t>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-23,214,292</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-48,668,213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-154,174,789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-36,917,469</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-17,548,846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-92,571,352</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-207,792,700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-165,302,261</w:t>
            </w:r>
          </w:p>
        </w:tc>
      </w:tr>
      <w:tr>
        <w:trPr>
          <w:trHeight w:val="47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对联营和合营企业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882,739,397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45,859,536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398,950,666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78,305,018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905,283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9,262,412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34,814,496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1,381,207,816</w:t>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-4,686,830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-4,686,830</w:t>
            </w:r>
          </w:p>
        </w:tc>
      </w:tr>
      <w:tr>
        <w:trPr>
          <w:trHeight w:val="242"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2,837,660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-1,399,446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-10,787,000</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-17,431,168</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7,065,190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w w:val="95"/>
                <w:sz w:val="18"/>
              </w:rPr>
              <w:t>-19,714,764</w:t>
            </w:r>
            <w:r>
              <w:rPr>
                <w:rFonts w:ascii="Times New Roman"/>
                <w:sz w:val="18"/>
              </w:rPr>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折旧费和摊销费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-24,552,709</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-227,741,637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-226,363,853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-186,093,359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-178,169,874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-2,025,020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-140,662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-845,087,114</w:t>
            </w:r>
          </w:p>
        </w:tc>
      </w:tr>
      <w:tr>
        <w:trPr>
          <w:trHeight w:val="242"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974,801,617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438,830,454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1,259,316,376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1,423,051,322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548,101,364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554,255,704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12,747,720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84,299,140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5,126,805,417</w:t>
            </w:r>
          </w:p>
        </w:tc>
      </w:tr>
      <w:tr>
        <w:trPr>
          <w:trHeight w:val="242"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4,332,011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1,487,893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-174,496,726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-271,773,932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-77,512,605</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-126,363,427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-349,876,651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-994,203,437</w:t>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979,133,628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440,318,347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1,084,819,650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1,151,277,390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470,588,759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427,892,277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-337,128,931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84,299,140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4,132,601,980</w:t>
            </w:r>
          </w:p>
        </w:tc>
      </w:tr>
      <w:tr>
        <w:trPr>
          <w:trHeight w:val="242"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7,675,680,776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7,983,603,348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11,190,509,875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5,759,065,024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7,321,283,025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16,581,150,955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11,580,779,714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15,306,771,322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52,785,301,395</w:t>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736,250,165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3,014,071,785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4,877,275,871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2,644,519,238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6,532,706,819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14,181,448,718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2,672,784,825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15,471,118,068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19,187,939,353</w:t>
            </w:r>
          </w:p>
        </w:tc>
      </w:tr>
      <w:tr>
        <w:trPr>
          <w:trHeight w:val="710"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折旧费用和摊销费</w:t>
            </w:r>
          </w:p>
          <w:p>
            <w:pPr>
              <w:pStyle w:val="TableParagraph"/>
              <w:spacing w:line="232" w:lineRule="exact" w:before="23"/>
              <w:ind w:left="103" w:right="262"/>
              <w:jc w:val="left"/>
              <w:rPr>
                <w:rFonts w:ascii="宋体" w:hAnsi="宋体" w:cs="宋体" w:eastAsia="宋体" w:hint="default"/>
                <w:sz w:val="18"/>
                <w:szCs w:val="18"/>
              </w:rPr>
            </w:pPr>
            <w:r>
              <w:rPr>
                <w:rFonts w:ascii="宋体" w:hAnsi="宋体" w:cs="宋体" w:eastAsia="宋体" w:hint="default"/>
                <w:sz w:val="18"/>
                <w:szCs w:val="18"/>
              </w:rPr>
              <w:t>用以外的其他非现 金费用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82,830,000</w:t>
            </w:r>
          </w:p>
        </w:tc>
      </w:tr>
      <w:tr>
        <w:trPr>
          <w:trHeight w:val="47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对联营企业和合营企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业的长期股权投资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5,632,510,358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1,242,853,883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1,652,685,876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506,160,627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1,335,032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103,584,420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9,139,130,196</w:t>
            </w:r>
          </w:p>
        </w:tc>
      </w:tr>
      <w:tr>
        <w:trPr>
          <w:trHeight w:val="245"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非流动资产增加额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5,217,907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443,647,223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1,773,962,293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251,872,966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307,468,821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1,661,220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16,769,923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11,723,998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2,788,876,355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6890" w:right="6539" w:firstLine="0"/>
        <w:jc w:val="center"/>
        <w:rPr>
          <w:rFonts w:ascii="Calibri" w:hAnsi="Calibri" w:cs="Calibri" w:eastAsia="Calibri" w:hint="default"/>
          <w:sz w:val="18"/>
          <w:szCs w:val="18"/>
        </w:rPr>
      </w:pPr>
      <w:r>
        <w:rPr>
          <w:rFonts w:ascii="Calibri"/>
          <w:b/>
          <w:sz w:val="18"/>
        </w:rPr>
        <w:t>234 </w:t>
      </w:r>
      <w:r>
        <w:rPr>
          <w:rFonts w:ascii="Calibri"/>
          <w:sz w:val="18"/>
        </w:rPr>
        <w:t>/</w:t>
      </w:r>
      <w:r>
        <w:rPr>
          <w:rFonts w:ascii="Calibri"/>
          <w:spacing w:val="-5"/>
          <w:sz w:val="18"/>
        </w:rPr>
        <w:t> </w:t>
      </w:r>
      <w:r>
        <w:rPr>
          <w:rFonts w:ascii="Calibri"/>
          <w:b/>
          <w:sz w:val="18"/>
        </w:rPr>
        <w:t>248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160" w:left="760" w:right="128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20"/>
          <w:szCs w:val="20"/>
        </w:rPr>
      </w:pPr>
    </w:p>
    <w:p>
      <w:pPr>
        <w:pStyle w:val="Heading5"/>
        <w:spacing w:line="240" w:lineRule="auto" w:before="36"/>
        <w:ind w:left="27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78" w:right="0"/>
        <w:jc w:val="left"/>
        <w:rPr>
          <w:rFonts w:ascii="宋体" w:hAnsi="宋体" w:cs="宋体" w:eastAsia="宋体" w:hint="default"/>
        </w:rPr>
      </w:pPr>
      <w:r>
        <w:rPr>
          <w:rFonts w:ascii="宋体"/>
        </w:rPr>
        <w:t> </w:t>
      </w:r>
    </w:p>
    <w:p>
      <w:pPr>
        <w:pStyle w:val="Heading5"/>
        <w:spacing w:line="240" w:lineRule="auto" w:before="64"/>
        <w:ind w:left="27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7"/>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78" w:right="0"/>
        <w:jc w:val="left"/>
        <w:rPr>
          <w:rFonts w:ascii="宋体" w:hAnsi="宋体" w:cs="宋体" w:eastAsia="宋体" w:hint="default"/>
        </w:rPr>
      </w:pPr>
      <w:r>
        <w:rPr>
          <w:rFonts w:ascii="宋体"/>
        </w:rPr>
        <w:t> </w:t>
      </w:r>
    </w:p>
    <w:p>
      <w:pPr>
        <w:pStyle w:val="Heading5"/>
        <w:spacing w:line="240" w:lineRule="auto" w:before="61"/>
        <w:ind w:left="278" w:right="0"/>
        <w:jc w:val="left"/>
        <w:rPr>
          <w:rFonts w:ascii="宋体" w:hAnsi="宋体" w:cs="宋体" w:eastAsia="宋体" w:hint="default"/>
          <w:b w:val="0"/>
          <w:bCs w:val="0"/>
        </w:rPr>
      </w:pPr>
      <w:r>
        <w:rPr>
          <w:rFonts w:ascii="宋体" w:hAnsi="宋体" w:cs="宋体" w:eastAsia="宋体" w:hint="default"/>
        </w:rPr>
        <w:t>7</w:t>
      </w:r>
      <w:r>
        <w:rPr/>
        <w:t>、 其他对投资者决策有影响的重要交易和事项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100"/>
        <w:ind w:left="2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78" w:right="0"/>
        <w:jc w:val="left"/>
        <w:rPr>
          <w:rFonts w:ascii="宋体" w:hAnsi="宋体" w:cs="宋体" w:eastAsia="宋体" w:hint="default"/>
        </w:rPr>
      </w:pPr>
      <w:r>
        <w:rPr>
          <w:rFonts w:ascii="宋体"/>
        </w:rPr>
        <w:t> </w:t>
      </w:r>
    </w:p>
    <w:p>
      <w:pPr>
        <w:pStyle w:val="Heading5"/>
        <w:spacing w:line="240" w:lineRule="auto" w:before="64"/>
        <w:ind w:left="278" w:right="0"/>
        <w:jc w:val="left"/>
        <w:rPr>
          <w:rFonts w:ascii="宋体" w:hAnsi="宋体" w:cs="宋体" w:eastAsia="宋体" w:hint="default"/>
          <w:b w:val="0"/>
          <w:bCs w:val="0"/>
        </w:rPr>
      </w:pPr>
      <w:r>
        <w:rPr>
          <w:rFonts w:ascii="宋体" w:hAnsi="宋体" w:cs="宋体" w:eastAsia="宋体" w:hint="default"/>
        </w:rPr>
        <w:t>8</w:t>
      </w:r>
      <w:r>
        <w:rPr/>
        <w:t>、</w:t>
      </w:r>
      <w:r>
        <w:rPr>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97" w:lineRule="auto" w:before="81"/>
        <w:ind w:left="698" w:right="0" w:firstLine="60"/>
        <w:jc w:val="left"/>
      </w:pPr>
      <w:r>
        <w:rPr/>
        <w:t>（</w:t>
      </w:r>
      <w:r>
        <w:rPr>
          <w:rFonts w:ascii="Times New Roman" w:hAnsi="Times New Roman" w:cs="Times New Roman" w:eastAsia="Times New Roman" w:hint="default"/>
        </w:rPr>
        <w:t>1</w:t>
      </w:r>
      <w:r>
        <w:rPr/>
        <w:t>）资本管理</w:t>
      </w:r>
      <w:r>
        <w:rPr>
          <w:w w:val="100"/>
        </w:rPr>
        <w:t> </w:t>
      </w:r>
      <w:r>
        <w:rPr>
          <w:spacing w:val="-2"/>
        </w:rPr>
        <w:t>本集团资本管理政策的目标是为了保障本集团能够持续经营，从而为股东提供回报，并使其他</w:t>
      </w:r>
    </w:p>
    <w:p>
      <w:pPr>
        <w:pStyle w:val="BodyText"/>
        <w:spacing w:line="314" w:lineRule="auto" w:before="34"/>
        <w:ind w:left="698" w:right="0" w:hanging="420"/>
        <w:jc w:val="left"/>
      </w:pPr>
      <w:r>
        <w:rPr/>
        <w:t>利益相关者获益，同时维持最佳的资本结构以降低资本成本。</w:t>
      </w:r>
      <w:r>
        <w:rPr>
          <w:w w:val="100"/>
        </w:rPr>
        <w:t> </w:t>
      </w:r>
      <w:r>
        <w:rPr>
          <w:spacing w:val="-1"/>
        </w:rPr>
        <w:t>为了维持或调整资本结构，本集团可能会调整支付给股东的股利金额、向股东返还资本、发行</w:t>
      </w:r>
    </w:p>
    <w:p>
      <w:pPr>
        <w:pStyle w:val="BodyText"/>
        <w:spacing w:line="314" w:lineRule="auto" w:before="20"/>
        <w:ind w:left="698" w:right="0" w:hanging="420"/>
        <w:jc w:val="left"/>
      </w:pPr>
      <w:r>
        <w:rPr/>
        <w:t>新股或出售资产以减低债务。</w:t>
      </w:r>
      <w:r>
        <w:rPr>
          <w:w w:val="100"/>
        </w:rPr>
        <w:t> </w:t>
      </w:r>
      <w:bookmarkStart w:name="OLE_LINK127" w:id="31"/>
      <w:bookmarkEnd w:id="31"/>
      <w:r>
        <w:rPr>
          <w:w w:val="100"/>
        </w:rPr>
      </w:r>
      <w:bookmarkStart w:name="OLE_LINK128" w:id="32"/>
      <w:bookmarkEnd w:id="32"/>
      <w:r>
        <w:rPr>
          <w:spacing w:val="-2"/>
        </w:rPr>
        <w:t>本集</w:t>
      </w:r>
      <w:r>
        <w:rPr>
          <w:spacing w:val="-2"/>
        </w:rPr>
        <w:t>团不受制于外部强制性资本要求，利用资本负债比率监控资本。此比率按照债务净额除以</w:t>
      </w:r>
    </w:p>
    <w:p>
      <w:pPr>
        <w:pStyle w:val="BodyText"/>
        <w:spacing w:line="314" w:lineRule="auto" w:before="20"/>
        <w:ind w:left="278" w:right="0"/>
        <w:jc w:val="left"/>
      </w:pPr>
      <w:r>
        <w:rPr>
          <w:spacing w:val="-2"/>
        </w:rPr>
        <w:t>总资本计算。债务净额按有息债务金额扣减现金及现金等价物计算，总资本按照合并资产负债表中</w:t>
      </w:r>
      <w:r>
        <w:rPr>
          <w:spacing w:val="-25"/>
        </w:rPr>
        <w:t> </w:t>
      </w:r>
      <w:r>
        <w:rPr>
          <w:spacing w:val="-25"/>
        </w:rPr>
      </w:r>
      <w:r>
        <w:rPr/>
        <w:t>所列示的所有者权益加债务净额计算。</w:t>
      </w:r>
    </w:p>
    <w:p>
      <w:pPr>
        <w:pStyle w:val="BodyText"/>
        <w:spacing w:line="240" w:lineRule="auto" w:before="20"/>
        <w:ind w:left="698" w:right="0"/>
        <w:jc w:val="left"/>
      </w:pPr>
      <w:r>
        <w:rPr/>
        <w:t>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日及</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日，本集团的资本负债比率列示如下：</w:t>
      </w:r>
    </w:p>
    <w:p>
      <w:pPr>
        <w:spacing w:line="240" w:lineRule="auto" w:before="4"/>
        <w:rPr>
          <w:rFonts w:ascii="宋体" w:hAnsi="宋体" w:cs="宋体" w:eastAsia="宋体" w:hint="default"/>
          <w:sz w:val="4"/>
          <w:szCs w:val="4"/>
        </w:rPr>
      </w:pPr>
    </w:p>
    <w:tbl>
      <w:tblPr>
        <w:tblW w:w="0" w:type="auto"/>
        <w:jc w:val="left"/>
        <w:tblInd w:w="117" w:type="dxa"/>
        <w:tblLayout w:type="fixed"/>
        <w:tblCellMar>
          <w:top w:w="0" w:type="dxa"/>
          <w:left w:w="0" w:type="dxa"/>
          <w:bottom w:w="0" w:type="dxa"/>
          <w:right w:w="0" w:type="dxa"/>
        </w:tblCellMar>
        <w:tblLook w:val="01E0"/>
      </w:tblPr>
      <w:tblGrid>
        <w:gridCol w:w="4674"/>
        <w:gridCol w:w="2225"/>
        <w:gridCol w:w="250"/>
        <w:gridCol w:w="2237"/>
      </w:tblGrid>
      <w:tr>
        <w:trPr>
          <w:trHeight w:val="639" w:hRule="exact"/>
        </w:trPr>
        <w:tc>
          <w:tcPr>
            <w:tcW w:w="467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3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1" w:lineRule="exact"/>
              <w:ind w:left="10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17" w:lineRule="exact"/>
              <w:ind w:left="13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p>
            <w:pPr>
              <w:pStyle w:val="TableParagraph"/>
              <w:spacing w:line="281" w:lineRule="exact"/>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98"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银行借款本金</w:t>
            </w: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32)</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08" w:right="0"/>
              <w:jc w:val="left"/>
              <w:rPr>
                <w:rFonts w:ascii="Times New Roman" w:hAnsi="Times New Roman" w:cs="Times New Roman" w:eastAsia="Times New Roman" w:hint="default"/>
                <w:sz w:val="21"/>
                <w:szCs w:val="21"/>
              </w:rPr>
            </w:pPr>
            <w:r>
              <w:rPr>
                <w:rFonts w:ascii="Times New Roman"/>
                <w:sz w:val="21"/>
              </w:rPr>
              <w:t>289,191,577</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22" w:right="0"/>
              <w:jc w:val="left"/>
              <w:rPr>
                <w:rFonts w:ascii="Times New Roman" w:hAnsi="Times New Roman" w:cs="Times New Roman" w:eastAsia="Times New Roman" w:hint="default"/>
                <w:sz w:val="21"/>
                <w:szCs w:val="21"/>
              </w:rPr>
            </w:pPr>
            <w:r>
              <w:rPr>
                <w:rFonts w:ascii="Times New Roman"/>
                <w:sz w:val="21"/>
              </w:rPr>
              <w:t>354,885,192</w:t>
            </w:r>
          </w:p>
        </w:tc>
      </w:tr>
      <w:tr>
        <w:trPr>
          <w:trHeight w:val="545"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青港财务公司吸收存款</w:t>
            </w:r>
          </w:p>
          <w:p>
            <w:pPr>
              <w:pStyle w:val="TableParagraph"/>
              <w:spacing w:line="289" w:lineRule="exact"/>
              <w:ind w:left="54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52" w:right="0"/>
              <w:jc w:val="left"/>
              <w:rPr>
                <w:rFonts w:ascii="Times New Roman" w:hAnsi="Times New Roman" w:cs="Times New Roman" w:eastAsia="Times New Roman" w:hint="default"/>
                <w:sz w:val="21"/>
                <w:szCs w:val="21"/>
              </w:rPr>
            </w:pPr>
            <w:r>
              <w:rPr>
                <w:rFonts w:ascii="Times New Roman"/>
                <w:sz w:val="21"/>
              </w:rPr>
              <w:t>4,759,108,178</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67" w:right="0"/>
              <w:jc w:val="left"/>
              <w:rPr>
                <w:rFonts w:ascii="Times New Roman" w:hAnsi="Times New Roman" w:cs="Times New Roman" w:eastAsia="Times New Roman" w:hint="default"/>
                <w:sz w:val="21"/>
                <w:szCs w:val="21"/>
              </w:rPr>
            </w:pPr>
            <w:r>
              <w:rPr>
                <w:rFonts w:ascii="Times New Roman"/>
                <w:sz w:val="21"/>
              </w:rPr>
              <w:t>3,923,373,004</w:t>
            </w:r>
          </w:p>
        </w:tc>
      </w:tr>
      <w:tr>
        <w:trPr>
          <w:trHeight w:val="272"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应付债券</w:t>
            </w: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46)</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2" w:right="0"/>
              <w:jc w:val="left"/>
              <w:rPr>
                <w:rFonts w:ascii="Times New Roman" w:hAnsi="Times New Roman" w:cs="Times New Roman" w:eastAsia="Times New Roman" w:hint="default"/>
                <w:sz w:val="21"/>
                <w:szCs w:val="21"/>
              </w:rPr>
            </w:pPr>
            <w:r>
              <w:rPr>
                <w:rFonts w:ascii="Times New Roman"/>
                <w:sz w:val="21"/>
              </w:rPr>
              <w:t>2,116,900,000</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67" w:right="0"/>
              <w:jc w:val="left"/>
              <w:rPr>
                <w:rFonts w:ascii="Times New Roman" w:hAnsi="Times New Roman" w:cs="Times New Roman" w:eastAsia="Times New Roman" w:hint="default"/>
                <w:sz w:val="21"/>
                <w:szCs w:val="21"/>
              </w:rPr>
            </w:pPr>
            <w:r>
              <w:rPr>
                <w:rFonts w:ascii="Times New Roman"/>
                <w:sz w:val="21"/>
              </w:rPr>
              <w:t>3,500,000,000</w:t>
            </w:r>
          </w:p>
        </w:tc>
      </w:tr>
      <w:tr>
        <w:trPr>
          <w:trHeight w:val="397"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减：现金</w:t>
            </w: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79)</w:t>
            </w:r>
          </w:p>
        </w:tc>
        <w:tc>
          <w:tcPr>
            <w:tcW w:w="2225" w:type="dxa"/>
            <w:tcBorders>
              <w:top w:val="nil" w:sz="6" w:space="0" w:color="auto"/>
              <w:left w:val="nil" w:sz="6" w:space="0" w:color="auto"/>
              <w:bottom w:val="nil" w:sz="6" w:space="0" w:color="auto"/>
              <w:right w:val="nil" w:sz="6" w:space="0" w:color="auto"/>
            </w:tcBorders>
          </w:tcPr>
          <w:p>
            <w:pPr>
              <w:pStyle w:val="TableParagraph"/>
              <w:tabs>
                <w:tab w:pos="789" w:val="left" w:leader="none"/>
                <w:tab w:pos="2225" w:val="left" w:leader="none"/>
              </w:tabs>
              <w:spacing w:line="240" w:lineRule="auto" w:before="14"/>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(3,998,246,081)</w:t>
              <w:tab/>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tabs>
                <w:tab w:pos="809" w:val="left" w:leader="none"/>
                <w:tab w:pos="2237" w:val="left" w:leader="none"/>
              </w:tabs>
              <w:spacing w:line="240" w:lineRule="auto" w:before="14"/>
              <w:ind w:left="7"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(4,014,278,650)</w:t>
              <w:tab/>
            </w:r>
            <w:r>
              <w:rPr>
                <w:rFonts w:ascii="Times New Roman"/>
                <w:sz w:val="21"/>
              </w:rPr>
            </w:r>
          </w:p>
        </w:tc>
      </w:tr>
      <w:tr>
        <w:trPr>
          <w:trHeight w:val="520"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1"/>
                <w:szCs w:val="21"/>
              </w:rPr>
            </w:pPr>
            <w:r>
              <w:rPr>
                <w:rFonts w:ascii="宋体" w:hAnsi="宋体" w:cs="宋体" w:eastAsia="宋体" w:hint="default"/>
                <w:sz w:val="21"/>
                <w:szCs w:val="21"/>
              </w:rPr>
              <w:t>净负债</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852" w:right="0"/>
              <w:jc w:val="left"/>
              <w:rPr>
                <w:rFonts w:ascii="Times New Roman" w:hAnsi="Times New Roman" w:cs="Times New Roman" w:eastAsia="Times New Roman" w:hint="default"/>
                <w:sz w:val="21"/>
                <w:szCs w:val="21"/>
              </w:rPr>
            </w:pPr>
            <w:r>
              <w:rPr>
                <w:rFonts w:ascii="Times New Roman"/>
                <w:sz w:val="21"/>
              </w:rPr>
              <w:t>3,166,953,674</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867" w:right="0"/>
              <w:jc w:val="left"/>
              <w:rPr>
                <w:rFonts w:ascii="Times New Roman" w:hAnsi="Times New Roman" w:cs="Times New Roman" w:eastAsia="Times New Roman" w:hint="default"/>
                <w:sz w:val="21"/>
                <w:szCs w:val="21"/>
              </w:rPr>
            </w:pPr>
            <w:r>
              <w:rPr>
                <w:rFonts w:ascii="Times New Roman"/>
                <w:sz w:val="21"/>
              </w:rPr>
              <w:t>3,763,979,546</w:t>
            </w:r>
          </w:p>
        </w:tc>
      </w:tr>
      <w:tr>
        <w:trPr>
          <w:trHeight w:val="519"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225" w:type="dxa"/>
            <w:tcBorders>
              <w:top w:val="nil" w:sz="6" w:space="0" w:color="auto"/>
              <w:left w:val="nil" w:sz="6" w:space="0" w:color="auto"/>
              <w:bottom w:val="nil" w:sz="6" w:space="0" w:color="auto"/>
              <w:right w:val="nil" w:sz="6" w:space="0" w:color="auto"/>
            </w:tcBorders>
          </w:tcPr>
          <w:p>
            <w:pPr>
              <w:pStyle w:val="TableParagraph"/>
              <w:tabs>
                <w:tab w:pos="746" w:val="left" w:leader="none"/>
                <w:tab w:pos="2225" w:val="left" w:leader="none"/>
              </w:tabs>
              <w:spacing w:line="240" w:lineRule="auto" w:before="134"/>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33,597,362,042</w:t>
              <w:tab/>
            </w:r>
            <w:r>
              <w:rPr>
                <w:rFonts w:ascii="Times New Roman"/>
                <w:sz w:val="21"/>
              </w:rPr>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tabs>
                <w:tab w:pos="761" w:val="left" w:leader="none"/>
                <w:tab w:pos="2237" w:val="left" w:leader="none"/>
              </w:tabs>
              <w:spacing w:line="240" w:lineRule="auto" w:before="134"/>
              <w:ind w:left="7"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29,419,524,243</w:t>
              <w:tab/>
            </w:r>
            <w:r>
              <w:rPr>
                <w:rFonts w:ascii="Times New Roman"/>
                <w:sz w:val="21"/>
              </w:rPr>
            </w:r>
          </w:p>
        </w:tc>
      </w:tr>
      <w:tr>
        <w:trPr>
          <w:trHeight w:val="403"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sz w:val="21"/>
                <w:szCs w:val="21"/>
              </w:rPr>
              <w:t>总资本</w:t>
            </w:r>
          </w:p>
        </w:tc>
        <w:tc>
          <w:tcPr>
            <w:tcW w:w="2225" w:type="dxa"/>
            <w:tcBorders>
              <w:top w:val="nil" w:sz="6" w:space="0" w:color="auto"/>
              <w:left w:val="nil" w:sz="6" w:space="0" w:color="auto"/>
              <w:bottom w:val="single" w:sz="12" w:space="0" w:color="000000"/>
              <w:right w:val="nil" w:sz="6" w:space="0" w:color="auto"/>
            </w:tcBorders>
          </w:tcPr>
          <w:p>
            <w:pPr>
              <w:pStyle w:val="TableParagraph"/>
              <w:spacing w:line="240" w:lineRule="auto" w:before="142"/>
              <w:ind w:left="746" w:right="0"/>
              <w:jc w:val="left"/>
              <w:rPr>
                <w:rFonts w:ascii="Times New Roman" w:hAnsi="Times New Roman" w:cs="Times New Roman" w:eastAsia="Times New Roman" w:hint="default"/>
                <w:sz w:val="21"/>
                <w:szCs w:val="21"/>
              </w:rPr>
            </w:pPr>
            <w:r>
              <w:rPr>
                <w:rFonts w:ascii="Times New Roman"/>
                <w:sz w:val="21"/>
              </w:rPr>
              <w:t>36,764,315,716</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single" w:sz="12" w:space="0" w:color="000000"/>
              <w:right w:val="nil" w:sz="6" w:space="0" w:color="auto"/>
            </w:tcBorders>
          </w:tcPr>
          <w:p>
            <w:pPr>
              <w:pStyle w:val="TableParagraph"/>
              <w:spacing w:line="240" w:lineRule="auto" w:before="142"/>
              <w:ind w:left="761" w:right="0"/>
              <w:jc w:val="left"/>
              <w:rPr>
                <w:rFonts w:ascii="Times New Roman" w:hAnsi="Times New Roman" w:cs="Times New Roman" w:eastAsia="Times New Roman" w:hint="default"/>
                <w:sz w:val="21"/>
                <w:szCs w:val="21"/>
              </w:rPr>
            </w:pPr>
            <w:r>
              <w:rPr>
                <w:rFonts w:ascii="Times New Roman"/>
                <w:sz w:val="21"/>
              </w:rPr>
              <w:t>33,183,503,789</w:t>
            </w:r>
          </w:p>
        </w:tc>
      </w:tr>
      <w:tr>
        <w:trPr>
          <w:trHeight w:val="545" w:hRule="exact"/>
        </w:trPr>
        <w:tc>
          <w:tcPr>
            <w:tcW w:w="467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资本负债比率</w:t>
            </w:r>
          </w:p>
        </w:tc>
        <w:tc>
          <w:tcPr>
            <w:tcW w:w="22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2"/>
              <w:jc w:val="right"/>
              <w:rPr>
                <w:rFonts w:ascii="Times New Roman" w:hAnsi="Times New Roman" w:cs="Times New Roman" w:eastAsia="Times New Roman" w:hint="default"/>
                <w:sz w:val="21"/>
                <w:szCs w:val="21"/>
              </w:rPr>
            </w:pPr>
            <w:r>
              <w:rPr>
                <w:rFonts w:ascii="Times New Roman"/>
                <w:sz w:val="21"/>
              </w:rPr>
              <w:t>9%</w:t>
            </w:r>
          </w:p>
        </w:tc>
        <w:tc>
          <w:tcPr>
            <w:tcW w:w="250" w:type="dxa"/>
            <w:tcBorders>
              <w:top w:val="nil" w:sz="6" w:space="0" w:color="auto"/>
              <w:left w:val="nil" w:sz="6" w:space="0" w:color="auto"/>
              <w:bottom w:val="nil" w:sz="6" w:space="0" w:color="auto"/>
              <w:right w:val="nil" w:sz="6" w:space="0" w:color="auto"/>
            </w:tcBorders>
          </w:tcPr>
          <w:p>
            <w:pPr/>
          </w:p>
        </w:tc>
        <w:tc>
          <w:tcPr>
            <w:tcW w:w="22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57"/>
              <w:jc w:val="right"/>
              <w:rPr>
                <w:rFonts w:ascii="Times New Roman" w:hAnsi="Times New Roman" w:cs="Times New Roman" w:eastAsia="Times New Roman" w:hint="default"/>
                <w:sz w:val="21"/>
                <w:szCs w:val="21"/>
              </w:rPr>
            </w:pPr>
            <w:r>
              <w:rPr>
                <w:rFonts w:ascii="Times New Roman"/>
                <w:sz w:val="21"/>
              </w:rPr>
              <w:t>11%</w:t>
            </w:r>
          </w:p>
        </w:tc>
      </w:tr>
    </w:tbl>
    <w:p>
      <w:pPr>
        <w:spacing w:line="240" w:lineRule="auto" w:before="0"/>
        <w:rPr>
          <w:rFonts w:ascii="宋体" w:hAnsi="宋体" w:cs="宋体" w:eastAsia="宋体" w:hint="default"/>
          <w:sz w:val="19"/>
          <w:szCs w:val="19"/>
        </w:rPr>
      </w:pPr>
    </w:p>
    <w:p>
      <w:pPr>
        <w:pStyle w:val="BodyText"/>
        <w:spacing w:line="297" w:lineRule="auto" w:before="36"/>
        <w:ind w:left="698" w:right="0"/>
        <w:jc w:val="left"/>
      </w:pPr>
      <w:r>
        <w:rPr/>
        <w:t>（</w:t>
      </w:r>
      <w:r>
        <w:rPr>
          <w:rFonts w:ascii="Times New Roman" w:hAnsi="Times New Roman" w:cs="Times New Roman" w:eastAsia="Times New Roman" w:hint="default"/>
        </w:rPr>
        <w:t>2</w:t>
      </w:r>
      <w:r>
        <w:rPr/>
        <w:t>）表外事项</w:t>
      </w:r>
      <w:r>
        <w:rPr>
          <w:w w:val="100"/>
        </w:rPr>
        <w:t> </w:t>
      </w:r>
      <w:r>
        <w:rPr>
          <w:spacing w:val="-2"/>
        </w:rPr>
        <w:t>本公司之子公司青港财务公司接受关联方委托，为其提供委托贷款业务，将其委托的贷款资金</w:t>
      </w:r>
    </w:p>
    <w:p>
      <w:pPr>
        <w:pStyle w:val="BodyText"/>
        <w:spacing w:line="240" w:lineRule="auto" w:before="34"/>
        <w:ind w:left="278" w:right="0"/>
        <w:jc w:val="left"/>
        <w:rPr>
          <w:rFonts w:ascii="Times New Roman" w:hAnsi="Times New Roman" w:cs="Times New Roman" w:eastAsia="Times New Roman" w:hint="default"/>
        </w:rPr>
      </w:pPr>
      <w:r>
        <w:rPr>
          <w:w w:val="100"/>
        </w:rPr>
        <w:t>借贷</w:t>
      </w:r>
      <w:r>
        <w:rPr>
          <w:spacing w:val="-3"/>
          <w:w w:val="100"/>
        </w:rPr>
        <w:t>给</w:t>
      </w:r>
      <w:r>
        <w:rPr>
          <w:w w:val="100"/>
        </w:rPr>
        <w:t>其</w:t>
      </w:r>
      <w:r>
        <w:rPr>
          <w:spacing w:val="-3"/>
          <w:w w:val="100"/>
        </w:rPr>
        <w:t>指</w:t>
      </w:r>
      <w:r>
        <w:rPr>
          <w:w w:val="100"/>
        </w:rPr>
        <w:t>定</w:t>
      </w:r>
      <w:r>
        <w:rPr>
          <w:spacing w:val="-3"/>
          <w:w w:val="100"/>
        </w:rPr>
        <w:t>的</w:t>
      </w:r>
      <w:r>
        <w:rPr>
          <w:w w:val="100"/>
        </w:rPr>
        <w:t>其</w:t>
      </w:r>
      <w:r>
        <w:rPr>
          <w:spacing w:val="-3"/>
          <w:w w:val="100"/>
        </w:rPr>
        <w:t>他</w:t>
      </w:r>
      <w:r>
        <w:rPr>
          <w:w w:val="100"/>
        </w:rPr>
        <w:t>关</w:t>
      </w:r>
      <w:r>
        <w:rPr>
          <w:spacing w:val="-3"/>
          <w:w w:val="100"/>
        </w:rPr>
        <w:t>联</w:t>
      </w:r>
      <w:r>
        <w:rPr>
          <w:w w:val="100"/>
        </w:rPr>
        <w:t>方</w:t>
      </w:r>
      <w:r>
        <w:rPr>
          <w:spacing w:val="-106"/>
          <w:w w:val="100"/>
        </w:rPr>
        <w:t>。</w:t>
      </w:r>
      <w:r>
        <w:rPr>
          <w:w w:val="100"/>
        </w:rPr>
        <w:t>于</w:t>
      </w:r>
      <w:r>
        <w:rPr>
          <w:spacing w:val="-77"/>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22"/>
        </w:rPr>
        <w:t> </w:t>
      </w:r>
      <w:r>
        <w:rPr>
          <w:spacing w:val="-3"/>
          <w:w w:val="100"/>
        </w:rPr>
        <w:t>年</w:t>
      </w:r>
      <w:r>
        <w:rPr>
          <w:w w:val="100"/>
        </w:rPr>
        <w:t>度</w:t>
      </w:r>
      <w:r>
        <w:rPr>
          <w:spacing w:val="-106"/>
          <w:w w:val="100"/>
        </w:rPr>
        <w:t>，</w:t>
      </w:r>
      <w:r>
        <w:rPr>
          <w:spacing w:val="-3"/>
          <w:w w:val="100"/>
        </w:rPr>
        <w:t>青</w:t>
      </w:r>
      <w:r>
        <w:rPr>
          <w:w w:val="100"/>
        </w:rPr>
        <w:t>港</w:t>
      </w:r>
      <w:r>
        <w:rPr>
          <w:spacing w:val="-3"/>
          <w:w w:val="100"/>
        </w:rPr>
        <w:t>财务</w:t>
      </w:r>
      <w:r>
        <w:rPr>
          <w:w w:val="100"/>
        </w:rPr>
        <w:t>公司</w:t>
      </w:r>
      <w:r>
        <w:rPr>
          <w:spacing w:val="-3"/>
          <w:w w:val="100"/>
        </w:rPr>
        <w:t>新</w:t>
      </w:r>
      <w:r>
        <w:rPr>
          <w:w w:val="100"/>
        </w:rPr>
        <w:t>增</w:t>
      </w:r>
      <w:r>
        <w:rPr>
          <w:spacing w:val="-3"/>
          <w:w w:val="100"/>
        </w:rPr>
        <w:t>委</w:t>
      </w:r>
      <w:r>
        <w:rPr>
          <w:w w:val="100"/>
        </w:rPr>
        <w:t>托</w:t>
      </w:r>
      <w:r>
        <w:rPr>
          <w:spacing w:val="-3"/>
          <w:w w:val="100"/>
        </w:rPr>
        <w:t>贷</w:t>
      </w:r>
      <w:r>
        <w:rPr>
          <w:w w:val="100"/>
        </w:rPr>
        <w:t>款</w:t>
      </w:r>
      <w:r>
        <w:rPr>
          <w:spacing w:val="-3"/>
          <w:w w:val="100"/>
        </w:rPr>
        <w:t>业</w:t>
      </w:r>
      <w:r>
        <w:rPr>
          <w:w w:val="100"/>
        </w:rPr>
        <w:t>务</w:t>
      </w:r>
      <w:r>
        <w:rPr>
          <w:spacing w:val="-3"/>
          <w:w w:val="100"/>
        </w:rPr>
        <w:t>本</w:t>
      </w:r>
      <w:r>
        <w:rPr>
          <w:w w:val="100"/>
        </w:rPr>
        <w:t>金合</w:t>
      </w:r>
      <w:r>
        <w:rPr>
          <w:spacing w:val="-3"/>
          <w:w w:val="100"/>
        </w:rPr>
        <w:t>计</w:t>
      </w:r>
      <w:r>
        <w:rPr>
          <w:w w:val="100"/>
        </w:rPr>
        <w:t>为</w:t>
      </w:r>
      <w:r>
        <w:rPr>
          <w:spacing w:val="-74"/>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614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p>
    <w:p>
      <w:pPr>
        <w:pStyle w:val="BodyText"/>
        <w:spacing w:line="240" w:lineRule="auto" w:before="69"/>
        <w:ind w:left="278" w:right="0"/>
        <w:jc w:val="left"/>
      </w:pP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w:t>
      </w:r>
      <w:r>
        <w:rPr>
          <w:rFonts w:ascii="Times New Roman" w:hAnsi="Times New Roman" w:cs="Times New Roman" w:eastAsia="Times New Roman" w:hint="default"/>
        </w:rPr>
        <w:t>3,730,245,000 </w:t>
      </w:r>
      <w:r>
        <w:rPr>
          <w:spacing w:val="-3"/>
        </w:rPr>
        <w:t>元</w:t>
      </w:r>
      <w:r>
        <w:rPr>
          <w:rFonts w:ascii="Times New Roman" w:hAnsi="Times New Roman" w:cs="Times New Roman" w:eastAsia="Times New Roman" w:hint="default"/>
          <w:spacing w:val="-3"/>
        </w:rPr>
        <w:t>)</w:t>
      </w:r>
      <w:r>
        <w:rPr>
          <w:spacing w:val="-3"/>
        </w:rPr>
        <w:t>。于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日，委托贷款余额为</w:t>
      </w:r>
      <w:r>
        <w:rPr>
          <w:spacing w:val="-53"/>
        </w:rPr>
        <w:t> </w:t>
      </w:r>
      <w:r>
        <w:rPr>
          <w:rFonts w:ascii="Times New Roman" w:hAnsi="Times New Roman" w:cs="Times New Roman" w:eastAsia="Times New Roman" w:hint="default"/>
        </w:rPr>
        <w:t>3,108,000,000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(2018 </w:t>
      </w:r>
      <w:r>
        <w:rPr/>
        <w:t>年</w:t>
      </w:r>
    </w:p>
    <w:p>
      <w:pPr>
        <w:pStyle w:val="BodyText"/>
        <w:spacing w:line="297" w:lineRule="auto" w:before="69"/>
        <w:ind w:left="278" w:right="269"/>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2,656,500,000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，上述委托贷款的期限从一年到十年不等。因委托贷款本息不能收回</w:t>
      </w:r>
      <w:r>
        <w:rPr>
          <w:w w:val="100"/>
        </w:rPr>
        <w:t> </w:t>
      </w:r>
      <w:r>
        <w:rPr>
          <w:spacing w:val="-2"/>
        </w:rPr>
        <w:t>的风险责任由提供贷款方承担，青港财务公司不承担任何风险责任，上述委托贷款被视为资产负债</w:t>
      </w:r>
    </w:p>
    <w:p>
      <w:pPr>
        <w:spacing w:after="0" w:line="297" w:lineRule="auto"/>
        <w:jc w:val="left"/>
        <w:sectPr>
          <w:footerReference w:type="default" r:id="rId106"/>
          <w:pgSz w:w="11910" w:h="16840"/>
          <w:pgMar w:footer="974" w:header="0" w:top="1080" w:bottom="1160" w:left="1140" w:right="1160"/>
          <w:pgNumType w:start="235"/>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14" w:lineRule="auto" w:before="36"/>
        <w:ind w:left="138" w:right="247"/>
        <w:jc w:val="both"/>
      </w:pPr>
      <w:r>
        <w:rPr>
          <w:spacing w:val="-2"/>
        </w:rPr>
        <w:t>表外项目，因此，相应的应收和应付余额未在本合并财务报表中予以确认。管理层认为上述委托贷</w:t>
      </w:r>
      <w:r>
        <w:rPr>
          <w:spacing w:val="-25"/>
        </w:rPr>
        <w:t> </w:t>
      </w:r>
      <w:r>
        <w:rPr>
          <w:spacing w:val="-25"/>
        </w:rPr>
      </w:r>
      <w:r>
        <w:rPr>
          <w:spacing w:val="-2"/>
        </w:rPr>
        <w:t>款安排不会使本集团面临任何重大信用风险。与信用承诺相关的表外事项参见本节十四、承诺及或</w:t>
      </w:r>
      <w:r>
        <w:rPr>
          <w:spacing w:val="-25"/>
        </w:rPr>
        <w:t> </w:t>
      </w:r>
      <w:r>
        <w:rPr>
          <w:spacing w:val="-25"/>
        </w:rPr>
      </w:r>
      <w:r>
        <w:rPr/>
        <w:t>有事项</w:t>
      </w:r>
      <w:r>
        <w:rPr>
          <w:spacing w:val="-53"/>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w:t>
      </w:r>
    </w:p>
    <w:p>
      <w:pPr>
        <w:pStyle w:val="BodyText"/>
        <w:spacing w:line="288" w:lineRule="exact"/>
        <w:ind w:left="558" w:right="0"/>
        <w:jc w:val="left"/>
      </w:pPr>
      <w:r>
        <w:rPr/>
        <w:t>（</w:t>
      </w:r>
      <w:r>
        <w:rPr>
          <w:rFonts w:ascii="Times New Roman" w:hAnsi="Times New Roman" w:cs="Times New Roman" w:eastAsia="Times New Roman" w:hint="default"/>
        </w:rPr>
        <w:t>3</w:t>
      </w:r>
      <w:r>
        <w:rPr/>
        <w:t>）诉讼事项</w:t>
      </w:r>
    </w:p>
    <w:p>
      <w:pPr>
        <w:pStyle w:val="BodyText"/>
        <w:spacing w:line="297" w:lineRule="auto" w:before="69"/>
        <w:ind w:left="138" w:right="209"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日，青岛海事法院向青岛港集团和本公司</w:t>
      </w:r>
      <w:r>
        <w:rPr>
          <w:rFonts w:ascii="Times New Roman" w:hAnsi="Times New Roman" w:cs="Times New Roman" w:eastAsia="Times New Roman" w:hint="default"/>
        </w:rPr>
        <w:t>(“</w:t>
      </w:r>
      <w:r>
        <w:rPr/>
        <w:t>青岛港相关方</w:t>
      </w:r>
      <w:r>
        <w:rPr>
          <w:rFonts w:ascii="Times New Roman" w:hAnsi="Times New Roman" w:cs="Times New Roman" w:eastAsia="Times New Roman" w:hint="default"/>
        </w:rPr>
        <w:t>”)</w:t>
      </w:r>
      <w:r>
        <w:rPr/>
        <w:t>出具应诉通知书等文</w:t>
      </w:r>
      <w:r>
        <w:rPr>
          <w:w w:val="100"/>
        </w:rPr>
        <w:t> </w:t>
      </w:r>
      <w:r>
        <w:rPr>
          <w:spacing w:val="-3"/>
        </w:rPr>
        <w:t>书，原告理资堂</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w:t>
      </w:r>
      <w:r>
        <w:rPr>
          <w:spacing w:val="-3"/>
        </w:rPr>
        <w:t>物流有限公司</w:t>
      </w:r>
      <w:r>
        <w:rPr>
          <w:rFonts w:ascii="Times New Roman" w:hAnsi="Times New Roman" w:cs="Times New Roman" w:eastAsia="Times New Roman" w:hint="default"/>
          <w:spacing w:val="-3"/>
        </w:rPr>
        <w:t>(“</w:t>
      </w:r>
      <w:r>
        <w:rPr>
          <w:spacing w:val="-3"/>
        </w:rPr>
        <w:t>理资堂物流</w:t>
      </w:r>
      <w:r>
        <w:rPr>
          <w:rFonts w:ascii="Times New Roman" w:hAnsi="Times New Roman" w:cs="Times New Roman" w:eastAsia="Times New Roman" w:hint="default"/>
          <w:spacing w:val="-3"/>
        </w:rPr>
        <w:t>”)</w:t>
      </w:r>
      <w:r>
        <w:rPr>
          <w:spacing w:val="-3"/>
        </w:rPr>
        <w:t>请求法院判令青岛鸿途物流有限公司</w:t>
      </w:r>
      <w:r>
        <w:rPr>
          <w:rFonts w:ascii="Times New Roman" w:hAnsi="Times New Roman" w:cs="Times New Roman" w:eastAsia="Times New Roman" w:hint="default"/>
          <w:spacing w:val="-3"/>
        </w:rPr>
        <w:t>(</w:t>
      </w:r>
      <w:r>
        <w:rPr>
          <w:spacing w:val="-3"/>
        </w:rPr>
        <w:t>第三方货运</w:t>
      </w:r>
      <w:r>
        <w:rPr>
          <w:spacing w:val="-48"/>
        </w:rPr>
        <w:t> </w:t>
      </w:r>
      <w:r>
        <w:rPr>
          <w:spacing w:val="-48"/>
        </w:rPr>
      </w:r>
      <w:r>
        <w:rPr>
          <w:spacing w:val="-2"/>
        </w:rPr>
        <w:t>代理公司</w:t>
      </w:r>
      <w:r>
        <w:rPr>
          <w:rFonts w:ascii="Times New Roman" w:hAnsi="Times New Roman" w:cs="Times New Roman" w:eastAsia="Times New Roman" w:hint="default"/>
          <w:spacing w:val="-2"/>
        </w:rPr>
        <w:t>)</w:t>
      </w:r>
      <w:r>
        <w:rPr>
          <w:spacing w:val="-2"/>
        </w:rPr>
        <w:t>及青岛港相关方向理资堂物流交付存放在青岛港相关方的铝锭</w:t>
      </w:r>
      <w:r>
        <w:rPr>
          <w:rFonts w:ascii="Times New Roman" w:hAnsi="Times New Roman" w:cs="Times New Roman" w:eastAsia="Times New Roman" w:hint="default"/>
          <w:spacing w:val="-2"/>
        </w:rPr>
        <w:t>(“</w:t>
      </w:r>
      <w:r>
        <w:rPr>
          <w:spacing w:val="-2"/>
        </w:rPr>
        <w:t>诉讼事项</w:t>
      </w:r>
      <w:r>
        <w:rPr/>
        <w:t> </w:t>
      </w:r>
      <w:r>
        <w:rPr>
          <w:rFonts w:ascii="Times New Roman" w:hAnsi="Times New Roman" w:cs="Times New Roman" w:eastAsia="Times New Roman" w:hint="default"/>
          <w:spacing w:val="-1"/>
        </w:rPr>
        <w:t>I”)</w:t>
      </w:r>
      <w:r>
        <w:rPr>
          <w:spacing w:val="-1"/>
        </w:rPr>
        <w:t>及氧化铝</w:t>
      </w:r>
      <w:r>
        <w:rPr>
          <w:rFonts w:ascii="Times New Roman" w:hAnsi="Times New Roman" w:cs="Times New Roman" w:eastAsia="Times New Roman" w:hint="default"/>
          <w:spacing w:val="-1"/>
        </w:rPr>
        <w:t>(“</w:t>
      </w:r>
      <w:r>
        <w:rPr>
          <w:spacing w:val="-1"/>
        </w:rPr>
        <w:t>诉</w:t>
      </w:r>
      <w:r>
        <w:rPr>
          <w:spacing w:val="-92"/>
        </w:rPr>
        <w:t> </w:t>
      </w:r>
      <w:r>
        <w:rPr>
          <w:w w:val="100"/>
        </w:rPr>
        <w:t>讼事项</w:t>
      </w:r>
      <w:r>
        <w:rPr>
          <w:spacing w:val="-64"/>
          <w:w w:val="100"/>
        </w:rPr>
        <w:t> </w:t>
      </w:r>
      <w:r>
        <w:rPr>
          <w:rFonts w:ascii="Times New Roman" w:hAnsi="Times New Roman" w:cs="Times New Roman" w:eastAsia="Times New Roman" w:hint="default"/>
          <w:spacing w:val="-10"/>
          <w:w w:val="100"/>
        </w:rPr>
        <w:t>II”)</w:t>
      </w:r>
      <w:r>
        <w:rPr>
          <w:spacing w:val="-10"/>
          <w:w w:val="100"/>
        </w:rPr>
        <w:t>，或者赔偿相应货物价值，其中铝锭约合人民币</w:t>
      </w:r>
      <w:r>
        <w:rPr>
          <w:spacing w:val="-64"/>
          <w:w w:val="100"/>
        </w:rPr>
        <w:t> </w:t>
      </w:r>
      <w:r>
        <w:rPr>
          <w:rFonts w:ascii="Times New Roman" w:hAnsi="Times New Roman" w:cs="Times New Roman" w:eastAsia="Times New Roman" w:hint="default"/>
          <w:spacing w:val="-1"/>
          <w:w w:val="100"/>
        </w:rPr>
        <w:t>120,065,057</w:t>
      </w:r>
      <w:r>
        <w:rPr>
          <w:rFonts w:ascii="Times New Roman" w:hAnsi="Times New Roman" w:cs="Times New Roman" w:eastAsia="Times New Roman" w:hint="default"/>
          <w:spacing w:val="-12"/>
          <w:w w:val="100"/>
        </w:rPr>
        <w:t> </w:t>
      </w:r>
      <w:r>
        <w:rPr>
          <w:spacing w:val="-13"/>
          <w:w w:val="100"/>
        </w:rPr>
        <w:t>元，氧化铝约合美元</w:t>
      </w:r>
      <w:r>
        <w:rPr>
          <w:spacing w:val="-64"/>
          <w:w w:val="100"/>
        </w:rPr>
        <w:t> </w:t>
      </w:r>
      <w:r>
        <w:rPr>
          <w:rFonts w:ascii="Times New Roman" w:hAnsi="Times New Roman" w:cs="Times New Roman" w:eastAsia="Times New Roman" w:hint="default"/>
          <w:spacing w:val="-1"/>
          <w:w w:val="100"/>
        </w:rPr>
        <w:t>38,892,195</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元，并由青岛鸿途物流有限公司和青岛港相关方承担法律诉讼的全部财产保全费和诉讼费。</w:t>
      </w:r>
    </w:p>
    <w:p>
      <w:pPr>
        <w:pStyle w:val="BodyText"/>
        <w:spacing w:line="297" w:lineRule="auto" w:before="34"/>
        <w:ind w:left="138" w:right="300"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日，青岛海事法院向青岛港相关方出具应诉通知书等文书，原告中信澳大利亚</w:t>
      </w:r>
      <w:r>
        <w:rPr>
          <w:w w:val="100"/>
        </w:rPr>
        <w:t> </w:t>
      </w:r>
      <w:r>
        <w:rPr/>
        <w:t>资源贸易有限公司</w:t>
      </w:r>
      <w:r>
        <w:rPr>
          <w:rFonts w:ascii="Times New Roman" w:hAnsi="Times New Roman" w:cs="Times New Roman" w:eastAsia="Times New Roman" w:hint="default"/>
        </w:rPr>
        <w:t>(“</w:t>
      </w:r>
      <w:r>
        <w:rPr/>
        <w:t>中信</w:t>
      </w:r>
      <w:r>
        <w:rPr>
          <w:rFonts w:ascii="Times New Roman" w:hAnsi="Times New Roman" w:cs="Times New Roman" w:eastAsia="Times New Roman" w:hint="default"/>
        </w:rPr>
        <w:t>”)</w:t>
      </w:r>
      <w:r>
        <w:rPr/>
        <w:t>请求法院判令青岛港相关方向中信交付存放在青岛港相关方的货物</w:t>
      </w:r>
      <w:r>
        <w:rPr>
          <w:rFonts w:ascii="Times New Roman" w:hAnsi="Times New Roman" w:cs="Times New Roman" w:eastAsia="Times New Roman" w:hint="default"/>
        </w:rPr>
        <w:t>(“</w:t>
      </w:r>
      <w:r>
        <w:rPr/>
        <w:t>诉</w:t>
      </w:r>
      <w:r>
        <w:rPr>
          <w:w w:val="100"/>
        </w:rPr>
        <w:t> </w:t>
      </w:r>
      <w:r>
        <w:rPr/>
        <w:t>讼事项</w:t>
      </w:r>
      <w:r>
        <w:rPr>
          <w:spacing w:val="-55"/>
        </w:rPr>
        <w:t> </w:t>
      </w:r>
      <w:r>
        <w:rPr>
          <w:rFonts w:ascii="Times New Roman" w:hAnsi="Times New Roman" w:cs="Times New Roman" w:eastAsia="Times New Roman" w:hint="default"/>
        </w:rPr>
        <w:t>III”)</w:t>
      </w:r>
      <w:r>
        <w:rPr/>
        <w:t>，或者赔偿相应货物价值约合</w:t>
      </w:r>
      <w:r>
        <w:rPr>
          <w:spacing w:val="-54"/>
        </w:rPr>
        <w:t> </w:t>
      </w:r>
      <w:r>
        <w:rPr>
          <w:rFonts w:ascii="Times New Roman" w:hAnsi="Times New Roman" w:cs="Times New Roman" w:eastAsia="Times New Roman" w:hint="default"/>
        </w:rPr>
        <w:t>108,078,798</w:t>
      </w:r>
      <w:r>
        <w:rPr>
          <w:rFonts w:ascii="Times New Roman" w:hAnsi="Times New Roman" w:cs="Times New Roman" w:eastAsia="Times New Roman" w:hint="default"/>
          <w:spacing w:val="-2"/>
        </w:rPr>
        <w:t> </w:t>
      </w:r>
      <w:r>
        <w:rPr/>
        <w:t>美元</w:t>
      </w:r>
      <w:r>
        <w:rPr>
          <w:rFonts w:ascii="Times New Roman" w:hAnsi="Times New Roman" w:cs="Times New Roman" w:eastAsia="Times New Roman" w:hint="default"/>
        </w:rPr>
        <w:t>(</w:t>
      </w:r>
      <w:r>
        <w:rPr/>
        <w:t>折合人民币约</w:t>
      </w:r>
      <w:r>
        <w:rPr>
          <w:spacing w:val="-55"/>
        </w:rPr>
        <w:t> </w:t>
      </w:r>
      <w:r>
        <w:rPr>
          <w:rFonts w:ascii="Times New Roman" w:hAnsi="Times New Roman" w:cs="Times New Roman" w:eastAsia="Times New Roman" w:hint="default"/>
        </w:rPr>
        <w:t>664,987,225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，并由青</w:t>
      </w:r>
      <w:r>
        <w:rPr>
          <w:w w:val="100"/>
        </w:rPr>
        <w:t> </w:t>
      </w:r>
      <w:r>
        <w:rPr/>
        <w:t>岛港相关方承担法律诉讼的全部财产保全费和诉讼费。</w:t>
      </w:r>
    </w:p>
    <w:p>
      <w:pPr>
        <w:pStyle w:val="BodyText"/>
        <w:spacing w:line="302" w:lineRule="auto" w:before="34"/>
        <w:ind w:left="138" w:right="207" w:firstLine="420"/>
        <w:jc w:val="left"/>
      </w:pPr>
      <w:r>
        <w:rPr>
          <w:spacing w:val="-2"/>
        </w:rPr>
        <w:t>上述涉案货物均系以青岛鸿途物流有限公司的名义储存于青岛港相关方，因青岛鸿途物流有限</w:t>
      </w:r>
      <w:r>
        <w:rPr>
          <w:w w:val="100"/>
        </w:rPr>
        <w:t> </w:t>
      </w:r>
      <w:r>
        <w:rPr>
          <w:spacing w:val="-3"/>
        </w:rPr>
        <w:t>公司涉嫌刑事活动，公安机关对青岛鸿途物流有限公司进行欺诈调查。诉讼事项</w:t>
      </w:r>
      <w:r>
        <w:rPr>
          <w:spacing w:val="-38"/>
        </w:rPr>
        <w:t> </w:t>
      </w:r>
      <w:r>
        <w:rPr>
          <w:rFonts w:ascii="Times New Roman" w:hAnsi="Times New Roman" w:cs="Times New Roman" w:eastAsia="Times New Roman" w:hint="default"/>
        </w:rPr>
        <w:t>I</w:t>
      </w:r>
      <w:r>
        <w:rPr>
          <w:rFonts w:ascii="Times New Roman" w:hAnsi="Times New Roman" w:cs="Times New Roman" w:eastAsia="Times New Roman" w:hint="default"/>
          <w:spacing w:val="12"/>
        </w:rPr>
        <w:t> </w:t>
      </w:r>
      <w:r>
        <w:rPr/>
        <w:t>法院已于</w:t>
      </w:r>
      <w:r>
        <w:rPr>
          <w:spacing w:val="-3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9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日出具终审裁定，青岛港相关方无需承担任何责任，自裁定书送达之日起发生法律效力；诉</w:t>
      </w:r>
      <w:r>
        <w:rPr>
          <w:w w:val="100"/>
        </w:rPr>
        <w:t> </w:t>
      </w:r>
      <w:r>
        <w:rPr/>
        <w:t>讼事项</w:t>
      </w:r>
      <w:r>
        <w:rPr>
          <w:spacing w:val="-53"/>
        </w:rPr>
        <w:t> </w:t>
      </w:r>
      <w:r>
        <w:rPr>
          <w:rFonts w:ascii="Times New Roman" w:hAnsi="Times New Roman" w:cs="Times New Roman" w:eastAsia="Times New Roman" w:hint="default"/>
        </w:rPr>
        <w:t>II</w:t>
      </w:r>
      <w:r>
        <w:rPr>
          <w:rFonts w:ascii="Times New Roman" w:hAnsi="Times New Roman" w:cs="Times New Roman" w:eastAsia="Times New Roman" w:hint="default"/>
          <w:spacing w:val="-3"/>
        </w:rPr>
        <w:t> </w:t>
      </w:r>
      <w:r>
        <w:rPr/>
        <w:t>及诉讼事项</w:t>
      </w:r>
      <w:r>
        <w:rPr>
          <w:spacing w:val="-53"/>
        </w:rPr>
        <w:t> </w:t>
      </w:r>
      <w:r>
        <w:rPr>
          <w:rFonts w:ascii="Times New Roman" w:hAnsi="Times New Roman" w:cs="Times New Roman" w:eastAsia="Times New Roman" w:hint="default"/>
        </w:rPr>
        <w:t>III</w:t>
      </w:r>
      <w:r>
        <w:rPr>
          <w:rFonts w:ascii="Times New Roman" w:hAnsi="Times New Roman" w:cs="Times New Roman" w:eastAsia="Times New Roman" w:hint="default"/>
          <w:spacing w:val="-3"/>
        </w:rPr>
        <w:t> </w:t>
      </w:r>
      <w:r>
        <w:rPr/>
        <w:t>经法院裁定移交公安机关处理。截至本财务报表批准报出日，诉讼事项</w:t>
      </w:r>
      <w:r>
        <w:rPr>
          <w:spacing w:val="-52"/>
        </w:rPr>
        <w:t> </w:t>
      </w:r>
      <w:r>
        <w:rPr>
          <w:rFonts w:ascii="Times New Roman" w:hAnsi="Times New Roman" w:cs="Times New Roman" w:eastAsia="Times New Roman" w:hint="default"/>
          <w:spacing w:val="-4"/>
        </w:rPr>
        <w:t>II</w:t>
      </w:r>
      <w:r>
        <w:rPr>
          <w:rFonts w:ascii="Times New Roman" w:hAnsi="Times New Roman" w:cs="Times New Roman" w:eastAsia="Times New Roman" w:hint="default"/>
          <w:spacing w:val="-4"/>
          <w:w w:val="100"/>
        </w:rPr>
        <w:t> </w:t>
      </w:r>
      <w:r>
        <w:rPr/>
        <w:t>及诉讼事项</w:t>
      </w:r>
      <w:r>
        <w:rPr>
          <w:spacing w:val="-53"/>
        </w:rPr>
        <w:t> </w:t>
      </w:r>
      <w:r>
        <w:rPr>
          <w:rFonts w:ascii="Times New Roman" w:hAnsi="Times New Roman" w:cs="Times New Roman" w:eastAsia="Times New Roman" w:hint="default"/>
        </w:rPr>
        <w:t>III</w:t>
      </w:r>
      <w:r>
        <w:rPr>
          <w:rFonts w:ascii="Times New Roman" w:hAnsi="Times New Roman" w:cs="Times New Roman" w:eastAsia="Times New Roman" w:hint="default"/>
          <w:spacing w:val="-3"/>
        </w:rPr>
        <w:t> </w:t>
      </w:r>
      <w:r>
        <w:rPr/>
        <w:t>未有其他进展。</w:t>
      </w:r>
    </w:p>
    <w:p>
      <w:pPr>
        <w:pStyle w:val="BodyText"/>
        <w:spacing w:line="309" w:lineRule="auto" w:before="9"/>
        <w:ind w:left="138" w:right="0" w:firstLine="420"/>
        <w:jc w:val="left"/>
      </w:pPr>
      <w:r>
        <w:rPr/>
        <w:t>鉴于本公司和理资堂物流及中信并无合约关系，故本公司董事会认为法律诉讼缺乏充分依据。</w:t>
      </w:r>
      <w:r>
        <w:rPr>
          <w:w w:val="100"/>
        </w:rPr>
        <w:t> </w:t>
      </w:r>
      <w:r>
        <w:rPr>
          <w:spacing w:val="-4"/>
        </w:rPr>
        <w:t>另外，由于上述事项发生于本公司成立日之前，根据本公司与青岛港集团于</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日签订</w:t>
      </w:r>
      <w:r>
        <w:rPr>
          <w:spacing w:val="-86"/>
        </w:rPr>
        <w:t> </w:t>
      </w:r>
      <w:r>
        <w:rPr>
          <w:spacing w:val="-86"/>
        </w:rPr>
      </w:r>
      <w:r>
        <w:rPr/>
        <w:t>的重组协议所达成的安排，若法院裁定本公司需要承担相应的法律责任，青岛港集团承诺予以相应</w:t>
      </w:r>
      <w:r>
        <w:rPr>
          <w:w w:val="100"/>
        </w:rPr>
        <w:t> </w:t>
      </w:r>
      <w:r>
        <w:rPr>
          <w:spacing w:val="-3"/>
        </w:rPr>
        <w:t>的补偿。因此董事会预期法律诉讼及有关判决及命令不会对本集团的业务及运营造成重大不利影响，</w:t>
      </w:r>
      <w:r>
        <w:rPr>
          <w:spacing w:val="-45"/>
        </w:rPr>
        <w:t> </w:t>
      </w:r>
      <w:r>
        <w:rPr>
          <w:spacing w:val="-45"/>
        </w:rPr>
      </w:r>
      <w:r>
        <w:rPr/>
        <w:t>也无需就上述事项计提预计负债。</w:t>
      </w:r>
    </w:p>
    <w:p>
      <w:pPr>
        <w:pStyle w:val="BodyText"/>
        <w:spacing w:line="297" w:lineRule="auto" w:before="24"/>
        <w:ind w:left="558" w:right="206"/>
        <w:jc w:val="left"/>
      </w:pPr>
      <w:r>
        <w:rPr/>
        <w:t>（</w:t>
      </w:r>
      <w:r>
        <w:rPr>
          <w:rFonts w:ascii="Times New Roman" w:hAnsi="Times New Roman" w:cs="Times New Roman" w:eastAsia="Times New Roman" w:hint="default"/>
        </w:rPr>
        <w:t>4</w:t>
      </w:r>
      <w:r>
        <w:rPr/>
        <w:t>）资产负债表日后经营租赁收款额</w:t>
      </w:r>
      <w:r>
        <w:rPr>
          <w:w w:val="100"/>
        </w:rPr>
        <w:t> </w:t>
      </w:r>
      <w:r>
        <w:rPr>
          <w:spacing w:val="-4"/>
        </w:rPr>
        <w:t>根据已签订的不可撤销的经营性租赁合同，除本节七、合并财务报表项目注释 </w:t>
      </w:r>
      <w:r>
        <w:rPr>
          <w:rFonts w:ascii="Times New Roman" w:hAnsi="Times New Roman" w:cs="Times New Roman" w:eastAsia="Times New Roman" w:hint="default"/>
        </w:rPr>
        <w:t>52</w:t>
      </w:r>
      <w:r>
        <w:rPr>
          <w:rFonts w:ascii="Times New Roman" w:hAnsi="Times New Roman" w:cs="Times New Roman" w:eastAsia="Times New Roman" w:hint="default"/>
          <w:spacing w:val="14"/>
        </w:rPr>
        <w:t> </w:t>
      </w:r>
      <w:r>
        <w:rPr/>
        <w:t>所述经营租出</w:t>
      </w:r>
    </w:p>
    <w:p>
      <w:pPr>
        <w:pStyle w:val="BodyText"/>
        <w:spacing w:line="240" w:lineRule="auto" w:before="13"/>
        <w:ind w:left="138" w:right="0"/>
        <w:jc w:val="both"/>
      </w:pPr>
      <w:r>
        <w:rPr/>
        <w:t>承诺事项外，本集团未来应收取关联方租金汇总如下：</w:t>
      </w:r>
    </w:p>
    <w:p>
      <w:pPr>
        <w:pStyle w:val="BodyText"/>
        <w:spacing w:line="240" w:lineRule="auto" w:before="85"/>
        <w:ind w:left="558" w:right="0"/>
        <w:jc w:val="left"/>
        <w:rPr>
          <w:rFonts w:ascii="宋体" w:hAnsi="宋体" w:cs="宋体" w:eastAsia="宋体" w:hint="default"/>
        </w:rPr>
      </w:pPr>
      <w:r>
        <w:rPr>
          <w:rFonts w:ascii="宋体"/>
          <w:w w:val="100"/>
        </w:rPr>
        <w:t> </w:t>
      </w:r>
    </w:p>
    <w:p>
      <w:pPr>
        <w:spacing w:line="240" w:lineRule="auto" w:before="6"/>
        <w:rPr>
          <w:rFonts w:ascii="宋体" w:hAnsi="宋体" w:cs="宋体" w:eastAsia="宋体" w:hint="default"/>
          <w:sz w:val="9"/>
          <w:szCs w:val="9"/>
        </w:rPr>
      </w:pPr>
    </w:p>
    <w:tbl>
      <w:tblPr>
        <w:tblW w:w="0" w:type="auto"/>
        <w:jc w:val="left"/>
        <w:tblInd w:w="582" w:type="dxa"/>
        <w:tblLayout w:type="fixed"/>
        <w:tblCellMar>
          <w:top w:w="0" w:type="dxa"/>
          <w:left w:w="0" w:type="dxa"/>
          <w:bottom w:w="0" w:type="dxa"/>
          <w:right w:w="0" w:type="dxa"/>
        </w:tblCellMar>
        <w:tblLook w:val="01E0"/>
      </w:tblPr>
      <w:tblGrid>
        <w:gridCol w:w="3442"/>
        <w:gridCol w:w="2825"/>
        <w:gridCol w:w="2295"/>
      </w:tblGrid>
      <w:tr>
        <w:trPr>
          <w:trHeight w:val="397" w:hRule="exact"/>
        </w:trPr>
        <w:tc>
          <w:tcPr>
            <w:tcW w:w="344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37" w:lineRule="exact"/>
              <w:ind w:left="730" w:right="0"/>
              <w:jc w:val="left"/>
              <w:rPr>
                <w:rFonts w:ascii="宋体" w:hAnsi="宋体" w:cs="宋体" w:eastAsia="宋体" w:hint="default"/>
                <w:sz w:val="22"/>
                <w:szCs w:val="22"/>
              </w:rPr>
            </w:pPr>
            <w:bookmarkStart w:name="newtable_2.00_157.00" w:id="33"/>
            <w:bookmarkEnd w:id="33"/>
            <w:r>
              <w:rPr/>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c>
          <w:tcPr>
            <w:tcW w:w="2295" w:type="dxa"/>
            <w:tcBorders>
              <w:top w:val="nil" w:sz="6" w:space="0" w:color="auto"/>
              <w:left w:val="nil" w:sz="6" w:space="0" w:color="auto"/>
              <w:bottom w:val="nil" w:sz="6" w:space="0" w:color="auto"/>
              <w:right w:val="nil" w:sz="6" w:space="0" w:color="auto"/>
            </w:tcBorders>
          </w:tcPr>
          <w:p>
            <w:pPr>
              <w:pStyle w:val="TableParagraph"/>
              <w:spacing w:line="237" w:lineRule="exact"/>
              <w:ind w:right="207"/>
              <w:jc w:val="righ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tc>
      </w:tr>
      <w:tr>
        <w:trPr>
          <w:trHeight w:val="419"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00" w:right="0"/>
              <w:jc w:val="left"/>
              <w:rPr>
                <w:rFonts w:ascii="Times New Roman" w:hAnsi="Times New Roman" w:cs="Times New Roman" w:eastAsia="Times New Roman" w:hint="default"/>
                <w:sz w:val="22"/>
                <w:szCs w:val="22"/>
              </w:rPr>
            </w:pPr>
            <w:r>
              <w:rPr>
                <w:rFonts w:ascii="Times New Roman"/>
                <w:sz w:val="22"/>
              </w:rPr>
              <w:t>QQCT</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213" w:right="0"/>
              <w:jc w:val="left"/>
              <w:rPr>
                <w:rFonts w:ascii="Times New Roman" w:hAnsi="Times New Roman" w:cs="Times New Roman" w:eastAsia="Times New Roman" w:hint="default"/>
                <w:sz w:val="22"/>
                <w:szCs w:val="22"/>
              </w:rPr>
            </w:pPr>
            <w:r>
              <w:rPr>
                <w:rFonts w:ascii="Times New Roman"/>
                <w:sz w:val="22"/>
              </w:rPr>
              <w:t>329,456,000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8"/>
              <w:jc w:val="right"/>
              <w:rPr>
                <w:rFonts w:ascii="Times New Roman" w:hAnsi="Times New Roman" w:cs="Times New Roman" w:eastAsia="Times New Roman" w:hint="default"/>
                <w:sz w:val="22"/>
                <w:szCs w:val="22"/>
              </w:rPr>
            </w:pPr>
            <w:r>
              <w:rPr>
                <w:rFonts w:ascii="Times New Roman"/>
                <w:spacing w:val="-1"/>
                <w:sz w:val="22"/>
              </w:rPr>
              <w:t>356,950,000</w:t>
            </w:r>
          </w:p>
        </w:tc>
      </w:tr>
      <w:tr>
        <w:trPr>
          <w:trHeight w:val="282"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Times New Roman" w:hAnsi="Times New Roman" w:cs="Times New Roman" w:eastAsia="Times New Roman" w:hint="default"/>
                <w:sz w:val="22"/>
                <w:szCs w:val="22"/>
              </w:rPr>
            </w:pPr>
            <w:r>
              <w:rPr>
                <w:rFonts w:ascii="Times New Roman"/>
                <w:sz w:val="22"/>
              </w:rPr>
              <w:t>QQCTU</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13" w:right="0"/>
              <w:jc w:val="left"/>
              <w:rPr>
                <w:rFonts w:ascii="Times New Roman" w:hAnsi="Times New Roman" w:cs="Times New Roman" w:eastAsia="Times New Roman" w:hint="default"/>
                <w:sz w:val="22"/>
                <w:szCs w:val="22"/>
              </w:rPr>
            </w:pPr>
            <w:r>
              <w:rPr>
                <w:rFonts w:ascii="Times New Roman"/>
                <w:sz w:val="22"/>
              </w:rPr>
              <w:t>110,640,000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Times New Roman" w:hAnsi="Times New Roman" w:cs="Times New Roman" w:eastAsia="Times New Roman" w:hint="default"/>
                <w:sz w:val="22"/>
                <w:szCs w:val="22"/>
              </w:rPr>
            </w:pPr>
            <w:r>
              <w:rPr>
                <w:rFonts w:ascii="Times New Roman"/>
                <w:spacing w:val="-1"/>
                <w:sz w:val="22"/>
              </w:rPr>
              <w:t>120,028,000</w:t>
            </w:r>
          </w:p>
        </w:tc>
      </w:tr>
      <w:tr>
        <w:trPr>
          <w:trHeight w:val="294"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滨州港青港国际码头</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21" w:right="0"/>
              <w:jc w:val="left"/>
              <w:rPr>
                <w:rFonts w:ascii="Times New Roman" w:hAnsi="Times New Roman" w:cs="Times New Roman" w:eastAsia="Times New Roman" w:hint="default"/>
                <w:sz w:val="22"/>
                <w:szCs w:val="22"/>
              </w:rPr>
            </w:pPr>
            <w:r>
              <w:rPr>
                <w:rFonts w:ascii="Times New Roman"/>
                <w:sz w:val="22"/>
              </w:rPr>
              <w:t>40,608,000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Times New Roman" w:hAnsi="Times New Roman" w:cs="Times New Roman" w:eastAsia="Times New Roman" w:hint="default"/>
                <w:sz w:val="22"/>
                <w:szCs w:val="22"/>
              </w:rPr>
            </w:pPr>
            <w:r>
              <w:rPr>
                <w:rFonts w:ascii="Times New Roman"/>
                <w:sz w:val="22"/>
              </w:rPr>
              <w:t>45,897,000</w:t>
            </w:r>
          </w:p>
        </w:tc>
      </w:tr>
      <w:tr>
        <w:trPr>
          <w:trHeight w:val="288"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Times New Roman" w:hAnsi="Times New Roman" w:cs="Times New Roman" w:eastAsia="Times New Roman" w:hint="default"/>
                <w:sz w:val="22"/>
                <w:szCs w:val="22"/>
              </w:rPr>
            </w:pPr>
            <w:r>
              <w:rPr>
                <w:rFonts w:ascii="Times New Roman"/>
                <w:sz w:val="22"/>
              </w:rPr>
              <w:t>QQCTUA</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21" w:right="0"/>
              <w:jc w:val="left"/>
              <w:rPr>
                <w:rFonts w:ascii="Times New Roman" w:hAnsi="Times New Roman" w:cs="Times New Roman" w:eastAsia="Times New Roman" w:hint="default"/>
                <w:sz w:val="22"/>
                <w:szCs w:val="22"/>
              </w:rPr>
            </w:pPr>
            <w:r>
              <w:rPr>
                <w:rFonts w:ascii="Times New Roman"/>
                <w:sz w:val="22"/>
              </w:rPr>
              <w:t>21,960,000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Times New Roman" w:hAnsi="Times New Roman" w:cs="Times New Roman" w:eastAsia="Times New Roman" w:hint="default"/>
                <w:sz w:val="22"/>
                <w:szCs w:val="22"/>
              </w:rPr>
            </w:pPr>
            <w:r>
              <w:rPr>
                <w:rFonts w:ascii="Times New Roman"/>
                <w:sz w:val="22"/>
              </w:rPr>
              <w:t>23,790,000</w:t>
            </w:r>
          </w:p>
        </w:tc>
      </w:tr>
      <w:tr>
        <w:trPr>
          <w:trHeight w:val="282"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Times New Roman" w:hAnsi="Times New Roman" w:cs="Times New Roman" w:eastAsia="Times New Roman" w:hint="default"/>
                <w:sz w:val="22"/>
                <w:szCs w:val="22"/>
              </w:rPr>
            </w:pPr>
            <w:r>
              <w:rPr>
                <w:rFonts w:ascii="Times New Roman"/>
                <w:sz w:val="22"/>
              </w:rPr>
              <w:t>QQCTN</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21" w:right="0"/>
              <w:jc w:val="left"/>
              <w:rPr>
                <w:rFonts w:ascii="Times New Roman" w:hAnsi="Times New Roman" w:cs="Times New Roman" w:eastAsia="Times New Roman" w:hint="default"/>
                <w:sz w:val="22"/>
                <w:szCs w:val="22"/>
              </w:rPr>
            </w:pPr>
            <w:r>
              <w:rPr>
                <w:rFonts w:ascii="Times New Roman"/>
                <w:sz w:val="22"/>
              </w:rPr>
              <w:t>14,760,000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Times New Roman" w:hAnsi="Times New Roman" w:cs="Times New Roman" w:eastAsia="Times New Roman" w:hint="default"/>
                <w:sz w:val="22"/>
                <w:szCs w:val="22"/>
              </w:rPr>
            </w:pPr>
            <w:r>
              <w:rPr>
                <w:rFonts w:ascii="Times New Roman"/>
                <w:sz w:val="22"/>
              </w:rPr>
              <w:t>15,990,000</w:t>
            </w:r>
          </w:p>
        </w:tc>
      </w:tr>
      <w:tr>
        <w:trPr>
          <w:trHeight w:val="288"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长荣集装箱</w:t>
            </w:r>
            <w:r>
              <w:rPr>
                <w:rFonts w:ascii="宋体" w:hAnsi="宋体" w:cs="宋体" w:eastAsia="宋体" w:hint="default"/>
                <w:sz w:val="22"/>
                <w:szCs w:val="22"/>
              </w:rPr>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32" w:right="0"/>
              <w:jc w:val="left"/>
              <w:rPr>
                <w:rFonts w:ascii="Times New Roman" w:hAnsi="Times New Roman" w:cs="Times New Roman" w:eastAsia="Times New Roman" w:hint="default"/>
                <w:sz w:val="22"/>
                <w:szCs w:val="22"/>
              </w:rPr>
            </w:pPr>
            <w:r>
              <w:rPr>
                <w:rFonts w:ascii="Times New Roman"/>
                <w:sz w:val="22"/>
              </w:rPr>
              <w:t>5,687,500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Times New Roman" w:hAnsi="Times New Roman" w:cs="Times New Roman" w:eastAsia="Times New Roman" w:hint="default"/>
                <w:sz w:val="22"/>
                <w:szCs w:val="22"/>
              </w:rPr>
            </w:pPr>
            <w:r>
              <w:rPr>
                <w:rFonts w:ascii="Times New Roman"/>
                <w:sz w:val="22"/>
              </w:rPr>
              <w:t>6,337,500</w:t>
            </w:r>
          </w:p>
        </w:tc>
      </w:tr>
      <w:tr>
        <w:trPr>
          <w:trHeight w:val="288"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小额贷款</w:t>
            </w:r>
            <w:r>
              <w:rPr>
                <w:rFonts w:ascii="宋体" w:hAnsi="宋体" w:cs="宋体" w:eastAsia="宋体" w:hint="default"/>
                <w:sz w:val="22"/>
                <w:szCs w:val="22"/>
              </w:rPr>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97" w:right="0"/>
              <w:jc w:val="left"/>
              <w:rPr>
                <w:rFonts w:ascii="Times New Roman" w:hAnsi="Times New Roman" w:cs="Times New Roman" w:eastAsia="Times New Roman" w:hint="default"/>
                <w:sz w:val="22"/>
                <w:szCs w:val="22"/>
              </w:rPr>
            </w:pPr>
            <w:r>
              <w:rPr>
                <w:rFonts w:ascii="Times New Roman"/>
                <w:sz w:val="22"/>
              </w:rPr>
              <w:t>182,250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Times New Roman" w:hAnsi="Times New Roman" w:cs="Times New Roman" w:eastAsia="Times New Roman" w:hint="default"/>
                <w:sz w:val="22"/>
                <w:szCs w:val="22"/>
              </w:rPr>
            </w:pPr>
            <w:r>
              <w:rPr>
                <w:rFonts w:ascii="Times New Roman"/>
                <w:sz w:val="22"/>
              </w:rPr>
              <w:t>263,250</w:t>
            </w:r>
          </w:p>
        </w:tc>
      </w:tr>
      <w:tr>
        <w:trPr>
          <w:trHeight w:val="288"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2"/>
                <w:szCs w:val="22"/>
              </w:rPr>
            </w:pPr>
            <w:r>
              <w:rPr>
                <w:rFonts w:ascii="宋体" w:hAnsi="宋体" w:cs="宋体" w:eastAsia="宋体" w:hint="default"/>
                <w:sz w:val="22"/>
                <w:szCs w:val="22"/>
              </w:rPr>
              <w:t>西联</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97" w:right="0"/>
              <w:jc w:val="left"/>
              <w:rPr>
                <w:rFonts w:ascii="Times New Roman" w:hAnsi="Times New Roman" w:cs="Times New Roman" w:eastAsia="Times New Roman" w:hint="default"/>
                <w:sz w:val="22"/>
                <w:szCs w:val="22"/>
              </w:rPr>
            </w:pPr>
            <w:r>
              <w:rPr>
                <w:rFonts w:ascii="Times New Roman"/>
                <w:sz w:val="22"/>
              </w:rPr>
              <w:t>115,500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Times New Roman" w:hAnsi="Times New Roman" w:cs="Times New Roman" w:eastAsia="Times New Roman" w:hint="default"/>
                <w:sz w:val="22"/>
                <w:szCs w:val="22"/>
              </w:rPr>
            </w:pPr>
            <w:r>
              <w:rPr>
                <w:rFonts w:ascii="Times New Roman"/>
                <w:sz w:val="22"/>
              </w:rPr>
              <w:t>516,000</w:t>
            </w:r>
          </w:p>
        </w:tc>
      </w:tr>
      <w:tr>
        <w:trPr>
          <w:trHeight w:val="288"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2"/>
                <w:szCs w:val="22"/>
              </w:rPr>
            </w:pPr>
            <w:r>
              <w:rPr>
                <w:rFonts w:ascii="宋体" w:hAnsi="宋体" w:cs="宋体" w:eastAsia="宋体" w:hint="default"/>
                <w:spacing w:val="3"/>
                <w:sz w:val="22"/>
                <w:szCs w:val="22"/>
              </w:rPr>
              <w:t>青岛实华</w:t>
            </w:r>
            <w:r>
              <w:rPr>
                <w:rFonts w:ascii="宋体" w:hAnsi="宋体" w:cs="宋体" w:eastAsia="宋体" w:hint="default"/>
                <w:sz w:val="22"/>
                <w:szCs w:val="22"/>
              </w:rPr>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08" w:right="0"/>
              <w:jc w:val="left"/>
              <w:rPr>
                <w:rFonts w:ascii="Times New Roman" w:hAnsi="Times New Roman" w:cs="Times New Roman" w:eastAsia="Times New Roman" w:hint="default"/>
                <w:sz w:val="22"/>
                <w:szCs w:val="22"/>
              </w:rPr>
            </w:pPr>
            <w:r>
              <w:rPr>
                <w:rFonts w:ascii="Times New Roman"/>
                <w:sz w:val="22"/>
              </w:rPr>
              <w:t>22,500</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1"/>
              <w:jc w:val="right"/>
              <w:rPr>
                <w:rFonts w:ascii="Times New Roman" w:hAnsi="Times New Roman" w:cs="Times New Roman" w:eastAsia="Times New Roman" w:hint="default"/>
                <w:sz w:val="22"/>
                <w:szCs w:val="22"/>
              </w:rPr>
            </w:pPr>
            <w:r>
              <w:rPr>
                <w:rFonts w:ascii="Times New Roman"/>
                <w:w w:val="100"/>
                <w:sz w:val="22"/>
              </w:rPr>
              <w:t>-</w:t>
            </w:r>
          </w:p>
        </w:tc>
      </w:tr>
      <w:tr>
        <w:trPr>
          <w:trHeight w:val="299" w:hRule="exact"/>
        </w:trPr>
        <w:tc>
          <w:tcPr>
            <w:tcW w:w="344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2"/>
                <w:szCs w:val="22"/>
              </w:rPr>
            </w:pPr>
            <w:r>
              <w:rPr>
                <w:rFonts w:ascii="宋体" w:hAnsi="宋体" w:cs="宋体" w:eastAsia="宋体" w:hint="default"/>
                <w:sz w:val="22"/>
                <w:szCs w:val="22"/>
              </w:rPr>
              <w:t>青港金控</w:t>
            </w:r>
          </w:p>
        </w:tc>
        <w:tc>
          <w:tcPr>
            <w:tcW w:w="2825" w:type="dxa"/>
            <w:tcBorders>
              <w:top w:val="nil" w:sz="6" w:space="0" w:color="auto"/>
              <w:left w:val="nil" w:sz="6" w:space="0" w:color="auto"/>
              <w:bottom w:val="nil" w:sz="6" w:space="0" w:color="auto"/>
              <w:right w:val="nil" w:sz="6" w:space="0" w:color="auto"/>
            </w:tcBorders>
          </w:tcPr>
          <w:p>
            <w:pPr>
              <w:pStyle w:val="TableParagraph"/>
              <w:tabs>
                <w:tab w:pos="2238" w:val="left" w:leader="none"/>
                <w:tab w:pos="2428" w:val="left" w:leader="none"/>
              </w:tabs>
              <w:spacing w:line="240" w:lineRule="auto" w:before="12"/>
              <w:ind w:left="385"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tab/>
            </w:r>
            <w:r>
              <w:rPr>
                <w:rFonts w:ascii="Times New Roman"/>
                <w:sz w:val="22"/>
              </w:rPr>
            </w:r>
          </w:p>
        </w:tc>
        <w:tc>
          <w:tcPr>
            <w:tcW w:w="2295" w:type="dxa"/>
            <w:tcBorders>
              <w:top w:val="nil" w:sz="6" w:space="0" w:color="auto"/>
              <w:left w:val="nil" w:sz="6" w:space="0" w:color="auto"/>
              <w:bottom w:val="nil" w:sz="6" w:space="0" w:color="auto"/>
              <w:right w:val="nil" w:sz="6" w:space="0" w:color="auto"/>
            </w:tcBorders>
          </w:tcPr>
          <w:p>
            <w:pPr>
              <w:pStyle w:val="TableParagraph"/>
              <w:tabs>
                <w:tab w:pos="1270" w:val="left" w:leader="none"/>
                <w:tab w:pos="2100" w:val="left" w:leader="none"/>
              </w:tabs>
              <w:spacing w:line="240" w:lineRule="auto" w:before="12"/>
              <w:ind w:right="8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101,000</w:t>
              <w:tab/>
            </w:r>
            <w:r>
              <w:rPr>
                <w:rFonts w:ascii="Times New Roman"/>
                <w:sz w:val="22"/>
              </w:rPr>
            </w:r>
          </w:p>
        </w:tc>
      </w:tr>
      <w:tr>
        <w:trPr>
          <w:trHeight w:val="259" w:hRule="exact"/>
        </w:trPr>
        <w:tc>
          <w:tcPr>
            <w:tcW w:w="3442"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tabs>
                <w:tab w:pos="1213" w:val="left" w:leader="none"/>
                <w:tab w:pos="2428" w:val="left" w:leader="none"/>
              </w:tabs>
              <w:spacing w:line="240" w:lineRule="auto" w:before="10"/>
              <w:ind w:left="370" w:right="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523,431,750</w:t>
              <w:tab/>
            </w:r>
            <w:r>
              <w:rPr>
                <w:rFonts w:ascii="Times New Roman"/>
                <w:sz w:val="22"/>
              </w:rPr>
            </w:r>
          </w:p>
        </w:tc>
        <w:tc>
          <w:tcPr>
            <w:tcW w:w="2295" w:type="dxa"/>
            <w:tcBorders>
              <w:top w:val="nil" w:sz="6" w:space="0" w:color="auto"/>
              <w:left w:val="nil" w:sz="6" w:space="0" w:color="auto"/>
              <w:bottom w:val="nil" w:sz="6" w:space="0" w:color="auto"/>
              <w:right w:val="nil" w:sz="6" w:space="0" w:color="auto"/>
            </w:tcBorders>
          </w:tcPr>
          <w:p>
            <w:pPr>
              <w:pStyle w:val="TableParagraph"/>
              <w:tabs>
                <w:tab w:pos="900" w:val="left" w:leader="none"/>
                <w:tab w:pos="2114" w:val="left" w:leader="none"/>
              </w:tabs>
              <w:spacing w:line="240" w:lineRule="auto" w:before="10"/>
              <w:ind w:right="8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569,872,750</w:t>
              <w:tab/>
            </w:r>
            <w:r>
              <w:rPr>
                <w:rFonts w:ascii="Times New Roman"/>
                <w:spacing w:val="-1"/>
                <w:sz w:val="22"/>
              </w:rPr>
            </w:r>
          </w:p>
        </w:tc>
      </w:tr>
    </w:tbl>
    <w:p>
      <w:pPr>
        <w:pStyle w:val="Heading3"/>
        <w:spacing w:line="307" w:lineRule="exact"/>
        <w:ind w:left="138" w:right="0"/>
        <w:jc w:val="left"/>
        <w:rPr>
          <w:rFonts w:ascii="宋体" w:hAnsi="宋体" w:cs="宋体" w:eastAsia="宋体" w:hint="default"/>
        </w:rPr>
      </w:pPr>
      <w:r>
        <w:rPr>
          <w:rFonts w:ascii="宋体"/>
        </w:rPr>
        <w:t> </w:t>
      </w:r>
    </w:p>
    <w:p>
      <w:pPr>
        <w:spacing w:after="0" w:line="307" w:lineRule="exact"/>
        <w:jc w:val="left"/>
        <w:rPr>
          <w:rFonts w:ascii="宋体" w:hAnsi="宋体" w:cs="宋体" w:eastAsia="宋体" w:hint="default"/>
        </w:rPr>
        <w:sectPr>
          <w:footerReference w:type="default" r:id="rId107"/>
          <w:pgSz w:w="11910" w:h="16840"/>
          <w:pgMar w:footer="974" w:header="0" w:top="1080" w:bottom="1160" w:left="1280" w:right="1200"/>
          <w:pgNumType w:start="236"/>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840" w:right="400"/>
        </w:sectPr>
      </w:pPr>
    </w:p>
    <w:p>
      <w:pPr>
        <w:spacing w:line="240" w:lineRule="auto" w:before="2"/>
        <w:rPr>
          <w:rFonts w:ascii="宋体" w:hAnsi="宋体" w:cs="宋体" w:eastAsia="宋体" w:hint="default"/>
          <w:sz w:val="16"/>
          <w:szCs w:val="16"/>
        </w:rPr>
      </w:pPr>
    </w:p>
    <w:p>
      <w:pPr>
        <w:pStyle w:val="Heading5"/>
        <w:spacing w:line="290" w:lineRule="auto" w:before="0"/>
        <w:ind w:left="578" w:right="0"/>
        <w:jc w:val="left"/>
        <w:rPr>
          <w:rFonts w:ascii="宋体" w:hAnsi="宋体" w:cs="宋体" w:eastAsia="宋体" w:hint="default"/>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 应收账款</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14"/>
        <w:ind w:left="57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5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9"/>
          <w:szCs w:val="19"/>
        </w:rPr>
      </w:pPr>
    </w:p>
    <w:p>
      <w:pPr>
        <w:pStyle w:val="Heading3"/>
        <w:spacing w:line="240" w:lineRule="auto"/>
        <w:ind w:left="578"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400"/>
          <w:cols w:num="2" w:equalWidth="0">
            <w:col w:w="4266" w:space="2164"/>
            <w:col w:w="4240"/>
          </w:cols>
        </w:sectPr>
      </w:pPr>
    </w:p>
    <w:p>
      <w:pPr>
        <w:spacing w:line="240" w:lineRule="auto" w:before="10"/>
        <w:rPr>
          <w:rFonts w:ascii="宋体" w:hAnsi="宋体" w:cs="宋体" w:eastAsia="宋体" w:hint="default"/>
          <w:sz w:val="2"/>
          <w:szCs w:val="2"/>
        </w:rPr>
      </w:pPr>
    </w:p>
    <w:tbl>
      <w:tblPr>
        <w:tblW w:w="0" w:type="auto"/>
        <w:jc w:val="left"/>
        <w:tblInd w:w="461" w:type="dxa"/>
        <w:tblLayout w:type="fixed"/>
        <w:tblCellMar>
          <w:top w:w="0" w:type="dxa"/>
          <w:left w:w="0" w:type="dxa"/>
          <w:bottom w:w="0" w:type="dxa"/>
          <w:right w:w="0" w:type="dxa"/>
        </w:tblCellMar>
        <w:tblLook w:val="01E0"/>
      </w:tblPr>
      <w:tblGrid>
        <w:gridCol w:w="4565"/>
        <w:gridCol w:w="4731"/>
      </w:tblGrid>
      <w:tr>
        <w:trPr>
          <w:trHeight w:val="283"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61"/>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1,004,725,899</w:t>
            </w:r>
          </w:p>
        </w:tc>
      </w:tr>
      <w:tr>
        <w:trPr>
          <w:trHeight w:val="283"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1,004,725,899</w:t>
            </w:r>
          </w:p>
        </w:tc>
      </w:tr>
      <w:tr>
        <w:trPr>
          <w:trHeight w:val="281"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41,390,001</w:t>
            </w:r>
          </w:p>
        </w:tc>
      </w:tr>
      <w:tr>
        <w:trPr>
          <w:trHeight w:val="283"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1,195,671</w:t>
            </w:r>
          </w:p>
        </w:tc>
      </w:tr>
      <w:tr>
        <w:trPr>
          <w:trHeight w:val="283"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1,384,483</w:t>
            </w:r>
          </w:p>
        </w:tc>
      </w:tr>
      <w:tr>
        <w:trPr>
          <w:trHeight w:val="281"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6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1,048,696,054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840" w:right="400"/>
        </w:sectPr>
      </w:pPr>
    </w:p>
    <w:p>
      <w:pPr>
        <w:pStyle w:val="Heading3"/>
        <w:spacing w:line="274" w:lineRule="exact"/>
        <w:ind w:left="578" w:right="0"/>
        <w:jc w:val="left"/>
        <w:rPr>
          <w:rFonts w:ascii="宋体" w:hAnsi="宋体" w:cs="宋体" w:eastAsia="宋体" w:hint="default"/>
        </w:rPr>
      </w:pPr>
      <w:r>
        <w:rPr>
          <w:rFonts w:ascii="宋体"/>
        </w:rPr>
        <w:t> </w:t>
      </w:r>
    </w:p>
    <w:p>
      <w:pPr>
        <w:pStyle w:val="Heading5"/>
        <w:spacing w:line="240" w:lineRule="auto" w:before="64"/>
        <w:ind w:left="57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5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630" w:val="left" w:leader="none"/>
        </w:tabs>
        <w:spacing w:line="240" w:lineRule="auto"/>
        <w:ind w:left="578" w:right="0"/>
        <w:jc w:val="left"/>
      </w:pPr>
      <w:r>
        <w:rPr>
          <w:spacing w:val="-1"/>
        </w:rPr>
        <w:t>单位：元</w:t>
        <w:tab/>
        <w:t>币种：人民币</w:t>
      </w:r>
    </w:p>
    <w:p>
      <w:pPr>
        <w:spacing w:after="0" w:line="240" w:lineRule="auto"/>
        <w:jc w:val="left"/>
        <w:sectPr>
          <w:type w:val="continuous"/>
          <w:pgSz w:w="11910" w:h="16840"/>
          <w:pgMar w:top="1120" w:bottom="1160" w:left="840" w:right="400"/>
          <w:cols w:num="2" w:equalWidth="0">
            <w:col w:w="3489" w:space="3165"/>
            <w:col w:w="401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71"/>
        <w:gridCol w:w="1277"/>
        <w:gridCol w:w="733"/>
        <w:gridCol w:w="898"/>
        <w:gridCol w:w="751"/>
        <w:gridCol w:w="975"/>
        <w:gridCol w:w="1015"/>
        <w:gridCol w:w="749"/>
        <w:gridCol w:w="929"/>
        <w:gridCol w:w="763"/>
        <w:gridCol w:w="972"/>
      </w:tblGrid>
      <w:tr>
        <w:trPr>
          <w:trHeight w:val="269" w:hRule="exact"/>
        </w:trPr>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371" w:type="dxa"/>
            <w:vMerge/>
            <w:tcBorders>
              <w:left w:val="single" w:sz="4" w:space="0" w:color="000000"/>
              <w:right w:val="single" w:sz="4" w:space="0" w:color="000000"/>
            </w:tcBorders>
          </w:tcPr>
          <w:p>
            <w:pP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5" w:type="dxa"/>
            <w:vMerge w:val="restart"/>
            <w:tcBorders>
              <w:top w:val="single" w:sz="4" w:space="0" w:color="000000"/>
              <w:left w:val="single" w:sz="4" w:space="0" w:color="000000"/>
              <w:right w:val="single" w:sz="4" w:space="0" w:color="000000"/>
            </w:tcBorders>
          </w:tcPr>
          <w:p>
            <w:pPr>
              <w:pStyle w:val="TableParagraph"/>
              <w:spacing w:line="232" w:lineRule="exact" w:before="117"/>
              <w:ind w:left="300" w:right="303"/>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2" w:type="dxa"/>
            <w:vMerge w:val="restart"/>
            <w:tcBorders>
              <w:top w:val="single" w:sz="4" w:space="0" w:color="000000"/>
              <w:left w:val="single" w:sz="4" w:space="0" w:color="000000"/>
              <w:right w:val="single" w:sz="4" w:space="0" w:color="000000"/>
            </w:tcBorders>
          </w:tcPr>
          <w:p>
            <w:pPr>
              <w:pStyle w:val="TableParagraph"/>
              <w:spacing w:line="232" w:lineRule="exact" w:before="117"/>
              <w:ind w:left="300" w:right="30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8" w:hRule="exact"/>
        </w:trPr>
        <w:tc>
          <w:tcPr>
            <w:tcW w:w="137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75" w:type="dxa"/>
            <w:vMerge/>
            <w:tcBorders>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ind w:left="1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972" w:type="dxa"/>
            <w:vMerge/>
            <w:tcBorders>
              <w:left w:val="single" w:sz="4" w:space="0" w:color="000000"/>
              <w:bottom w:val="single" w:sz="4" w:space="0" w:color="000000"/>
              <w:right w:val="single" w:sz="4" w:space="0" w:color="000000"/>
            </w:tcBorders>
          </w:tcPr>
          <w:p>
            <w:pPr/>
          </w:p>
        </w:tc>
      </w:tr>
      <w:tr>
        <w:trPr>
          <w:trHeight w:val="47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按单项计提坏账</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1,195,671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0.11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1,195,671</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1,195,671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1,195,671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43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7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按组合计提坏账</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1,047,500,383</w:t>
            </w:r>
          </w:p>
        </w:tc>
        <w:tc>
          <w:tcPr>
            <w:tcW w:w="73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51,054,615</w:t>
            </w:r>
          </w:p>
        </w:tc>
        <w:tc>
          <w:tcPr>
            <w:tcW w:w="751"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996,445,768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762,554,231</w:t>
            </w:r>
          </w:p>
        </w:tc>
        <w:tc>
          <w:tcPr>
            <w:tcW w:w="74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36,156,225</w:t>
            </w:r>
          </w:p>
        </w:tc>
        <w:tc>
          <w:tcPr>
            <w:tcW w:w="76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726,398,006</w:t>
            </w:r>
          </w:p>
        </w:tc>
      </w:tr>
      <w:tr>
        <w:trPr>
          <w:trHeight w:val="242" w:hRule="exact"/>
        </w:trPr>
        <w:tc>
          <w:tcPr>
            <w:tcW w:w="1043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82,693,203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7.89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5" w:right="0"/>
              <w:jc w:val="center"/>
              <w:rPr>
                <w:rFonts w:ascii="Times New Roman" w:hAnsi="Times New Roman" w:cs="Times New Roman" w:eastAsia="Times New Roman" w:hint="default"/>
                <w:sz w:val="18"/>
                <w:szCs w:val="18"/>
              </w:rPr>
            </w:pPr>
            <w:r>
              <w:rPr>
                <w:rFonts w:ascii="Times New Roman"/>
                <w:sz w:val="18"/>
              </w:rPr>
              <w:t>82,693,203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86,423,344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11.32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86,423,344</w:t>
            </w:r>
          </w:p>
        </w:tc>
      </w:tr>
      <w:tr>
        <w:trPr>
          <w:trHeight w:val="24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964,807,180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92.00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51,054,615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pacing w:val="-1"/>
                <w:sz w:val="18"/>
              </w:rPr>
              <w:t>5.29</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 w:right="0"/>
              <w:jc w:val="center"/>
              <w:rPr>
                <w:rFonts w:ascii="Times New Roman" w:hAnsi="Times New Roman" w:cs="Times New Roman" w:eastAsia="Times New Roman" w:hint="default"/>
                <w:sz w:val="18"/>
                <w:szCs w:val="18"/>
              </w:rPr>
            </w:pPr>
            <w:r>
              <w:rPr>
                <w:rFonts w:ascii="Times New Roman"/>
                <w:sz w:val="18"/>
              </w:rPr>
              <w:t>913,752,565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676,130,887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88.52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36,156,225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5.35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639,974,662</w:t>
            </w:r>
          </w:p>
        </w:tc>
      </w:tr>
      <w:tr>
        <w:trPr>
          <w:trHeight w:val="24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1,048,696,054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52,250,286</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z w:val="18"/>
              </w:rPr>
              <w:t>/</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 w:right="0"/>
              <w:jc w:val="center"/>
              <w:rPr>
                <w:rFonts w:ascii="Times New Roman" w:hAnsi="Times New Roman" w:cs="Times New Roman" w:eastAsia="Times New Roman" w:hint="default"/>
                <w:sz w:val="18"/>
                <w:szCs w:val="18"/>
              </w:rPr>
            </w:pPr>
            <w:r>
              <w:rPr>
                <w:rFonts w:ascii="Times New Roman"/>
                <w:sz w:val="18"/>
              </w:rPr>
              <w:t>996,445,768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763,749,902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37,351,896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z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726,398,006</w:t>
            </w:r>
          </w:p>
        </w:tc>
      </w:tr>
    </w:tbl>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120" w:bottom="1160" w:left="840" w:right="400"/>
        </w:sectPr>
      </w:pPr>
    </w:p>
    <w:p>
      <w:pPr>
        <w:pStyle w:val="BodyText"/>
        <w:spacing w:line="272" w:lineRule="exact" w:before="64"/>
        <w:ind w:left="578"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Heading3"/>
        <w:spacing w:line="282" w:lineRule="exact"/>
        <w:ind w:left="5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Heading3"/>
        <w:spacing w:line="240" w:lineRule="auto"/>
        <w:ind w:left="578" w:right="0"/>
        <w:jc w:val="left"/>
        <w:rPr>
          <w:rFonts w:ascii="宋体" w:hAnsi="宋体" w:cs="宋体" w:eastAsia="宋体" w:hint="default"/>
        </w:rPr>
      </w:pPr>
      <w:r>
        <w:rPr/>
        <w:t>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840" w:right="400"/>
          <w:cols w:num="2" w:equalWidth="0">
            <w:col w:w="2785" w:space="3780"/>
            <w:col w:w="4105"/>
          </w:cols>
        </w:sectPr>
      </w:pPr>
    </w:p>
    <w:p>
      <w:pPr>
        <w:spacing w:line="240" w:lineRule="auto" w:before="10"/>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2316"/>
        <w:gridCol w:w="1657"/>
        <w:gridCol w:w="1661"/>
        <w:gridCol w:w="1656"/>
        <w:gridCol w:w="1803"/>
      </w:tblGrid>
      <w:tr>
        <w:trPr>
          <w:trHeight w:val="283" w:hRule="exact"/>
        </w:trPr>
        <w:tc>
          <w:tcPr>
            <w:tcW w:w="2316"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7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316" w:type="dxa"/>
            <w:vMerge/>
            <w:tcBorders>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应收海口南青款项</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1,195,671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1,195,671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已宣告破产</w:t>
            </w:r>
            <w:r>
              <w:rPr>
                <w:rFonts w:ascii="宋体" w:hAnsi="宋体" w:cs="宋体" w:eastAsia="宋体" w:hint="default"/>
                <w:sz w:val="21"/>
                <w:szCs w:val="21"/>
              </w:rPr>
              <w:t> </w:t>
            </w: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1,195,671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1,195,671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39" w:lineRule="exact"/>
        <w:ind w:left="578" w:right="0"/>
        <w:jc w:val="left"/>
        <w:rPr>
          <w:rFonts w:ascii="宋体" w:hAnsi="宋体" w:cs="宋体" w:eastAsia="宋体" w:hint="default"/>
        </w:rPr>
      </w:pPr>
      <w:r>
        <w:rPr>
          <w:rFonts w:ascii="宋体"/>
          <w:w w:val="100"/>
        </w:rPr>
        <w:t> </w:t>
      </w:r>
    </w:p>
    <w:p>
      <w:pPr>
        <w:pStyle w:val="BodyText"/>
        <w:spacing w:line="269" w:lineRule="exact"/>
        <w:ind w:left="57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Heading3"/>
        <w:spacing w:line="310" w:lineRule="exact"/>
        <w:ind w:left="5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57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Heading3"/>
        <w:spacing w:line="282" w:lineRule="exact"/>
        <w:ind w:left="5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2" w:lineRule="exact"/>
        <w:jc w:val="left"/>
        <w:rPr>
          <w:rFonts w:ascii="宋体" w:hAnsi="宋体" w:cs="宋体" w:eastAsia="宋体" w:hint="default"/>
        </w:rPr>
        <w:sectPr>
          <w:type w:val="continuous"/>
          <w:pgSz w:w="11910" w:h="16840"/>
          <w:pgMar w:top="1120" w:bottom="1160" w:left="840" w:right="4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73" w:lineRule="exact"/>
        <w:ind w:right="0"/>
        <w:jc w:val="left"/>
        <w:rPr>
          <w:rFonts w:ascii="宋体" w:hAnsi="宋体" w:cs="宋体" w:eastAsia="宋体" w:hint="default"/>
        </w:rPr>
      </w:pPr>
      <w:r>
        <w:rPr/>
        <w:t>组合计提项目：账龄组合</w:t>
      </w:r>
      <w:r>
        <w:rPr>
          <w:rFonts w:ascii="宋体" w:hAnsi="宋体" w:cs="宋体" w:eastAsia="宋体" w:hint="default"/>
        </w:rPr>
        <w:t> </w:t>
      </w:r>
    </w:p>
    <w:p>
      <w:pPr>
        <w:pStyle w:val="BodyText"/>
        <w:spacing w:line="273" w:lineRule="exact"/>
        <w:ind w:left="0" w:right="234"/>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42"/>
        <w:gridCol w:w="2254"/>
        <w:gridCol w:w="2292"/>
        <w:gridCol w:w="2168"/>
      </w:tblGrid>
      <w:tr>
        <w:trPr>
          <w:trHeight w:val="281" w:hRule="exact"/>
        </w:trPr>
        <w:tc>
          <w:tcPr>
            <w:tcW w:w="2042"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7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42" w:type="dxa"/>
            <w:vMerge/>
            <w:tcBorders>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933,442,760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41,479,613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4.44</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一到二年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29,979,937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8,190,519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27.32</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二到三年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三到四年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四到五年</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80.00</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五年以上</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1,384,483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1,384,483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964,807,180</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51,054,615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5.29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0"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78"/>
        <w:ind w:right="0" w:firstLine="420"/>
        <w:jc w:val="left"/>
        <w:rPr>
          <w:rFonts w:ascii="宋体" w:hAnsi="宋体" w:cs="宋体" w:eastAsia="宋体" w:hint="default"/>
        </w:rPr>
      </w:pPr>
      <w:r>
        <w:rPr>
          <w:spacing w:val="-2"/>
        </w:rPr>
        <w:t>对于划分为组合的应收账款，本公司参考历史信用损失经验，结合当前状况以及对未来经济状</w:t>
      </w:r>
      <w:r>
        <w:rPr>
          <w:w w:val="100"/>
        </w:rPr>
        <w:t> </w:t>
      </w:r>
      <w:r>
        <w:rPr/>
        <w:t>况的预测，通过违约风险敞口和整个存续期预期信用损失率，计算预期信用损失。</w:t>
      </w:r>
      <w:r>
        <w:rPr>
          <w:rFonts w:ascii="宋体" w:hAnsi="宋体" w:cs="宋体" w:eastAsia="宋体" w:hint="default"/>
        </w:rPr>
        <w:t> </w:t>
      </w:r>
    </w:p>
    <w:p>
      <w:pPr>
        <w:pStyle w:val="Heading3"/>
        <w:spacing w:line="251" w:lineRule="exact"/>
        <w:ind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6"/>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51" w:val="left" w:leader="none"/>
        </w:tabs>
        <w:spacing w:line="240" w:lineRule="auto" w:before="4"/>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24"/>
        <w:gridCol w:w="1277"/>
        <w:gridCol w:w="1243"/>
        <w:gridCol w:w="1421"/>
        <w:gridCol w:w="1279"/>
        <w:gridCol w:w="1277"/>
        <w:gridCol w:w="1274"/>
      </w:tblGrid>
      <w:tr>
        <w:trPr>
          <w:trHeight w:val="283" w:hRule="exact"/>
        </w:trPr>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08"/>
              <w:ind w:left="54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8"/>
              <w:ind w:left="2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2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8"/>
              <w:ind w:left="2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152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274" w:type="dxa"/>
            <w:vMerge/>
            <w:tcBorders>
              <w:left w:val="single" w:sz="4" w:space="0" w:color="000000"/>
              <w:bottom w:val="single" w:sz="4" w:space="0" w:color="000000"/>
              <w:right w:val="single" w:sz="4" w:space="0" w:color="000000"/>
            </w:tcBorders>
          </w:tcPr>
          <w:p>
            <w:pP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应收账款减值</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准备（单项）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1,195,671</w:t>
            </w:r>
          </w:p>
        </w:tc>
        <w:tc>
          <w:tcPr>
            <w:tcW w:w="124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1" w:right="0"/>
              <w:jc w:val="center"/>
              <w:rPr>
                <w:rFonts w:ascii="Times New Roman" w:hAnsi="Times New Roman" w:cs="Times New Roman" w:eastAsia="Times New Roman" w:hint="default"/>
                <w:sz w:val="21"/>
                <w:szCs w:val="21"/>
              </w:rPr>
            </w:pPr>
            <w:r>
              <w:rPr>
                <w:rFonts w:ascii="Times New Roman"/>
                <w:sz w:val="21"/>
              </w:rPr>
              <w:t>1,195,671</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应收账款减值</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准备（组合）</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36,156,225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9" w:right="0"/>
              <w:jc w:val="center"/>
              <w:rPr>
                <w:rFonts w:ascii="Times New Roman" w:hAnsi="Times New Roman" w:cs="Times New Roman" w:eastAsia="Times New Roman" w:hint="default"/>
                <w:sz w:val="21"/>
                <w:szCs w:val="21"/>
              </w:rPr>
            </w:pPr>
            <w:r>
              <w:rPr>
                <w:rFonts w:ascii="Times New Roman"/>
                <w:sz w:val="21"/>
              </w:rPr>
              <w:t>14,898,390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5" w:right="0"/>
              <w:jc w:val="center"/>
              <w:rPr>
                <w:rFonts w:ascii="Times New Roman" w:hAnsi="Times New Roman" w:cs="Times New Roman" w:eastAsia="Times New Roman" w:hint="default"/>
                <w:sz w:val="21"/>
                <w:szCs w:val="21"/>
              </w:rPr>
            </w:pPr>
            <w:r>
              <w:rPr>
                <w:rFonts w:ascii="Times New Roman"/>
                <w:sz w:val="21"/>
              </w:rPr>
              <w:t>51,054,615</w:t>
            </w:r>
          </w:p>
        </w:tc>
      </w:tr>
      <w:tr>
        <w:trPr>
          <w:trHeight w:val="28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37,351,896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 w:right="0"/>
              <w:jc w:val="center"/>
              <w:rPr>
                <w:rFonts w:ascii="Times New Roman" w:hAnsi="Times New Roman" w:cs="Times New Roman" w:eastAsia="Times New Roman" w:hint="default"/>
                <w:sz w:val="21"/>
                <w:szCs w:val="21"/>
              </w:rPr>
            </w:pPr>
            <w:r>
              <w:rPr>
                <w:rFonts w:ascii="Times New Roman"/>
                <w:sz w:val="21"/>
              </w:rPr>
              <w:t>14,898,390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w w:val="100"/>
                <w:sz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Times New Roman" w:hAnsi="Times New Roman" w:cs="Times New Roman" w:eastAsia="Times New Roman" w:hint="default"/>
                <w:sz w:val="21"/>
                <w:szCs w:val="21"/>
              </w:rPr>
            </w:pPr>
            <w:r>
              <w:rPr>
                <w:rFonts w:ascii="Times New Roman"/>
                <w:sz w:val="21"/>
              </w:rPr>
              <w:t>52,250,286</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4" w:top="1080" w:bottom="1160" w:left="1200" w:right="1180"/>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71" w:lineRule="exact" w:before="1"/>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5"/>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应</w:t>
      </w:r>
      <w:r>
        <w:rPr>
          <w:spacing w:val="-3"/>
          <w:w w:val="100"/>
        </w:rPr>
        <w:t>收</w:t>
      </w:r>
      <w:r>
        <w:rPr>
          <w:w w:val="100"/>
        </w:rPr>
        <w:t>账</w:t>
      </w:r>
      <w:r>
        <w:rPr>
          <w:spacing w:val="-3"/>
          <w:w w:val="100"/>
        </w:rPr>
        <w:t>款</w:t>
      </w:r>
      <w:r>
        <w:rPr>
          <w:w w:val="100"/>
        </w:rPr>
        <w:t>核</w:t>
      </w:r>
      <w:r>
        <w:rPr>
          <w:spacing w:val="-3"/>
          <w:w w:val="100"/>
        </w:rPr>
        <w:t>销</w:t>
      </w:r>
      <w:r>
        <w:rPr>
          <w:w w:val="100"/>
        </w:rPr>
        <w:t>情</w:t>
      </w:r>
      <w:r>
        <w:rPr>
          <w:spacing w:val="-3"/>
          <w:w w:val="100"/>
        </w:rPr>
        <w:t>况</w:t>
      </w:r>
      <w:r>
        <w:rPr>
          <w:rFonts w:ascii="宋体" w:hAnsi="宋体" w:cs="宋体" w:eastAsia="宋体" w:hint="default"/>
          <w:w w:val="100"/>
        </w:rPr>
        <w:t> </w:t>
      </w:r>
    </w:p>
    <w:p>
      <w:pPr>
        <w:pStyle w:val="Heading3"/>
        <w:spacing w:line="30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9"/>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698" w:right="0"/>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日，按欠款方归集的余额前五名的应收账款汇总分析如下：</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8055" w:space="177"/>
            <w:col w:w="1298"/>
          </w:cols>
        </w:sectPr>
      </w:pPr>
    </w:p>
    <w:p>
      <w:pPr>
        <w:spacing w:line="240" w:lineRule="auto" w:before="10"/>
        <w:rPr>
          <w:rFonts w:ascii="宋体" w:hAnsi="宋体" w:cs="宋体" w:eastAsia="宋体" w:hint="default"/>
          <w:sz w:val="4"/>
          <w:szCs w:val="4"/>
        </w:rPr>
      </w:pPr>
    </w:p>
    <w:tbl>
      <w:tblPr>
        <w:tblW w:w="0" w:type="auto"/>
        <w:jc w:val="left"/>
        <w:tblInd w:w="4303" w:type="dxa"/>
        <w:tblLayout w:type="fixed"/>
        <w:tblCellMar>
          <w:top w:w="0" w:type="dxa"/>
          <w:left w:w="0" w:type="dxa"/>
          <w:bottom w:w="0" w:type="dxa"/>
          <w:right w:w="0" w:type="dxa"/>
        </w:tblCellMar>
        <w:tblLook w:val="01E0"/>
      </w:tblPr>
      <w:tblGrid>
        <w:gridCol w:w="891"/>
        <w:gridCol w:w="1978"/>
        <w:gridCol w:w="1909"/>
      </w:tblGrid>
      <w:tr>
        <w:trPr>
          <w:trHeight w:val="482" w:hRule="exact"/>
        </w:trPr>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1"/>
                <w:szCs w:val="21"/>
              </w:rPr>
            </w:pPr>
            <w:bookmarkStart w:name="Clarity_1.00_821.00" w:id="34"/>
            <w:bookmarkEnd w:id="34"/>
            <w:r>
              <w:rPr/>
            </w:r>
            <w:r>
              <w:rPr>
                <w:rFonts w:ascii="宋体" w:hAnsi="宋体" w:cs="宋体" w:eastAsia="宋体" w:hint="default"/>
                <w:sz w:val="21"/>
                <w:szCs w:val="21"/>
              </w:rPr>
              <w:t>余额</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909" w:type="dxa"/>
            <w:tcBorders>
              <w:top w:val="nil" w:sz="6" w:space="0" w:color="auto"/>
              <w:left w:val="nil" w:sz="6" w:space="0" w:color="auto"/>
              <w:bottom w:val="nil" w:sz="6" w:space="0" w:color="auto"/>
              <w:right w:val="nil" w:sz="6" w:space="0" w:color="auto"/>
            </w:tcBorders>
          </w:tcPr>
          <w:p>
            <w:pPr>
              <w:pStyle w:val="TableParagraph"/>
              <w:spacing w:line="209" w:lineRule="exact"/>
              <w:ind w:left="446" w:right="0" w:firstLine="208"/>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3" w:lineRule="exact"/>
              <w:ind w:left="446" w:right="0"/>
              <w:jc w:val="left"/>
              <w:rPr>
                <w:rFonts w:ascii="宋体" w:hAnsi="宋体" w:cs="宋体" w:eastAsia="宋体" w:hint="default"/>
                <w:sz w:val="21"/>
                <w:szCs w:val="21"/>
              </w:rPr>
            </w:pPr>
            <w:r>
              <w:rPr>
                <w:rFonts w:ascii="宋体" w:hAnsi="宋体" w:cs="宋体" w:eastAsia="宋体" w:hint="default"/>
                <w:sz w:val="21"/>
                <w:szCs w:val="21"/>
              </w:rPr>
              <w:t>余额总额比例</w:t>
            </w:r>
          </w:p>
        </w:tc>
      </w:tr>
    </w:tbl>
    <w:p>
      <w:pPr>
        <w:spacing w:after="0" w:line="273" w:lineRule="exact"/>
        <w:jc w:val="left"/>
        <w:rPr>
          <w:rFonts w:ascii="宋体" w:hAnsi="宋体" w:cs="宋体" w:eastAsia="宋体"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574" w:type="dxa"/>
        <w:tblLayout w:type="fixed"/>
        <w:tblCellMar>
          <w:top w:w="0" w:type="dxa"/>
          <w:left w:w="0" w:type="dxa"/>
          <w:bottom w:w="0" w:type="dxa"/>
          <w:right w:w="0" w:type="dxa"/>
        </w:tblCellMar>
        <w:tblLook w:val="01E0"/>
      </w:tblPr>
      <w:tblGrid>
        <w:gridCol w:w="2929"/>
        <w:gridCol w:w="1505"/>
        <w:gridCol w:w="248"/>
        <w:gridCol w:w="1553"/>
        <w:gridCol w:w="247"/>
        <w:gridCol w:w="1906"/>
      </w:tblGrid>
      <w:tr>
        <w:trPr>
          <w:trHeight w:val="258"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余额前五名的应收账款总额</w:t>
            </w:r>
          </w:p>
        </w:tc>
        <w:tc>
          <w:tcPr>
            <w:tcW w:w="1505" w:type="dxa"/>
            <w:tcBorders>
              <w:top w:val="nil" w:sz="6" w:space="0" w:color="auto"/>
              <w:left w:val="nil" w:sz="6" w:space="0" w:color="auto"/>
              <w:bottom w:val="single" w:sz="12" w:space="0" w:color="000000"/>
              <w:right w:val="nil" w:sz="6" w:space="0" w:color="auto"/>
            </w:tcBorders>
          </w:tcPr>
          <w:p>
            <w:pPr>
              <w:pStyle w:val="TableParagraph"/>
              <w:spacing w:line="237" w:lineRule="exact"/>
              <w:ind w:left="288" w:right="0"/>
              <w:jc w:val="left"/>
              <w:rPr>
                <w:rFonts w:ascii="Times New Roman" w:hAnsi="Times New Roman" w:cs="Times New Roman" w:eastAsia="Times New Roman" w:hint="default"/>
                <w:sz w:val="21"/>
                <w:szCs w:val="21"/>
              </w:rPr>
            </w:pPr>
            <w:r>
              <w:rPr>
                <w:rFonts w:ascii="Times New Roman"/>
                <w:sz w:val="21"/>
              </w:rPr>
              <w:t>594,854,569</w:t>
            </w:r>
          </w:p>
        </w:tc>
        <w:tc>
          <w:tcPr>
            <w:tcW w:w="248"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12" w:space="0" w:color="000000"/>
              <w:right w:val="nil" w:sz="6" w:space="0" w:color="auto"/>
            </w:tcBorders>
          </w:tcPr>
          <w:p>
            <w:pPr>
              <w:pStyle w:val="TableParagraph"/>
              <w:spacing w:line="237" w:lineRule="exact"/>
              <w:ind w:left="453" w:right="0"/>
              <w:jc w:val="left"/>
              <w:rPr>
                <w:rFonts w:ascii="Times New Roman" w:hAnsi="Times New Roman" w:cs="Times New Roman" w:eastAsia="Times New Roman" w:hint="default"/>
                <w:sz w:val="21"/>
                <w:szCs w:val="21"/>
              </w:rPr>
            </w:pPr>
            <w:r>
              <w:rPr>
                <w:rFonts w:ascii="Times New Roman"/>
                <w:sz w:val="21"/>
              </w:rPr>
              <w:t>-29,742,728</w:t>
            </w:r>
          </w:p>
        </w:tc>
        <w:tc>
          <w:tcPr>
            <w:tcW w:w="247"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12" w:space="0" w:color="000000"/>
              <w:right w:val="nil" w:sz="6" w:space="0" w:color="auto"/>
            </w:tcBorders>
          </w:tcPr>
          <w:p>
            <w:pPr>
              <w:pStyle w:val="TableParagraph"/>
              <w:spacing w:line="237" w:lineRule="exact"/>
              <w:ind w:left="1095" w:right="0"/>
              <w:jc w:val="left"/>
              <w:rPr>
                <w:rFonts w:ascii="Times New Roman" w:hAnsi="Times New Roman" w:cs="Times New Roman" w:eastAsia="Times New Roman" w:hint="default"/>
                <w:sz w:val="21"/>
                <w:szCs w:val="21"/>
              </w:rPr>
            </w:pPr>
            <w:r>
              <w:rPr>
                <w:rFonts w:ascii="Times New Roman"/>
                <w:sz w:val="21"/>
              </w:rPr>
              <w:t>56.72%</w:t>
            </w:r>
          </w:p>
        </w:tc>
      </w:tr>
    </w:tbl>
    <w:p>
      <w:pPr>
        <w:pStyle w:val="Heading3"/>
        <w:spacing w:line="274" w:lineRule="exact"/>
        <w:ind w:left="138" w:right="0"/>
        <w:jc w:val="left"/>
        <w:rPr>
          <w:rFonts w:ascii="宋体" w:hAnsi="宋体" w:cs="宋体" w:eastAsia="宋体" w:hint="default"/>
        </w:rPr>
      </w:pPr>
      <w:r>
        <w:rPr>
          <w:rFonts w:ascii="宋体"/>
        </w:rPr>
        <w:t> </w:t>
      </w:r>
    </w:p>
    <w:p>
      <w:pPr>
        <w:pStyle w:val="Heading5"/>
        <w:spacing w:line="240" w:lineRule="auto" w:before="64"/>
        <w:ind w:left="138" w:right="192"/>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8"/>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3"/>
        <w:rPr>
          <w:rFonts w:ascii="宋体" w:hAnsi="宋体" w:cs="宋体" w:eastAsia="宋体" w:hint="default"/>
          <w:sz w:val="25"/>
          <w:szCs w:val="25"/>
        </w:rPr>
      </w:pPr>
    </w:p>
    <w:p>
      <w:pPr>
        <w:pStyle w:val="Heading5"/>
        <w:spacing w:line="240" w:lineRule="auto" w:before="0"/>
        <w:ind w:left="138" w:right="192"/>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9"/>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74" w:top="1080" w:bottom="1160" w:left="1280" w:right="1300"/>
        </w:sectPr>
      </w:pPr>
    </w:p>
    <w:p>
      <w:pPr>
        <w:pStyle w:val="Heading3"/>
        <w:spacing w:line="313" w:lineRule="exact" w:before="26"/>
        <w:ind w:left="138"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90" w:lineRule="auto" w:before="61"/>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90" w:val="left" w:leader="none"/>
        </w:tabs>
        <w:spacing w:line="240" w:lineRule="auto" w:before="171"/>
        <w:ind w:left="138" w:right="0"/>
        <w:jc w:val="left"/>
      </w:pPr>
      <w:r>
        <w:rPr>
          <w:spacing w:val="-1"/>
        </w:rPr>
        <w:t>单位：元</w:t>
        <w:tab/>
        <w:t>币种：人民币</w:t>
      </w:r>
    </w:p>
    <w:p>
      <w:pPr>
        <w:spacing w:after="0" w:line="240" w:lineRule="auto"/>
        <w:jc w:val="left"/>
        <w:sectPr>
          <w:type w:val="continuous"/>
          <w:pgSz w:w="11910" w:h="16840"/>
          <w:pgMar w:top="1120" w:bottom="1160" w:left="1280" w:right="1300"/>
          <w:cols w:num="2" w:equalWidth="0">
            <w:col w:w="2179" w:space="4580"/>
            <w:col w:w="257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13"/>
        <w:gridCol w:w="2864"/>
        <w:gridCol w:w="2950"/>
      </w:tblGrid>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37"/>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
                <w:sz w:val="21"/>
              </w:rPr>
              <w:t>32,346,874</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8"/>
              <w:jc w:val="right"/>
              <w:rPr>
                <w:rFonts w:ascii="Arial" w:hAnsi="Arial" w:cs="Arial" w:eastAsia="Arial" w:hint="default"/>
                <w:sz w:val="18"/>
                <w:szCs w:val="18"/>
              </w:rPr>
            </w:pPr>
            <w:r>
              <w:rPr>
                <w:rFonts w:ascii="Arial"/>
                <w:spacing w:val="-1"/>
                <w:sz w:val="18"/>
              </w:rPr>
              <w:t>8,041,075</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
                <w:sz w:val="21"/>
              </w:rPr>
              <w:t>549,517,041</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8"/>
              <w:jc w:val="right"/>
              <w:rPr>
                <w:rFonts w:ascii="Arial" w:hAnsi="Arial" w:cs="Arial" w:eastAsia="Arial" w:hint="default"/>
                <w:sz w:val="18"/>
                <w:szCs w:val="18"/>
              </w:rPr>
            </w:pPr>
            <w:r>
              <w:rPr>
                <w:rFonts w:ascii="Arial"/>
                <w:spacing w:val="-1"/>
                <w:sz w:val="18"/>
              </w:rPr>
              <w:t>118,039,792</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7"/>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581,863,915</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126,080,867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80" w:right="1300"/>
        </w:sectPr>
      </w:pPr>
    </w:p>
    <w:p>
      <w:pPr>
        <w:pStyle w:val="Heading3"/>
        <w:spacing w:line="274" w:lineRule="exact"/>
        <w:ind w:left="138" w:right="0"/>
        <w:jc w:val="left"/>
        <w:rPr>
          <w:rFonts w:ascii="宋体" w:hAnsi="宋体" w:cs="宋体" w:eastAsia="宋体" w:hint="default"/>
        </w:rPr>
      </w:pPr>
      <w:r>
        <w:rPr>
          <w:rFonts w:ascii="宋体"/>
        </w:rPr>
        <w:t> </w:t>
      </w:r>
    </w:p>
    <w:p>
      <w:pPr>
        <w:pStyle w:val="BodyText"/>
        <w:spacing w:line="270" w:lineRule="exact" w:before="4"/>
        <w:ind w:left="138"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8"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40" w:lineRule="auto" w:before="61"/>
        <w:ind w:left="138"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1"/>
        </w:rPr>
        <w:t> </w:t>
      </w:r>
      <w:r>
        <w:rPr/>
        <w:t>应收利息分类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tabs>
          <w:tab w:pos="1190"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160" w:left="1280" w:right="1300"/>
          <w:cols w:num="2" w:equalWidth="0">
            <w:col w:w="2179" w:space="4580"/>
            <w:col w:w="257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58"/>
        <w:gridCol w:w="3024"/>
        <w:gridCol w:w="3044"/>
      </w:tblGrid>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60"/>
              <w:jc w:val="right"/>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31,102,449</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4,243,131</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1,244,425</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3,797,944</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302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0"/>
              <w:jc w:val="righ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32,346,874</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6"/>
              <w:jc w:val="right"/>
              <w:rPr>
                <w:rFonts w:ascii="Arial" w:hAnsi="Arial" w:cs="Arial" w:eastAsia="Arial" w:hint="default"/>
                <w:sz w:val="18"/>
                <w:szCs w:val="18"/>
              </w:rPr>
            </w:pPr>
            <w:r>
              <w:rPr>
                <w:rFonts w:ascii="Arial"/>
                <w:spacing w:val="-1"/>
                <w:sz w:val="18"/>
              </w:rPr>
              <w:t>8,041,075</w:t>
            </w:r>
          </w:p>
        </w:tc>
      </w:tr>
    </w:tbl>
    <w:p>
      <w:pPr>
        <w:pStyle w:val="Heading3"/>
        <w:spacing w:line="274" w:lineRule="exact"/>
        <w:ind w:left="138" w:right="0"/>
        <w:jc w:val="left"/>
        <w:rPr>
          <w:rFonts w:ascii="宋体" w:hAnsi="宋体" w:cs="宋体" w:eastAsia="宋体" w:hint="default"/>
        </w:rPr>
      </w:pPr>
      <w:r>
        <w:rPr>
          <w:rFonts w:ascii="宋体"/>
        </w:rPr>
        <w:t> </w:t>
      </w:r>
    </w:p>
    <w:p>
      <w:pPr>
        <w:pStyle w:val="Heading5"/>
        <w:spacing w:line="240" w:lineRule="auto" w:before="64"/>
        <w:ind w:left="138" w:right="19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1"/>
        </w:rPr>
        <w:t> </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138" w:right="0"/>
        <w:jc w:val="left"/>
        <w:rPr>
          <w:rFonts w:ascii="宋体" w:hAnsi="宋体" w:cs="宋体" w:eastAsia="宋体" w:hint="default"/>
        </w:rPr>
      </w:pPr>
      <w:r>
        <w:rPr>
          <w:rFonts w:ascii="宋体"/>
          <w:w w:val="100"/>
        </w:rPr>
        <w:t> </w:t>
      </w:r>
    </w:p>
    <w:p>
      <w:pPr>
        <w:pStyle w:val="Heading5"/>
        <w:spacing w:line="240" w:lineRule="auto" w:before="58"/>
        <w:ind w:left="138" w:right="19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0"/>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BodyText"/>
        <w:spacing w:line="270" w:lineRule="exact" w:before="4"/>
        <w:ind w:left="138" w:right="192"/>
        <w:jc w:val="left"/>
        <w:rPr>
          <w:rFonts w:ascii="宋体" w:hAnsi="宋体" w:cs="宋体" w:eastAsia="宋体" w:hint="default"/>
        </w:rPr>
      </w:pPr>
      <w:r>
        <w:rPr/>
        <w:t>其他说明：</w:t>
      </w:r>
      <w:r>
        <w:rPr>
          <w:rFonts w:ascii="宋体" w:hAnsi="宋体" w:cs="宋体" w:eastAsia="宋体" w:hint="default"/>
        </w:rPr>
        <w:t> </w:t>
      </w:r>
    </w:p>
    <w:p>
      <w:pPr>
        <w:pStyle w:val="Heading3"/>
        <w:spacing w:line="309" w:lineRule="exact"/>
        <w:ind w:left="138" w:right="19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09" w:lineRule="exact"/>
        <w:jc w:val="left"/>
        <w:rPr>
          <w:rFonts w:ascii="宋体" w:hAnsi="宋体" w:cs="宋体" w:eastAsia="宋体" w:hint="default"/>
        </w:rPr>
        <w:sectPr>
          <w:type w:val="continuous"/>
          <w:pgSz w:w="11910" w:h="16840"/>
          <w:pgMar w:top="1120" w:bottom="1160" w:left="128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08"/>
          <w:pgSz w:w="11910" w:h="16840"/>
          <w:pgMar w:footer="974" w:header="0" w:top="1080" w:bottom="1160" w:left="1200" w:right="1180"/>
        </w:sectPr>
      </w:pPr>
    </w:p>
    <w:p>
      <w:pPr>
        <w:pStyle w:val="Heading3"/>
        <w:spacing w:line="240" w:lineRule="auto" w:before="205"/>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2"/>
        </w:rPr>
        <w:t> </w:t>
      </w:r>
      <w:r>
        <w:rPr/>
        <w:t>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9"/>
        </w:rPr>
        <w:t> </w:t>
      </w:r>
      <w:r>
        <w:rPr/>
        <w:t>重要的账龄超过</w:t>
      </w:r>
      <w:r>
        <w:rPr>
          <w:spacing w:val="-54"/>
        </w:rPr>
        <w:t> </w:t>
      </w:r>
      <w:r>
        <w:rPr>
          <w:rFonts w:ascii="宋体" w:hAnsi="宋体" w:cs="宋体" w:eastAsia="宋体" w:hint="default"/>
        </w:rPr>
        <w:t>1</w:t>
      </w:r>
      <w:r>
        <w:rPr>
          <w:rFonts w:ascii="宋体" w:hAnsi="宋体" w:cs="宋体" w:eastAsia="宋体" w:hint="default"/>
          <w:spacing w:val="-54"/>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0"/>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71" w:lineRule="exact" w:before="1"/>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760" w:space="2999"/>
            <w:col w:w="27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55"/>
        <w:gridCol w:w="4614"/>
      </w:tblGrid>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6"/>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518,316,247</w:t>
            </w:r>
          </w:p>
        </w:tc>
      </w:tr>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518,316,247</w:t>
            </w:r>
          </w:p>
        </w:tc>
      </w:tr>
      <w:tr>
        <w:trPr>
          <w:trHeight w:val="281"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34,875,762</w:t>
            </w:r>
          </w:p>
        </w:tc>
      </w:tr>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774,945</w:t>
            </w:r>
          </w:p>
        </w:tc>
      </w:tr>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1,800</w:t>
            </w:r>
          </w:p>
        </w:tc>
      </w:tr>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7,632</w:t>
            </w:r>
          </w:p>
        </w:tc>
      </w:tr>
      <w:tr>
        <w:trPr>
          <w:trHeight w:val="283"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122,082</w:t>
            </w:r>
          </w:p>
        </w:tc>
      </w:tr>
      <w:tr>
        <w:trPr>
          <w:trHeight w:val="281" w:hRule="exact"/>
        </w:trPr>
        <w:tc>
          <w:tcPr>
            <w:tcW w:w="4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554,098,468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751" w:space="4008"/>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57"/>
        <w:gridCol w:w="3060"/>
        <w:gridCol w:w="3070"/>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向子公司提供委托贷款</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430,385,271</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应收港建费</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57,149,733</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39,299,143</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为子公司垫付工程款</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29,999,957</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30,511,179</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应收子公司租赁款</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13,285,491</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应收押金及保证金</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3,511,945</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14,301,232</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19,766,071</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39,407,005</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554,098,468</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123,518,559</w:t>
            </w:r>
          </w:p>
        </w:tc>
      </w:tr>
    </w:tbl>
    <w:p>
      <w:pPr>
        <w:pStyle w:val="Heading3"/>
        <w:spacing w:line="273"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051" w:val="left" w:leader="none"/>
        </w:tabs>
        <w:spacing w:line="240" w:lineRule="auto"/>
        <w:ind w:left="0" w:right="337"/>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34"/>
        <w:gridCol w:w="1702"/>
        <w:gridCol w:w="1702"/>
        <w:gridCol w:w="1982"/>
        <w:gridCol w:w="1203"/>
      </w:tblGrid>
      <w:tr>
        <w:trPr>
          <w:trHeight w:val="442" w:hRule="exact"/>
        </w:trPr>
        <w:tc>
          <w:tcPr>
            <w:tcW w:w="22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第二阶段</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989" w:hRule="exact"/>
        </w:trPr>
        <w:tc>
          <w:tcPr>
            <w:tcW w:w="223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8"/>
              <w:ind w:left="394" w:right="139" w:hanging="318"/>
              <w:jc w:val="left"/>
              <w:rPr>
                <w:rFonts w:ascii="宋体" w:hAnsi="宋体" w:cs="宋体" w:eastAsia="宋体" w:hint="default"/>
                <w:sz w:val="21"/>
                <w:szCs w:val="21"/>
              </w:rPr>
            </w:pPr>
            <w:r>
              <w:rPr>
                <w:rFonts w:ascii="宋体" w:hAnsi="宋体" w:cs="宋体" w:eastAsia="宋体" w:hint="default"/>
                <w:sz w:val="21"/>
                <w:szCs w:val="21"/>
              </w:rPr>
              <w:t>未来</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hanging="7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4" w:lineRule="exact" w:before="24"/>
              <w:ind w:left="285" w:right="180" w:hanging="1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信用损失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未发</w:t>
            </w:r>
            <w:r>
              <w:rPr>
                <w:rFonts w:ascii="宋体" w:hAnsi="宋体" w:cs="宋体" w:eastAsia="宋体" w:hint="default"/>
                <w:spacing w:val="-95"/>
                <w:sz w:val="21"/>
                <w:szCs w:val="21"/>
              </w:rPr>
              <w:t> </w:t>
            </w:r>
            <w:r>
              <w:rPr>
                <w:rFonts w:ascii="宋体" w:hAnsi="宋体" w:cs="宋体" w:eastAsia="宋体" w:hint="default"/>
                <w:sz w:val="21"/>
                <w:szCs w:val="21"/>
              </w:rPr>
              <w:t>生信用减值</w:t>
            </w:r>
            <w:r>
              <w:rPr>
                <w:rFonts w:ascii="Times New Roman" w:hAnsi="Times New Roman" w:cs="Times New Roman" w:eastAsia="Times New Roman" w:hint="default"/>
                <w:sz w:val="21"/>
                <w:szCs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hanging="8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4" w:lineRule="exact" w:before="24"/>
              <w:ind w:left="647" w:right="199"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Times New Roman" w:hAnsi="Times New Roman" w:cs="Times New Roman" w:eastAsia="Times New Roman" w:hint="default"/>
                <w:sz w:val="21"/>
                <w:szCs w:val="21"/>
              </w:rPr>
              <w:t>)</w:t>
            </w:r>
          </w:p>
        </w:tc>
        <w:tc>
          <w:tcPr>
            <w:tcW w:w="1203" w:type="dxa"/>
            <w:vMerge/>
            <w:tcBorders>
              <w:left w:val="single" w:sz="4" w:space="0" w:color="000000"/>
              <w:bottom w:val="single" w:sz="4" w:space="0" w:color="000000"/>
              <w:right w:val="single" w:sz="4" w:space="0" w:color="000000"/>
            </w:tcBorders>
          </w:tcPr>
          <w:p>
            <w:pPr/>
          </w:p>
        </w:tc>
      </w:tr>
      <w:tr>
        <w:trPr>
          <w:trHeight w:val="28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5,478,767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5,478,767</w:t>
            </w:r>
          </w:p>
        </w:tc>
      </w:tr>
      <w:tr>
        <w:trPr>
          <w:trHeight w:val="55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2019</w:t>
            </w:r>
            <w:r>
              <w:rPr>
                <w:rFonts w:ascii="宋体" w:hAnsi="宋体" w:cs="宋体" w:eastAsia="宋体" w:hint="default"/>
                <w:spacing w:val="9"/>
                <w:sz w:val="21"/>
                <w:szCs w:val="21"/>
              </w:rPr>
              <w:t>年</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月</w:t>
            </w: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日余额在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897,340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897,340</w:t>
            </w:r>
          </w:p>
        </w:tc>
      </w:tr>
      <w:tr>
        <w:trPr>
          <w:trHeight w:val="28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4,581,427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4,581,427</w:t>
            </w:r>
          </w:p>
        </w:tc>
      </w:tr>
    </w:tbl>
    <w:p>
      <w:pPr>
        <w:pStyle w:val="BodyText"/>
        <w:spacing w:line="236" w:lineRule="exact"/>
        <w:ind w:right="0"/>
        <w:jc w:val="left"/>
      </w:pPr>
      <w:r>
        <w:rPr/>
        <w:t>对本期发生损失准备变动的其他应收款账面余额显著变动的情况说明：</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70" w:lineRule="exact" w:before="4"/>
        <w:ind w:right="0"/>
        <w:jc w:val="left"/>
      </w:pPr>
      <w:r>
        <w:rPr/>
        <w:t>本期坏账准备计提金额以及评估金融工具的信用风险是否显著增加的采用依据：</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51" w:val="left" w:leader="none"/>
        </w:tabs>
        <w:spacing w:line="240" w:lineRule="auto" w:before="4"/>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76"/>
        <w:gridCol w:w="1249"/>
        <w:gridCol w:w="1354"/>
        <w:gridCol w:w="1248"/>
        <w:gridCol w:w="1327"/>
        <w:gridCol w:w="1323"/>
        <w:gridCol w:w="1320"/>
      </w:tblGrid>
      <w:tr>
        <w:trPr>
          <w:trHeight w:val="283" w:hRule="exact"/>
        </w:trPr>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2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76"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20" w:type="dxa"/>
            <w:vMerge/>
            <w:tcBorders>
              <w:left w:val="single" w:sz="4" w:space="0" w:color="000000"/>
              <w:bottom w:val="single" w:sz="4" w:space="0" w:color="000000"/>
              <w:right w:val="single" w:sz="4" w:space="0" w:color="000000"/>
            </w:tcBorders>
          </w:tcPr>
          <w:p>
            <w:pPr/>
          </w:p>
        </w:tc>
      </w:tr>
      <w:tr>
        <w:trPr>
          <w:trHeight w:val="410"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center"/>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pacing w:val="-3"/>
                <w:sz w:val="21"/>
                <w:szCs w:val="21"/>
              </w:rPr>
              <w:t>D</w:t>
            </w:r>
            <w:r>
              <w:rPr>
                <w:rFonts w:ascii="宋体" w:hAnsi="宋体" w:cs="宋体" w:eastAsia="宋体" w:hint="default"/>
                <w:sz w:val="21"/>
                <w:szCs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pacing w:val="-1"/>
                <w:sz w:val="21"/>
              </w:rPr>
              <w:t>5,478,767</w:t>
            </w:r>
          </w:p>
        </w:tc>
        <w:tc>
          <w:tcPr>
            <w:tcW w:w="135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897,340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4,581,427</w:t>
            </w:r>
          </w:p>
        </w:tc>
      </w:tr>
      <w:tr>
        <w:trPr>
          <w:trHeight w:val="284"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5,478,767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897,340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4,581,427</w:t>
            </w:r>
          </w:p>
        </w:tc>
      </w:tr>
    </w:tbl>
    <w:p>
      <w:pPr>
        <w:spacing w:after="0" w:line="235" w:lineRule="exact"/>
        <w:jc w:val="right"/>
        <w:rPr>
          <w:rFonts w:ascii="Times New Roman" w:hAnsi="Times New Roman" w:cs="Times New Roman" w:eastAsia="Times New Roman" w:hint="default"/>
          <w:sz w:val="21"/>
          <w:szCs w:val="21"/>
        </w:rPr>
        <w:sectPr>
          <w:footerReference w:type="default" r:id="rId109"/>
          <w:pgSz w:w="11910" w:h="16840"/>
          <w:pgMar w:footer="974" w:header="0" w:top="1080" w:bottom="1160" w:left="1200" w:right="1180"/>
          <w:pgNumType w:start="241"/>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69" w:lineRule="exact"/>
        <w:ind w:right="0"/>
        <w:jc w:val="left"/>
      </w:pPr>
      <w:r>
        <w:rPr/>
        <w:t>其中本期坏账准备转回或收回金额重要的：</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5491" w:space="1269"/>
            <w:col w:w="277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26"/>
        <w:gridCol w:w="2218"/>
        <w:gridCol w:w="1366"/>
        <w:gridCol w:w="1154"/>
        <w:gridCol w:w="1750"/>
        <w:gridCol w:w="1082"/>
      </w:tblGrid>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12" w:right="27" w:hanging="684"/>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5" w:right="1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摩科瑞物流</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委托贷款、应收利息及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垫付工程款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290,159,271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hAnsi="宋体" w:cs="宋体" w:eastAsia="宋体" w:hint="default"/>
                <w:spacing w:val="-2"/>
                <w:sz w:val="21"/>
                <w:szCs w:val="21"/>
              </w:rPr>
              <w:t>两年以内</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49.48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6"/>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液体化工码头</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委托贷款及应收利息</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170,225,958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2"/>
                <w:sz w:val="21"/>
                <w:szCs w:val="21"/>
              </w:rPr>
              <w:t>一年以内</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29.03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QDOT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租费及港建费</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22,704,038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2"/>
                <w:sz w:val="21"/>
                <w:szCs w:val="21"/>
              </w:rPr>
              <w:t>一年以内</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3.87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1,135,202</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联捷物流</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租费</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4"/>
              <w:jc w:val="right"/>
              <w:rPr>
                <w:rFonts w:ascii="Times New Roman" w:hAnsi="Times New Roman" w:cs="Times New Roman" w:eastAsia="Times New Roman" w:hint="default"/>
                <w:sz w:val="21"/>
                <w:szCs w:val="21"/>
              </w:rPr>
            </w:pPr>
            <w:r>
              <w:rPr>
                <w:rFonts w:ascii="Times New Roman"/>
                <w:spacing w:val="-1"/>
                <w:sz w:val="21"/>
              </w:rPr>
              <w:t>12,242,150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2"/>
                <w:sz w:val="21"/>
                <w:szCs w:val="21"/>
              </w:rPr>
              <w:t>一年以内</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2.09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山东宏桥新型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材料有限公司</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港建费</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7,147,096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hAnsi="宋体" w:cs="宋体" w:eastAsia="宋体" w:hint="default"/>
                <w:spacing w:val="-2"/>
                <w:sz w:val="21"/>
                <w:szCs w:val="21"/>
              </w:rPr>
              <w:t>一年以内</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1.22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357,355</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502,478,513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85.69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1,492,557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974" w:top="1080" w:bottom="1160" w:left="1200" w:right="1180"/>
        </w:sectPr>
      </w:pPr>
    </w:p>
    <w:p>
      <w:pPr>
        <w:pStyle w:val="Heading3"/>
        <w:spacing w:line="240" w:lineRule="auto" w:before="205"/>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4"/>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3</w:t>
      </w:r>
      <w:r>
        <w:rPr/>
        <w:t>、</w:t>
      </w:r>
      <w:r>
        <w:rPr>
          <w:spacing w:val="58"/>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Heading3"/>
        <w:spacing w:line="240" w:lineRule="auto"/>
        <w:ind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5491" w:space="940"/>
            <w:col w:w="3099"/>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46"/>
        <w:gridCol w:w="1505"/>
        <w:gridCol w:w="703"/>
        <w:gridCol w:w="1424"/>
        <w:gridCol w:w="1421"/>
        <w:gridCol w:w="1059"/>
        <w:gridCol w:w="1375"/>
      </w:tblGrid>
      <w:tr>
        <w:trPr>
          <w:trHeight w:val="281" w:hRule="exact"/>
        </w:trPr>
        <w:tc>
          <w:tcPr>
            <w:tcW w:w="16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646" w:type="dxa"/>
            <w:vMerge/>
            <w:tcBorders>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4,361,956,253</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4,361,956,253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3,913,513,156</w:t>
            </w:r>
          </w:p>
        </w:tc>
        <w:tc>
          <w:tcPr>
            <w:tcW w:w="105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3,913,513,156</w:t>
            </w:r>
          </w:p>
        </w:tc>
      </w:tr>
      <w:tr>
        <w:trPr>
          <w:trHeight w:val="55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99"/>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9,629,564,981</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9,629,564,981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9,439,623,816</w:t>
            </w:r>
          </w:p>
        </w:tc>
        <w:tc>
          <w:tcPr>
            <w:tcW w:w="105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9,439,623,816</w:t>
            </w:r>
          </w:p>
        </w:tc>
      </w:tr>
      <w:tr>
        <w:trPr>
          <w:trHeight w:val="28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13,991,521,234</w:t>
            </w:r>
          </w:p>
        </w:tc>
        <w:tc>
          <w:tcPr>
            <w:tcW w:w="7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13,991,521,234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13,353,136,972</w:t>
            </w:r>
          </w:p>
        </w:tc>
        <w:tc>
          <w:tcPr>
            <w:tcW w:w="105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13,353,136,972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Heading3"/>
        <w:spacing w:line="273"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Heading3"/>
        <w:spacing w:line="240" w:lineRule="auto"/>
        <w:ind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259" w:space="4171"/>
            <w:col w:w="3100"/>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26"/>
        <w:gridCol w:w="1568"/>
        <w:gridCol w:w="1267"/>
        <w:gridCol w:w="1277"/>
        <w:gridCol w:w="1490"/>
        <w:gridCol w:w="992"/>
        <w:gridCol w:w="967"/>
      </w:tblGrid>
      <w:tr>
        <w:trPr>
          <w:trHeight w:val="828"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2"/>
                <w:sz w:val="21"/>
                <w:szCs w:val="21"/>
              </w:rPr>
              <w:t>本期增加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78" w:right="173"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68" w:right="158"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永利保险</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7,866,558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7,866,558</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青港物流</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257,374,925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257,374,925</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宏宇货代</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12,811,516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12,811,516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港联顺船务</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23,580,830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23,580,830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外轮航修</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3,666,959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3,666,959</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港务工程</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114,455,552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114,455,552</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青岛外理</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389,296,880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389,296,880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港佳物流</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7,299,874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7,299,874</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港荣仓储</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7,952,229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7,952,229</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免税商店</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2,931,373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2,931,373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大唐港务</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179,109,502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179,109,502</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青港财务公司</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摩科瑞物流</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273,278,376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273,278,376</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摩科瑞仓储</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182,079,200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182,079,200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1726"/>
        <w:gridCol w:w="1568"/>
        <w:gridCol w:w="1267"/>
        <w:gridCol w:w="1277"/>
        <w:gridCol w:w="1490"/>
        <w:gridCol w:w="992"/>
        <w:gridCol w:w="967"/>
      </w:tblGrid>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怡之航冷链</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物业公司</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文化传媒</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国际发展</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40,307,042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40,307,042</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通宝航运</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通用码头公司</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480,000,000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联化管道</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441,660,000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441,660,000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施维策拖轮</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115,500,000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115,500,000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通泽商贸</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保税物流中心</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25,458,868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25,458,868</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液体化工码头</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295,883,472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88,265,986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384,149,458</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通安保安</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青东管道</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255,000,000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通达油气</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青岛通安环保科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青淄物流</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振华石油仓储</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148,920,000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148,920,000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3,913,513,156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464,185,986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15,742,889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4,361,956,253</w:t>
            </w: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4" w:lineRule="exact"/>
        <w:ind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0" w:footer="974" w:top="1080" w:bottom="1160" w:left="1200" w:right="1180"/>
        </w:sect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10"/>
          <w:footerReference w:type="default" r:id="rId111"/>
          <w:pgSz w:w="16840" w:h="11910" w:orient="landscape"/>
          <w:pgMar w:header="882" w:footer="975" w:top="1120" w:bottom="1160" w:left="1200" w:right="1460"/>
          <w:pgNumType w:start="244"/>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spacing w:before="0"/>
        <w:ind w:left="218"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120" w:bottom="1160" w:left="1200" w:right="1460"/>
          <w:cols w:num="2" w:equalWidth="0">
            <w:col w:w="2960" w:space="8893"/>
            <w:col w:w="2327"/>
          </w:cols>
        </w:sectPr>
      </w:pP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7"/>
        <w:gridCol w:w="1430"/>
        <w:gridCol w:w="1207"/>
        <w:gridCol w:w="1117"/>
        <w:gridCol w:w="1358"/>
        <w:gridCol w:w="835"/>
        <w:gridCol w:w="1330"/>
        <w:gridCol w:w="1380"/>
        <w:gridCol w:w="756"/>
        <w:gridCol w:w="1265"/>
        <w:gridCol w:w="1433"/>
        <w:gridCol w:w="718"/>
      </w:tblGrid>
      <w:tr>
        <w:trPr>
          <w:trHeight w:val="434" w:hRule="exact"/>
        </w:trPr>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67" w:right="369"/>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30" w:right="528"/>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2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30" w:right="530"/>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718" w:type="dxa"/>
            <w:vMerge w:val="restart"/>
            <w:tcBorders>
              <w:top w:val="single" w:sz="4" w:space="0" w:color="000000"/>
              <w:left w:val="single" w:sz="4" w:space="0" w:color="000000"/>
              <w:right w:val="single" w:sz="4" w:space="0" w:color="000000"/>
            </w:tcBorders>
          </w:tcPr>
          <w:p>
            <w:pPr>
              <w:pStyle w:val="TableParagraph"/>
              <w:spacing w:line="237" w:lineRule="auto" w:before="72"/>
              <w:ind w:left="172" w:right="173"/>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710" w:hRule="exact"/>
        </w:trPr>
        <w:tc>
          <w:tcPr>
            <w:tcW w:w="1107"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3" w:right="134"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2" w:lineRule="exact" w:before="24"/>
              <w:ind w:left="232" w:right="143" w:hanging="92"/>
              <w:jc w:val="left"/>
              <w:rPr>
                <w:rFonts w:ascii="宋体" w:hAnsi="宋体" w:cs="宋体" w:eastAsia="宋体" w:hint="default"/>
                <w:sz w:val="18"/>
                <w:szCs w:val="18"/>
              </w:rPr>
            </w:pPr>
            <w:r>
              <w:rPr>
                <w:rFonts w:ascii="宋体" w:hAnsi="宋体" w:cs="宋体" w:eastAsia="宋体" w:hint="default"/>
                <w:sz w:val="18"/>
                <w:szCs w:val="18"/>
              </w:rPr>
              <w:t>合收益 调整</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其他权益变动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5" w:right="144" w:hanging="92"/>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33"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r>
      <w:tr>
        <w:trPr>
          <w:trHeight w:val="310" w:hRule="exact"/>
        </w:trPr>
        <w:tc>
          <w:tcPr>
            <w:tcW w:w="1393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QQCT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5,576,489,242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859,227,870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8,195,995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792,889,894</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-5,728,964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5,645,294,249</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青岛实华</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1,598,312,372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388,172,465</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-2,185,976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1,584,298,861</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西联</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487,092,713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27,669,396</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10,200,000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-1,110,454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503,451,655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青威集装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箱</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138,668,888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22,662,489</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-49,000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161,282,377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长荣集装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箱</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71,031,963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15,695,562</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437,829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21,457,807</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65,707,547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东港集装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箱</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53,337,407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4,647,191</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7,254,681</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50,729,917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海湾液体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148,950,063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6,540,771</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155,490,834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港海物流</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93,597,573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8,775,290</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102,372,863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神州行货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代</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39,525,161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7,270,472</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46,795,633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中海船代</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10,966,207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896,336</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11,862,543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联合船代</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55,661,870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1,597,314</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1,121,560</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56,137,624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华能青岛</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141,366,590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-13,414,669</w:t>
            </w:r>
            <w:r>
              <w:rPr>
                <w:rFonts w:ascii="Times New Roman"/>
                <w:sz w:val="18"/>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127,951,921</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董家口万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邦物流</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70,351,716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25,019,484</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95,371,200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QDOT</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693,024,271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22,248,425</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-6,418,929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708,853,767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董家口中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外运物流</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50,496,966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1,011,069</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51,508,035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滨州港青</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港国际码 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13,333,523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7,145,853</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8,296,045</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12,183,331</w:t>
            </w: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160" w:left="1200" w:right="1460"/>
        </w:sectPr>
      </w:pPr>
    </w:p>
    <w:p>
      <w:pPr>
        <w:spacing w:line="240" w:lineRule="auto" w:before="5"/>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1107"/>
        <w:gridCol w:w="1430"/>
        <w:gridCol w:w="1207"/>
        <w:gridCol w:w="1117"/>
        <w:gridCol w:w="1358"/>
        <w:gridCol w:w="835"/>
        <w:gridCol w:w="1330"/>
        <w:gridCol w:w="1380"/>
        <w:gridCol w:w="756"/>
        <w:gridCol w:w="1265"/>
        <w:gridCol w:w="1433"/>
        <w:gridCol w:w="718"/>
      </w:tblGrid>
      <w:tr>
        <w:trPr>
          <w:trHeight w:val="47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中石油仓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储</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93,415,311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53,584,689</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-311,796</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3"/>
              <w:jc w:val="right"/>
              <w:rPr>
                <w:rFonts w:ascii="Times New Roman" w:hAnsi="Times New Roman" w:cs="Times New Roman" w:eastAsia="Times New Roman" w:hint="default"/>
                <w:sz w:val="18"/>
                <w:szCs w:val="18"/>
              </w:rPr>
            </w:pPr>
            <w:r>
              <w:rPr>
                <w:rFonts w:ascii="Times New Roman"/>
                <w:spacing w:val="-1"/>
                <w:sz w:val="18"/>
              </w:rPr>
              <w:t>146,688,204</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9,335,621,836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53,584,689</w:t>
            </w: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1,384,853,522</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8,584,824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1,241,219,987</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5"/>
                <w:sz w:val="18"/>
              </w:rPr>
              <w:t>-15,444,323</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9,525,980,561</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393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港华物流</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9,679,972</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6,872,083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-1,242,047</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1,565,842</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青银租赁</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94,322,008</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9,262,412</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103,584,420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104,001,980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6,872,083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8,020,365</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1,565,842</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18"/>
                <w:szCs w:val="18"/>
              </w:rPr>
            </w:pPr>
            <w:r>
              <w:rPr>
                <w:rFonts w:ascii="Times New Roman"/>
                <w:spacing w:val="-1"/>
                <w:sz w:val="18"/>
              </w:rPr>
              <w:t>103,584,420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9,439,623,816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53,584,689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6,872,083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1,392,873,887</w:t>
            </w:r>
          </w:p>
        </w:tc>
        <w:tc>
          <w:tcPr>
            <w:tcW w:w="8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8,584,824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1,242,785,829</w:t>
            </w:r>
          </w:p>
        </w:tc>
        <w:tc>
          <w:tcPr>
            <w:tcW w:w="75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5"/>
                <w:sz w:val="18"/>
              </w:rPr>
              <w:t>-15,444,323</w:t>
            </w:r>
            <w:r>
              <w:rPr>
                <w:rFonts w:ascii="Times New Roman"/>
                <w:sz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9,629,564,981</w:t>
            </w:r>
          </w:p>
        </w:tc>
        <w:tc>
          <w:tcPr>
            <w:tcW w:w="718"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sz w:val="24"/>
          <w:szCs w:val="24"/>
        </w:rPr>
      </w:pPr>
      <w:r>
        <w:rPr/>
        <w:t>其他说明：</w:t>
      </w:r>
      <w:r>
        <w:rPr>
          <w:rFonts w:ascii="宋体" w:hAnsi="宋体" w:cs="宋体" w:eastAsia="宋体" w:hint="default"/>
          <w:w w:val="100"/>
        </w:rPr>
        <w:t> </w:t>
      </w:r>
      <w:r>
        <w:rPr/>
        <w:t>在编制公司财务报表时，青岛港集团作为资本投入本公司的长期股权投资按国有资产管理部门批准的评估值为基础，计入本公司的资产负债表。</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6840" w:h="11910" w:orient="landscape"/>
          <w:pgMar w:header="882" w:footer="975" w:top="1120" w:bottom="1160" w:left="1200" w:right="1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headerReference w:type="default" r:id="rId112"/>
          <w:footerReference w:type="default" r:id="rId113"/>
          <w:pgSz w:w="11910" w:h="16840"/>
          <w:pgMar w:header="882" w:footer="974" w:top="1120" w:bottom="1160" w:left="1200" w:right="1180"/>
          <w:pgNumType w:start="246"/>
        </w:sectPr>
      </w:pPr>
    </w:p>
    <w:p>
      <w:pPr>
        <w:pStyle w:val="Heading5"/>
        <w:spacing w:line="240" w:lineRule="auto" w:before="36"/>
        <w:ind w:right="0"/>
        <w:jc w:val="left"/>
        <w:rPr>
          <w:b w:val="0"/>
          <w:bCs w:val="0"/>
        </w:rPr>
      </w:pPr>
      <w:r>
        <w:rPr>
          <w:rFonts w:ascii="宋体" w:hAnsi="宋体" w:cs="宋体" w:eastAsia="宋体" w:hint="default"/>
        </w:rPr>
        <w:t>4</w:t>
      </w:r>
      <w:r>
        <w:rPr/>
        <w:t>、</w:t>
      </w:r>
      <w:r>
        <w:rPr>
          <w:spacing w:val="60"/>
        </w:rPr>
        <w:t> </w:t>
      </w:r>
      <w:r>
        <w:rPr/>
        <w:t>营业收入和营业成本</w:t>
      </w:r>
      <w:r>
        <w:rPr>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3172" w:space="3587"/>
            <w:col w:w="27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93"/>
        <w:gridCol w:w="1702"/>
        <w:gridCol w:w="1702"/>
        <w:gridCol w:w="1699"/>
        <w:gridCol w:w="1628"/>
      </w:tblGrid>
      <w:tr>
        <w:trPr>
          <w:trHeight w:val="281"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093"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4,666,342,846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3,355,477,191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4,667,577,507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3,383,091,803</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1,112,695,019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788,752,057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1,093,175,436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782,126,515</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5,779,037,865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4,144,229,248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5,760,752,943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4,165,218,318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3"/>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180"/>
          <w:cols w:num="2" w:equalWidth="0">
            <w:col w:w="2961" w:space="3799"/>
            <w:col w:w="2770"/>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37"/>
        <w:gridCol w:w="2477"/>
        <w:gridCol w:w="2710"/>
      </w:tblGrid>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合同分类</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青岛地区</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808080"/>
                <w:sz w:val="21"/>
                <w:szCs w:val="21"/>
              </w:rPr>
              <w:t> </w:t>
            </w:r>
            <w:r>
              <w:rPr>
                <w:rFonts w:ascii="宋体" w:hAnsi="宋体" w:cs="宋体" w:eastAsia="宋体" w:hint="default"/>
                <w:sz w:val="21"/>
                <w:szCs w:val="21"/>
              </w:rPr>
            </w:r>
          </w:p>
        </w:tc>
      </w:tr>
      <w:tr>
        <w:trPr>
          <w:trHeight w:val="281"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商品类型</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集装箱处理及配套服务</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2" w:right="0"/>
              <w:jc w:val="left"/>
              <w:rPr>
                <w:rFonts w:ascii="Times New Roman" w:hAnsi="Times New Roman" w:cs="Times New Roman" w:eastAsia="Times New Roman" w:hint="default"/>
                <w:sz w:val="21"/>
                <w:szCs w:val="21"/>
              </w:rPr>
            </w:pPr>
            <w:r>
              <w:rPr>
                <w:rFonts w:ascii="Times New Roman"/>
                <w:sz w:val="21"/>
              </w:rPr>
              <w:t>213,996,475</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5" w:right="0"/>
              <w:jc w:val="left"/>
              <w:rPr>
                <w:rFonts w:ascii="Times New Roman" w:hAnsi="Times New Roman" w:cs="Times New Roman" w:eastAsia="Times New Roman" w:hint="default"/>
                <w:sz w:val="21"/>
                <w:szCs w:val="21"/>
              </w:rPr>
            </w:pPr>
            <w:r>
              <w:rPr>
                <w:rFonts w:ascii="Times New Roman"/>
                <w:sz w:val="21"/>
              </w:rPr>
              <w:t>213,996,475</w:t>
            </w:r>
          </w:p>
        </w:tc>
      </w:tr>
      <w:tr>
        <w:trPr>
          <w:trHeight w:val="554"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金属矿石、煤炭及其他货物处理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以及配套服务</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56" w:right="0"/>
              <w:jc w:val="left"/>
              <w:rPr>
                <w:rFonts w:ascii="Times New Roman" w:hAnsi="Times New Roman" w:cs="Times New Roman" w:eastAsia="Times New Roman" w:hint="default"/>
                <w:sz w:val="21"/>
                <w:szCs w:val="21"/>
              </w:rPr>
            </w:pPr>
            <w:r>
              <w:rPr>
                <w:rFonts w:ascii="Times New Roman"/>
                <w:sz w:val="21"/>
              </w:rPr>
              <w:t>2,652,977,133</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89" w:right="0"/>
              <w:jc w:val="left"/>
              <w:rPr>
                <w:rFonts w:ascii="Times New Roman" w:hAnsi="Times New Roman" w:cs="Times New Roman" w:eastAsia="Times New Roman" w:hint="default"/>
                <w:sz w:val="21"/>
                <w:szCs w:val="21"/>
              </w:rPr>
            </w:pPr>
            <w:r>
              <w:rPr>
                <w:rFonts w:ascii="Times New Roman"/>
                <w:sz w:val="21"/>
              </w:rPr>
              <w:t>2,652,977,133</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液体散货处理及配套服务</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2" w:right="0"/>
              <w:jc w:val="left"/>
              <w:rPr>
                <w:rFonts w:ascii="Times New Roman" w:hAnsi="Times New Roman" w:cs="Times New Roman" w:eastAsia="Times New Roman" w:hint="default"/>
                <w:sz w:val="21"/>
                <w:szCs w:val="21"/>
              </w:rPr>
            </w:pPr>
            <w:r>
              <w:rPr>
                <w:rFonts w:ascii="Times New Roman"/>
                <w:sz w:val="21"/>
              </w:rPr>
              <w:t>219,611,670</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45" w:right="0"/>
              <w:jc w:val="left"/>
              <w:rPr>
                <w:rFonts w:ascii="Times New Roman" w:hAnsi="Times New Roman" w:cs="Times New Roman" w:eastAsia="Times New Roman" w:hint="default"/>
                <w:sz w:val="21"/>
                <w:szCs w:val="21"/>
              </w:rPr>
            </w:pPr>
            <w:r>
              <w:rPr>
                <w:rFonts w:ascii="Times New Roman"/>
                <w:sz w:val="21"/>
              </w:rPr>
              <w:t>219,611,670</w:t>
            </w:r>
          </w:p>
        </w:tc>
      </w:tr>
      <w:tr>
        <w:trPr>
          <w:trHeight w:val="281"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物流及港口增值服务</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12" w:right="0"/>
              <w:jc w:val="left"/>
              <w:rPr>
                <w:rFonts w:ascii="Times New Roman" w:hAnsi="Times New Roman" w:cs="Times New Roman" w:eastAsia="Times New Roman" w:hint="default"/>
                <w:sz w:val="21"/>
                <w:szCs w:val="21"/>
              </w:rPr>
            </w:pPr>
            <w:r>
              <w:rPr>
                <w:rFonts w:ascii="Times New Roman"/>
                <w:sz w:val="21"/>
              </w:rPr>
              <w:t>662,613,636</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45" w:right="0"/>
              <w:jc w:val="left"/>
              <w:rPr>
                <w:rFonts w:ascii="Times New Roman" w:hAnsi="Times New Roman" w:cs="Times New Roman" w:eastAsia="Times New Roman" w:hint="default"/>
                <w:sz w:val="21"/>
                <w:szCs w:val="21"/>
              </w:rPr>
            </w:pPr>
            <w:r>
              <w:rPr>
                <w:rFonts w:ascii="Times New Roman"/>
                <w:sz w:val="21"/>
              </w:rPr>
              <w:t>662,613,636</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港口配套服务</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6" w:right="0"/>
              <w:jc w:val="left"/>
              <w:rPr>
                <w:rFonts w:ascii="Times New Roman" w:hAnsi="Times New Roman" w:cs="Times New Roman" w:eastAsia="Times New Roman" w:hint="default"/>
                <w:sz w:val="21"/>
                <w:szCs w:val="21"/>
              </w:rPr>
            </w:pPr>
            <w:r>
              <w:rPr>
                <w:rFonts w:ascii="Times New Roman"/>
                <w:sz w:val="21"/>
              </w:rPr>
              <w:t>1,687,600,044</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9" w:right="0"/>
              <w:jc w:val="left"/>
              <w:rPr>
                <w:rFonts w:ascii="Times New Roman" w:hAnsi="Times New Roman" w:cs="Times New Roman" w:eastAsia="Times New Roman" w:hint="default"/>
                <w:sz w:val="21"/>
                <w:szCs w:val="21"/>
              </w:rPr>
            </w:pPr>
            <w:r>
              <w:rPr>
                <w:rFonts w:ascii="Times New Roman"/>
                <w:sz w:val="21"/>
              </w:rPr>
              <w:t>1,687,600,044</w:t>
            </w:r>
          </w:p>
        </w:tc>
      </w:tr>
      <w:tr>
        <w:trPr>
          <w:trHeight w:val="283" w:hRule="exact"/>
        </w:trPr>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6" w:right="0"/>
              <w:jc w:val="left"/>
              <w:rPr>
                <w:rFonts w:ascii="Times New Roman" w:hAnsi="Times New Roman" w:cs="Times New Roman" w:eastAsia="Times New Roman" w:hint="default"/>
                <w:sz w:val="21"/>
                <w:szCs w:val="21"/>
              </w:rPr>
            </w:pPr>
            <w:r>
              <w:rPr>
                <w:rFonts w:ascii="Times New Roman"/>
                <w:sz w:val="21"/>
              </w:rPr>
              <w:t>5,436,798,958</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9" w:right="0"/>
              <w:jc w:val="left"/>
              <w:rPr>
                <w:rFonts w:ascii="Times New Roman" w:hAnsi="Times New Roman" w:cs="Times New Roman" w:eastAsia="Times New Roman" w:hint="default"/>
                <w:sz w:val="21"/>
                <w:szCs w:val="21"/>
              </w:rPr>
            </w:pPr>
            <w:r>
              <w:rPr>
                <w:rFonts w:ascii="Times New Roman"/>
                <w:sz w:val="21"/>
              </w:rPr>
              <w:t>5,436,798,958</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合同产生的收入说明：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97" w:lineRule="auto" w:before="81"/>
        <w:ind w:right="0" w:firstLine="480"/>
        <w:jc w:val="left"/>
      </w:pPr>
      <w:r>
        <w:rPr>
          <w:rFonts w:ascii="Times New Roman" w:hAnsi="Times New Roman" w:cs="Times New Roman" w:eastAsia="Times New Roman" w:hint="default"/>
          <w:w w:val="100"/>
        </w:rPr>
        <w:t>2019</w:t>
      </w:r>
      <w:r>
        <w:rPr>
          <w:rFonts w:ascii="Times New Roman" w:hAnsi="Times New Roman" w:cs="Times New Roman" w:eastAsia="Times New Roman" w:hint="default"/>
          <w:spacing w:val="11"/>
          <w:w w:val="100"/>
        </w:rPr>
        <w:t> </w:t>
      </w:r>
      <w:r>
        <w:rPr>
          <w:spacing w:val="-9"/>
          <w:w w:val="100"/>
        </w:rPr>
        <w:t>年度，上述收入类型中，销售油、电及其他属于在某一时点履行的履约义务及租赁收入外，</w:t>
      </w:r>
      <w:r>
        <w:rPr>
          <w:w w:val="100"/>
        </w:rPr>
        <w:t> </w:t>
      </w:r>
      <w:r>
        <w:rPr/>
        <w:t>其余劳务收入均属于在某一时段内履行的履约义务。</w:t>
      </w:r>
    </w:p>
    <w:p>
      <w:pPr>
        <w:pStyle w:val="BodyText"/>
        <w:spacing w:line="240" w:lineRule="auto" w:before="34"/>
        <w:ind w:left="638" w:right="0"/>
        <w:jc w:val="left"/>
      </w:pPr>
      <w:r>
        <w:rPr/>
        <w:t>于</w:t>
      </w:r>
      <w:r>
        <w:rPr>
          <w:spacing w:val="-42"/>
        </w:rPr>
        <w:t> </w:t>
      </w:r>
      <w:r>
        <w:rPr>
          <w:rFonts w:ascii="宋体" w:hAnsi="宋体" w:cs="宋体" w:eastAsia="宋体" w:hint="default"/>
        </w:rPr>
        <w:t>2019</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spacing w:val="-4"/>
        </w:rPr>
        <w:t>日，本公司已签订合同、但尚未履行或尚未履行完毕的履约义务所对应的收</w:t>
      </w:r>
    </w:p>
    <w:p>
      <w:pPr>
        <w:pStyle w:val="BodyText"/>
        <w:spacing w:line="240" w:lineRule="auto" w:before="85"/>
        <w:ind w:right="0"/>
        <w:jc w:val="left"/>
        <w:rPr>
          <w:rFonts w:ascii="宋体" w:hAnsi="宋体" w:cs="宋体" w:eastAsia="宋体" w:hint="default"/>
        </w:rPr>
      </w:pPr>
      <w:r>
        <w:rPr>
          <w:w w:val="100"/>
        </w:rPr>
        <w:t>入金</w:t>
      </w:r>
      <w:r>
        <w:rPr>
          <w:spacing w:val="-3"/>
          <w:w w:val="100"/>
        </w:rPr>
        <w:t>额</w:t>
      </w:r>
      <w:r>
        <w:rPr>
          <w:w w:val="100"/>
        </w:rPr>
        <w:t>为</w:t>
      </w:r>
      <w:r>
        <w:rPr>
          <w:spacing w:val="-53"/>
        </w:rPr>
        <w:t> </w:t>
      </w:r>
      <w:r>
        <w:rPr>
          <w:rFonts w:ascii="宋体" w:hAnsi="宋体" w:cs="宋体" w:eastAsia="宋体" w:hint="default"/>
          <w:spacing w:val="-3"/>
          <w:w w:val="100"/>
        </w:rPr>
        <w:t>3</w:t>
      </w:r>
      <w:r>
        <w:rPr>
          <w:rFonts w:ascii="宋体" w:hAnsi="宋体" w:cs="宋体" w:eastAsia="宋体" w:hint="default"/>
          <w:w w:val="100"/>
        </w:rPr>
        <w:t>79,</w:t>
      </w:r>
      <w:r>
        <w:rPr>
          <w:rFonts w:ascii="宋体" w:hAnsi="宋体" w:cs="宋体" w:eastAsia="宋体" w:hint="default"/>
          <w:spacing w:val="-3"/>
          <w:w w:val="100"/>
        </w:rPr>
        <w:t>5</w:t>
      </w:r>
      <w:r>
        <w:rPr>
          <w:rFonts w:ascii="宋体" w:hAnsi="宋体" w:cs="宋体" w:eastAsia="宋体" w:hint="default"/>
          <w:w w:val="100"/>
        </w:rPr>
        <w:t>98,</w:t>
      </w:r>
      <w:r>
        <w:rPr>
          <w:rFonts w:ascii="宋体" w:hAnsi="宋体" w:cs="宋体" w:eastAsia="宋体" w:hint="default"/>
          <w:spacing w:val="-3"/>
          <w:w w:val="100"/>
        </w:rPr>
        <w:t>7</w:t>
      </w:r>
      <w:r>
        <w:rPr>
          <w:rFonts w:ascii="宋体" w:hAnsi="宋体" w:cs="宋体" w:eastAsia="宋体" w:hint="default"/>
          <w:w w:val="100"/>
        </w:rPr>
        <w:t>29</w:t>
      </w:r>
      <w:r>
        <w:rPr>
          <w:rFonts w:ascii="宋体" w:hAnsi="宋体" w:cs="宋体" w:eastAsia="宋体" w:hint="default"/>
          <w:spacing w:val="-53"/>
        </w:rPr>
        <w:t> </w:t>
      </w:r>
      <w:r>
        <w:rPr>
          <w:spacing w:val="-3"/>
          <w:w w:val="100"/>
        </w:rPr>
        <w:t>元</w:t>
      </w:r>
      <w:r>
        <w:rPr>
          <w:rFonts w:ascii="宋体" w:hAnsi="宋体" w:cs="宋体" w:eastAsia="宋体" w:hint="default"/>
          <w:spacing w:val="-3"/>
          <w:w w:val="100"/>
        </w:rPr>
        <w:t>(</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2"/>
          <w:w w:val="100"/>
        </w:rPr>
        <w:t>：</w:t>
      </w:r>
      <w:r>
        <w:rPr>
          <w:rFonts w:ascii="宋体" w:hAnsi="宋体" w:cs="宋体" w:eastAsia="宋体" w:hint="default"/>
          <w:w w:val="100"/>
        </w:rPr>
        <w:t>8</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3"/>
          <w:w w:val="100"/>
        </w:rPr>
        <w:t>9</w:t>
      </w:r>
      <w:r>
        <w:rPr>
          <w:rFonts w:ascii="宋体" w:hAnsi="宋体" w:cs="宋体" w:eastAsia="宋体" w:hint="default"/>
          <w:w w:val="100"/>
        </w:rPr>
        <w:t>0,000</w:t>
      </w:r>
      <w:r>
        <w:rPr>
          <w:rFonts w:ascii="宋体" w:hAnsi="宋体" w:cs="宋体" w:eastAsia="宋体" w:hint="default"/>
          <w:spacing w:val="-55"/>
        </w:rPr>
        <w:t> </w:t>
      </w:r>
      <w:r>
        <w:rPr>
          <w:w w:val="100"/>
        </w:rPr>
        <w:t>元</w:t>
      </w:r>
      <w:r>
        <w:rPr>
          <w:rFonts w:ascii="宋体" w:hAnsi="宋体" w:cs="宋体" w:eastAsia="宋体" w:hint="default"/>
          <w:spacing w:val="-3"/>
          <w:w w:val="100"/>
        </w:rPr>
        <w:t>)</w:t>
      </w:r>
      <w:r>
        <w:rPr>
          <w:spacing w:val="-92"/>
          <w:w w:val="100"/>
        </w:rPr>
        <w:t>，</w:t>
      </w:r>
      <w:r>
        <w:rPr>
          <w:spacing w:val="-3"/>
          <w:w w:val="100"/>
        </w:rPr>
        <w:t>其</w:t>
      </w:r>
      <w:r>
        <w:rPr>
          <w:w w:val="100"/>
        </w:rPr>
        <w:t>中</w:t>
      </w:r>
      <w:r>
        <w:rPr>
          <w:spacing w:val="-94"/>
          <w:w w:val="100"/>
        </w:rPr>
        <w:t>：</w:t>
      </w:r>
      <w:r>
        <w:rPr>
          <w:rFonts w:ascii="宋体" w:hAnsi="宋体" w:cs="宋体" w:eastAsia="宋体" w:hint="default"/>
          <w:w w:val="100"/>
        </w:rPr>
        <w:t>316</w:t>
      </w:r>
      <w:r>
        <w:rPr>
          <w:rFonts w:ascii="宋体" w:hAnsi="宋体" w:cs="宋体" w:eastAsia="宋体" w:hint="default"/>
          <w:spacing w:val="-3"/>
          <w:w w:val="100"/>
        </w:rPr>
        <w:t>,</w:t>
      </w:r>
      <w:r>
        <w:rPr>
          <w:rFonts w:ascii="宋体" w:hAnsi="宋体" w:cs="宋体" w:eastAsia="宋体" w:hint="default"/>
          <w:w w:val="100"/>
        </w:rPr>
        <w:t>324</w:t>
      </w:r>
      <w:r>
        <w:rPr>
          <w:rFonts w:ascii="宋体" w:hAnsi="宋体" w:cs="宋体" w:eastAsia="宋体" w:hint="default"/>
          <w:spacing w:val="-3"/>
          <w:w w:val="100"/>
        </w:rPr>
        <w:t>,</w:t>
      </w:r>
      <w:r>
        <w:rPr>
          <w:rFonts w:ascii="宋体" w:hAnsi="宋体" w:cs="宋体" w:eastAsia="宋体" w:hint="default"/>
          <w:w w:val="100"/>
        </w:rPr>
        <w:t>393</w:t>
      </w:r>
      <w:r>
        <w:rPr>
          <w:rFonts w:ascii="宋体" w:hAnsi="宋体" w:cs="宋体" w:eastAsia="宋体" w:hint="default"/>
          <w:spacing w:val="-53"/>
        </w:rPr>
        <w:t> </w:t>
      </w:r>
      <w:r>
        <w:rPr>
          <w:spacing w:val="-3"/>
          <w:w w:val="100"/>
        </w:rPr>
        <w:t>元</w:t>
      </w:r>
      <w:r>
        <w:rPr>
          <w:w w:val="100"/>
        </w:rPr>
        <w:t>预</w:t>
      </w:r>
      <w:r>
        <w:rPr>
          <w:spacing w:val="-3"/>
          <w:w w:val="100"/>
        </w:rPr>
        <w:t>计</w:t>
      </w:r>
      <w:r>
        <w:rPr>
          <w:w w:val="100"/>
        </w:rPr>
        <w:t>将于</w:t>
      </w:r>
      <w:r>
        <w:rPr>
          <w:spacing w:val="-55"/>
        </w:rPr>
        <w:t> </w:t>
      </w:r>
      <w:r>
        <w:rPr>
          <w:rFonts w:ascii="宋体" w:hAnsi="宋体" w:cs="宋体" w:eastAsia="宋体" w:hint="default"/>
          <w:w w:val="100"/>
        </w:rPr>
        <w:t>2020</w:t>
      </w:r>
    </w:p>
    <w:p>
      <w:pPr>
        <w:pStyle w:val="BodyText"/>
        <w:spacing w:line="240" w:lineRule="auto" w:before="85"/>
        <w:ind w:right="0"/>
        <w:jc w:val="left"/>
        <w:rPr>
          <w:rFonts w:ascii="宋体" w:hAnsi="宋体" w:cs="宋体" w:eastAsia="宋体" w:hint="default"/>
        </w:rPr>
      </w:pPr>
      <w:r>
        <w:rPr/>
        <w:t>年度确认收入，</w:t>
      </w:r>
      <w:r>
        <w:rPr>
          <w:rFonts w:ascii="宋体" w:hAnsi="宋体" w:cs="宋体" w:eastAsia="宋体" w:hint="default"/>
        </w:rPr>
        <w:t>63,274,336</w:t>
      </w:r>
      <w:r>
        <w:rPr>
          <w:rFonts w:ascii="宋体" w:hAnsi="宋体" w:cs="宋体" w:eastAsia="宋体" w:hint="default"/>
          <w:spacing w:val="-55"/>
        </w:rPr>
        <w:t> </w:t>
      </w:r>
      <w:r>
        <w:rPr/>
        <w:t>元将于</w:t>
      </w:r>
      <w:r>
        <w:rPr>
          <w:spacing w:val="-56"/>
        </w:rPr>
        <w:t> </w:t>
      </w:r>
      <w:r>
        <w:rPr>
          <w:rFonts w:ascii="宋体" w:hAnsi="宋体" w:cs="宋体" w:eastAsia="宋体" w:hint="default"/>
        </w:rPr>
        <w:t>2021</w:t>
      </w:r>
      <w:r>
        <w:rPr>
          <w:rFonts w:ascii="宋体" w:hAnsi="宋体" w:cs="宋体" w:eastAsia="宋体" w:hint="default"/>
          <w:spacing w:val="-58"/>
        </w:rPr>
        <w:t> </w:t>
      </w:r>
      <w:r>
        <w:rPr/>
        <w:t>年度确认收入。</w:t>
      </w:r>
      <w:r>
        <w:rPr>
          <w:rFonts w:ascii="宋体" w:hAnsi="宋体" w:cs="宋体" w:eastAsia="宋体" w:hint="default"/>
        </w:rPr>
        <w:t> </w:t>
      </w:r>
    </w:p>
    <w:p>
      <w:pPr>
        <w:pStyle w:val="Heading3"/>
        <w:spacing w:line="240" w:lineRule="auto" w:before="2"/>
        <w:ind w:right="0"/>
        <w:jc w:val="left"/>
        <w:rPr>
          <w:rFonts w:ascii="宋体" w:hAnsi="宋体" w:cs="宋体" w:eastAsia="宋体" w:hint="default"/>
        </w:rPr>
      </w:pPr>
      <w:r>
        <w:rPr>
          <w:rFonts w:ascii="宋体"/>
        </w:rPr>
        <w:t> </w:t>
      </w:r>
    </w:p>
    <w:p>
      <w:pPr>
        <w:pStyle w:val="Heading5"/>
        <w:spacing w:line="240" w:lineRule="auto" w:before="62"/>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rFonts w:ascii="宋体" w:hAnsi="宋体" w:cs="宋体" w:eastAsia="宋体" w:hint="default"/>
          <w:b w:val="0"/>
          <w:bCs w:val="0"/>
        </w:rPr>
      </w:pPr>
      <w:bookmarkStart w:name="OLE_LINK6" w:id="35"/>
      <w:bookmarkEnd w:id="35"/>
      <w:r>
        <w:rPr>
          <w:b w:val="0"/>
          <w:bCs w:val="0"/>
        </w:rPr>
      </w:r>
      <w:r>
        <w:rPr>
          <w:rFonts w:ascii="宋体" w:hAnsi="宋体" w:cs="宋体" w:eastAsia="宋体" w:hint="default"/>
        </w:rPr>
        <w:t>5</w:t>
      </w:r>
      <w:r>
        <w:rPr/>
        <w:t>、</w:t>
      </w:r>
      <w:r>
        <w:rPr>
          <w:spacing w:val="55"/>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0" w:right="114"/>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922"/>
        <w:gridCol w:w="1699"/>
        <w:gridCol w:w="1553"/>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1"/>
              <w:jc w:val="right"/>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478,941,337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787,701,031</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1,377,429,564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1,283,001,281</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-9,440,928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-249,789</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11,272,600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9,616,293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160" w:left="1200" w:right="11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5922"/>
        <w:gridCol w:w="1699"/>
        <w:gridCol w:w="1553"/>
      </w:tblGrid>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125,946,190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6"/>
              <w:jc w:val="right"/>
              <w:rPr>
                <w:rFonts w:ascii="Times New Roman" w:hAnsi="Times New Roman" w:cs="Times New Roman" w:eastAsia="Times New Roman" w:hint="default"/>
                <w:sz w:val="21"/>
                <w:szCs w:val="21"/>
              </w:rPr>
            </w:pPr>
            <w:r>
              <w:rPr>
                <w:rFonts w:ascii="Times New Roman"/>
                <w:spacing w:val="-1"/>
                <w:sz w:val="21"/>
              </w:rPr>
              <w:t>192,651,462</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票据贴现利息支出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-3,523,164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1,980,625,599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2,272,720,278</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974" w:top="1120" w:bottom="1160" w:left="1200" w:right="1200"/>
        </w:sectPr>
      </w:pPr>
    </w:p>
    <w:p>
      <w:pPr>
        <w:pStyle w:val="BodyText"/>
        <w:spacing w:line="236" w:lineRule="exact"/>
        <w:ind w:right="0"/>
        <w:jc w:val="left"/>
        <w:rPr>
          <w:rFonts w:ascii="宋体" w:hAnsi="宋体" w:cs="宋体" w:eastAsia="宋体" w:hint="default"/>
        </w:rPr>
      </w:pPr>
      <w:r>
        <w:rPr>
          <w:rFonts w:ascii="宋体"/>
          <w:w w:val="100"/>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rFonts w:ascii="宋体" w:hAnsi="宋体" w:cs="宋体" w:eastAsia="宋体" w:hint="default"/>
        </w:rPr>
        <w:t>6</w:t>
      </w:r>
      <w:r>
        <w:rPr/>
        <w:t>、</w:t>
      </w:r>
      <w:r>
        <w:rPr>
          <w:spacing w:val="57"/>
        </w:rPr>
        <w:t> </w:t>
      </w:r>
      <w:r>
        <w:rPr/>
        <w:t>其他</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4"/>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1"/>
        </w:rPr>
        <w:t> </w:t>
      </w:r>
      <w:r>
        <w:rPr>
          <w:rFonts w:ascii="宋体" w:hAnsi="宋体" w:cs="宋体" w:eastAsia="宋体" w:hint="default"/>
          <w:spacing w:val="-1"/>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160" w:left="1200" w:right="1200"/>
          <w:cols w:num="2" w:equalWidth="0">
            <w:col w:w="3066" w:space="3693"/>
            <w:col w:w="275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922"/>
        <w:gridCol w:w="1699"/>
        <w:gridCol w:w="1553"/>
      </w:tblGrid>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6" w:right="0"/>
              <w:jc w:val="left"/>
              <w:rPr>
                <w:rFonts w:ascii="Times New Roman" w:hAnsi="Times New Roman" w:cs="Times New Roman" w:eastAsia="Times New Roman" w:hint="default"/>
                <w:sz w:val="21"/>
                <w:szCs w:val="21"/>
              </w:rPr>
            </w:pPr>
            <w:r>
              <w:rPr>
                <w:rFonts w:ascii="Times New Roman"/>
                <w:sz w:val="21"/>
              </w:rPr>
              <w:t>3,453,170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55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35" w:right="0"/>
              <w:jc w:val="left"/>
              <w:rPr>
                <w:rFonts w:ascii="Times New Roman" w:hAnsi="Times New Roman" w:cs="Times New Roman" w:eastAsia="Times New Roman" w:hint="default"/>
                <w:sz w:val="21"/>
                <w:szCs w:val="21"/>
              </w:rPr>
            </w:pPr>
            <w:r>
              <w:rPr>
                <w:rFonts w:ascii="Times New Roman"/>
                <w:sz w:val="21"/>
              </w:rPr>
              <w:t>125,271,980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的政府补助</w:t>
            </w:r>
          </w:p>
        </w:tc>
      </w:tr>
      <w:tr>
        <w:trPr>
          <w:trHeight w:val="2189"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性金融资产、衍生金融资产、交易性金融负债、衍生金融负债</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产生的公允价值变动损益，以及处置交易性金融资产、衍生金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融资产、交易性金融负债、衍生金融负债和其他债权投资取得</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的投资收益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746" w:right="0"/>
              <w:jc w:val="left"/>
              <w:rPr>
                <w:rFonts w:ascii="Times New Roman" w:hAnsi="Times New Roman" w:cs="Times New Roman" w:eastAsia="Times New Roman" w:hint="default"/>
                <w:sz w:val="21"/>
                <w:szCs w:val="21"/>
              </w:rPr>
            </w:pPr>
            <w:r>
              <w:rPr>
                <w:rFonts w:ascii="Times New Roman"/>
                <w:sz w:val="21"/>
              </w:rPr>
              <w:t>8,996,486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w:t>
            </w:r>
          </w:p>
          <w:p>
            <w:pPr>
              <w:pStyle w:val="TableParagraph"/>
              <w:spacing w:line="237" w:lineRule="auto" w:before="2"/>
              <w:ind w:left="103" w:right="176"/>
              <w:jc w:val="both"/>
              <w:rPr>
                <w:rFonts w:ascii="宋体" w:hAnsi="宋体" w:cs="宋体" w:eastAsia="宋体" w:hint="default"/>
                <w:sz w:val="21"/>
                <w:szCs w:val="21"/>
              </w:rPr>
            </w:pPr>
            <w:r>
              <w:rPr>
                <w:rFonts w:ascii="宋体" w:hAnsi="宋体" w:cs="宋体" w:eastAsia="宋体" w:hint="default"/>
                <w:sz w:val="21"/>
                <w:szCs w:val="21"/>
              </w:rPr>
              <w:t>经营业务相关</w:t>
            </w:r>
            <w:r>
              <w:rPr>
                <w:rFonts w:ascii="宋体" w:hAnsi="宋体" w:cs="宋体" w:eastAsia="宋体" w:hint="default"/>
                <w:w w:val="100"/>
                <w:sz w:val="21"/>
                <w:szCs w:val="21"/>
              </w:rPr>
              <w:t> </w:t>
            </w:r>
            <w:r>
              <w:rPr>
                <w:rFonts w:ascii="宋体" w:hAnsi="宋体" w:cs="宋体" w:eastAsia="宋体" w:hint="default"/>
                <w:sz w:val="21"/>
                <w:szCs w:val="21"/>
              </w:rPr>
              <w:t>的有效套期保</w:t>
            </w:r>
            <w:r>
              <w:rPr>
                <w:rFonts w:ascii="宋体" w:hAnsi="宋体" w:cs="宋体" w:eastAsia="宋体" w:hint="default"/>
                <w:w w:val="100"/>
                <w:sz w:val="21"/>
                <w:szCs w:val="21"/>
              </w:rPr>
              <w:t> </w:t>
            </w:r>
            <w:r>
              <w:rPr>
                <w:rFonts w:ascii="宋体" w:hAnsi="宋体" w:cs="宋体" w:eastAsia="宋体" w:hint="default"/>
                <w:sz w:val="21"/>
                <w:szCs w:val="21"/>
              </w:rPr>
              <w:t>值业务外，持</w:t>
            </w:r>
            <w:r>
              <w:rPr>
                <w:rFonts w:ascii="宋体" w:hAnsi="宋体" w:cs="宋体" w:eastAsia="宋体" w:hint="default"/>
                <w:w w:val="100"/>
                <w:sz w:val="21"/>
                <w:szCs w:val="21"/>
              </w:rPr>
              <w:t> </w:t>
            </w:r>
            <w:r>
              <w:rPr>
                <w:rFonts w:ascii="宋体" w:hAnsi="宋体" w:cs="宋体" w:eastAsia="宋体" w:hint="default"/>
                <w:sz w:val="21"/>
                <w:szCs w:val="21"/>
              </w:rPr>
              <w:t>有交易性金融</w:t>
            </w:r>
            <w:r>
              <w:rPr>
                <w:rFonts w:ascii="宋体" w:hAnsi="宋体" w:cs="宋体" w:eastAsia="宋体" w:hint="default"/>
                <w:w w:val="100"/>
                <w:sz w:val="21"/>
                <w:szCs w:val="21"/>
              </w:rPr>
              <w:t> </w:t>
            </w:r>
            <w:r>
              <w:rPr>
                <w:rFonts w:ascii="宋体" w:hAnsi="宋体" w:cs="宋体" w:eastAsia="宋体" w:hint="default"/>
                <w:sz w:val="21"/>
                <w:szCs w:val="21"/>
              </w:rPr>
              <w:t>资产产生的公</w:t>
            </w:r>
            <w:r>
              <w:rPr>
                <w:rFonts w:ascii="宋体" w:hAnsi="宋体" w:cs="宋体" w:eastAsia="宋体" w:hint="default"/>
                <w:w w:val="100"/>
                <w:sz w:val="21"/>
                <w:szCs w:val="21"/>
              </w:rPr>
              <w:t> </w:t>
            </w:r>
            <w:r>
              <w:rPr>
                <w:rFonts w:ascii="宋体" w:hAnsi="宋体" w:cs="宋体" w:eastAsia="宋体" w:hint="default"/>
                <w:sz w:val="21"/>
                <w:szCs w:val="21"/>
              </w:rPr>
              <w:t>允价值变动损</w:t>
            </w:r>
            <w:r>
              <w:rPr>
                <w:rFonts w:ascii="宋体" w:hAnsi="宋体" w:cs="宋体" w:eastAsia="宋体" w:hint="default"/>
                <w:w w:val="100"/>
                <w:sz w:val="21"/>
                <w:szCs w:val="21"/>
              </w:rPr>
              <w:t> </w:t>
            </w:r>
            <w:r>
              <w:rPr>
                <w:rFonts w:ascii="宋体" w:hAnsi="宋体" w:cs="宋体" w:eastAsia="宋体" w:hint="default"/>
                <w:sz w:val="21"/>
                <w:szCs w:val="21"/>
              </w:rPr>
              <w:t>益</w:t>
            </w:r>
          </w:p>
        </w:tc>
      </w:tr>
      <w:tr>
        <w:trPr>
          <w:trHeight w:val="284"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单独进行减值测试的应收款项、合同资产减值准备转回</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w w:val="100"/>
                <w:sz w:val="21"/>
              </w:rPr>
              <w:t> </w:t>
            </w:r>
          </w:p>
        </w:tc>
      </w:tr>
      <w:tr>
        <w:trPr>
          <w:trHeight w:val="1370"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z w:val="21"/>
              </w:rPr>
              <w:t>11,500,317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本集团除青港</w:t>
            </w:r>
          </w:p>
          <w:p>
            <w:pPr>
              <w:pStyle w:val="TableParagraph"/>
              <w:spacing w:line="237" w:lineRule="auto" w:before="2"/>
              <w:ind w:left="103" w:right="176"/>
              <w:jc w:val="both"/>
              <w:rPr>
                <w:rFonts w:ascii="宋体" w:hAnsi="宋体" w:cs="宋体" w:eastAsia="宋体" w:hint="default"/>
                <w:sz w:val="21"/>
                <w:szCs w:val="21"/>
              </w:rPr>
            </w:pPr>
            <w:r>
              <w:rPr>
                <w:rFonts w:ascii="宋体" w:hAnsi="宋体" w:cs="宋体" w:eastAsia="宋体" w:hint="default"/>
                <w:sz w:val="21"/>
                <w:szCs w:val="21"/>
              </w:rPr>
              <w:t>财务公司外其</w:t>
            </w:r>
            <w:r>
              <w:rPr>
                <w:rFonts w:ascii="宋体" w:hAnsi="宋体" w:cs="宋体" w:eastAsia="宋体" w:hint="default"/>
                <w:w w:val="100"/>
                <w:sz w:val="21"/>
                <w:szCs w:val="21"/>
              </w:rPr>
              <w:t> </w:t>
            </w:r>
            <w:r>
              <w:rPr>
                <w:rFonts w:ascii="宋体" w:hAnsi="宋体" w:cs="宋体" w:eastAsia="宋体" w:hint="default"/>
                <w:sz w:val="21"/>
                <w:szCs w:val="21"/>
              </w:rPr>
              <w:t>他主体对外委</w:t>
            </w:r>
            <w:r>
              <w:rPr>
                <w:rFonts w:ascii="宋体" w:hAnsi="宋体" w:cs="宋体" w:eastAsia="宋体" w:hint="default"/>
                <w:w w:val="100"/>
                <w:sz w:val="21"/>
                <w:szCs w:val="21"/>
              </w:rPr>
              <w:t> </w:t>
            </w:r>
            <w:r>
              <w:rPr>
                <w:rFonts w:ascii="宋体" w:hAnsi="宋体" w:cs="宋体" w:eastAsia="宋体" w:hint="default"/>
                <w:sz w:val="21"/>
                <w:szCs w:val="21"/>
              </w:rPr>
              <w:t>托贷款取得的</w:t>
            </w:r>
            <w:r>
              <w:rPr>
                <w:rFonts w:ascii="宋体" w:hAnsi="宋体" w:cs="宋体" w:eastAsia="宋体" w:hint="default"/>
                <w:w w:val="100"/>
                <w:sz w:val="21"/>
                <w:szCs w:val="21"/>
              </w:rPr>
              <w:t> </w:t>
            </w:r>
            <w:r>
              <w:rPr>
                <w:rFonts w:ascii="宋体" w:hAnsi="宋体" w:cs="宋体" w:eastAsia="宋体" w:hint="default"/>
                <w:sz w:val="21"/>
                <w:szCs w:val="21"/>
              </w:rPr>
              <w:t>利息收入</w:t>
            </w:r>
          </w:p>
        </w:tc>
      </w:tr>
      <w:tr>
        <w:trPr>
          <w:trHeight w:val="557"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40" w:right="0"/>
              <w:jc w:val="left"/>
              <w:rPr>
                <w:rFonts w:ascii="Times New Roman" w:hAnsi="Times New Roman" w:cs="Times New Roman" w:eastAsia="Times New Roman" w:hint="default"/>
                <w:sz w:val="21"/>
                <w:szCs w:val="21"/>
              </w:rPr>
            </w:pPr>
            <w:r>
              <w:rPr>
                <w:rFonts w:ascii="Times New Roman"/>
                <w:sz w:val="21"/>
              </w:rPr>
              <w:t>10,377,559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支净额</w:t>
            </w:r>
          </w:p>
        </w:tc>
      </w:tr>
      <w:tr>
        <w:trPr>
          <w:trHeight w:val="826"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z w:val="21"/>
              </w:rPr>
              <w:t>17,055,786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合</w:t>
            </w:r>
          </w:p>
          <w:p>
            <w:pPr>
              <w:pStyle w:val="TableParagraph"/>
              <w:spacing w:line="274" w:lineRule="exact" w:before="16"/>
              <w:ind w:left="103" w:right="176"/>
              <w:jc w:val="left"/>
              <w:rPr>
                <w:rFonts w:ascii="宋体" w:hAnsi="宋体" w:cs="宋体" w:eastAsia="宋体" w:hint="default"/>
                <w:sz w:val="21"/>
                <w:szCs w:val="21"/>
              </w:rPr>
            </w:pPr>
            <w:r>
              <w:rPr>
                <w:rFonts w:ascii="宋体" w:hAnsi="宋体" w:cs="宋体" w:eastAsia="宋体" w:hint="default"/>
                <w:sz w:val="21"/>
                <w:szCs w:val="21"/>
              </w:rPr>
              <w:t>营公司的损失</w:t>
            </w:r>
            <w:r>
              <w:rPr>
                <w:rFonts w:ascii="宋体" w:hAnsi="宋体" w:cs="宋体" w:eastAsia="宋体" w:hint="default"/>
                <w:w w:val="100"/>
                <w:sz w:val="21"/>
                <w:szCs w:val="21"/>
              </w:rPr>
              <w:t> </w:t>
            </w:r>
            <w:r>
              <w:rPr>
                <w:rFonts w:ascii="宋体" w:hAnsi="宋体" w:cs="宋体" w:eastAsia="宋体" w:hint="default"/>
                <w:sz w:val="21"/>
                <w:szCs w:val="21"/>
              </w:rPr>
              <w:t>等</w:t>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1" w:right="0"/>
              <w:jc w:val="left"/>
              <w:rPr>
                <w:rFonts w:ascii="Times New Roman" w:hAnsi="Times New Roman" w:cs="Times New Roman" w:eastAsia="Times New Roman" w:hint="default"/>
                <w:sz w:val="21"/>
                <w:szCs w:val="21"/>
              </w:rPr>
            </w:pPr>
            <w:r>
              <w:rPr>
                <w:rFonts w:ascii="Times New Roman"/>
                <w:sz w:val="21"/>
              </w:rPr>
              <w:t>-44,163,824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6" w:right="0"/>
              <w:jc w:val="left"/>
              <w:rPr>
                <w:rFonts w:ascii="Times New Roman" w:hAnsi="Times New Roman" w:cs="Times New Roman" w:eastAsia="Times New Roman" w:hint="default"/>
                <w:sz w:val="21"/>
                <w:szCs w:val="21"/>
              </w:rPr>
            </w:pPr>
            <w:r>
              <w:rPr>
                <w:rFonts w:ascii="Times New Roman"/>
                <w:sz w:val="21"/>
              </w:rPr>
              <w:t>-9,141,781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5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Times New Roman" w:hAnsi="Times New Roman" w:cs="Times New Roman" w:eastAsia="Times New Roman" w:hint="default"/>
                <w:sz w:val="21"/>
                <w:szCs w:val="21"/>
              </w:rPr>
            </w:pPr>
            <w:r>
              <w:rPr>
                <w:rFonts w:ascii="Times New Roman"/>
                <w:sz w:val="21"/>
              </w:rPr>
              <w:t>123,349,693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line="240" w:lineRule="auto" w:before="5"/>
        <w:rPr>
          <w:rFonts w:ascii="宋体" w:hAnsi="宋体" w:cs="宋体" w:eastAsia="宋体" w:hint="default"/>
          <w:sz w:val="21"/>
          <w:szCs w:val="21"/>
        </w:rPr>
      </w:pPr>
    </w:p>
    <w:p>
      <w:pPr>
        <w:pStyle w:val="BodyText"/>
        <w:spacing w:line="240" w:lineRule="auto" w:before="36"/>
        <w:ind w:left="698" w:right="0"/>
        <w:jc w:val="left"/>
      </w:pPr>
      <w:r>
        <w:rPr>
          <w:spacing w:val="-3"/>
        </w:rPr>
        <w:t>根据中国证券监督管理委员会《公开发行证券的公司信息披露解释性公告第 </w:t>
      </w:r>
      <w:r>
        <w:rPr>
          <w:rFonts w:ascii="宋体" w:hAnsi="宋体" w:cs="宋体" w:eastAsia="宋体" w:hint="default"/>
        </w:rPr>
        <w:t>1</w:t>
      </w:r>
      <w:r>
        <w:rPr>
          <w:rFonts w:ascii="宋体" w:hAnsi="宋体" w:cs="宋体" w:eastAsia="宋体" w:hint="default"/>
          <w:spacing w:val="-34"/>
        </w:rPr>
        <w:t> </w:t>
      </w:r>
      <w:r>
        <w:rPr/>
        <w:t>号——非经常性</w:t>
      </w:r>
    </w:p>
    <w:p>
      <w:pPr>
        <w:pStyle w:val="BodyText"/>
        <w:spacing w:line="314" w:lineRule="auto" w:before="85"/>
        <w:ind w:right="248"/>
        <w:jc w:val="both"/>
        <w:rPr>
          <w:rFonts w:ascii="宋体" w:hAnsi="宋体" w:cs="宋体" w:eastAsia="宋体" w:hint="default"/>
        </w:rPr>
      </w:pPr>
      <w:r>
        <w:rPr>
          <w:spacing w:val="-2"/>
        </w:rPr>
        <w:t>损益</w:t>
      </w:r>
      <w:r>
        <w:rPr>
          <w:rFonts w:ascii="宋体" w:hAnsi="宋体" w:cs="宋体" w:eastAsia="宋体" w:hint="default"/>
          <w:spacing w:val="-2"/>
        </w:rPr>
        <w:t>[2008]</w:t>
      </w:r>
      <w:r>
        <w:rPr>
          <w:spacing w:val="-2"/>
        </w:rPr>
        <w:t>》的规定，非经常性损益是指与公司正常经营业务无直接关系，以及虽与正常经营业务</w:t>
      </w:r>
      <w:r>
        <w:rPr>
          <w:spacing w:val="-19"/>
        </w:rPr>
        <w:t> </w:t>
      </w:r>
      <w:r>
        <w:rPr>
          <w:spacing w:val="-19"/>
        </w:rPr>
      </w:r>
      <w:r>
        <w:rPr>
          <w:spacing w:val="-2"/>
        </w:rPr>
        <w:t>相关，但由于其性质特殊和偶发性，影响报表使用人对公司经营业绩和盈利能力作出正确判断的各</w:t>
      </w:r>
      <w:r>
        <w:rPr>
          <w:spacing w:val="-25"/>
        </w:rPr>
        <w:t> </w:t>
      </w:r>
      <w:r>
        <w:rPr>
          <w:spacing w:val="-25"/>
        </w:rPr>
      </w:r>
      <w:r>
        <w:rPr/>
        <w:t>项交易和事项产生的损益。</w:t>
      </w:r>
      <w:r>
        <w:rPr>
          <w:rFonts w:ascii="宋体" w:hAnsi="宋体" w:cs="宋体" w:eastAsia="宋体" w:hint="default"/>
        </w:rPr>
        <w:t> </w:t>
      </w:r>
    </w:p>
    <w:p>
      <w:pPr>
        <w:pStyle w:val="Heading3"/>
        <w:spacing w:line="251" w:lineRule="exact"/>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1"/>
        <w:ind w:right="0"/>
        <w:jc w:val="both"/>
        <w:rPr>
          <w:rFonts w:ascii="宋体" w:hAnsi="宋体" w:cs="宋体" w:eastAsia="宋体" w:hint="default"/>
          <w:b w:val="0"/>
          <w:bCs w:val="0"/>
        </w:rPr>
      </w:pPr>
      <w:r>
        <w:rPr>
          <w:rFonts w:ascii="宋体"/>
          <w:w w:val="99"/>
        </w:rPr>
        <w:t> </w:t>
      </w:r>
      <w:r>
        <w:rPr>
          <w:rFonts w:ascii="宋体"/>
          <w:b w:val="0"/>
        </w:rPr>
      </w:r>
    </w:p>
    <w:p>
      <w:pPr>
        <w:spacing w:after="0" w:line="240" w:lineRule="auto"/>
        <w:jc w:val="both"/>
        <w:rPr>
          <w:rFonts w:ascii="宋体" w:hAnsi="宋体" w:cs="宋体" w:eastAsia="宋体" w:hint="default"/>
        </w:rPr>
        <w:sectPr>
          <w:type w:val="continuous"/>
          <w:pgSz w:w="11910" w:h="16840"/>
          <w:pgMar w:top="1120" w:bottom="1160" w:left="1200" w:right="1200"/>
        </w:sectPr>
      </w:pPr>
    </w:p>
    <w:p>
      <w:pPr>
        <w:spacing w:line="240" w:lineRule="auto" w:before="0"/>
        <w:rPr>
          <w:rFonts w:ascii="宋体" w:hAnsi="宋体" w:cs="宋体" w:eastAsia="宋体" w:hint="default"/>
          <w:b/>
          <w:bCs/>
          <w:sz w:val="20"/>
          <w:szCs w:val="20"/>
        </w:rPr>
      </w:pPr>
    </w:p>
    <w:p>
      <w:pPr>
        <w:pStyle w:val="Heading5"/>
        <w:spacing w:line="240" w:lineRule="auto" w:before="168"/>
        <w:ind w:right="0"/>
        <w:jc w:val="left"/>
        <w:rPr>
          <w:b w:val="0"/>
          <w:bCs w:val="0"/>
        </w:rPr>
      </w:pPr>
      <w:r>
        <w:rPr>
          <w:rFonts w:ascii="宋体" w:hAnsi="宋体" w:cs="宋体" w:eastAsia="宋体" w:hint="default"/>
        </w:rPr>
        <w:t>2</w:t>
      </w:r>
      <w:r>
        <w:rPr/>
        <w:t>、</w:t>
      </w:r>
      <w:r>
        <w:rPr>
          <w:spacing w:val="1"/>
        </w:rPr>
        <w:t> </w:t>
      </w:r>
      <w:r>
        <w:rPr>
          <w:rFonts w:ascii="宋体" w:hAnsi="宋体" w:cs="宋体" w:eastAsia="宋体" w:hint="default"/>
          <w:spacing w:val="1"/>
        </w:rPr>
      </w:r>
      <w:r>
        <w:rPr/>
        <w:t>净资产收益率及每股收益</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706"/>
        <w:gridCol w:w="1796"/>
        <w:gridCol w:w="1836"/>
        <w:gridCol w:w="1837"/>
      </w:tblGrid>
      <w:tr>
        <w:trPr>
          <w:trHeight w:val="281" w:hRule="exact"/>
        </w:trPr>
        <w:tc>
          <w:tcPr>
            <w:tcW w:w="3706" w:type="dxa"/>
            <w:vMerge w:val="restart"/>
            <w:tcBorders>
              <w:top w:val="single" w:sz="4" w:space="0" w:color="000000"/>
              <w:left w:val="single" w:sz="4" w:space="0" w:color="000000"/>
              <w:right w:val="single" w:sz="4" w:space="0" w:color="000000"/>
            </w:tcBorders>
          </w:tcPr>
          <w:p>
            <w:pPr>
              <w:pStyle w:val="TableParagraph"/>
              <w:spacing w:line="240" w:lineRule="auto" w:before="150"/>
              <w:ind w:left="1322"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796" w:type="dxa"/>
            <w:vMerge w:val="restart"/>
            <w:tcBorders>
              <w:top w:val="single" w:sz="4" w:space="0" w:color="000000"/>
              <w:left w:val="single" w:sz="4" w:space="0" w:color="000000"/>
              <w:right w:val="single" w:sz="4" w:space="0" w:color="000000"/>
            </w:tcBorders>
          </w:tcPr>
          <w:p>
            <w:pPr>
              <w:pStyle w:val="TableParagraph"/>
              <w:spacing w:line="240" w:lineRule="auto" w:before="14"/>
              <w:ind w:left="314" w:right="154"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3706" w:type="dxa"/>
            <w:vMerge/>
            <w:tcBorders>
              <w:left w:val="single" w:sz="4" w:space="0" w:color="000000"/>
              <w:bottom w:val="single" w:sz="4" w:space="0" w:color="000000"/>
              <w:right w:val="single" w:sz="4" w:space="0" w:color="000000"/>
            </w:tcBorders>
          </w:tcPr>
          <w:p>
            <w:pPr/>
          </w:p>
        </w:tc>
        <w:tc>
          <w:tcPr>
            <w:tcW w:w="1796" w:type="dxa"/>
            <w:vMerge/>
            <w:tcBorders>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372"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12.94%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0.59</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0.59</w:t>
            </w:r>
          </w:p>
        </w:tc>
      </w:tr>
      <w:tr>
        <w:trPr>
          <w:trHeight w:val="554"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股股东的净利润</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12.52%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0.57</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4"/>
        <w:ind w:right="0"/>
        <w:jc w:val="left"/>
        <w:rPr>
          <w:b w:val="0"/>
          <w:bCs w:val="0"/>
        </w:rPr>
      </w:pPr>
      <w:r>
        <w:rPr>
          <w:rFonts w:ascii="宋体" w:hAnsi="宋体" w:cs="宋体" w:eastAsia="宋体" w:hint="default"/>
        </w:rPr>
        <w:t>3</w:t>
      </w:r>
      <w:r>
        <w:rPr/>
        <w:t>、</w:t>
      </w:r>
      <w:r>
        <w:rPr>
          <w:spacing w:val="-1"/>
        </w:rPr>
        <w:t> </w:t>
      </w:r>
      <w:r>
        <w:rPr>
          <w:rFonts w:ascii="宋体" w:hAnsi="宋体" w:cs="宋体" w:eastAsia="宋体" w:hint="default"/>
          <w:spacing w:val="-1"/>
        </w:rPr>
      </w:r>
      <w:r>
        <w:rPr/>
        <w:t>境内外会计准则下会计数据差异</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2"/>
        <w:ind w:right="0"/>
        <w:jc w:val="left"/>
        <w:rPr>
          <w:b w:val="0"/>
          <w:bCs w:val="0"/>
        </w:rPr>
      </w:pPr>
      <w:r>
        <w:rPr>
          <w:rFonts w:ascii="宋体" w:hAnsi="宋体" w:cs="宋体" w:eastAsia="宋体" w:hint="default"/>
        </w:rPr>
        <w:t>4</w:t>
      </w:r>
      <w:r>
        <w:rPr/>
        <w:t>、 </w:t>
      </w:r>
      <w:r>
        <w:rPr>
          <w:rFonts w:ascii="宋体" w:hAnsi="宋体" w:cs="宋体" w:eastAsia="宋体" w:hint="default"/>
        </w:rPr>
      </w:r>
      <w:r>
        <w:rPr/>
        <w:t>其他</w:t>
      </w:r>
      <w:r>
        <w:rPr>
          <w:b w:val="0"/>
          <w:bCs w:val="0"/>
        </w:rPr>
      </w:r>
    </w:p>
    <w:p>
      <w:pPr>
        <w:pStyle w:val="Heading3"/>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1"/>
        <w:spacing w:line="240" w:lineRule="auto" w:before="49"/>
        <w:ind w:right="0"/>
        <w:jc w:val="center"/>
        <w:rPr>
          <w:b w:val="0"/>
          <w:bCs w:val="0"/>
        </w:rPr>
      </w:pPr>
      <w:bookmarkStart w:name="_TOC_250000" w:id="36"/>
      <w:r>
        <w:rPr/>
        <w:t>第十二节</w:t>
      </w:r>
      <w:r>
        <w:rPr>
          <w:spacing w:val="-7"/>
        </w:rPr>
        <w:t> </w:t>
      </w:r>
      <w:r>
        <w:rPr>
          <w:rFonts w:ascii="宋体" w:hAnsi="宋体" w:cs="宋体" w:eastAsia="宋体" w:hint="default"/>
          <w:spacing w:val="-7"/>
        </w:rPr>
      </w:r>
      <w:r>
        <w:rPr/>
        <w:t>备查文件目录</w:t>
      </w:r>
      <w:bookmarkEnd w:id="36"/>
      <w:r>
        <w:rPr>
          <w:b w:val="0"/>
          <w:bCs w:val="0"/>
        </w:rPr>
      </w: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78"/>
        <w:gridCol w:w="6856"/>
      </w:tblGrid>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6"/>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计报表。</w:t>
            </w:r>
            <w:r>
              <w:rPr>
                <w:rFonts w:ascii="宋体" w:hAnsi="宋体" w:cs="宋体" w:eastAsia="宋体" w:hint="default"/>
                <w:sz w:val="21"/>
                <w:szCs w:val="21"/>
              </w:rPr>
              <w:t> </w:t>
            </w:r>
          </w:p>
        </w:tc>
      </w:tr>
      <w:tr>
        <w:trPr>
          <w:trHeight w:val="37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96"/>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73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黑体" w:hAnsi="黑体" w:cs="黑体" w:eastAsia="黑体" w:hint="default"/>
                <w:b/>
                <w:bCs/>
                <w:sz w:val="14"/>
                <w:szCs w:val="14"/>
              </w:rPr>
            </w:pPr>
          </w:p>
          <w:p>
            <w:pPr>
              <w:pStyle w:val="TableParagraph"/>
              <w:spacing w:line="240" w:lineRule="auto"/>
              <w:ind w:right="396"/>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8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 w:right="94"/>
              <w:jc w:val="left"/>
              <w:rPr>
                <w:rFonts w:ascii="宋体" w:hAnsi="宋体" w:cs="宋体" w:eastAsia="宋体" w:hint="default"/>
                <w:sz w:val="21"/>
                <w:szCs w:val="21"/>
              </w:rPr>
            </w:pPr>
            <w:r>
              <w:rPr>
                <w:rFonts w:ascii="宋体" w:hAnsi="宋体" w:cs="宋体" w:eastAsia="宋体" w:hint="default"/>
                <w:spacing w:val="-2"/>
                <w:sz w:val="21"/>
                <w:szCs w:val="21"/>
              </w:rPr>
              <w:t>报告期内在中国证监会指定报纸上公开披露过的所有公司文件的正本及公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告的原稿。</w:t>
            </w:r>
            <w:r>
              <w:rPr>
                <w:rFonts w:ascii="宋体" w:hAnsi="宋体" w:cs="宋体" w:eastAsia="宋体" w:hint="default"/>
                <w:sz w:val="21"/>
                <w:szCs w:val="21"/>
              </w:rPr>
              <w:t> </w:t>
            </w:r>
          </w:p>
        </w:tc>
      </w:tr>
    </w:tbl>
    <w:p>
      <w:pPr>
        <w:spacing w:after="0" w:line="314" w:lineRule="auto"/>
        <w:jc w:val="left"/>
        <w:rPr>
          <w:rFonts w:ascii="宋体" w:hAnsi="宋体" w:cs="宋体" w:eastAsia="宋体" w:hint="default"/>
          <w:sz w:val="21"/>
          <w:szCs w:val="21"/>
        </w:rPr>
        <w:sectPr>
          <w:pgSz w:w="11910" w:h="16840"/>
          <w:pgMar w:header="882" w:footer="974" w:top="1120" w:bottom="1160" w:left="1200" w:right="120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5"/>
          <w:szCs w:val="25"/>
        </w:rPr>
      </w:pPr>
    </w:p>
    <w:p>
      <w:pPr>
        <w:spacing w:line="314"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修订信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5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42"/>
        <w:ind w:right="113" w:firstLine="3727"/>
        <w:jc w:val="right"/>
        <w:rPr>
          <w:rFonts w:ascii="宋体" w:hAnsi="宋体" w:cs="宋体" w:eastAsia="宋体" w:hint="default"/>
        </w:rPr>
      </w:pPr>
      <w:r>
        <w:rPr>
          <w:spacing w:val="-2"/>
        </w:rPr>
        <w:br w:type="column"/>
      </w:r>
      <w:r>
        <w:rPr>
          <w:rFonts w:ascii="宋体" w:hAnsi="宋体" w:cs="宋体" w:eastAsia="宋体" w:hint="default"/>
          <w:w w:val="100"/>
        </w:rPr>
        <w:t> </w:t>
      </w:r>
      <w:r>
        <w:rPr>
          <w:w w:val="100"/>
        </w:rPr>
        <w:t>董事</w:t>
      </w:r>
      <w:r>
        <w:rPr>
          <w:spacing w:val="-3"/>
          <w:w w:val="100"/>
        </w:rPr>
        <w:t>长</w:t>
      </w:r>
      <w:r>
        <w:rPr>
          <w:w w:val="100"/>
        </w:rPr>
        <w:t>：</w:t>
      </w:r>
      <w:r>
        <w:rPr>
          <w:spacing w:val="-3"/>
          <w:w w:val="100"/>
        </w:rPr>
        <w:t>李</w:t>
      </w:r>
      <w:r>
        <w:rPr>
          <w:w w:val="100"/>
        </w:rPr>
        <w:t>奉</w:t>
      </w:r>
      <w:r>
        <w:rPr>
          <w:spacing w:val="-3"/>
          <w:w w:val="100"/>
        </w:rPr>
        <w:t>利</w:t>
      </w:r>
      <w:r>
        <w:rPr>
          <w:rFonts w:ascii="宋体" w:hAnsi="宋体" w:cs="宋体" w:eastAsia="宋体" w:hint="default"/>
          <w:w w:val="100"/>
        </w:rPr>
        <w:t> </w:t>
      </w:r>
      <w:r>
        <w:rPr>
          <w:w w:val="100"/>
        </w:rPr>
        <w:t>董事</w:t>
      </w:r>
      <w:r>
        <w:rPr>
          <w:spacing w:val="-3"/>
          <w:w w:val="100"/>
        </w:rPr>
        <w:t>会</w:t>
      </w:r>
      <w:r>
        <w:rPr>
          <w:w w:val="100"/>
        </w:rPr>
        <w:t>批</w:t>
      </w:r>
      <w:r>
        <w:rPr>
          <w:spacing w:val="-3"/>
          <w:w w:val="100"/>
        </w:rPr>
        <w:t>准</w:t>
      </w:r>
      <w:r>
        <w:rPr>
          <w:w w:val="100"/>
        </w:rPr>
        <w:t>报</w:t>
      </w:r>
      <w:r>
        <w:rPr>
          <w:spacing w:val="-3"/>
          <w:w w:val="100"/>
        </w:rPr>
        <w:t>送</w:t>
      </w:r>
      <w:r>
        <w:rPr>
          <w:w w:val="100"/>
        </w:rPr>
        <w:t>日</w:t>
      </w:r>
      <w:r>
        <w:rPr>
          <w:spacing w:val="-3"/>
          <w:w w:val="100"/>
        </w:rPr>
        <w:t>期</w:t>
      </w:r>
      <w:r>
        <w:rPr>
          <w:spacing w:val="-1"/>
          <w:w w:val="100"/>
        </w:rPr>
        <w:t>：</w:t>
      </w:r>
      <w:r>
        <w:rPr>
          <w:rFonts w:ascii="宋体" w:hAnsi="宋体" w:cs="宋体" w:eastAsia="宋体" w:hint="default"/>
          <w:w w:val="100"/>
        </w:rPr>
        <w:t>2</w:t>
      </w:r>
      <w:r>
        <w:rPr>
          <w:rFonts w:ascii="宋体" w:hAnsi="宋体" w:cs="宋体" w:eastAsia="宋体" w:hint="default"/>
          <w:spacing w:val="-3"/>
          <w:w w:val="100"/>
        </w:rPr>
        <w:t>02</w:t>
      </w:r>
      <w:r>
        <w:rPr>
          <w:rFonts w:ascii="宋体" w:hAnsi="宋体" w:cs="宋体" w:eastAsia="宋体" w:hint="default"/>
          <w:w w:val="100"/>
        </w:rPr>
        <w:t>0</w:t>
      </w:r>
      <w:r>
        <w:rPr>
          <w:rFonts w:ascii="宋体" w:hAnsi="宋体" w:cs="宋体" w:eastAsia="宋体" w:hint="default"/>
          <w:spacing w:val="-52"/>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6</w:t>
      </w:r>
      <w:r>
        <w:rPr>
          <w:rFonts w:ascii="宋体" w:hAnsi="宋体" w:cs="宋体" w:eastAsia="宋体" w:hint="default"/>
          <w:spacing w:val="-53"/>
        </w:rPr>
        <w:t> </w:t>
      </w:r>
      <w:r>
        <w:rPr>
          <w:spacing w:val="-3"/>
          <w:w w:val="100"/>
        </w:rPr>
        <w:t>日</w:t>
      </w:r>
      <w:r>
        <w:rPr>
          <w:rFonts w:ascii="宋体" w:hAnsi="宋体" w:cs="宋体" w:eastAsia="宋体" w:hint="default"/>
          <w:color w:val="008000"/>
          <w:w w:val="100"/>
        </w:rPr>
        <w:t> </w:t>
      </w:r>
      <w:r>
        <w:rPr>
          <w:rFonts w:ascii="宋体" w:hAnsi="宋体" w:cs="宋体" w:eastAsia="宋体" w:hint="default"/>
          <w:w w:val="100"/>
        </w:rPr>
      </w:r>
    </w:p>
    <w:sectPr>
      <w:type w:val="continuous"/>
      <w:pgSz w:w="11910" w:h="16840"/>
      <w:pgMar w:top="1120" w:bottom="1160" w:left="1200" w:right="1200"/>
      <w:cols w:num="2" w:equalWidth="0">
        <w:col w:w="2259" w:space="3079"/>
        <w:col w:w="417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82.209961pt;width:28.8pt;height:18.1pt;mso-position-horizontal-relative:page;mso-position-vertical-relative:page;z-index:-1526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35.585999pt;width:33.4pt;height:11pt;mso-position-horizontal-relative:page;mso-position-vertical-relative:page;z-index:-1525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5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5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809998pt;margin-top:782.209961pt;width:27.8pt;height:11pt;mso-position-horizontal-relative:page;mso-position-vertical-relative:page;z-index:-1526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35.585999pt;width:33.4pt;height:11pt;mso-position-horizontal-relative:page;mso-position-vertical-relative:page;z-index:-152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769989pt;margin-top:535.585999pt;width:32.4pt;height:11pt;mso-position-horizontal-relative:page;mso-position-vertical-relative:page;z-index:-1525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54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5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5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809998pt;margin-top:782.209961pt;width:28.8pt;height:11pt;mso-position-horizontal-relative:page;mso-position-vertical-relative:page;z-index:-1526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35.585999pt;width:33.4pt;height:11pt;mso-position-horizontal-relative:page;mso-position-vertical-relative:page;z-index:-1525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48999pt;margin-top:535.585999pt;width:36.950pt;height:11pt;mso-position-horizontal-relative:page;mso-position-vertical-relative:page;z-index:-1525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35.585999pt;width:37.950pt;height:11pt;mso-position-horizontal-relative:page;mso-position-vertical-relative:page;z-index:-1525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5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5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5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5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5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6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35.585999pt;width:37.950pt;height:11pt;mso-position-horizontal-relative:page;mso-position-vertical-relative:page;z-index:-1524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48999pt;margin-top:535.585999pt;width:37.950pt;height:11pt;mso-position-horizontal-relative:page;mso-position-vertical-relative:page;z-index:-1524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165</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450012pt;margin-top:782.209961pt;width:36.950pt;height:11pt;mso-position-horizontal-relative:page;mso-position-vertical-relative:page;z-index:-1524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450012pt;margin-top:782.209961pt;width:37.950pt;height:11pt;mso-position-horizontal-relative:page;mso-position-vertical-relative:page;z-index:-152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450012pt;margin-top:782.209961pt;width:36.950pt;height:11pt;mso-position-horizontal-relative:page;mso-position-vertical-relative:page;z-index:-152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42.15pt;height:11pt;mso-position-horizontal-relative:page;mso-position-vertical-relative:page;z-index:-1524448" type="#_x0000_t202" filled="false" stroked="false">
          <v:textbox inset="0,0,0,0">
            <w:txbxContent>
              <w:p>
                <w:pPr>
                  <w:spacing w:line="203" w:lineRule="exact" w:before="0"/>
                  <w:ind w:left="123"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235</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236</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524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248</w:t>
                </w:r>
                <w:r>
                  <w:rPr>
                    <w:rFonts w:ascii="Calibri"/>
                    <w:sz w:val="18"/>
                  </w:rPr>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7.290009pt;margin-top:535.585999pt;width:37.950pt;height:11pt;mso-position-horizontal-relative:page;mso-position-vertical-relative:page;z-index:-1524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244</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52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246</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525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248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525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248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799984pt;width:455.35pt;height:.1pt;mso-position-horizontal-relative:page;mso-position-vertical-relative:page;z-index:-1526128" coordorigin="1390,1116" coordsize="9107,2">
          <v:shape style="position:absolute;left:1390;top:1116;width:9107;height:2" coordorigin="1390,1116" coordsize="9107,0" path="m1390,1116l10497,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63.410004pt;margin-top:42.985607pt;width:67.55pt;height:12pt;mso-position-horizontal-relative:page;mso-position-vertical-relative:page;z-index:-1526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920006pt;width:702pt;height:.1pt;mso-position-horizontal-relative:page;mso-position-vertical-relative:page;z-index:-1525264" coordorigin="1390,1118" coordsize="14040,2">
          <v:shape style="position:absolute;left:1390;top:1118;width:14040;height:2" coordorigin="1390,1118" coordsize="14040,0" path="m1390,1118l15429,1118e" filled="false" stroked="true" strokeweight=".72pt" strokecolor="#000000">
            <v:path arrowok="t"/>
          </v:shape>
          <w10:wrap type="none"/>
        </v:group>
      </w:pict>
    </w:r>
    <w:r>
      <w:rPr/>
      <w:pict>
        <v:shape style="position:absolute;margin-left:386.649994pt;margin-top:43.105633pt;width:67.55pt;height:12pt;mso-position-horizontal-relative:page;mso-position-vertical-relative:page;z-index:-1525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919983pt;width:455.35pt;height:.1pt;mso-position-horizontal-relative:page;mso-position-vertical-relative:page;z-index:-1525144"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525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919983pt;width:455.35pt;height:.1pt;mso-position-horizontal-relative:page;mso-position-vertical-relative:page;z-index:-1524856"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524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920006pt;width:702pt;height:.1pt;mso-position-horizontal-relative:page;mso-position-vertical-relative:page;z-index:-1524808" coordorigin="1390,1118" coordsize="14040,2">
          <v:shape style="position:absolute;left:1390;top:1118;width:14040;height:2" coordorigin="1390,1118" coordsize="14040,0" path="m1390,1118l15429,1118e" filled="false" stroked="true" strokeweight=".72pt" strokecolor="#000000">
            <v:path arrowok="t"/>
          </v:shape>
          <w10:wrap type="none"/>
        </v:group>
      </w:pict>
    </w:r>
    <w:r>
      <w:rPr/>
      <w:pict>
        <v:shape style="position:absolute;margin-left:386.649994pt;margin-top:43.105633pt;width:67.55pt;height:12pt;mso-position-horizontal-relative:page;mso-position-vertical-relative:page;z-index:-1524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920006pt;width:702pt;height:.1pt;mso-position-horizontal-relative:page;mso-position-vertical-relative:page;z-index:-1524736" coordorigin="1390,1118" coordsize="14040,2">
          <v:shape style="position:absolute;left:1390;top:1118;width:14040;height:2" coordorigin="1390,1118" coordsize="14040,0" path="m1390,1118l15429,1118e" filled="false" stroked="true" strokeweight=".72pt" strokecolor="#000000">
            <v:path arrowok="t"/>
          </v:shape>
          <w10:wrap type="none"/>
        </v:group>
      </w:pict>
    </w:r>
    <w:r>
      <w:rPr/>
      <w:pict>
        <v:shape style="position:absolute;margin-left:386.649994pt;margin-top:43.105633pt;width:67.55pt;height:12pt;mso-position-horizontal-relative:page;mso-position-vertical-relative:page;z-index:-1524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919983pt;width:455.35pt;height:.1pt;mso-position-horizontal-relative:page;mso-position-vertical-relative:page;z-index:-1524664"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267.730011pt;margin-top:43.105606pt;width:67.55pt;height:12pt;mso-position-horizontal-relative:page;mso-position-vertical-relative:page;z-index:-1524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920006pt;width:693.6pt;height:.1pt;mso-position-horizontal-relative:page;mso-position-vertical-relative:page;z-index:-1524136" coordorigin="1390,1118" coordsize="13872,2">
          <v:shape style="position:absolute;left:1390;top:1118;width:13872;height:2" coordorigin="1390,1118" coordsize="13872,0" path="m1390,1118l15261,1118e" filled="false" stroked="true" strokeweight=".72pt" strokecolor="#000000">
            <v:path arrowok="t"/>
          </v:shape>
          <w10:wrap type="none"/>
        </v:group>
      </w:pict>
    </w:r>
    <w:r>
      <w:rPr/>
      <w:pict>
        <v:shape style="position:absolute;margin-left:382.450012pt;margin-top:43.105633pt;width:67.55pt;height:12pt;mso-position-horizontal-relative:page;mso-position-vertical-relative:page;z-index:-1524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919983pt;width:455.35pt;height:.1pt;mso-position-horizontal-relative:page;mso-position-vertical-relative:page;z-index:-1524064" coordorigin="1390,1118" coordsize="9107,2">
          <v:shape style="position:absolute;left:1390;top:1118;width:9107;height:2" coordorigin="1390,1118" coordsize="9107,0" path="m1390,1118l10497,1118e" filled="false" stroked="true" strokeweight=".72pt" strokecolor="#000000">
            <v:path arrowok="t"/>
          </v:shape>
          <w10:wrap type="none"/>
        </v:group>
      </w:pict>
    </w:r>
    <w:r>
      <w:rPr/>
      <w:pict>
        <v:shape style="position:absolute;margin-left:263.410004pt;margin-top:43.105606pt;width:67.55pt;height:12pt;mso-position-horizontal-relative:page;mso-position-vertical-relative:page;z-index:-1524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800007pt;width:702pt;height:.1pt;mso-position-horizontal-relative:page;mso-position-vertical-relative:page;z-index:-1525888" coordorigin="1390,1116" coordsize="14040,2">
          <v:shape style="position:absolute;left:1390;top:1116;width:14040;height:2" coordorigin="1390,1116" coordsize="14040,0" path="m1390,1116l15429,1116e" filled="false" stroked="true" strokeweight=".72pt" strokecolor="#000000">
            <v:path arrowok="t"/>
          </v:shape>
          <w10:wrap type="none"/>
        </v:group>
      </w:pict>
    </w:r>
    <w:r>
      <w:rPr/>
      <w:pict>
        <v:shape style="position:absolute;margin-left:386.649994pt;margin-top:42.985634pt;width:67.55pt;height:12pt;mso-position-horizontal-relative:page;mso-position-vertical-relative:page;z-index:-1525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799984pt;width:455.35pt;height:.1pt;mso-position-horizontal-relative:page;mso-position-vertical-relative:page;z-index:-1525816" coordorigin="1390,1116" coordsize="9107,2">
          <v:shape style="position:absolute;left:1390;top:1116;width:9107;height:2" coordorigin="1390,1116" coordsize="9107,0" path="m1390,1116l10497,1116e" filled="false" stroked="true" strokeweight=".72pt" strokecolor="#000000">
            <v:path arrowok="t"/>
          </v:shape>
          <w10:wrap type="none"/>
        </v:group>
      </w:pict>
    </w:r>
    <w:r>
      <w:rPr/>
      <w:pict>
        <v:shape style="position:absolute;margin-left:263.410004pt;margin-top:42.985607pt;width:67.55pt;height:12pt;mso-position-horizontal-relative:page;mso-position-vertical-relative:page;z-index:-1525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5.800007pt;width:702pt;height:.1pt;mso-position-horizontal-relative:page;mso-position-vertical-relative:page;z-index:-1525600" coordorigin="1390,1116" coordsize="14040,2">
          <v:shape style="position:absolute;left:1390;top:1116;width:14040;height:2" coordorigin="1390,1116" coordsize="14040,0" path="m1390,1116l15429,1116e" filled="false" stroked="true" strokeweight=".72pt" strokecolor="#000000">
            <v:path arrowok="t"/>
          </v:shape>
          <w10:wrap type="none"/>
        </v:group>
      </w:pict>
    </w:r>
    <w:r>
      <w:rPr/>
      <w:pict>
        <v:shape style="position:absolute;margin-left:386.649994pt;margin-top:42.985634pt;width:67.55pt;height:12pt;mso-position-horizontal-relative:page;mso-position-vertical-relative:page;z-index:-1525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55.559982pt;width:455.35pt;height:.1pt;mso-position-horizontal-relative:page;mso-position-vertical-relative:page;z-index:-1525504" coordorigin="1390,1111" coordsize="9107,2">
          <v:shape style="position:absolute;left:1390;top:1111;width:9107;height:2" coordorigin="1390,1111" coordsize="9107,0" path="m1390,1111l10497,1111e" filled="false" stroked="true" strokeweight=".72pt" strokecolor="#000000">
            <v:path arrowok="t"/>
          </v:shape>
          <w10:wrap type="none"/>
        </v:group>
      </w:pict>
    </w:r>
    <w:r>
      <w:rPr/>
      <w:pict>
        <v:shape style="position:absolute;margin-left:263.410004pt;margin-top:42.865608pt;width:67.55pt;height:12pt;mso-position-horizontal-relative:page;mso-position-vertical-relative:page;z-index:-1525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7"/>
      <w:ind w:left="138"/>
    </w:pPr>
    <w:rPr>
      <w:rFonts w:ascii="宋体" w:hAnsi="宋体" w:eastAsia="宋体"/>
      <w:b/>
      <w:bCs/>
      <w:sz w:val="24"/>
      <w:szCs w:val="24"/>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spacing w:before="48"/>
      <w:ind w:left="938"/>
      <w:outlineLvl w:val="4"/>
    </w:pPr>
    <w:rPr>
      <w:rFonts w:ascii="宋体" w:hAnsi="宋体" w:eastAsia="宋体"/>
      <w:sz w:val="22"/>
      <w:szCs w:val="22"/>
    </w:rPr>
  </w:style>
  <w:style w:styleId="Heading5" w:type="paragraph">
    <w:name w:val="Heading 5"/>
    <w:basedOn w:val="Normal"/>
    <w:uiPriority w:val="1"/>
    <w:qFormat/>
    <w:pPr>
      <w:spacing w:before="56"/>
      <w:ind w:left="21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mailto:chenfuxiang@qdport.com" TargetMode="External"/><Relationship Id="rId10" Type="http://schemas.openxmlformats.org/officeDocument/2006/relationships/hyperlink" Target="mailto:shm@qdport.com" TargetMode="External"/><Relationship Id="rId11" Type="http://schemas.openxmlformats.org/officeDocument/2006/relationships/hyperlink" Target="http://www.qingdao-port.com/" TargetMode="External"/><Relationship Id="rId12" Type="http://schemas.openxmlformats.org/officeDocument/2006/relationships/hyperlink" Target="mailto:qggj@qdport.com" TargetMode="External"/><Relationship Id="rId13" Type="http://schemas.openxmlformats.org/officeDocument/2006/relationships/hyperlink" Target="http://www.sse.com.cn/"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3.xml"/><Relationship Id="rId22" Type="http://schemas.openxmlformats.org/officeDocument/2006/relationships/footer" Target="footer10.xml"/><Relationship Id="rId23" Type="http://schemas.openxmlformats.org/officeDocument/2006/relationships/header" Target="header4.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header" Target="header5.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header" Target="header6.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image" Target="media/image1.jpeg"/><Relationship Id="rId36" Type="http://schemas.openxmlformats.org/officeDocument/2006/relationships/image" Target="media/image2.jpeg"/><Relationship Id="rId37" Type="http://schemas.openxmlformats.org/officeDocument/2006/relationships/header" Target="header7.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header" Target="header8.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hyperlink" Target="http://www.hkexnews.hk/" TargetMode="External"/><Relationship Id="rId44" Type="http://schemas.openxmlformats.org/officeDocument/2006/relationships/footer" Target="footer24.xml"/><Relationship Id="rId45" Type="http://schemas.openxmlformats.org/officeDocument/2006/relationships/header" Target="header9.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footer" Target="footer28.xml"/><Relationship Id="rId50" Type="http://schemas.openxmlformats.org/officeDocument/2006/relationships/footer" Target="footer29.xml"/><Relationship Id="rId51" Type="http://schemas.openxmlformats.org/officeDocument/2006/relationships/footer" Target="footer30.xml"/><Relationship Id="rId52" Type="http://schemas.openxmlformats.org/officeDocument/2006/relationships/header" Target="header10.xml"/><Relationship Id="rId53" Type="http://schemas.openxmlformats.org/officeDocument/2006/relationships/footer" Target="footer31.xml"/><Relationship Id="rId54" Type="http://schemas.openxmlformats.org/officeDocument/2006/relationships/footer" Target="footer32.xml"/><Relationship Id="rId55" Type="http://schemas.openxmlformats.org/officeDocument/2006/relationships/footer" Target="footer33.xml"/><Relationship Id="rId56" Type="http://schemas.openxmlformats.org/officeDocument/2006/relationships/header" Target="header11.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footer" Target="footer39.xml"/><Relationship Id="rId63" Type="http://schemas.openxmlformats.org/officeDocument/2006/relationships/footer" Target="footer40.xml"/><Relationship Id="rId64" Type="http://schemas.openxmlformats.org/officeDocument/2006/relationships/header" Target="header12.xml"/><Relationship Id="rId65" Type="http://schemas.openxmlformats.org/officeDocument/2006/relationships/footer" Target="footer41.xml"/><Relationship Id="rId66" Type="http://schemas.openxmlformats.org/officeDocument/2006/relationships/footer" Target="footer42.xml"/><Relationship Id="rId67" Type="http://schemas.openxmlformats.org/officeDocument/2006/relationships/header" Target="header13.xml"/><Relationship Id="rId68" Type="http://schemas.openxmlformats.org/officeDocument/2006/relationships/footer" Target="footer43.xml"/><Relationship Id="rId69" Type="http://schemas.openxmlformats.org/officeDocument/2006/relationships/footer" Target="footer44.xml"/><Relationship Id="rId70" Type="http://schemas.openxmlformats.org/officeDocument/2006/relationships/footer" Target="footer45.xml"/><Relationship Id="rId71" Type="http://schemas.openxmlformats.org/officeDocument/2006/relationships/header" Target="header14.xml"/><Relationship Id="rId72" Type="http://schemas.openxmlformats.org/officeDocument/2006/relationships/footer" Target="footer46.xml"/><Relationship Id="rId73" Type="http://schemas.openxmlformats.org/officeDocument/2006/relationships/header" Target="header15.xml"/><Relationship Id="rId74" Type="http://schemas.openxmlformats.org/officeDocument/2006/relationships/footer" Target="footer47.xml"/><Relationship Id="rId75" Type="http://schemas.openxmlformats.org/officeDocument/2006/relationships/header" Target="header16.xml"/><Relationship Id="rId76" Type="http://schemas.openxmlformats.org/officeDocument/2006/relationships/footer" Target="footer48.xml"/><Relationship Id="rId77" Type="http://schemas.openxmlformats.org/officeDocument/2006/relationships/header" Target="header17.xml"/><Relationship Id="rId78" Type="http://schemas.openxmlformats.org/officeDocument/2006/relationships/footer" Target="footer49.xml"/><Relationship Id="rId79" Type="http://schemas.openxmlformats.org/officeDocument/2006/relationships/header" Target="header18.xml"/><Relationship Id="rId80" Type="http://schemas.openxmlformats.org/officeDocument/2006/relationships/footer" Target="footer50.xml"/><Relationship Id="rId81" Type="http://schemas.openxmlformats.org/officeDocument/2006/relationships/header" Target="header19.xml"/><Relationship Id="rId82" Type="http://schemas.openxmlformats.org/officeDocument/2006/relationships/footer" Target="footer51.xml"/><Relationship Id="rId83" Type="http://schemas.openxmlformats.org/officeDocument/2006/relationships/footer" Target="footer52.xml"/><Relationship Id="rId84" Type="http://schemas.openxmlformats.org/officeDocument/2006/relationships/footer" Target="footer53.xml"/><Relationship Id="rId85" Type="http://schemas.openxmlformats.org/officeDocument/2006/relationships/header" Target="header20.xml"/><Relationship Id="rId86" Type="http://schemas.openxmlformats.org/officeDocument/2006/relationships/footer" Target="footer54.xml"/><Relationship Id="rId87" Type="http://schemas.openxmlformats.org/officeDocument/2006/relationships/footer" Target="footer55.xml"/><Relationship Id="rId88" Type="http://schemas.openxmlformats.org/officeDocument/2006/relationships/footer" Target="footer56.xml"/><Relationship Id="rId89" Type="http://schemas.openxmlformats.org/officeDocument/2006/relationships/footer" Target="footer57.xml"/><Relationship Id="rId90" Type="http://schemas.openxmlformats.org/officeDocument/2006/relationships/footer" Target="footer58.xml"/><Relationship Id="rId91" Type="http://schemas.openxmlformats.org/officeDocument/2006/relationships/footer" Target="footer59.xml"/><Relationship Id="rId92" Type="http://schemas.openxmlformats.org/officeDocument/2006/relationships/footer" Target="footer60.xml"/><Relationship Id="rId93" Type="http://schemas.openxmlformats.org/officeDocument/2006/relationships/footer" Target="footer61.xml"/><Relationship Id="rId94" Type="http://schemas.openxmlformats.org/officeDocument/2006/relationships/header" Target="header21.xml"/><Relationship Id="rId95" Type="http://schemas.openxmlformats.org/officeDocument/2006/relationships/footer" Target="footer62.xml"/><Relationship Id="rId96" Type="http://schemas.openxmlformats.org/officeDocument/2006/relationships/footer" Target="footer63.xml"/><Relationship Id="rId97" Type="http://schemas.openxmlformats.org/officeDocument/2006/relationships/header" Target="header22.xml"/><Relationship Id="rId98" Type="http://schemas.openxmlformats.org/officeDocument/2006/relationships/footer" Target="footer64.xml"/><Relationship Id="rId99" Type="http://schemas.openxmlformats.org/officeDocument/2006/relationships/footer" Target="footer65.xml"/><Relationship Id="rId100" Type="http://schemas.openxmlformats.org/officeDocument/2006/relationships/footer" Target="footer66.xml"/><Relationship Id="rId101" Type="http://schemas.openxmlformats.org/officeDocument/2006/relationships/footer" Target="footer67.xml"/><Relationship Id="rId102" Type="http://schemas.openxmlformats.org/officeDocument/2006/relationships/footer" Target="footer68.xml"/><Relationship Id="rId103" Type="http://schemas.openxmlformats.org/officeDocument/2006/relationships/footer" Target="footer69.xml"/><Relationship Id="rId104" Type="http://schemas.openxmlformats.org/officeDocument/2006/relationships/header" Target="header23.xml"/><Relationship Id="rId105" Type="http://schemas.openxmlformats.org/officeDocument/2006/relationships/footer" Target="footer70.xml"/><Relationship Id="rId106" Type="http://schemas.openxmlformats.org/officeDocument/2006/relationships/footer" Target="footer71.xml"/><Relationship Id="rId107" Type="http://schemas.openxmlformats.org/officeDocument/2006/relationships/footer" Target="footer72.xml"/><Relationship Id="rId108" Type="http://schemas.openxmlformats.org/officeDocument/2006/relationships/footer" Target="footer73.xml"/><Relationship Id="rId109" Type="http://schemas.openxmlformats.org/officeDocument/2006/relationships/footer" Target="footer74.xml"/><Relationship Id="rId110" Type="http://schemas.openxmlformats.org/officeDocument/2006/relationships/header" Target="header24.xml"/><Relationship Id="rId111" Type="http://schemas.openxmlformats.org/officeDocument/2006/relationships/footer" Target="footer75.xml"/><Relationship Id="rId112" Type="http://schemas.openxmlformats.org/officeDocument/2006/relationships/header" Target="header25.xml"/><Relationship Id="rId113" Type="http://schemas.openxmlformats.org/officeDocument/2006/relationships/footer" Target="footer7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QYQ;HH</dc:creator>
  <dc:title>股份有限公司</dc:title>
  <dcterms:created xsi:type="dcterms:W3CDTF">2020-05-19T01:03:56Z</dcterms:created>
  <dcterms:modified xsi:type="dcterms:W3CDTF">2020-05-19T01:03:56Z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Office Word 2007</vt:lpwstr>
  </property>
  <property fmtid="{D5CDD505-2E9C-101B-9397-08002B2CF9AE}" pid="4" name="LastSaved">
    <vt:filetime>2020-05-18T00:00:00Z</vt:filetime>
  </property>
</Properties>
</file>